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78"/>
        <w:rPr>
          <w:rFonts w:hint="eastAsia"/>
        </w:rPr>
      </w:pPr>
      <w:r>
        <w:rPr>
          <w:rFonts w:hint="eastAsia"/>
        </w:rPr>
      </w:r>
      <w:r/>
    </w:p>
    <w:p>
      <w:pPr>
        <w:pStyle w:val="91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11"/>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江苏省南通市中级人民法院知产法庭暨“两个中心”装修改造智能化设备采购项目</w:t>
      </w:r>
      <w:r>
        <w:rPr>
          <w:rFonts w:hint="eastAsia" w:ascii="Arial" w:hAnsi="Arial"/>
          <w:b/>
          <w:bCs/>
          <w:color w:val="000000"/>
          <w:sz w:val="32"/>
          <w:szCs w:val="24"/>
        </w:rPr>
      </w:r>
      <w:r/>
    </w:p>
    <w:p>
      <w:pPr>
        <w:pStyle w:val="911"/>
        <w:ind w:firstLine="2249"/>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项目编号：JSZC-320600-JZCG-G2026-0148</w:t>
      </w:r>
      <w:r>
        <w:rPr>
          <w:rFonts w:hint="eastAsia" w:ascii="Arial" w:hAnsi="Arial"/>
          <w:b/>
          <w:bCs/>
          <w:color w:val="000000"/>
          <w:sz w:val="32"/>
          <w:szCs w:val="24"/>
        </w:rPr>
      </w:r>
      <w:r/>
    </w:p>
    <w:p>
      <w:pPr>
        <w:pStyle w:val="91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91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1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1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1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1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1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2"/>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 </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19</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32</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130</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135</w:t>
      </w:r>
      <w:r>
        <w:rPr>
          <w:rFonts w:hint="eastAsia" w:ascii="黑体" w:hAnsi="Showcard Gothic" w:eastAsia="黑体"/>
          <w:color w:val="000000"/>
          <w:sz w:val="36"/>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color w:val="000000"/>
          <w:sz w:val="28"/>
          <w:szCs w:val="28"/>
        </w:rPr>
        <w:t xml:space="preserve">[江苏省南通市中级人民法院]</w:t>
      </w:r>
      <w:r>
        <w:rPr>
          <w:rFonts w:ascii="Times New Roman" w:hAnsi="Times New Roman" w:eastAsia="方正仿宋_GBK" w:cs="Times New Roman"/>
          <w:color w:val="000000"/>
          <w:sz w:val="28"/>
          <w:szCs w:val="28"/>
        </w:rPr>
        <w:t xml:space="preserve">的委托，南通市</w:t>
      </w:r>
      <w:r>
        <w:rPr>
          <w:rFonts w:ascii="Times New Roman" w:hAnsi="Times New Roman" w:eastAsia="方正仿宋_GBK" w:cs="Times New Roman"/>
          <w:color w:val="000000"/>
          <w:sz w:val="28"/>
          <w:szCs w:val="28"/>
          <w:lang w:val="en-US" w:eastAsia="zh-CN"/>
        </w:rPr>
        <w:t xml:space="preserve">公共资源交易中心</w:t>
      </w:r>
      <w:r>
        <w:rPr>
          <w:rFonts w:ascii="Times New Roman" w:hAnsi="Times New Roman" w:eastAsia="方正仿宋_GBK" w:cs="Times New Roman"/>
          <w:color w:val="000000"/>
          <w:sz w:val="28"/>
          <w:szCs w:val="28"/>
        </w:rPr>
        <w:t xml:space="preserve">就</w:t>
      </w:r>
      <w:r>
        <w:rPr>
          <w:rFonts w:ascii="Times New Roman" w:hAnsi="Times New Roman" w:eastAsia="方正仿宋_GBK" w:cs="Times New Roman"/>
          <w:i/>
          <w:color w:val="000000"/>
          <w:sz w:val="28"/>
          <w:szCs w:val="28"/>
        </w:rPr>
        <w:t xml:space="preserve">[江苏省南通市中级人民法院知产法庭暨“两个中心”装修改造智能化设备采购项目]([JSZC-320600-JZCG-G2026-0148])</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color w:val="000000"/>
          <w:sz w:val="28"/>
          <w:szCs w:val="28"/>
          <w:u w:val="single"/>
        </w:rPr>
        <w:t xml:space="preserve">江苏省南通市中级人民法院知产法庭暨“两个中心”装修改造智能化设备采购项目</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themeColor="text1"/>
          <w:sz w:val="28"/>
          <w:szCs w:val="28"/>
          <w:u w:val="single"/>
          <w:lang w:val="en-US" w:eastAsia="zh-CN"/>
        </w:rPr>
        <w:t xml:space="preserve">2026</w:t>
      </w:r>
      <w:r>
        <w:rPr>
          <w:rFonts w:ascii="Times New Roman" w:hAnsi="Times New Roman" w:eastAsia="方正仿宋_GBK" w:cs="Times New Roman"/>
          <w:bCs/>
          <w:color w:val="000000" w:themeColor="text1"/>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月21日</w:t>
      </w:r>
      <w:r>
        <w:rPr>
          <w:rFonts w:hint="eastAsia" w:ascii="Times New Roman" w:hAnsi="Times New Roman" w:eastAsia="方正仿宋_GBK" w:cs="Times New Roman"/>
          <w:bCs/>
          <w:color w:val="000000" w:themeColor="text1"/>
          <w:sz w:val="28"/>
          <w:szCs w:val="28"/>
          <w:u w:val="single"/>
          <w:lang w:val="en-US" w:eastAsia="zh-CN"/>
        </w:rPr>
        <w:t xml:space="preserve">9</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3</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sz w:val="28"/>
          <w:szCs w:val="28"/>
          <w:u w:val="single"/>
        </w:rPr>
        <w:t xml:space="preserve">（</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28359079"/>
      <w:r/>
      <w:bookmarkStart w:id="7" w:name="_Toc35393621"/>
      <w:r/>
      <w:bookmarkStart w:id="8" w:name="_Toc28359002"/>
      <w:r/>
      <w:bookmarkStart w:id="9" w:name="_Toc38985263"/>
      <w:r/>
      <w:bookmarkStart w:id="10" w:name="_Toc35393790"/>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1.项目编号：JSZC-320600-JZCG-G2026-0148</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2.项目名称：江苏省南通市中级人民法院知产法庭暨“两个中心”装修改造智能化设备采购项目</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bookmarkEnd w:id="11"/>
      <w:r>
        <w:rPr>
          <w:rFonts w:ascii="Times New Roman" w:hAnsi="Times New Roman" w:eastAsia="方正仿宋_GBK" w:cs="Times New Roman"/>
          <w:color w:val="000000"/>
          <w:sz w:val="28"/>
          <w:szCs w:val="28"/>
        </w:rPr>
        <w:t xml:space="preserve">3.预算金额：</w:t>
      </w:r>
      <w:r>
        <w:rPr>
          <w:rFonts w:ascii="Times New Roman" w:hAnsi="Times New Roman" w:eastAsia="方正仿宋_GBK" w:cs="Times New Roman"/>
          <w:color w:val="000000"/>
          <w:sz w:val="28"/>
          <w:szCs w:val="28"/>
        </w:rPr>
        <w:t xml:space="preserve">887.40407</w:t>
      </w:r>
      <w:r>
        <w:rPr>
          <w:rFonts w:hint="eastAsia" w:ascii="Times New Roman" w:hAnsi="Times New Roman" w:eastAsia="方正仿宋_GBK" w:cs="Times New Roman"/>
          <w:color w:val="000000"/>
          <w:sz w:val="28"/>
          <w:szCs w:val="28"/>
          <w:lang w:val="en-US" w:eastAsia="zh-CN"/>
        </w:rPr>
        <w:t xml:space="preserve">万元</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4.最高限价：</w:t>
      </w:r>
      <w:r>
        <w:rPr>
          <w:rFonts w:hint="eastAsia" w:eastAsia="方正仿宋_GBK"/>
          <w:color w:val="000000"/>
          <w:sz w:val="28"/>
          <w:szCs w:val="28"/>
        </w:rPr>
        <w:t xml:space="preserve">887万元</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91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6.合同履行期限：</w:t>
      </w:r>
      <w:r>
        <w:rPr>
          <w:rFonts w:hint="eastAsia" w:ascii="仿宋" w:hAnsi="仿宋" w:eastAsia="仿宋" w:cs="仿宋"/>
          <w:color w:val="000000"/>
          <w:sz w:val="28"/>
          <w:szCs w:val="28"/>
        </w:rPr>
        <w:t xml:space="preserve">采购人开工令发出后180日内完成项目实施</w:t>
      </w:r>
      <w:r>
        <w:rPr>
          <w:rFonts w:hint="eastAsia" w:eastAsia="方正仿宋_GBK"/>
          <w:color w:val="000000"/>
          <w:sz w:val="28"/>
          <w:szCs w:val="28"/>
        </w:rPr>
        <w:t xml:space="preserve">。</w:t>
      </w:r>
      <w:r>
        <w:rPr>
          <w:rFonts w:ascii="Times New Roman" w:hAnsi="Times New Roman" w:eastAsia="方正仿宋_GBK" w:cs="Times New Roman"/>
          <w:color w:val="000000"/>
          <w:sz w:val="28"/>
          <w:szCs w:val="28"/>
          <w:u w:val="single"/>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8985264"/>
      <w:r/>
      <w:bookmarkStart w:id="13" w:name="_Toc35393622"/>
      <w:r/>
      <w:bookmarkStart w:id="14" w:name="_Toc28359080"/>
      <w:r/>
      <w:bookmarkStart w:id="15" w:name="_Toc35393791"/>
      <w:r/>
      <w:bookmarkStart w:id="16" w:name="_Toc28359003"/>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bookmarkStart w:id="17" w:name="_Toc38985265"/>
      <w:r/>
      <w:bookmarkStart w:id="18" w:name="_Toc28359081"/>
      <w:r/>
      <w:bookmarkStart w:id="19" w:name="_Toc28359004"/>
      <w:r/>
      <w:bookmarkStart w:id="20" w:name="_Toc35393792"/>
      <w:r/>
      <w:bookmarkStart w:id="21" w:name="_Toc35393623"/>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3.落实政府采购政策需满足的资格</w:t>
      </w:r>
      <w:r>
        <w:rPr>
          <w:rFonts w:ascii="Times New Roman" w:hAnsi="Times New Roman" w:eastAsia="方正仿宋_GBK" w:cs="Times New Roman"/>
          <w:color w:val="000000"/>
          <w:sz w:val="28"/>
          <w:szCs w:val="28"/>
          <w:highlight w:val="none"/>
        </w:rPr>
        <w:t xml:space="preserve">要求：无。</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color w:val="000000"/>
          <w:sz w:val="28"/>
          <w:szCs w:val="28"/>
        </w:rPr>
        <w:t xml:space="preserve">4.</w:t>
      </w:r>
      <w:r>
        <w:rPr>
          <w:rFonts w:hint="eastAsia" w:ascii="Times New Roman" w:hAnsi="Times New Roman" w:eastAsia="方正仿宋_GBK" w:cs="Times New Roman"/>
          <w:color w:val="000000"/>
          <w:sz w:val="28"/>
          <w:szCs w:val="28"/>
          <w:lang w:val="en-US" w:eastAsia="zh-CN"/>
        </w:rPr>
        <w:t xml:space="preserve">本项目不接受</w:t>
      </w:r>
      <w:r>
        <w:rPr>
          <w:rFonts w:ascii="Times New Roman" w:hAnsi="Times New Roman" w:eastAsia="方正仿宋_GBK" w:cs="Times New Roman"/>
          <w:color w:val="000000"/>
          <w:sz w:val="28"/>
          <w:szCs w:val="28"/>
        </w:rPr>
        <w:t xml:space="preserve">联合体投标。</w:t>
      </w:r>
      <w:r>
        <w:rPr>
          <w:rFonts w:ascii="Times New Roman" w:hAnsi="Times New Roman" w:eastAsia="方正仿宋_GBK" w:cs="Times New Roman"/>
          <w:i/>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5.本项目不接受分包。</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911"/>
        <w:ind w:firstLine="540"/>
        <w:spacing w:line="480" w:lineRule="exact"/>
        <w:rPr>
          <w:rFonts w:ascii="Times New Roman" w:hAnsi="Times New Roman" w:eastAsia="方正仿宋_GBK" w:cs="Times New Roman"/>
          <w:color w:val="000000"/>
          <w:sz w:val="28"/>
          <w:szCs w:val="28"/>
        </w:rPr>
      </w:pPr>
      <w:r/>
      <w:bookmarkStart w:id="22" w:name="_Toc28359082"/>
      <w:r/>
      <w:bookmarkStart w:id="23" w:name="_Toc28359005"/>
      <w:r/>
      <w:bookmarkStart w:id="24" w:name="_Toc38985266"/>
      <w:r/>
      <w:bookmarkStart w:id="25" w:name="_Toc35393624"/>
      <w:r/>
      <w:bookmarkStart w:id="26" w:name="_Toc35393793"/>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911"/>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i/>
          <w:color w:val="0000ff"/>
          <w:sz w:val="28"/>
          <w:szCs w:val="28"/>
        </w:rPr>
      </w:pPr>
      <w:r>
        <w:rPr>
          <w:rFonts w:ascii="Times New Roman" w:hAnsi="Times New Roman" w:eastAsia="方正仿宋_GBK" w:cs="Times New Roman"/>
          <w:bCs/>
          <w:color w:val="000000" w:themeColor="text1"/>
          <w:sz w:val="28"/>
          <w:szCs w:val="28"/>
          <w:u w:val="single"/>
        </w:rPr>
        <w:t xml:space="preserve">1. </w:t>
      </w:r>
      <w:r>
        <w:rPr>
          <w:rFonts w:hint="eastAsia" w:ascii="Times New Roman" w:hAnsi="Times New Roman" w:eastAsia="方正仿宋_GBK" w:cs="Times New Roman"/>
          <w:bCs/>
          <w:color w:val="000000" w:themeColor="text1"/>
          <w:sz w:val="28"/>
          <w:szCs w:val="28"/>
          <w:u w:val="single"/>
          <w:lang w:val="en-US" w:eastAsia="zh-CN"/>
        </w:rPr>
        <w:t xml:space="preserve">2</w:t>
      </w:r>
      <w:r>
        <w:rPr>
          <w:rFonts w:hint="eastAsia" w:ascii="Times New Roman" w:hAnsi="Times New Roman" w:eastAsia="方正仿宋_GBK" w:cs="Times New Roman"/>
          <w:bCs/>
          <w:color w:val="000000" w:themeColor="text1"/>
          <w:sz w:val="28"/>
          <w:szCs w:val="28"/>
          <w:u w:val="single"/>
          <w:lang w:val="en-US" w:eastAsia="zh-CN"/>
        </w:rPr>
        <w:t xml:space="preserve">026</w:t>
      </w:r>
      <w:r>
        <w:rPr>
          <w:rFonts w:ascii="Times New Roman" w:hAnsi="Times New Roman" w:eastAsia="方正仿宋_GBK" w:cs="Times New Roman"/>
          <w:bCs/>
          <w:color w:val="000000" w:themeColor="text1"/>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月21日</w:t>
      </w:r>
      <w:r>
        <w:rPr>
          <w:rFonts w:hint="eastAsia" w:ascii="Times New Roman" w:hAnsi="Times New Roman" w:eastAsia="方正仿宋_GBK" w:cs="Times New Roman"/>
          <w:bCs/>
          <w:color w:val="000000" w:themeColor="text1"/>
          <w:sz w:val="28"/>
          <w:szCs w:val="28"/>
          <w:u w:val="single"/>
          <w:lang w:val="en-US" w:eastAsia="zh-CN"/>
        </w:rPr>
        <w:t xml:space="preserve">9</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3</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themeColor="text1"/>
          <w:sz w:val="28"/>
          <w:szCs w:val="28"/>
        </w:rPr>
        <w:t xml:space="preserve">（北京时间）</w:t>
      </w:r>
      <w:r>
        <w:rPr>
          <w:rFonts w:ascii="Times New Roman" w:hAnsi="Times New Roman" w:eastAsia="方正仿宋_GBK" w:cs="Times New Roman"/>
          <w:bCs/>
          <w:color w:val="0000ff"/>
          <w:sz w:val="28"/>
          <w:szCs w:val="28"/>
        </w:rPr>
        <w:t xml:space="preserve">。</w:t>
      </w:r>
      <w:r>
        <w:rPr>
          <w:rFonts w:ascii="Times New Roman" w:hAnsi="Times New Roman" w:eastAsia="方正仿宋_GBK" w:cs="Times New Roman"/>
          <w:i/>
          <w:color w:val="0000ff"/>
          <w:sz w:val="28"/>
          <w:szCs w:val="28"/>
        </w:rPr>
      </w:r>
      <w:r/>
    </w:p>
    <w:p>
      <w:pPr>
        <w:pStyle w:val="911"/>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35393625"/>
      <w:r/>
      <w:bookmarkStart w:id="28" w:name="_Toc28359084"/>
      <w:r/>
      <w:bookmarkStart w:id="29" w:name="_Toc28359007"/>
      <w:r/>
      <w:bookmarkStart w:id="30" w:name="_Toc35393794"/>
      <w:r/>
      <w:bookmarkStart w:id="31" w:name="_Toc38985267"/>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bookmarkStart w:id="32" w:name="_Toc38985268"/>
      <w:r/>
      <w:bookmarkStart w:id="33" w:name="_Toc35393626"/>
      <w:r/>
      <w:bookmarkStart w:id="34" w:name="_Toc35393795"/>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2. 项目演示、样品、答辩等：</w:t>
      </w:r>
      <w:r>
        <w:rPr>
          <w:rFonts w:ascii="Times New Roman" w:hAnsi="Times New Roman" w:eastAsia="方正仿宋_GBK" w:cs="Times New Roman"/>
          <w:sz w:val="28"/>
          <w:szCs w:val="28"/>
          <w:highlight w:val="none"/>
          <w:lang w:val="en-US" w:eastAsia="zh-CN"/>
        </w:rPr>
        <w:t xml:space="preserve">无</w:t>
      </w:r>
      <w:r>
        <w:rPr>
          <w:rFonts w:ascii="Times New Roman" w:hAnsi="Times New Roman" w:eastAsia="方正仿宋_GBK" w:cs="Times New Roman"/>
          <w:sz w:val="28"/>
          <w:szCs w:val="28"/>
          <w:highlight w:val="none"/>
          <w:lang w:val="en-US" w:eastAsia="zh-CN"/>
        </w:rPr>
      </w:r>
      <w:r/>
    </w:p>
    <w:p>
      <w:pPr>
        <w:pStyle w:val="911"/>
        <w:ind w:firstLine="560"/>
        <w:spacing w:line="48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ascii="Times New Roman" w:hAnsi="Times New Roman" w:eastAsia="方正仿宋_GBK" w:cs="Times New Roman"/>
          <w:color w:val="000000"/>
          <w:sz w:val="28"/>
          <w:szCs w:val="28"/>
          <w:highlight w:val="none"/>
        </w:rPr>
        <w:t xml:space="preserve">供应商（含潜在供应商）对与本项目有关的所有询问、质疑均请向采购人提出，由采购人负责答复</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b/>
          <w:color w:val="000000"/>
          <w:sz w:val="28"/>
          <w:szCs w:val="28"/>
          <w:highlight w:val="none"/>
        </w:rPr>
      </w:r>
      <w:r/>
    </w:p>
    <w:p>
      <w:pPr>
        <w:pStyle w:val="911"/>
        <w:ind w:firstLine="560"/>
        <w:spacing w:line="480" w:lineRule="exact"/>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yellow"/>
          <w:lang w:val="en-US" w:eastAsia="zh-CN"/>
        </w:rPr>
      </w:r>
      <w:r/>
    </w:p>
    <w:p>
      <w:pPr>
        <w:pStyle w:val="911"/>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91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911"/>
        <w:numPr>
          <w:ilvl w:val="0"/>
          <w:numId w:val="5"/>
        </w:numPr>
        <w:ind w:firstLine="562"/>
        <w:spacing w:line="480" w:lineRule="exact"/>
        <w:rPr>
          <w:rFonts w:eastAsia="方正仿宋_GBK"/>
          <w:b/>
          <w:bCs/>
          <w:sz w:val="28"/>
          <w:szCs w:val="28"/>
          <w:highlight w:val="none"/>
        </w:rPr>
      </w:pPr>
      <w:r>
        <w:rPr>
          <w:rFonts w:hint="eastAsia" w:eastAsia="方正仿宋_GBK"/>
          <w:b/>
          <w:bCs/>
          <w:sz w:val="28"/>
          <w:szCs w:val="28"/>
          <w:highlight w:val="none"/>
        </w:rPr>
        <w:t xml:space="preserve">本项目设计单位已完成初步设计工作，包括详细方案、点位表、设计说明等。投标人如需在投标前获取详细设计内容，请联系鲁先生（电话：0513-68506398）。</w:t>
      </w:r>
      <w:r>
        <w:rPr>
          <w:rFonts w:eastAsia="方正仿宋_GBK"/>
          <w:b/>
          <w:bCs/>
          <w:sz w:val="28"/>
          <w:szCs w:val="28"/>
          <w:highlight w:val="none"/>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7.</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911"/>
        <w:ind w:firstLine="560"/>
        <w:spacing w:line="480" w:lineRule="exact"/>
        <w:tabs>
          <w:tab w:val="left" w:pos="900" w:leader="none"/>
        </w:tabs>
        <w:rPr>
          <w:rFonts w:ascii="Times New Roman" w:hAnsi="Times New Roman" w:eastAsia="方正仿宋_GBK" w:cs="Times New Roman"/>
          <w:bCs/>
          <w:sz w:val="28"/>
          <w:szCs w:val="28"/>
        </w:rPr>
      </w:pPr>
      <w:r>
        <w:rPr>
          <w:rFonts w:hint="eastAsia" w:ascii="Times New Roman" w:hAnsi="Times New Roman" w:eastAsia="方正仿宋_GBK" w:cs="Times New Roman"/>
          <w:sz w:val="28"/>
          <w:szCs w:val="28"/>
          <w:lang w:val="en-US" w:eastAsia="zh-CN"/>
        </w:rPr>
        <w:t xml:space="preserve">7</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911"/>
        <w:ind w:firstLine="560"/>
        <w:spacing w:after="120"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bCs/>
          <w:sz w:val="28"/>
          <w:szCs w:val="28"/>
          <w:lang w:val="en-US" w:eastAsia="zh-CN"/>
        </w:rPr>
        <w:t xml:space="preserve">7</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911"/>
        <w:ind w:right="120" w:firstLine="562"/>
        <w:spacing w:after="120" w:line="480" w:lineRule="exact"/>
        <w:rPr>
          <w:rFonts w:ascii="Times New Roman" w:hAnsi="Times New Roman" w:eastAsia="方正仿宋_GBK" w:cs="Times New Roman"/>
          <w:b/>
          <w:sz w:val="28"/>
          <w:szCs w:val="28"/>
        </w:rPr>
      </w:pPr>
      <w:r>
        <w:rPr>
          <w:rFonts w:hint="eastAsia" w:ascii="Times New Roman" w:hAnsi="Times New Roman" w:eastAsia="方正仿宋_GBK" w:cs="Times New Roman"/>
          <w:b/>
          <w:bCs/>
          <w:sz w:val="28"/>
          <w:szCs w:val="28"/>
          <w:lang w:val="en-US" w:eastAsia="zh-CN"/>
        </w:rPr>
        <w:t xml:space="preserve">7</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35393796"/>
      <w:r/>
      <w:bookmarkStart w:id="36" w:name="_Toc28359085"/>
      <w:r/>
      <w:bookmarkStart w:id="37" w:name="_Toc35393627"/>
      <w:r/>
      <w:bookmarkStart w:id="38" w:name="_Toc28359008"/>
      <w:r/>
      <w:bookmarkStart w:id="39" w:name="_Toc38985269"/>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911"/>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911"/>
        <w:ind w:left="1129" w:hanging="350"/>
        <w:jc w:val="left"/>
        <w:spacing w:line="480" w:lineRule="exact"/>
        <w:rPr>
          <w:rFonts w:eastAsia="方正仿宋_GBK"/>
          <w:color w:val="000000"/>
          <w:sz w:val="28"/>
          <w:szCs w:val="28"/>
        </w:rPr>
      </w:pPr>
      <w:r>
        <w:rPr>
          <w:rFonts w:eastAsia="方正仿宋_GBK"/>
          <w:color w:val="000000"/>
          <w:sz w:val="28"/>
          <w:szCs w:val="28"/>
        </w:rPr>
        <w:t xml:space="preserve">名 </w:t>
      </w:r>
      <w:r>
        <w:rPr>
          <w:rFonts w:hint="eastAsia" w:eastAsia="方正仿宋_GBK"/>
          <w:color w:val="000000"/>
          <w:sz w:val="28"/>
          <w:szCs w:val="28"/>
        </w:rPr>
        <w:t xml:space="preserve">   </w:t>
      </w:r>
      <w:r>
        <w:rPr>
          <w:rFonts w:eastAsia="方正仿宋_GBK"/>
          <w:color w:val="000000"/>
          <w:sz w:val="28"/>
          <w:szCs w:val="28"/>
        </w:rPr>
        <w:t xml:space="preserve">称：</w:t>
      </w:r>
      <w:r>
        <w:rPr>
          <w:rFonts w:eastAsia="方正仿宋_GBK"/>
          <w:color w:val="000000"/>
          <w:sz w:val="28"/>
          <w:szCs w:val="28"/>
          <w:u w:val="single"/>
        </w:rPr>
        <w:t xml:space="preserve">　江苏省南通市中级人民法院　</w:t>
      </w:r>
      <w:r>
        <w:rPr>
          <w:rFonts w:eastAsia="方正仿宋_GBK"/>
          <w:color w:val="000000"/>
          <w:sz w:val="28"/>
          <w:szCs w:val="28"/>
        </w:rPr>
      </w:r>
      <w:r/>
    </w:p>
    <w:p>
      <w:pPr>
        <w:pStyle w:val="911"/>
        <w:ind w:left="1129" w:hanging="350"/>
        <w:jc w:val="left"/>
        <w:spacing w:line="480" w:lineRule="exact"/>
        <w:rPr>
          <w:rFonts w:eastAsia="方正仿宋_GBK"/>
          <w:color w:val="000000"/>
          <w:sz w:val="28"/>
          <w:szCs w:val="28"/>
        </w:rPr>
      </w:pPr>
      <w:r>
        <w:rPr>
          <w:rFonts w:eastAsia="方正仿宋_GBK"/>
          <w:color w:val="000000"/>
          <w:sz w:val="28"/>
          <w:szCs w:val="28"/>
        </w:rPr>
        <w:t xml:space="preserve">地</w:t>
      </w:r>
      <w:r>
        <w:rPr>
          <w:rFonts w:hint="eastAsia" w:eastAsia="方正仿宋_GBK"/>
          <w:color w:val="000000"/>
          <w:sz w:val="28"/>
          <w:szCs w:val="28"/>
        </w:rPr>
        <w:t xml:space="preserve">    </w:t>
      </w:r>
      <w:r>
        <w:rPr>
          <w:rFonts w:eastAsia="方正仿宋_GBK"/>
          <w:color w:val="000000"/>
          <w:sz w:val="28"/>
          <w:szCs w:val="28"/>
        </w:rPr>
        <w:t xml:space="preserve">址：</w:t>
      </w:r>
      <w:r>
        <w:rPr>
          <w:rFonts w:eastAsia="方正仿宋_GBK"/>
          <w:color w:val="000000"/>
          <w:sz w:val="28"/>
          <w:szCs w:val="28"/>
          <w:u w:val="single"/>
        </w:rPr>
        <w:t xml:space="preserve">　南通市崇川区工农路 246 号　</w:t>
      </w:r>
      <w:r>
        <w:rPr>
          <w:rFonts w:eastAsia="方正仿宋_GBK"/>
          <w:color w:val="000000"/>
          <w:sz w:val="28"/>
          <w:szCs w:val="28"/>
        </w:rPr>
      </w:r>
      <w:r/>
    </w:p>
    <w:p>
      <w:pPr>
        <w:pStyle w:val="911"/>
        <w:ind w:left="1129" w:hanging="350"/>
        <w:jc w:val="left"/>
        <w:spacing w:line="480" w:lineRule="exact"/>
        <w:rPr>
          <w:rFonts w:eastAsia="方正仿宋_GBK"/>
          <w:color w:val="000000"/>
          <w:sz w:val="28"/>
          <w:szCs w:val="28"/>
          <w:highlight w:val="none"/>
        </w:rPr>
      </w:pPr>
      <w:r>
        <w:rPr>
          <w:rFonts w:eastAsia="方正仿宋_GBK"/>
          <w:color w:val="000000"/>
          <w:sz w:val="28"/>
          <w:szCs w:val="28"/>
          <w:highlight w:val="none"/>
        </w:rPr>
        <w:t xml:space="preserve">联</w:t>
      </w:r>
      <w:r>
        <w:rPr>
          <w:rFonts w:hint="eastAsia" w:eastAsia="方正仿宋_GBK"/>
          <w:color w:val="000000"/>
          <w:sz w:val="28"/>
          <w:szCs w:val="28"/>
          <w:highlight w:val="none"/>
        </w:rPr>
        <w:t xml:space="preserve"> </w:t>
      </w:r>
      <w:r>
        <w:rPr>
          <w:rFonts w:eastAsia="方正仿宋_GBK"/>
          <w:color w:val="000000"/>
          <w:sz w:val="28"/>
          <w:szCs w:val="28"/>
          <w:highlight w:val="none"/>
        </w:rPr>
        <w:t xml:space="preserve">系</w:t>
      </w:r>
      <w:r>
        <w:rPr>
          <w:rFonts w:hint="eastAsia" w:eastAsia="方正仿宋_GBK"/>
          <w:color w:val="000000"/>
          <w:sz w:val="28"/>
          <w:szCs w:val="28"/>
          <w:highlight w:val="none"/>
        </w:rPr>
        <w:t xml:space="preserve"> </w:t>
      </w:r>
      <w:r>
        <w:rPr>
          <w:rFonts w:eastAsia="方正仿宋_GBK"/>
          <w:color w:val="000000"/>
          <w:sz w:val="28"/>
          <w:szCs w:val="28"/>
          <w:highlight w:val="none"/>
        </w:rPr>
        <w:t xml:space="preserve">人：</w:t>
      </w:r>
      <w:r>
        <w:rPr>
          <w:rFonts w:eastAsia="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  </w:t>
      </w:r>
      <w:r>
        <w:rPr>
          <w:rFonts w:eastAsia="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黄先生</w:t>
      </w:r>
      <w:r>
        <w:rPr>
          <w:rFonts w:eastAsia="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  </w:t>
      </w:r>
      <w:r>
        <w:rPr>
          <w:rFonts w:eastAsia="方正仿宋_GBK"/>
          <w:color w:val="000000"/>
          <w:sz w:val="28"/>
          <w:szCs w:val="28"/>
          <w:highlight w:val="none"/>
          <w:u w:val="single"/>
        </w:rPr>
        <w:t xml:space="preserve">      </w:t>
      </w:r>
      <w:r>
        <w:rPr>
          <w:rFonts w:eastAsia="方正仿宋_GBK"/>
          <w:color w:val="000000"/>
          <w:sz w:val="28"/>
          <w:szCs w:val="28"/>
          <w:highlight w:val="none"/>
        </w:rPr>
      </w:r>
      <w:r/>
    </w:p>
    <w:p>
      <w:pPr>
        <w:pStyle w:val="911"/>
        <w:ind w:left="1129" w:hanging="350"/>
        <w:jc w:val="left"/>
        <w:spacing w:line="480" w:lineRule="exact"/>
        <w:rPr>
          <w:rFonts w:eastAsia="方正仿宋_GBK"/>
          <w:color w:val="000000"/>
          <w:sz w:val="28"/>
          <w:szCs w:val="28"/>
          <w:highlight w:val="none"/>
          <w:u w:val="single"/>
        </w:rPr>
      </w:pPr>
      <w:r>
        <w:rPr>
          <w:rFonts w:eastAsia="方正仿宋_GBK"/>
          <w:color w:val="000000"/>
          <w:sz w:val="28"/>
          <w:szCs w:val="28"/>
          <w:highlight w:val="none"/>
        </w:rPr>
        <w:t xml:space="preserve">联系方式：</w:t>
      </w:r>
      <w:r>
        <w:rPr>
          <w:rFonts w:eastAsia="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  0513-68506341</w:t>
      </w:r>
      <w:r>
        <w:rPr>
          <w:rFonts w:eastAsia="方正仿宋_GBK"/>
          <w:color w:val="000000"/>
          <w:sz w:val="28"/>
          <w:szCs w:val="28"/>
          <w:highlight w:val="none"/>
          <w:u w:val="single"/>
        </w:rPr>
        <w:t xml:space="preserve">　　 </w:t>
      </w:r>
      <w:bookmarkStart w:id="40" w:name="_Toc28359086"/>
      <w:r/>
      <w:bookmarkStart w:id="41" w:name="_Toc28359009"/>
      <w:r>
        <w:rPr>
          <w:rFonts w:eastAsia="方正仿宋_GBK"/>
          <w:color w:val="000000"/>
          <w:sz w:val="28"/>
          <w:szCs w:val="28"/>
          <w:highlight w:val="none"/>
          <w:u w:val="single"/>
        </w:rPr>
      </w:r>
      <w:r/>
    </w:p>
    <w:p>
      <w:pPr>
        <w:pStyle w:val="91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bookmarkEnd w:id="40"/>
      <w:r/>
      <w:bookmarkEnd w:id="41"/>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91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91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91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陈露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1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0513-59001986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1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911"/>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91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11"/>
        <w:ind w:firstLine="281"/>
        <w:keepLines/>
        <w:keepNext/>
        <w:spacing w:before="145" w:after="145" w:line="480" w:lineRule="exact"/>
        <w:rPr>
          <w:rFonts w:ascii="仿宋" w:hAnsi="仿宋" w:eastAsia="仿宋"/>
          <w:b/>
          <w:bCs/>
          <w:sz w:val="28"/>
          <w:szCs w:val="28"/>
        </w:rPr>
        <w:outlineLvl w:val="2"/>
      </w:pPr>
      <w:r/>
      <w:bookmarkStart w:id="47" w:name="_Toc20823275"/>
      <w:r/>
      <w:bookmarkStart w:id="48" w:name="_Toc120614214"/>
      <w:r/>
      <w:bookmarkStart w:id="49" w:name="_Toc16938519"/>
      <w:r/>
      <w:bookmarkStart w:id="50" w:name="_Toc513029203"/>
      <w:r>
        <w:rPr>
          <w:rFonts w:hint="eastAsia" w:ascii="仿宋" w:hAnsi="仿宋" w:eastAsia="仿宋"/>
          <w:b/>
          <w:bCs/>
          <w:sz w:val="28"/>
          <w:szCs w:val="28"/>
          <w:lang w:val="en-US" w:eastAsia="zh-CN"/>
        </w:rPr>
        <w:t xml:space="preserve">一、</w:t>
      </w:r>
      <w:r>
        <w:rPr>
          <w:rFonts w:ascii="仿宋" w:hAnsi="仿宋" w:eastAsia="仿宋"/>
          <w:b/>
          <w:bCs/>
          <w:sz w:val="28"/>
          <w:szCs w:val="28"/>
        </w:rPr>
        <w:t xml:space="preserve">总则</w:t>
      </w:r>
      <w:bookmarkEnd w:id="47"/>
      <w:r/>
      <w:bookmarkEnd w:id="48"/>
      <w:r/>
      <w:bookmarkEnd w:id="49"/>
      <w:r/>
      <w:bookmarkEnd w:id="50"/>
      <w:r>
        <w:rPr>
          <w:rFonts w:ascii="仿宋" w:hAnsi="仿宋" w:eastAsia="仿宋"/>
          <w:b/>
          <w:bCs/>
          <w:sz w:val="28"/>
          <w:szCs w:val="28"/>
        </w:rPr>
      </w:r>
      <w:r/>
    </w:p>
    <w:p>
      <w:pPr>
        <w:pStyle w:val="911"/>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513029204"/>
      <w:r/>
      <w:bookmarkStart w:id="54" w:name="_Toc20823276"/>
      <w:r/>
      <w:bookmarkStart w:id="55" w:name="_Toc16938520"/>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911"/>
        <w:keepNext/>
        <w:spacing w:line="480" w:lineRule="exact"/>
        <w:rPr>
          <w:rFonts w:ascii="仿宋" w:hAnsi="仿宋" w:eastAsia="仿宋"/>
          <w:b/>
          <w:bCs/>
          <w:sz w:val="28"/>
          <w:szCs w:val="28"/>
        </w:rPr>
        <w:outlineLvl w:val="3"/>
      </w:pPr>
      <w:r/>
      <w:bookmarkStart w:id="56" w:name="_Toc513029205"/>
      <w:r/>
      <w:bookmarkStart w:id="57" w:name="_Toc16938521"/>
      <w:r/>
      <w:bookmarkStart w:id="58" w:name="_Toc20823277"/>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lang w:val="en-US" w:eastAsia="zh-CN"/>
        </w:rPr>
        <w:t xml:space="preserve"> </w:t>
      </w:r>
      <w:r>
        <w:rPr>
          <w:rFonts w:ascii="仿宋" w:hAnsi="仿宋" w:eastAsia="仿宋"/>
          <w:sz w:val="28"/>
          <w:szCs w:val="28"/>
        </w:rPr>
        <w:t xml:space="preserve">满足招标公告中供应商的资格要求的规定。</w:t>
      </w:r>
      <w:r>
        <w:rPr>
          <w:rFonts w:ascii="仿宋" w:hAnsi="仿宋" w:eastAsia="仿宋"/>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911"/>
        <w:keepNext/>
        <w:spacing w:line="480" w:lineRule="exact"/>
        <w:rPr>
          <w:rFonts w:ascii="仿宋" w:hAnsi="仿宋" w:eastAsia="仿宋" w:cs="Times New Roman"/>
          <w:b/>
          <w:bCs/>
          <w:sz w:val="28"/>
          <w:szCs w:val="28"/>
          <w:lang w:val="en-US" w:eastAsia="zh-CN"/>
        </w:rPr>
        <w:outlineLvl w:val="3"/>
      </w:pPr>
      <w:r/>
      <w:bookmarkStart w:id="59" w:name="_Toc20823278"/>
      <w:r/>
      <w:bookmarkStart w:id="60" w:name="_Toc513029206"/>
      <w:r/>
      <w:bookmarkStart w:id="61" w:name="_Toc16938522"/>
      <w:r>
        <w:rPr>
          <w:rFonts w:ascii="仿宋" w:hAnsi="仿宋" w:eastAsia="仿宋" w:cs="Times New Roman"/>
          <w:b/>
          <w:bCs/>
          <w:sz w:val="28"/>
          <w:szCs w:val="28"/>
        </w:rPr>
        <w:t xml:space="preserve">3.适用法律</w:t>
      </w:r>
      <w:bookmarkEnd w:id="59"/>
      <w:r/>
      <w:bookmarkEnd w:id="60"/>
      <w:r/>
      <w:bookmarkEnd w:id="61"/>
      <w:r>
        <w:rPr>
          <w:rFonts w:hint="eastAsia" w:ascii="仿宋" w:hAnsi="仿宋" w:eastAsia="仿宋" w:cs="Times New Roman"/>
          <w:b/>
          <w:bCs/>
          <w:sz w:val="28"/>
          <w:szCs w:val="28"/>
          <w:lang w:val="en-US" w:eastAsia="zh-CN"/>
        </w:rPr>
        <w:t xml:space="preserve">和标准</w:t>
      </w:r>
      <w:r>
        <w:rPr>
          <w:rFonts w:ascii="仿宋" w:hAnsi="仿宋" w:eastAsia="仿宋" w:cs="Times New Roman"/>
          <w:b/>
          <w:bCs/>
          <w:sz w:val="28"/>
          <w:szCs w:val="28"/>
          <w:lang w:val="en-US" w:eastAsia="zh-CN"/>
        </w:rPr>
      </w:r>
      <w:r/>
    </w:p>
    <w:p>
      <w:pPr>
        <w:pStyle w:val="911"/>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911"/>
        <w:ind w:firstLine="490"/>
        <w:spacing w:line="480" w:lineRule="exact"/>
        <w:rPr>
          <w:rFonts w:ascii="仿宋" w:hAnsi="仿宋" w:eastAsia="仿宋" w:cs="Times New Roman"/>
          <w:sz w:val="28"/>
          <w:szCs w:val="28"/>
          <w:u w:val="single"/>
          <w:lang w:val="en-US" w:eastAsia="zh-CN"/>
        </w:rPr>
      </w:pPr>
      <w:r>
        <w:rPr>
          <w:rFonts w:hint="eastAsia" w:ascii="仿宋" w:hAnsi="仿宋" w:eastAsia="仿宋" w:cs="Times New Roman"/>
          <w:sz w:val="28"/>
          <w:szCs w:val="28"/>
          <w:u w:val="single"/>
          <w:lang w:val="en-US" w:eastAsia="zh-CN"/>
        </w:rPr>
        <w:t xml:space="preserve">3.2 在本项目政府采购活动过程中，如果所执行的标准有更新的，按照最新标准执行。</w:t>
      </w:r>
      <w:r>
        <w:rPr>
          <w:rFonts w:ascii="仿宋" w:hAnsi="仿宋" w:eastAsia="仿宋" w:cs="Times New Roman"/>
          <w:sz w:val="28"/>
          <w:szCs w:val="28"/>
          <w:u w:val="single"/>
          <w:lang w:val="en-US" w:eastAsia="zh-CN"/>
        </w:rPr>
      </w:r>
      <w:r/>
    </w:p>
    <w:p>
      <w:pPr>
        <w:pStyle w:val="911"/>
        <w:keepNext/>
        <w:spacing w:line="480" w:lineRule="exact"/>
        <w:rPr>
          <w:rFonts w:ascii="仿宋" w:hAnsi="仿宋" w:eastAsia="仿宋"/>
          <w:b/>
          <w:bCs/>
          <w:sz w:val="28"/>
          <w:szCs w:val="28"/>
        </w:rPr>
        <w:outlineLvl w:val="3"/>
      </w:pPr>
      <w:r/>
      <w:bookmarkStart w:id="62" w:name="_Toc513029207"/>
      <w:r/>
      <w:bookmarkStart w:id="63" w:name="_Toc20823279"/>
      <w:r/>
      <w:bookmarkStart w:id="64" w:name="_Toc16938523"/>
      <w:r/>
      <w:bookmarkStart w:id="65" w:name="_Toc462564067"/>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911"/>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911"/>
        <w:ind w:firstLine="281"/>
        <w:keepLines/>
        <w:keepNext/>
        <w:spacing w:before="145" w:after="145" w:line="480" w:lineRule="exact"/>
        <w:rPr>
          <w:rFonts w:hint="eastAsia" w:ascii="仿宋" w:hAnsi="仿宋" w:eastAsia="仿宋"/>
          <w:b/>
          <w:bCs/>
          <w:color w:val="000000"/>
          <w:sz w:val="28"/>
          <w:szCs w:val="28"/>
        </w:rPr>
        <w:outlineLvl w:val="2"/>
      </w:pPr>
      <w:r/>
      <w:bookmarkStart w:id="66" w:name="_Toc120614215"/>
      <w:r/>
      <w:bookmarkStart w:id="67" w:name="_Toc513029209"/>
      <w:r/>
      <w:bookmarkStart w:id="68" w:name="_Toc20823281"/>
      <w:r/>
      <w:bookmarkStart w:id="69" w:name="_Toc1693852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70" w:name="_Toc513029210"/>
      <w:r/>
      <w:bookmarkStart w:id="71" w:name="_Toc20823282"/>
      <w:r/>
      <w:bookmarkStart w:id="72" w:name="_Toc16938526"/>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73" w:name="_Toc513029211"/>
      <w:r/>
      <w:bookmarkStart w:id="74" w:name="_Toc462564070"/>
      <w:r/>
      <w:bookmarkStart w:id="75" w:name="_Toc20823283"/>
      <w:r/>
      <w:bookmarkStart w:id="76" w:name="_Toc16938527"/>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911"/>
        <w:keepLines/>
        <w:keepNext/>
        <w:spacing w:line="480" w:lineRule="exact"/>
        <w:rPr>
          <w:rFonts w:hint="eastAsia" w:ascii="仿宋" w:hAnsi="仿宋" w:eastAsia="仿宋" w:cs="Arial"/>
          <w:b/>
          <w:bCs/>
          <w:color w:val="000000"/>
          <w:sz w:val="28"/>
          <w:szCs w:val="28"/>
        </w:rPr>
        <w:outlineLvl w:val="3"/>
      </w:pPr>
      <w:r/>
      <w:bookmarkStart w:id="77" w:name="_Toc513029212"/>
      <w:r/>
      <w:bookmarkStart w:id="78" w:name="_Toc20823284"/>
      <w:r/>
      <w:bookmarkStart w:id="79" w:name="_Toc16938528"/>
      <w:r/>
      <w:bookmarkStart w:id="80" w:name="_Toc462564071"/>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81" w:name="_Toc120614216"/>
      <w:r/>
      <w:bookmarkStart w:id="82" w:name="_Toc462564072"/>
      <w:r/>
      <w:bookmarkStart w:id="83" w:name="_Toc513029213"/>
      <w:r/>
      <w:bookmarkStart w:id="84" w:name="_Toc20823285"/>
      <w:r/>
      <w:bookmarkStart w:id="85" w:name="_Toc16938529"/>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86" w:name="_Toc16938530"/>
      <w:r/>
      <w:bookmarkStart w:id="87" w:name="_Toc513029214"/>
      <w:r/>
      <w:bookmarkStart w:id="88" w:name="_Toc462564073"/>
      <w:r/>
      <w:bookmarkStart w:id="89" w:name="_Toc20823286"/>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90" w:name="_Toc16938531"/>
      <w:r/>
      <w:bookmarkStart w:id="91" w:name="_Toc513029215"/>
      <w:r/>
      <w:bookmarkStart w:id="92" w:name="_Toc462564074"/>
      <w:r/>
      <w:bookmarkStart w:id="93" w:name="_Toc20823287"/>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94" w:name="_Hlt26954838"/>
      <w:r/>
      <w:bookmarkEnd w:id="94"/>
      <w:r/>
      <w:bookmarkStart w:id="95" w:name="_Hlt26668975"/>
      <w:r/>
      <w:bookmarkEnd w:id="95"/>
      <w:r/>
      <w:bookmarkStart w:id="96" w:name="_Hlt26670360"/>
      <w:r/>
      <w:bookmarkEnd w:id="96"/>
      <w:r/>
      <w:bookmarkStart w:id="97" w:name="_Toc513029219"/>
      <w:r/>
      <w:bookmarkStart w:id="98" w:name="_Toc49090509"/>
      <w:r/>
      <w:bookmarkStart w:id="99" w:name="_Toc14577357"/>
      <w:r/>
      <w:bookmarkStart w:id="100" w:name="_Toc14577354"/>
      <w:r/>
      <w:bookmarkStart w:id="101" w:name="_Toc513029216"/>
      <w:r/>
      <w:bookmarkStart w:id="102" w:name="_Toc49090507"/>
      <w:r/>
      <w:bookmarkStart w:id="103" w:name="_Toc49090508"/>
      <w:r/>
      <w:bookmarkStart w:id="104" w:name="_Toc14577355"/>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911"/>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05" w:name="_Hlt26670486"/>
      <w:r/>
      <w:bookmarkEnd w:id="105"/>
      <w:r/>
      <w:bookmarkStart w:id="106" w:name="_Hlt26954848"/>
      <w:r/>
      <w:bookmarkEnd w:id="106"/>
      <w:r/>
      <w:bookmarkStart w:id="107" w:name="_Hlt26954846"/>
      <w:r/>
      <w:bookmarkEnd w:id="107"/>
      <w:r/>
      <w:bookmarkStart w:id="108" w:name="_Hlt26670482"/>
      <w:r/>
      <w:bookmarkEnd w:id="108"/>
      <w:r/>
      <w:bookmarkStart w:id="109" w:name="_Hlt26954731"/>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91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91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14577360"/>
      <w:r/>
      <w:bookmarkStart w:id="113" w:name="_Toc49090511"/>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14" w:name="_Hlt26954739"/>
      <w:r/>
      <w:bookmarkEnd w:id="114"/>
      <w:r/>
      <w:bookmarkStart w:id="115" w:name="_Hlt26954852"/>
      <w:r/>
      <w:bookmarkEnd w:id="115"/>
      <w:r/>
      <w:bookmarkStart w:id="116" w:name="_Toc20823296"/>
      <w:r/>
      <w:bookmarkStart w:id="117" w:name="_Toc16938540"/>
      <w:r/>
      <w:bookmarkStart w:id="118" w:name="_Toc120614217"/>
      <w:r/>
      <w:bookmarkStart w:id="119" w:name="_Toc513029224"/>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20" w:name="_Toc20823297"/>
      <w:r/>
      <w:bookmarkStart w:id="121" w:name="_Toc462564084"/>
      <w:r/>
      <w:bookmarkStart w:id="122" w:name="_Toc16938541"/>
      <w:r/>
      <w:bookmarkStart w:id="123" w:name="_Toc513029225"/>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91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20823298"/>
      <w:r/>
      <w:bookmarkStart w:id="125" w:name="_Toc16938542"/>
      <w:r/>
      <w:bookmarkStart w:id="126" w:name="_Toc513029226"/>
      <w:r>
        <w:rPr>
          <w:rFonts w:hint="eastAsia" w:ascii="仿宋" w:hAnsi="仿宋" w:eastAsia="仿宋" w:cs="Arial"/>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91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27" w:name="_Toc513029227"/>
      <w:r/>
      <w:bookmarkStart w:id="128" w:name="_Toc16938543"/>
      <w:r/>
      <w:bookmarkStart w:id="129" w:name="_Toc20823299"/>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30" w:name="_Toc513029228"/>
      <w:r/>
      <w:bookmarkStart w:id="131" w:name="_Toc16938544"/>
      <w:r/>
      <w:bookmarkStart w:id="132" w:name="_Toc20823300"/>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33" w:name="_Toc16938545"/>
      <w:r/>
      <w:bookmarkStart w:id="134" w:name="_Toc20823301"/>
      <w:r/>
      <w:bookmarkStart w:id="135" w:name="_Toc120614218"/>
      <w:r/>
      <w:bookmarkStart w:id="136" w:name="_Toc513029229"/>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37" w:name="_Toc16938546"/>
      <w:r/>
      <w:bookmarkStart w:id="138" w:name="_Toc20823302"/>
      <w:r/>
      <w:bookmarkStart w:id="139" w:name="_Toc513029230"/>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91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91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91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91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40" w:name="_Toc16938547"/>
      <w:r/>
      <w:bookmarkStart w:id="141" w:name="_Toc513029231"/>
      <w:r/>
      <w:bookmarkStart w:id="142" w:name="_Toc2082330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w:t>
      </w:r>
      <w:r>
        <w:rPr>
          <w:rFonts w:hint="eastAsia" w:ascii="仿宋" w:hAnsi="仿宋" w:eastAsia="仿宋"/>
          <w:color w:val="000000"/>
          <w:sz w:val="28"/>
          <w:szCs w:val="28"/>
          <w:lang w:val="en-US" w:eastAsia="zh-CN"/>
        </w:rPr>
        <w:t xml:space="preserve">中标候选人</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91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91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91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43" w:name="_Toc20823304"/>
      <w:r/>
      <w:bookmarkStart w:id="144" w:name="_Toc513029232"/>
      <w:r/>
      <w:bookmarkStart w:id="145" w:name="_Toc1693854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911"/>
        <w:ind w:firstLine="560"/>
        <w:spacing w:line="480" w:lineRule="exact"/>
        <w:rPr>
          <w:rFonts w:ascii="仿宋" w:hAnsi="仿宋" w:eastAsia="仿宋"/>
          <w:color w:val="000000"/>
          <w:sz w:val="28"/>
          <w:szCs w:val="28"/>
        </w:rPr>
      </w:pPr>
      <w:r/>
      <w:bookmarkStart w:id="146" w:name="_Toc20823305"/>
      <w:r/>
      <w:bookmarkStart w:id="147" w:name="_Toc513029233"/>
      <w:r/>
      <w:bookmarkStart w:id="148"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91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91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91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91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911"/>
        <w:ind w:firstLine="560"/>
        <w:spacing w:line="480" w:lineRule="exact"/>
        <w:rPr>
          <w:rFonts w:ascii="仿宋" w:hAnsi="仿宋" w:eastAsia="仿宋"/>
          <w:color w:val="000000"/>
          <w:sz w:val="28"/>
          <w:szCs w:val="28"/>
        </w:rPr>
      </w:pPr>
      <w:r/>
      <w:bookmarkStart w:id="149" w:name="_Toc16938550"/>
      <w:r/>
      <w:bookmarkStart w:id="150" w:name="_Toc20823306"/>
      <w:r/>
      <w:bookmarkStart w:id="151"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911"/>
        <w:keepLines/>
        <w:keepNext/>
        <w:spacing w:line="480" w:lineRule="exact"/>
        <w:rPr>
          <w:rFonts w:hint="eastAsia" w:ascii="仿宋" w:hAnsi="仿宋" w:eastAsia="仿宋" w:cs="Arial"/>
          <w:b/>
          <w:bCs/>
          <w:color w:val="000000"/>
          <w:sz w:val="28"/>
          <w:szCs w:val="28"/>
          <w:highlight w:val="none"/>
          <w:lang w:val="en-US" w:eastAsia="zh-CN"/>
        </w:rPr>
        <w:outlineLvl w:val="3"/>
      </w:pPr>
      <w:r>
        <w:rPr>
          <w:rFonts w:hint="eastAsia" w:ascii="仿宋" w:hAnsi="仿宋" w:eastAsia="仿宋" w:cs="Arial"/>
          <w:b/>
          <w:bCs/>
          <w:color w:val="000000"/>
          <w:sz w:val="28"/>
          <w:szCs w:val="28"/>
          <w:highlight w:val="none"/>
          <w:lang w:val="en-US" w:eastAsia="zh-CN"/>
        </w:rPr>
        <w:t xml:space="preserve">27、异常低价审查</w:t>
      </w:r>
      <w:r>
        <w:rPr>
          <w:rFonts w:hint="eastAsia" w:ascii="仿宋" w:hAnsi="仿宋" w:eastAsia="仿宋" w:cs="Arial"/>
          <w:b/>
          <w:bCs/>
          <w:color w:val="000000"/>
          <w:sz w:val="28"/>
          <w:szCs w:val="28"/>
          <w:highlight w:val="none"/>
          <w:lang w:val="en-US" w:eastAsia="zh-CN"/>
        </w:rPr>
      </w:r>
      <w:r/>
    </w:p>
    <w:p>
      <w:pPr>
        <w:pStyle w:val="91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highlight w:val="none"/>
          <w:lang w:val="en-US" w:eastAsia="zh-CN"/>
        </w:rPr>
        <w:t xml:space="preserve">购〔2025〕62</w:t>
      </w:r>
      <w:r>
        <w:rPr>
          <w:rFonts w:hint="eastAsia" w:ascii="仿宋" w:hAnsi="仿宋" w:eastAsia="仿宋" w:cs="Times New Roman"/>
          <w:color w:val="000000"/>
          <w:sz w:val="28"/>
          <w:szCs w:val="28"/>
          <w:highlight w:val="none"/>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highlight w:val="none"/>
          <w:lang w:val="en-US" w:eastAsia="zh-CN"/>
        </w:rPr>
      </w:r>
      <w:r/>
    </w:p>
    <w:p>
      <w:pPr>
        <w:pStyle w:val="91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highlight w:val="none"/>
          <w:lang w:val="en-US" w:eastAsia="zh-CN"/>
        </w:rPr>
      </w:r>
      <w:r/>
    </w:p>
    <w:p>
      <w:pPr>
        <w:pStyle w:val="91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highlight w:val="none"/>
          <w:lang w:val="en-US" w:eastAsia="zh-CN"/>
        </w:rPr>
      </w:r>
      <w:r/>
    </w:p>
    <w:p>
      <w:pPr>
        <w:pStyle w:val="91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w:t>
      </w:r>
      <w:r>
        <w:rPr>
          <w:rFonts w:ascii="仿宋" w:hAnsi="仿宋" w:eastAsia="仿宋" w:cs="Times New Roman"/>
          <w:color w:val="000000"/>
          <w:sz w:val="28"/>
          <w:szCs w:val="28"/>
          <w:highlight w:val="none"/>
          <w:lang w:val="en-US" w:eastAsia="zh-CN"/>
        </w:rPr>
        <w:t xml:space="preserve">投标(响应)报价低于采购项目预算50%的，即投标(响应)报价&lt;采购项目预算×50%;</w:t>
      </w:r>
      <w:r>
        <w:rPr>
          <w:rFonts w:ascii="仿宋" w:hAnsi="仿宋" w:eastAsia="仿宋" w:cs="Times New Roman"/>
          <w:color w:val="000000"/>
          <w:sz w:val="28"/>
          <w:szCs w:val="28"/>
          <w:highlight w:val="none"/>
          <w:lang w:val="en-US" w:eastAsia="zh-CN"/>
        </w:rPr>
      </w:r>
      <w:r/>
    </w:p>
    <w:p>
      <w:pPr>
        <w:pStyle w:val="91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highlight w:val="none"/>
          <w:lang w:val="en-US" w:eastAsia="zh-CN"/>
        </w:rPr>
      </w:r>
      <w:r/>
    </w:p>
    <w:p>
      <w:pPr>
        <w:pStyle w:val="91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highlight w:val="none"/>
          <w:lang w:val="en-US" w:eastAsia="zh-CN"/>
        </w:rPr>
      </w:r>
      <w:r/>
    </w:p>
    <w:p>
      <w:pPr>
        <w:pStyle w:val="98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27.2启动异常低价投标(响</w:t>
      </w:r>
      <w:r>
        <w:rPr>
          <w:rFonts w:hint="eastAsia" w:ascii="仿宋" w:hAnsi="仿宋" w:eastAsia="仿宋" w:cs="Times New Roman"/>
          <w:color w:val="000000"/>
          <w:sz w:val="28"/>
          <w:szCs w:val="28"/>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highlight w:val="none"/>
          <w:lang w:val="en-US" w:eastAsia="zh-CN"/>
        </w:rPr>
      </w:r>
      <w:r/>
    </w:p>
    <w:p>
      <w:pPr>
        <w:pStyle w:val="98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highlight w:val="none"/>
          <w:lang w:val="en-US" w:eastAsia="zh-CN"/>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bookmarkStart w:id="152" w:name="_Toc20823307"/>
      <w:r/>
      <w:bookmarkStart w:id="153" w:name="_Toc513029235"/>
      <w:r/>
      <w:bookmarkStart w:id="154" w:name="_Toc16938551"/>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911"/>
        <w:ind w:firstLine="560"/>
        <w:spacing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highlight w:val="none"/>
        </w:rPr>
      </w:r>
      <w:r/>
    </w:p>
    <w:p>
      <w:pPr>
        <w:pStyle w:val="911"/>
        <w:ind w:firstLine="560"/>
        <w:spacing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.1.12 投标文件未按照招标文件要求加盖CA电子公章的。</w:t>
      </w:r>
      <w:r>
        <w:rPr>
          <w:rFonts w:hint="eastAsia" w:ascii="仿宋" w:hAnsi="仿宋" w:eastAsia="仿宋"/>
          <w:bCs/>
          <w:color w:val="000000"/>
          <w:sz w:val="28"/>
          <w:szCs w:val="28"/>
          <w:highlight w:val="none"/>
        </w:rPr>
      </w:r>
      <w:r/>
    </w:p>
    <w:p>
      <w:pPr>
        <w:pStyle w:val="911"/>
        <w:ind w:firstLine="560"/>
        <w:spacing w:line="400" w:lineRule="exact"/>
        <w:rPr>
          <w:rFonts w:eastAsia="仿宋"/>
          <w:highlight w:val="none"/>
          <w:lang w:val="en-US" w:eastAsia="zh-CN"/>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.1.13 投标人所投标产品不符合招标文件中所列国家强制性标准的。</w:t>
      </w:r>
      <w:r>
        <w:rPr>
          <w:rFonts w:eastAsia="仿宋"/>
          <w:highlight w:val="none"/>
          <w:lang w:val="en-US" w:eastAsia="zh-CN"/>
        </w:rPr>
      </w:r>
      <w:r/>
    </w:p>
    <w:p>
      <w:pPr>
        <w:pStyle w:val="91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28.1.14启动异常低价投标审查后,投标人不提供书面说明、证明材料，或者提供的书面说明、证明材料不能证明其报价合理性的。</w:t>
      </w:r>
      <w:r>
        <w:rPr>
          <w:rFonts w:hint="eastAsia" w:ascii="仿宋" w:hAnsi="仿宋" w:eastAsia="仿宋" w:cs="Times New Roman"/>
          <w:bCs/>
          <w:color w:val="000000"/>
          <w:sz w:val="28"/>
          <w:szCs w:val="28"/>
          <w:highlight w:val="none"/>
          <w:lang w:val="en-US" w:eastAsia="zh-CN"/>
        </w:rPr>
      </w:r>
      <w:r/>
    </w:p>
    <w:p>
      <w:pPr>
        <w:pStyle w:val="911"/>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911"/>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20823310"/>
      <w:r/>
      <w:bookmarkStart w:id="158"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91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91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b/>
          <w:color w:val="000000"/>
          <w:sz w:val="28"/>
          <w:szCs w:val="28"/>
          <w:highlight w:val="yellow"/>
        </w:rPr>
      </w:pP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）对与</w:t>
      </w:r>
      <w:r>
        <w:rPr>
          <w:rFonts w:ascii="仿宋" w:hAnsi="仿宋" w:eastAsia="仿宋"/>
          <w:color w:val="000000"/>
          <w:sz w:val="28"/>
          <w:szCs w:val="28"/>
        </w:rPr>
        <w:t xml:space="preserve">本项目</w:t>
      </w:r>
      <w:r>
        <w:rPr>
          <w:rFonts w:hint="eastAsia" w:ascii="仿宋" w:hAnsi="仿宋" w:eastAsia="仿宋"/>
          <w:color w:val="000000"/>
          <w:sz w:val="28"/>
          <w:szCs w:val="28"/>
        </w:rPr>
        <w:t xml:space="preserve">有关的</w:t>
      </w:r>
      <w:r>
        <w:rPr>
          <w:rFonts w:ascii="仿宋" w:hAnsi="仿宋" w:eastAsia="仿宋"/>
          <w:color w:val="000000"/>
          <w:sz w:val="28"/>
          <w:szCs w:val="28"/>
        </w:rPr>
        <w:t xml:space="preserve">所有询问、质疑</w:t>
      </w:r>
      <w:r>
        <w:rPr>
          <w:rFonts w:hint="eastAsia" w:ascii="仿宋" w:hAnsi="仿宋" w:eastAsia="仿宋"/>
          <w:color w:val="000000"/>
          <w:sz w:val="28"/>
          <w:szCs w:val="28"/>
        </w:rPr>
        <w:t xml:space="preserve">均</w:t>
      </w:r>
      <w:r>
        <w:rPr>
          <w:rFonts w:ascii="仿宋" w:hAnsi="仿宋" w:eastAsia="仿宋"/>
          <w:color w:val="000000"/>
          <w:sz w:val="28"/>
          <w:szCs w:val="28"/>
        </w:rPr>
        <w:t xml:space="preserve">请向采购人提出，由采购人负责答复</w:t>
      </w:r>
      <w:r>
        <w:rPr>
          <w:rFonts w:hint="eastAsia" w:ascii="仿宋" w:hAnsi="仿宋" w:eastAsia="仿宋"/>
          <w:color w:val="000000"/>
          <w:sz w:val="28"/>
          <w:szCs w:val="28"/>
          <w:highlight w:val="none"/>
        </w:rPr>
        <w:t xml:space="preserve">。</w:t>
      </w:r>
      <w:r>
        <w:rPr>
          <w:rFonts w:hint="eastAsia" w:ascii="仿宋" w:hAnsi="仿宋" w:eastAsia="仿宋"/>
          <w:b/>
          <w:color w:val="000000"/>
          <w:sz w:val="28"/>
          <w:szCs w:val="28"/>
          <w:highlight w:val="yellow"/>
        </w:rPr>
      </w:r>
      <w:r/>
    </w:p>
    <w:p>
      <w:pPr>
        <w:pStyle w:val="91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采购人及</w:t>
      </w: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中心只接收以纸质原件形式送达的质疑,建议供应商尽量通过邮寄方式提交质疑（采购人和</w:t>
      </w:r>
      <w:r>
        <w:rPr>
          <w:rFonts w:hint="eastAsia" w:ascii="仿宋" w:hAnsi="仿宋" w:eastAsia="仿宋"/>
          <w:color w:val="000000"/>
          <w:sz w:val="28"/>
          <w:szCs w:val="28"/>
          <w:highlight w:val="none"/>
          <w:lang w:val="en-US" w:eastAsia="zh-CN"/>
        </w:rPr>
        <w:t xml:space="preserve">交易中心</w:t>
      </w:r>
      <w:r>
        <w:rPr>
          <w:rFonts w:hint="eastAsia" w:ascii="仿宋" w:hAnsi="仿宋" w:eastAsia="仿宋"/>
          <w:color w:val="000000"/>
          <w:sz w:val="28"/>
          <w:szCs w:val="28"/>
          <w:highlight w:val="none"/>
        </w:rPr>
        <w:t xml:space="preserve">不接受无快递运</w:t>
      </w:r>
      <w:r>
        <w:rPr>
          <w:rFonts w:ascii="仿宋" w:hAnsi="仿宋" w:eastAsia="仿宋"/>
          <w:color w:val="000000"/>
          <w:sz w:val="28"/>
          <w:szCs w:val="28"/>
          <w:highlight w:val="none"/>
        </w:rPr>
        <w:t xml:space="preserve">单号</w:t>
      </w:r>
      <w:r>
        <w:rPr>
          <w:rFonts w:hint="eastAsia" w:ascii="仿宋" w:hAnsi="仿宋" w:eastAsia="仿宋"/>
          <w:color w:val="000000"/>
          <w:sz w:val="28"/>
          <w:szCs w:val="28"/>
          <w:highlight w:val="none"/>
        </w:rPr>
        <w:t xml:space="preserve">的快递）。</w:t>
      </w:r>
      <w:r>
        <w:rPr>
          <w:rFonts w:hint="eastAsia" w:ascii="仿宋" w:hAnsi="仿宋" w:eastAsia="仿宋"/>
          <w:color w:val="000000"/>
          <w:sz w:val="28"/>
          <w:szCs w:val="28"/>
          <w:highlight w:val="none"/>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中心质</w:t>
      </w:r>
      <w:r>
        <w:rPr>
          <w:rFonts w:hint="eastAsia" w:ascii="仿宋" w:hAnsi="仿宋" w:eastAsia="仿宋"/>
          <w:color w:val="000000"/>
          <w:sz w:val="28"/>
          <w:szCs w:val="28"/>
        </w:rPr>
        <w:t xml:space="preserve">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911"/>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91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16938552"/>
      <w:r/>
      <w:bookmarkStart w:id="162" w:name="_Toc20823308"/>
      <w:r/>
      <w:bookmarkStart w:id="163" w:name="_Toc513029236"/>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20823309"/>
      <w:r/>
      <w:bookmarkStart w:id="165" w:name="_Toc16938553"/>
      <w:r/>
      <w:bookmarkStart w:id="166" w:name="_Toc51302923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911"/>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120614221"/>
      <w:r/>
      <w:bookmarkStart w:id="168" w:name="_Toc16938558"/>
      <w:r/>
      <w:bookmarkStart w:id="169" w:name="_Toc513029242"/>
      <w:r/>
      <w:bookmarkStart w:id="170" w:name="_Toc20823314"/>
      <w:r/>
      <w:bookmarkStart w:id="171" w:name="_Toc47975720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911"/>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91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911"/>
        <w:jc w:val="center"/>
        <w:keepNext/>
        <w:pageBreakBefore/>
        <w:rPr>
          <w:rFonts w:hint="eastAsia" w:ascii="黑体" w:eastAsia="黑体"/>
          <w:bCs/>
          <w:color w:val="000000"/>
          <w:sz w:val="44"/>
          <w:szCs w:val="28"/>
        </w:rPr>
        <w:outlineLvl w:val="0"/>
      </w:pPr>
      <w:r/>
      <w:bookmarkEnd w:id="167"/>
      <w:r/>
      <w:bookmarkEnd w:id="168"/>
      <w:r/>
      <w:bookmarkEnd w:id="169"/>
      <w:r/>
      <w:bookmarkEnd w:id="170"/>
      <w:r/>
      <w:bookmarkEnd w:id="171"/>
      <w:r/>
      <w:bookmarkStart w:id="172" w:name="_Hlt16619350"/>
      <w:r/>
      <w:bookmarkStart w:id="173" w:name="_Toc120614244"/>
      <w:r/>
      <w:bookmarkStart w:id="174" w:name="_Toc20823346"/>
      <w:r/>
      <w:bookmarkStart w:id="175" w:name="_Toc16938590"/>
      <w:r/>
      <w:bookmarkStart w:id="176" w:name="_Toc479757211"/>
      <w:r/>
      <w:bookmarkStart w:id="177" w:name="_Toc462564139"/>
      <w:r>
        <w:rPr>
          <w:rFonts w:hint="eastAsia" w:ascii="黑体" w:eastAsia="黑体"/>
          <w:bCs/>
          <w:color w:val="000000"/>
          <w:sz w:val="44"/>
          <w:szCs w:val="28"/>
        </w:rPr>
        <w:t xml:space="preserve">第三章  合同文本</w:t>
      </w:r>
      <w:r>
        <w:rPr>
          <w:rFonts w:hint="eastAsia" w:ascii="黑体" w:eastAsia="黑体"/>
          <w:bCs/>
          <w:color w:val="000000"/>
          <w:sz w:val="44"/>
          <w:szCs w:val="28"/>
        </w:rPr>
      </w:r>
      <w:r/>
    </w:p>
    <w:p>
      <w:pPr>
        <w:pStyle w:val="911"/>
        <w:ind w:firstLine="560"/>
        <w:spacing w:line="480" w:lineRule="exact"/>
        <w:rPr>
          <w:rFonts w:hint="eastAsia" w:ascii="仿宋" w:hAnsi="仿宋" w:eastAsia="仿宋"/>
          <w:bCs/>
          <w:color w:val="000000"/>
          <w:sz w:val="28"/>
          <w:szCs w:val="28"/>
        </w:rPr>
      </w:pPr>
      <w:r/>
      <w:bookmarkStart w:id="178" w:name="_Toc20823315"/>
      <w:r/>
      <w:bookmarkStart w:id="179" w:name="_Toc16938559"/>
      <w:r/>
      <w:bookmarkStart w:id="180" w:name="_Toc513029243"/>
      <w:r>
        <w:rPr>
          <w:rFonts w:hint="eastAsia" w:ascii="仿宋" w:hAnsi="仿宋" w:eastAsia="仿宋"/>
          <w:bCs/>
          <w:color w:val="000000"/>
          <w:sz w:val="28"/>
          <w:szCs w:val="28"/>
        </w:rPr>
        <w:t xml:space="preserve">以下为中标后签订本项目合同的通用条款，中标人不得提出实质性的修改。</w:t>
      </w:r>
      <w:r>
        <w:rPr>
          <w:rFonts w:hint="eastAsia" w:ascii="仿宋" w:hAnsi="仿宋" w:eastAsia="仿宋"/>
          <w:bCs/>
          <w:color w:val="000000"/>
          <w:sz w:val="28"/>
          <w:szCs w:val="28"/>
        </w:rPr>
      </w:r>
      <w:r/>
    </w:p>
    <w:p>
      <w:pPr>
        <w:pStyle w:val="911"/>
        <w:jc w:val="center"/>
        <w:spacing w:line="480" w:lineRule="exact"/>
        <w:rPr>
          <w:rFonts w:hint="eastAsia" w:ascii="宋体" w:hAnsi="宋体" w:cs="宋体"/>
          <w:b/>
          <w:bCs/>
          <w:spacing w:val="-20"/>
          <w:sz w:val="48"/>
          <w:szCs w:val="48"/>
        </w:rPr>
      </w:pPr>
      <w:r/>
      <w:bookmarkEnd w:id="178"/>
      <w:r/>
      <w:bookmarkEnd w:id="179"/>
      <w:r/>
      <w:bookmarkEnd w:id="180"/>
      <w:r>
        <w:rPr>
          <w:rFonts w:hint="eastAsia" w:ascii="宋体" w:hAnsi="宋体" w:cs="宋体"/>
          <w:b/>
          <w:bCs/>
          <w:spacing w:val="-20"/>
          <w:sz w:val="48"/>
          <w:szCs w:val="48"/>
        </w:rPr>
      </w:r>
      <w:r/>
    </w:p>
    <w:p>
      <w:pPr>
        <w:pStyle w:val="911"/>
        <w:jc w:val="center"/>
        <w:spacing w:line="480" w:lineRule="exact"/>
        <w:rPr>
          <w:rFonts w:hint="eastAsia" w:ascii="宋体" w:hAnsi="宋体" w:cs="宋体"/>
          <w:b/>
          <w:bCs/>
          <w:spacing w:val="-20"/>
          <w:sz w:val="48"/>
          <w:szCs w:val="48"/>
        </w:rPr>
      </w:pPr>
      <w:r>
        <w:rPr>
          <w:rFonts w:hint="eastAsia" w:ascii="宋体" w:hAnsi="宋体" w:cs="宋体"/>
          <w:b/>
          <w:bCs/>
          <w:spacing w:val="-20"/>
          <w:sz w:val="48"/>
          <w:szCs w:val="48"/>
        </w:rPr>
      </w:r>
      <w:r/>
    </w:p>
    <w:p>
      <w:pPr>
        <w:pStyle w:val="911"/>
        <w:jc w:val="center"/>
        <w:spacing w:line="480" w:lineRule="exact"/>
        <w:rPr>
          <w:rFonts w:hint="eastAsia" w:ascii="宋体" w:hAnsi="宋体" w:cs="宋体"/>
          <w:b/>
          <w:bCs/>
          <w:spacing w:val="-20"/>
          <w:sz w:val="48"/>
          <w:szCs w:val="48"/>
        </w:rPr>
      </w:pPr>
      <w:r>
        <w:rPr>
          <w:rFonts w:hint="eastAsia" w:ascii="宋体" w:hAnsi="宋体" w:cs="宋体"/>
          <w:b/>
          <w:bCs/>
          <w:spacing w:val="-20"/>
          <w:sz w:val="48"/>
          <w:szCs w:val="48"/>
        </w:rPr>
      </w:r>
      <w:r/>
    </w:p>
    <w:p>
      <w:pPr>
        <w:pStyle w:val="911"/>
        <w:jc w:val="center"/>
        <w:spacing w:line="480" w:lineRule="exact"/>
        <w:rPr>
          <w:rFonts w:hint="eastAsia" w:ascii="仿宋" w:hAnsi="仿宋" w:eastAsia="仿宋"/>
          <w:bCs/>
          <w:color w:val="000000"/>
          <w:sz w:val="28"/>
          <w:szCs w:val="28"/>
        </w:rPr>
      </w:pPr>
      <w:r>
        <w:rPr>
          <w:rFonts w:hint="eastAsia" w:ascii="宋体" w:hAnsi="宋体" w:cs="宋体"/>
          <w:b/>
          <w:bCs/>
          <w:spacing w:val="-20"/>
          <w:sz w:val="48"/>
          <w:szCs w:val="48"/>
        </w:rPr>
        <w:t xml:space="preserve">政府采购货物买卖合同</w:t>
      </w:r>
      <w:r>
        <w:rPr>
          <w:rFonts w:hint="eastAsia" w:ascii="仿宋" w:hAnsi="仿宋" w:eastAsia="仿宋"/>
          <w:bCs/>
          <w:color w:val="000000"/>
          <w:sz w:val="28"/>
          <w:szCs w:val="28"/>
        </w:rPr>
      </w:r>
      <w:r/>
    </w:p>
    <w:p>
      <w:pPr>
        <w:pStyle w:val="1030"/>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spacing w:line="400" w:lineRule="exact"/>
        <w:rPr>
          <w:rFonts w:ascii="仿宋" w:hAnsi="仿宋" w:eastAsia="仿宋"/>
          <w:sz w:val="24"/>
        </w:rPr>
      </w:pPr>
      <w:r>
        <w:rPr>
          <w:rFonts w:ascii="仿宋" w:hAnsi="仿宋" w:eastAsia="仿宋"/>
          <w:sz w:val="24"/>
        </w:rPr>
      </w:r>
      <w:r/>
    </w:p>
    <w:p>
      <w:pPr>
        <w:pStyle w:val="911"/>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rFonts w:hint="eastAsia"/>
          <w:sz w:val="32"/>
          <w:szCs w:val="32"/>
          <w:u w:val="single"/>
          <w:lang w:eastAsia="zh-CN"/>
        </w:rPr>
        <w:t xml:space="preserve">南通知产法庭暨“两个中心”装修改造智能化设备采购项目</w:t>
      </w:r>
      <w:r>
        <w:rPr>
          <w:rFonts w:hint="eastAsia"/>
          <w:sz w:val="32"/>
          <w:szCs w:val="32"/>
          <w:u w:val="single"/>
        </w:rPr>
        <w:t xml:space="preserve">  </w:t>
      </w:r>
      <w:r>
        <w:rPr>
          <w:sz w:val="32"/>
          <w:szCs w:val="32"/>
        </w:rPr>
      </w:r>
      <w:r/>
    </w:p>
    <w:p>
      <w:pPr>
        <w:pStyle w:val="911"/>
        <w:ind w:left="420"/>
        <w:spacing w:line="360" w:lineRule="auto"/>
        <w:rPr>
          <w:sz w:val="32"/>
          <w:szCs w:val="32"/>
        </w:rPr>
      </w:pPr>
      <w:r>
        <w:rPr>
          <w:rFonts w:hint="eastAsia"/>
          <w:sz w:val="32"/>
          <w:szCs w:val="32"/>
        </w:rPr>
        <w:t xml:space="preserve">甲    方：</w:t>
      </w:r>
      <w:r>
        <w:rPr>
          <w:rFonts w:hint="eastAsia"/>
          <w:sz w:val="32"/>
          <w:szCs w:val="32"/>
          <w:u w:val="single"/>
        </w:rPr>
        <w:t xml:space="preserve">  江苏省南通市中级人民法院   </w:t>
      </w:r>
      <w:r>
        <w:rPr>
          <w:sz w:val="32"/>
          <w:szCs w:val="32"/>
        </w:rPr>
      </w:r>
      <w:r/>
    </w:p>
    <w:p>
      <w:pPr>
        <w:pStyle w:val="911"/>
        <w:ind w:left="42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rPr>
          <w:rFonts w:hint="eastAsia"/>
          <w:sz w:val="32"/>
          <w:szCs w:val="32"/>
          <w:u w:val="single"/>
        </w:rPr>
      </w:r>
      <w:r/>
    </w:p>
    <w:p>
      <w:pPr>
        <w:pStyle w:val="911"/>
        <w:ind w:left="420"/>
        <w:spacing w:line="360" w:lineRule="auto"/>
        <w:rPr>
          <w:rFonts w:hint="eastAsia"/>
          <w:sz w:val="32"/>
          <w:szCs w:val="32"/>
          <w:u w:val="single"/>
        </w:rPr>
      </w:pPr>
      <w:r>
        <w:rPr>
          <w:rFonts w:hint="eastAsia"/>
          <w:sz w:val="32"/>
          <w:szCs w:val="32"/>
        </w:rPr>
        <w:t xml:space="preserve">签订地点：</w:t>
      </w:r>
      <w:r>
        <w:rPr>
          <w:rFonts w:hint="eastAsia"/>
          <w:sz w:val="32"/>
          <w:szCs w:val="32"/>
          <w:u w:val="single"/>
        </w:rPr>
        <w:t xml:space="preserve">         江苏南通            </w:t>
      </w:r>
      <w:r>
        <w:rPr>
          <w:rFonts w:hint="eastAsia"/>
          <w:sz w:val="32"/>
          <w:szCs w:val="32"/>
          <w:u w:val="single"/>
        </w:rPr>
      </w:r>
      <w:r/>
    </w:p>
    <w:p>
      <w:pPr>
        <w:pStyle w:val="911"/>
        <w:ind w:left="420"/>
        <w:spacing w:line="360" w:lineRule="auto"/>
        <w:rPr>
          <w:b/>
          <w:bCs/>
          <w:sz w:val="28"/>
          <w:szCs w:val="28"/>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b/>
          <w:bCs/>
          <w:sz w:val="28"/>
          <w:szCs w:val="28"/>
        </w:rPr>
        <w:t xml:space="preserve"> </w:t>
      </w:r>
      <w:r>
        <w:rPr>
          <w:b/>
          <w:bCs/>
          <w:sz w:val="28"/>
          <w:szCs w:val="28"/>
        </w:rPr>
      </w:r>
      <w:r/>
    </w:p>
    <w:p>
      <w:pPr>
        <w:pStyle w:val="911"/>
        <w:jc w:val="center"/>
        <w:keepLines/>
        <w:keepNext/>
        <w:spacing w:before="145" w:after="145" w:line="480" w:lineRule="exact"/>
        <w:rPr>
          <w:rFonts w:hint="eastAsia" w:ascii="仿宋" w:hAnsi="仿宋" w:eastAsia="仿宋"/>
          <w:b/>
          <w:bCs/>
          <w:sz w:val="36"/>
          <w:szCs w:val="36"/>
        </w:rPr>
        <w:outlineLvl w:val="2"/>
      </w:pPr>
      <w:r/>
      <w:bookmarkStart w:id="181" w:name="_Toc21012"/>
      <w:r/>
      <w:bookmarkStart w:id="182" w:name="_Toc49590161"/>
      <w:r/>
      <w:bookmarkStart w:id="183" w:name="_Toc71632271"/>
      <w:r>
        <w:rPr>
          <w:rFonts w:hint="eastAsia" w:ascii="仿宋" w:hAnsi="仿宋" w:eastAsia="仿宋"/>
          <w:b/>
          <w:bCs/>
          <w:sz w:val="36"/>
          <w:szCs w:val="36"/>
        </w:rPr>
      </w:r>
      <w:r/>
    </w:p>
    <w:p>
      <w:pPr>
        <w:pStyle w:val="911"/>
        <w:jc w:val="center"/>
        <w:keepLines/>
        <w:keepNext/>
        <w:spacing w:before="145" w:after="145" w:line="480" w:lineRule="exact"/>
        <w:rPr>
          <w:rFonts w:ascii="仿宋" w:hAnsi="仿宋" w:eastAsia="仿宋"/>
          <w:b/>
          <w:bCs/>
          <w:sz w:val="36"/>
          <w:szCs w:val="36"/>
        </w:rPr>
        <w:outlineLvl w:val="2"/>
      </w:pPr>
      <w:r>
        <w:rPr>
          <w:rFonts w:hint="eastAsia" w:ascii="仿宋" w:hAnsi="仿宋" w:eastAsia="仿宋"/>
          <w:b/>
          <w:bCs/>
          <w:sz w:val="36"/>
          <w:szCs w:val="36"/>
        </w:rPr>
        <w:t xml:space="preserve">第一部分 合同书</w:t>
      </w:r>
      <w:bookmarkEnd w:id="181"/>
      <w:r/>
      <w:bookmarkEnd w:id="182"/>
      <w:r/>
      <w:bookmarkEnd w:id="183"/>
      <w:r>
        <w:rPr>
          <w:rFonts w:ascii="仿宋" w:hAnsi="仿宋" w:eastAsia="仿宋"/>
          <w:b/>
          <w:bCs/>
          <w:sz w:val="36"/>
          <w:szCs w:val="36"/>
        </w:rPr>
      </w:r>
      <w:r/>
    </w:p>
    <w:p>
      <w:pPr>
        <w:pStyle w:val="911"/>
        <w:spacing w:line="500" w:lineRule="exact"/>
        <w:rPr>
          <w:b/>
          <w:bCs/>
          <w:sz w:val="28"/>
          <w:szCs w:val="28"/>
        </w:rPr>
      </w:pPr>
      <w:r>
        <w:rPr>
          <w:b/>
          <w:bCs/>
          <w:sz w:val="28"/>
          <w:szCs w:val="28"/>
        </w:rPr>
      </w:r>
      <w:r/>
    </w:p>
    <w:p>
      <w:pPr>
        <w:pStyle w:val="911"/>
        <w:spacing w:line="500" w:lineRule="exact"/>
        <w:rPr>
          <w:rFonts w:ascii="方正仿宋_GB2312" w:hAnsi="仿宋" w:eastAsia="方正仿宋_GB2312"/>
          <w:sz w:val="28"/>
          <w:szCs w:val="28"/>
        </w:rPr>
      </w:pPr>
      <w:r>
        <w:rPr>
          <w:b/>
          <w:bCs/>
          <w:sz w:val="28"/>
          <w:szCs w:val="28"/>
        </w:rPr>
        <w:t xml:space="preserve">    </w:t>
      </w:r>
      <w:r>
        <w:rPr>
          <w:rFonts w:hint="eastAsia" w:ascii="方正仿宋_GB2312" w:hAnsi="仿宋" w:eastAsia="方正仿宋_GB2312"/>
          <w:sz w:val="28"/>
          <w:szCs w:val="28"/>
        </w:rPr>
        <w:t xml:space="preserve">根据《中华人民共和国民法典》《中华人民共和国政府采购法》等相关法律法规之规定，按照平等、自愿、公平和诚实信用的原则，经</w:t>
      </w:r>
      <w:r>
        <w:rPr>
          <w:rFonts w:hint="eastAsia" w:ascii="方正仿宋_GB2312" w:hAnsi="仿宋" w:eastAsia="方正仿宋_GB2312"/>
          <w:sz w:val="28"/>
          <w:szCs w:val="28"/>
          <w:u w:val="single"/>
        </w:rPr>
        <w:t xml:space="preserve">江苏省南通市中级人民法院（采购人名称）（</w:t>
      </w:r>
      <w:r>
        <w:rPr>
          <w:rFonts w:hint="eastAsia" w:ascii="方正仿宋_GB2312" w:hAnsi="仿宋" w:eastAsia="方正仿宋_GB2312"/>
          <w:sz w:val="28"/>
          <w:szCs w:val="28"/>
        </w:rPr>
        <w:t xml:space="preserve">以下简称：甲方）和</w:t>
      </w:r>
      <w:r>
        <w:rPr>
          <w:rFonts w:hint="eastAsia" w:ascii="方正仿宋_GB2312" w:hAnsi="仿宋" w:eastAsia="方正仿宋_GB2312"/>
          <w:sz w:val="28"/>
          <w:szCs w:val="28"/>
          <w:u w:val="single"/>
        </w:rPr>
        <w:t xml:space="preserve">（中标供应商名称）</w:t>
      </w:r>
      <w:r>
        <w:rPr>
          <w:rFonts w:hint="eastAsia" w:ascii="方正仿宋_GB2312" w:hAnsi="仿宋" w:eastAsia="方正仿宋_GB2312"/>
          <w:sz w:val="28"/>
          <w:szCs w:val="28"/>
        </w:rPr>
        <w:t xml:space="preserve"> （以下简称：乙方）协商一致，约定以下合同条款，以兹共同遵守、全面履行。</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1.1 合同组成部分</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1.1.1 本合同及其补充合同、变更协议；</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1.1.2 中标通知书；</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1.1.3 投标文件（含澄清或者说明文件）；</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1.1.4 招标文件（含澄清或者修改文件）；</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1.1.5 其他相关采购文件。</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1.2 货物</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1.2.1 货物名称、数量：见本合同第四部分设备清单；</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1.2.2 货物质量：。</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1.3 价款</w:t>
      </w:r>
      <w:r>
        <w:rPr>
          <w:rFonts w:ascii="方正仿宋_GB2312" w:hAnsi="仿宋" w:eastAsia="方正仿宋_GB2312"/>
          <w:b/>
          <w:bCs/>
          <w:sz w:val="28"/>
          <w:szCs w:val="28"/>
        </w:rPr>
      </w:r>
      <w:r/>
    </w:p>
    <w:p>
      <w:pPr>
        <w:pStyle w:val="911"/>
        <w:ind w:firstLine="560"/>
        <w:spacing w:line="500" w:lineRule="exact"/>
      </w:pPr>
      <w:r>
        <w:rPr>
          <w:rFonts w:hint="eastAsia" w:ascii="方正仿宋_GB2312" w:hAnsi="仿宋" w:eastAsia="方正仿宋_GB2312"/>
          <w:sz w:val="28"/>
          <w:szCs w:val="28"/>
        </w:rPr>
        <w:t xml:space="preserve">本合同总价为：￥        元（大写：      元人民币）。</w:t>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1.4 付款方式和发票开具方式</w:t>
      </w:r>
      <w:r>
        <w:rPr>
          <w:rFonts w:ascii="方正仿宋_GB2312" w:hAnsi="仿宋" w:eastAsia="方正仿宋_GB2312"/>
          <w:b/>
          <w:bCs/>
          <w:sz w:val="28"/>
          <w:szCs w:val="28"/>
        </w:rPr>
      </w:r>
      <w:r/>
    </w:p>
    <w:p>
      <w:pPr>
        <w:pStyle w:val="911"/>
        <w:ind w:firstLine="560"/>
        <w:spacing w:line="500" w:lineRule="exact"/>
        <w:rPr>
          <w:rFonts w:hint="eastAsia" w:ascii="方正仿宋_GB2312" w:hAnsi="仿宋" w:eastAsia="方正仿宋_GB2312"/>
          <w:sz w:val="28"/>
          <w:szCs w:val="28"/>
        </w:rPr>
      </w:pPr>
      <w:r>
        <w:rPr>
          <w:rFonts w:hint="eastAsia" w:ascii="方正仿宋_GB2312" w:hAnsi="仿宋" w:eastAsia="方正仿宋_GB2312"/>
          <w:sz w:val="28"/>
          <w:szCs w:val="28"/>
        </w:rPr>
        <w:t xml:space="preserve">1.4.1 付款方式：</w:t>
      </w:r>
      <w:r>
        <w:rPr>
          <w:rFonts w:hint="eastAsia" w:ascii="方正仿宋_GB2312" w:hAnsi="仿宋" w:eastAsia="方正仿宋_GB2312"/>
          <w:sz w:val="28"/>
          <w:szCs w:val="28"/>
        </w:rPr>
      </w:r>
      <w:r/>
    </w:p>
    <w:p>
      <w:pPr>
        <w:pStyle w:val="911"/>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（1）合同签订之日起30日内，支付合同价款的30%；</w:t>
      </w:r>
      <w:r>
        <w:rPr>
          <w:rFonts w:hint="eastAsia" w:ascii="仿宋" w:hAnsi="仿宋" w:eastAsia="仿宋" w:cs="仿宋"/>
          <w:color w:val="000000"/>
          <w:sz w:val="28"/>
          <w:szCs w:val="28"/>
          <w:highlight w:val="none"/>
        </w:rPr>
      </w:r>
      <w:r/>
    </w:p>
    <w:p>
      <w:pPr>
        <w:pStyle w:val="911"/>
        <w:ind w:firstLine="560"/>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）项目</w:t>
      </w:r>
      <w:r>
        <w:rPr>
          <w:rFonts w:hint="eastAsia" w:ascii="仿宋" w:hAnsi="仿宋" w:eastAsia="仿宋" w:cs="仿宋"/>
          <w:color w:val="000000"/>
          <w:sz w:val="28"/>
          <w:szCs w:val="28"/>
          <w:highlight w:val="none"/>
          <w:lang w:val="en-US" w:eastAsia="zh-CN"/>
        </w:rPr>
        <w:t xml:space="preserve">通过验收</w:t>
      </w:r>
      <w:r>
        <w:rPr>
          <w:rFonts w:hint="eastAsia" w:ascii="仿宋" w:hAnsi="仿宋" w:eastAsia="仿宋" w:cs="仿宋"/>
          <w:color w:val="000000"/>
          <w:sz w:val="28"/>
          <w:szCs w:val="28"/>
          <w:highlight w:val="none"/>
        </w:rPr>
        <w:t xml:space="preserve">之日起30日内，</w:t>
      </w:r>
      <w:r>
        <w:rPr>
          <w:rFonts w:hint="eastAsia" w:ascii="仿宋" w:hAnsi="仿宋" w:eastAsia="仿宋" w:cs="仿宋"/>
          <w:color w:val="000000"/>
          <w:sz w:val="28"/>
          <w:szCs w:val="28"/>
          <w:highlight w:val="none"/>
          <w:lang w:val="en-US" w:eastAsia="zh-CN"/>
        </w:rPr>
        <w:t xml:space="preserve">支付合同价款的70%。</w:t>
      </w:r>
      <w:r>
        <w:rPr>
          <w:rFonts w:hint="eastAsia" w:ascii="仿宋" w:hAnsi="仿宋" w:eastAsia="仿宋" w:cs="仿宋"/>
          <w:color w:val="000000"/>
          <w:sz w:val="28"/>
          <w:szCs w:val="28"/>
          <w:highlight w:val="none"/>
          <w:lang w:val="en-US" w:eastAsia="zh-CN"/>
        </w:rPr>
      </w:r>
      <w:r/>
    </w:p>
    <w:p>
      <w:pPr>
        <w:pStyle w:val="911"/>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 发票开具方式：在满足合同约定的付款条件后，乙方应开具符合国家有关财税规定的发票给甲方，甲方在收到乙方正式发票之日起10个工作日内完成支付。</w:t>
      </w:r>
      <w:r>
        <w:rPr>
          <w:rFonts w:hint="eastAsia" w:ascii="仿宋" w:hAnsi="仿宋" w:eastAsia="仿宋" w:cs="仿宋"/>
          <w:sz w:val="28"/>
          <w:szCs w:val="28"/>
          <w:highlight w:val="none"/>
        </w:rPr>
      </w:r>
      <w:r/>
    </w:p>
    <w:p>
      <w:pPr>
        <w:pStyle w:val="911"/>
        <w:ind w:firstLine="56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1.4.3审计条款：采购人有权按有关规定对本项目资金使用开展审计监督，最终审计金额与合同价款不符的，据实调整</w:t>
      </w:r>
      <w:r>
        <w:rPr>
          <w:rFonts w:hint="eastAsia" w:ascii="仿宋" w:hAnsi="仿宋" w:eastAsia="仿宋" w:cs="仿宋"/>
          <w:color w:val="000000"/>
          <w:sz w:val="28"/>
          <w:szCs w:val="28"/>
          <w:highlight w:val="none"/>
        </w:rPr>
        <w:t xml:space="preserve">。</w:t>
      </w:r>
      <w:r>
        <w:rPr>
          <w:rFonts w:hint="eastAsia" w:ascii="仿宋" w:hAnsi="仿宋" w:eastAsia="仿宋" w:cs="仿宋"/>
          <w:sz w:val="28"/>
          <w:szCs w:val="28"/>
          <w:highlight w:val="none"/>
          <w:lang w:val="en-US" w:eastAsia="zh-CN"/>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1.5 货物交付期限、地点和方式</w:t>
      </w:r>
      <w:r>
        <w:rPr>
          <w:rFonts w:ascii="方正仿宋_GB2312" w:hAnsi="仿宋" w:eastAsia="方正仿宋_GB2312"/>
          <w:b/>
          <w:bCs/>
          <w:sz w:val="28"/>
          <w:szCs w:val="28"/>
        </w:rPr>
      </w:r>
      <w:r/>
    </w:p>
    <w:p>
      <w:pPr>
        <w:pStyle w:val="911"/>
        <w:ind w:firstLine="560"/>
        <w:spacing w:line="500" w:lineRule="exact"/>
        <w:rPr>
          <w:rFonts w:hint="eastAsia" w:ascii="方正仿宋_GB2312" w:hAnsi="仿宋" w:eastAsia="方正仿宋_GB2312"/>
          <w:sz w:val="28"/>
          <w:szCs w:val="28"/>
        </w:rPr>
      </w:pPr>
      <w:r>
        <w:rPr>
          <w:rFonts w:hint="eastAsia" w:ascii="方正仿宋_GB2312" w:hAnsi="仿宋" w:eastAsia="方正仿宋_GB2312"/>
          <w:sz w:val="28"/>
          <w:szCs w:val="28"/>
        </w:rPr>
        <w:t xml:space="preserve">1.5.1交付期限</w:t>
      </w:r>
      <w:r>
        <w:rPr>
          <w:rFonts w:hint="eastAsia" w:ascii="方正仿宋_GB2312" w:hAnsi="仿宋" w:eastAsia="方正仿宋_GB2312"/>
          <w:sz w:val="28"/>
          <w:szCs w:val="28"/>
        </w:rPr>
      </w:r>
      <w:r/>
    </w:p>
    <w:p>
      <w:pPr>
        <w:pStyle w:val="911"/>
        <w:ind w:firstLine="560"/>
        <w:spacing w:line="500" w:lineRule="exact"/>
        <w:rPr>
          <w:rFonts w:hint="eastAsia" w:ascii="方正仿宋_GB2312" w:hAnsi="仿宋" w:eastAsia="方正仿宋_GB2312"/>
          <w:sz w:val="28"/>
          <w:szCs w:val="28"/>
        </w:rPr>
      </w:pPr>
      <w:r>
        <w:rPr>
          <w:rFonts w:hint="eastAsia" w:ascii="仿宋" w:hAnsi="仿宋" w:eastAsia="仿宋" w:cs="仿宋"/>
          <w:color w:val="000000"/>
          <w:sz w:val="28"/>
          <w:szCs w:val="28"/>
        </w:rPr>
        <w:t xml:space="preserve">采购人开工令发出后180日内完成项目实施。</w:t>
      </w:r>
      <w:r>
        <w:rPr>
          <w:rFonts w:hint="eastAsia"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1.5.2 交付地点：</w:t>
      </w:r>
      <w:r>
        <w:rPr>
          <w:rFonts w:hint="eastAsia" w:ascii="仿宋" w:hAnsi="仿宋" w:eastAsia="仿宋" w:cs="仿宋"/>
          <w:color w:val="000000"/>
          <w:sz w:val="28"/>
          <w:szCs w:val="28"/>
        </w:rPr>
        <w:t xml:space="preserve">崇川区工农路247号（原市税务局第三税务分局及第一稽查局），具体以甲方要求为准</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1.5.3交付方式：甲方指定方式</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1.6 违约责任</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方正仿宋_GB2312" w:hAnsi="仿宋" w:eastAsia="方正仿宋_GB2312"/>
          <w:sz w:val="28"/>
          <w:szCs w:val="28"/>
          <w:u w:val="single"/>
        </w:rPr>
        <w:t xml:space="preserve"> </w:t>
      </w:r>
      <w:r>
        <w:rPr>
          <w:rFonts w:ascii="方正仿宋_GB2312" w:hAnsi="仿宋" w:eastAsia="方正仿宋_GB2312"/>
          <w:sz w:val="28"/>
          <w:szCs w:val="28"/>
          <w:u w:val="single"/>
        </w:rPr>
        <w:t xml:space="preserve">0.05</w:t>
      </w:r>
      <w:r>
        <w:rPr>
          <w:rFonts w:hint="eastAsia" w:ascii="方正仿宋_GB2312" w:hAnsi="仿宋" w:eastAsia="方正仿宋_GB2312"/>
          <w:sz w:val="28"/>
          <w:szCs w:val="28"/>
          <w:u w:val="single"/>
        </w:rPr>
        <w:t xml:space="preserve"> </w:t>
      </w:r>
      <w:r>
        <w:rPr>
          <w:rFonts w:hint="eastAsia" w:ascii="方正仿宋_GB2312" w:hAnsi="仿宋" w:eastAsia="方正仿宋_GB2312"/>
          <w:sz w:val="28"/>
          <w:szCs w:val="28"/>
        </w:rPr>
        <w:t xml:space="preserve">%计算，最高限额为本合同总价的20%；迟延交付货物的违约金计算数额达到前述最高限额之日起，甲方有权在要求乙方支付违约金的同时，书面通知乙方解除本合同；</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2</w:t>
      </w:r>
      <w:r>
        <w:rPr>
          <w:rFonts w:hint="eastAsia" w:ascii="方正仿宋_GB2312" w:hAnsi="仿宋" w:eastAsia="方正仿宋_GB2312"/>
          <w:sz w:val="28"/>
          <w:szCs w:val="28"/>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3</w:t>
      </w:r>
      <w:r>
        <w:rPr>
          <w:rFonts w:hint="eastAsia" w:ascii="方正仿宋_GB2312" w:hAnsi="仿宋" w:eastAsia="方正仿宋_GB2312"/>
          <w:sz w:val="28"/>
          <w:szCs w:val="28"/>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4</w:t>
      </w:r>
      <w:r>
        <w:rPr>
          <w:rFonts w:hint="eastAsia" w:ascii="方正仿宋_GB2312" w:hAnsi="仿宋" w:eastAsia="方正仿宋_GB2312"/>
          <w:sz w:val="28"/>
          <w:szCs w:val="28"/>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5</w:t>
      </w:r>
      <w:r>
        <w:rPr>
          <w:rFonts w:hint="eastAsia" w:ascii="方正仿宋_GB2312" w:hAnsi="仿宋" w:eastAsia="方正仿宋_GB2312"/>
          <w:sz w:val="28"/>
          <w:szCs w:val="28"/>
        </w:rPr>
        <w:t xml:space="preserve">如果出现政府采购监督管理部门在处理投诉事项期间，书面通知甲方暂停采购活动的情形，或者询问或质疑事项可能影响中标结果的，导致甲方中止履行合同的情形，均不视为甲方违约；</w:t>
      </w:r>
      <w:r>
        <w:rPr>
          <w:rFonts w:ascii="方正仿宋_GB2312" w:hAnsi="仿宋" w:eastAsia="方正仿宋_GB2312"/>
          <w:sz w:val="28"/>
          <w:szCs w:val="28"/>
        </w:rPr>
      </w:r>
      <w:r/>
    </w:p>
    <w:p>
      <w:pPr>
        <w:pStyle w:val="1031"/>
        <w:ind w:firstLine="562"/>
        <w:rPr>
          <w:rFonts w:hAnsi="仿宋"/>
          <w:b/>
          <w:bCs/>
          <w:sz w:val="28"/>
          <w:szCs w:val="28"/>
        </w:rPr>
      </w:pPr>
      <w:r>
        <w:rPr>
          <w:rFonts w:hint="eastAsia" w:hAnsi="仿宋"/>
          <w:b/>
          <w:bCs/>
          <w:sz w:val="28"/>
          <w:szCs w:val="28"/>
        </w:rPr>
        <w:t xml:space="preserve">1.6.</w:t>
      </w:r>
      <w:r>
        <w:rPr>
          <w:rFonts w:hAnsi="仿宋"/>
          <w:b/>
          <w:bCs/>
          <w:sz w:val="28"/>
          <w:szCs w:val="28"/>
        </w:rPr>
        <w:t xml:space="preserve">7 </w:t>
      </w:r>
      <w:r>
        <w:rPr>
          <w:rFonts w:hint="eastAsia" w:hAnsi="仿宋"/>
          <w:b/>
          <w:bCs/>
          <w:sz w:val="28"/>
          <w:szCs w:val="28"/>
        </w:rPr>
        <w:t xml:space="preserve">乙方将项目违法转包的，甲方有权解除合同，并可要求乙方支付不超过项目本合同总价20 %的赔偿金；</w:t>
      </w:r>
      <w:r>
        <w:rPr>
          <w:rFonts w:hAnsi="仿宋"/>
          <w:b/>
          <w:bCs/>
          <w:sz w:val="28"/>
          <w:szCs w:val="28"/>
        </w:rPr>
      </w:r>
      <w:r/>
    </w:p>
    <w:p>
      <w:pPr>
        <w:pStyle w:val="1031"/>
        <w:ind w:firstLine="562"/>
        <w:rPr>
          <w:rFonts w:hAnsi="仿宋"/>
          <w:b/>
          <w:bCs/>
          <w:sz w:val="28"/>
          <w:szCs w:val="28"/>
        </w:rPr>
      </w:pPr>
      <w:r>
        <w:rPr>
          <w:rFonts w:hint="eastAsia" w:hAnsi="仿宋"/>
          <w:b/>
          <w:bCs/>
          <w:sz w:val="28"/>
          <w:szCs w:val="28"/>
        </w:rPr>
        <w:t xml:space="preserve">1</w:t>
      </w:r>
      <w:r>
        <w:rPr>
          <w:rFonts w:hAnsi="仿宋"/>
          <w:b/>
          <w:bCs/>
          <w:sz w:val="28"/>
          <w:szCs w:val="28"/>
        </w:rPr>
        <w:t xml:space="preserve">.6.8 </w:t>
      </w:r>
      <w:r>
        <w:rPr>
          <w:rFonts w:hint="eastAsia" w:hAnsi="仿宋"/>
          <w:b/>
          <w:bCs/>
          <w:sz w:val="28"/>
          <w:szCs w:val="28"/>
        </w:rPr>
        <w:t xml:space="preserve">乙方未经甲方同意，擅自将项目分包履行或分包方式不合法的，甲方有权解除合同，并可要求乙方支付不超过项目本合同总价20 %的赔偿金；</w:t>
      </w:r>
      <w:r>
        <w:rPr>
          <w:rFonts w:hAnsi="仿宋"/>
          <w:b/>
          <w:bCs/>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1.7 合同争议的解决</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本合同履行过程中发生的任何争议，双方当事人均可通过和解或者调解解决；不愿和解、调解或者和解、调解不成的，可以选择向甲方人民法院起诉。</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1.8 合同生效</w:t>
      </w:r>
      <w:r>
        <w:rPr>
          <w:rFonts w:ascii="方正仿宋_GB2312" w:hAnsi="仿宋" w:eastAsia="方正仿宋_GB2312"/>
          <w:b/>
          <w:bCs/>
          <w:sz w:val="28"/>
          <w:szCs w:val="28"/>
        </w:rPr>
      </w:r>
      <w:r/>
    </w:p>
    <w:p>
      <w:pPr>
        <w:pStyle w:val="911"/>
        <w:ind w:firstLine="560"/>
        <w:spacing w:line="500" w:lineRule="exact"/>
      </w:pPr>
      <w:r>
        <w:rPr>
          <w:rFonts w:hint="eastAsia" w:ascii="方正仿宋_GB2312" w:hAnsi="仿宋" w:eastAsia="方正仿宋_GB2312"/>
          <w:sz w:val="28"/>
          <w:szCs w:val="28"/>
        </w:rPr>
        <w:t xml:space="preserve">本合同自双方当事人盖章或者签字时生效。</w:t>
      </w:r>
      <w:r/>
    </w:p>
    <w:p>
      <w:pPr>
        <w:pStyle w:val="911"/>
      </w:pPr>
      <w:r/>
      <w:r/>
    </w:p>
    <w:tbl>
      <w:tblPr>
        <w:tblpPr w:horzAnchor="page" w:tblpX="1945" w:vertAnchor="text" w:tblpY="170" w:leftFromText="180" w:topFromText="0" w:rightFromText="180" w:bottomFromText="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2"/>
        <w:gridCol w:w="4253"/>
      </w:tblGrid>
      <w:tr>
        <w:trPr>
          <w:cantSplit/>
          <w:trHeight w:val="927"/>
        </w:trPr>
        <w:tc>
          <w:tcPr>
            <w:tcW w:w="4250" w:type="dxa"/>
            <w:vAlign w:val="center"/>
            <w:textDirection w:val="lrTb"/>
            <w:noWrap w:val="false"/>
          </w:tcPr>
          <w:p>
            <w:pPr>
              <w:pStyle w:val="911"/>
              <w:ind w:firstLine="5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甲方</w:t>
            </w:r>
            <w:r>
              <w:rPr>
                <w:rFonts w:ascii="方正仿宋_GB2312" w:hAnsi="仿宋" w:eastAsia="方正仿宋_GB2312"/>
                <w:sz w:val="28"/>
                <w:szCs w:val="28"/>
              </w:rPr>
            </w:r>
            <w:r/>
          </w:p>
        </w:tc>
        <w:tc>
          <w:tcPr>
            <w:tcW w:w="4250" w:type="dxa"/>
            <w:vAlign w:val="center"/>
            <w:textDirection w:val="lrTb"/>
            <w:noWrap w:val="false"/>
          </w:tcPr>
          <w:p>
            <w:pPr>
              <w:pStyle w:val="911"/>
              <w:ind w:firstLine="5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乙方</w:t>
            </w:r>
            <w:r>
              <w:rPr>
                <w:rFonts w:ascii="方正仿宋_GB2312" w:hAnsi="仿宋" w:eastAsia="方正仿宋_GB2312"/>
                <w:sz w:val="28"/>
                <w:szCs w:val="28"/>
              </w:rPr>
            </w:r>
            <w:r/>
          </w:p>
        </w:tc>
      </w:tr>
      <w:tr>
        <w:trPr>
          <w:cantSplit/>
          <w:trHeight w:val="3641"/>
        </w:trPr>
        <w:tc>
          <w:tcPr>
            <w:tcW w:w="4250" w:type="dxa"/>
            <w:vAlign w:val="top"/>
            <w:textDirection w:val="lrTb"/>
            <w:noWrap w:val="false"/>
          </w:tcPr>
          <w:p>
            <w:pPr>
              <w:pStyle w:val="91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1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法定代表人或授权人： </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1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单位名称（章）：</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1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       年    月    日</w:t>
            </w:r>
            <w:r>
              <w:rPr>
                <w:rFonts w:ascii="方正仿宋_GB2312" w:hAnsi="仿宋" w:eastAsia="方正仿宋_GB2312"/>
                <w:sz w:val="28"/>
                <w:szCs w:val="28"/>
              </w:rPr>
            </w:r>
            <w:r/>
          </w:p>
        </w:tc>
        <w:tc>
          <w:tcPr>
            <w:tcW w:w="4250" w:type="dxa"/>
            <w:vAlign w:val="top"/>
            <w:textDirection w:val="lrTb"/>
            <w:noWrap w:val="false"/>
          </w:tcPr>
          <w:p>
            <w:pPr>
              <w:pStyle w:val="911"/>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1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法定代表人或授权人： </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1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单位名称（章）：</w:t>
            </w:r>
            <w:r>
              <w:rPr>
                <w:rFonts w:ascii="方正仿宋_GB2312" w:hAnsi="仿宋" w:eastAsia="方正仿宋_GB2312"/>
                <w:sz w:val="28"/>
                <w:szCs w:val="28"/>
              </w:rPr>
            </w:r>
            <w:r/>
          </w:p>
          <w:p>
            <w:pPr>
              <w:pStyle w:val="1033"/>
              <w:jc w:val="both"/>
              <w:spacing w:line="500" w:lineRule="exact"/>
              <w:rPr>
                <w:rFonts w:ascii="方正仿宋_GB2312" w:eastAsia="方正仿宋_GB2312"/>
                <w:color w:val="000000"/>
              </w:rPr>
              <w:framePr w:vAnchor="text" w:hAnchor="page" w:x="1945" w:y="170"/>
            </w:pPr>
            <w:r>
              <w:rPr>
                <w:rFonts w:ascii="方正仿宋_GB2312" w:eastAsia="方正仿宋_GB2312"/>
                <w:color w:val="000000"/>
              </w:rPr>
            </w:r>
            <w:r/>
          </w:p>
          <w:p>
            <w:pPr>
              <w:pStyle w:val="911"/>
              <w:ind w:firstLine="19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年    月    日</w:t>
            </w:r>
            <w:r>
              <w:rPr>
                <w:rFonts w:ascii="方正仿宋_GB2312" w:hAnsi="仿宋" w:eastAsia="方正仿宋_GB2312"/>
                <w:sz w:val="28"/>
                <w:szCs w:val="28"/>
              </w:rPr>
            </w:r>
            <w:r/>
          </w:p>
        </w:tc>
      </w:tr>
    </w:tbl>
    <w:p>
      <w:pPr>
        <w:pStyle w:val="911"/>
        <w:ind w:firstLine="560"/>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911"/>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911"/>
        <w:spacing w:line="500" w:lineRule="exact"/>
        <w:widowControl/>
        <w:rPr>
          <w:rFonts w:ascii="方正仿宋_GB2312" w:hAnsi="仿宋" w:eastAsia="方正仿宋_GB2312"/>
          <w:sz w:val="28"/>
          <w:szCs w:val="28"/>
        </w:rPr>
      </w:pPr>
      <w:r>
        <w:rPr>
          <w:rFonts w:hint="eastAsia" w:ascii="方正仿宋_GB2312" w:hAnsi="仿宋" w:eastAsia="方正仿宋_GB2312"/>
          <w:sz w:val="28"/>
          <w:szCs w:val="28"/>
        </w:rPr>
        <w:br w:type="page" w:clear="all"/>
      </w:r>
      <w:r>
        <w:rPr>
          <w:rFonts w:ascii="方正仿宋_GB2312" w:hAnsi="仿宋" w:eastAsia="方正仿宋_GB2312"/>
          <w:sz w:val="28"/>
          <w:szCs w:val="28"/>
        </w:rPr>
      </w:r>
      <w:r/>
    </w:p>
    <w:p>
      <w:pPr>
        <w:pStyle w:val="911"/>
        <w:jc w:val="center"/>
        <w:keepLines/>
        <w:keepNext/>
        <w:spacing w:before="145" w:after="145" w:line="480" w:lineRule="exact"/>
        <w:rPr>
          <w:rFonts w:ascii="仿宋" w:hAnsi="仿宋" w:eastAsia="仿宋"/>
          <w:b/>
          <w:bCs/>
          <w:sz w:val="36"/>
          <w:szCs w:val="36"/>
        </w:rPr>
        <w:outlineLvl w:val="2"/>
      </w:pPr>
      <w:r/>
      <w:bookmarkStart w:id="184" w:name="_Toc71632272"/>
      <w:r/>
      <w:bookmarkStart w:id="185" w:name="_Toc16692"/>
      <w:r/>
      <w:bookmarkStart w:id="186" w:name="_Toc49590162"/>
      <w:r>
        <w:rPr>
          <w:rFonts w:hint="eastAsia" w:ascii="仿宋" w:hAnsi="仿宋" w:eastAsia="仿宋"/>
          <w:b/>
          <w:bCs/>
          <w:sz w:val="36"/>
          <w:szCs w:val="36"/>
        </w:rPr>
        <w:t xml:space="preserve">第二部分</w:t>
      </w:r>
      <w:r>
        <w:rPr>
          <w:rFonts w:ascii="仿宋" w:hAnsi="仿宋" w:eastAsia="仿宋"/>
          <w:b/>
          <w:bCs/>
          <w:sz w:val="36"/>
          <w:szCs w:val="36"/>
        </w:rPr>
        <w:t xml:space="preserve"> </w:t>
      </w:r>
      <w:r>
        <w:rPr>
          <w:rFonts w:hint="eastAsia" w:ascii="仿宋" w:hAnsi="仿宋" w:eastAsia="仿宋"/>
          <w:b/>
          <w:bCs/>
          <w:sz w:val="36"/>
          <w:szCs w:val="36"/>
        </w:rPr>
        <w:t xml:space="preserve">合同一般条款</w:t>
      </w:r>
      <w:bookmarkEnd w:id="184"/>
      <w:r/>
      <w:bookmarkEnd w:id="185"/>
      <w:r/>
      <w:bookmarkEnd w:id="186"/>
      <w:r>
        <w:rPr>
          <w:rFonts w:ascii="仿宋" w:hAnsi="仿宋" w:eastAsia="仿宋"/>
          <w:b/>
          <w:bCs/>
          <w:sz w:val="36"/>
          <w:szCs w:val="36"/>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 定义</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本合同中的下列词语应按以下内容进行解释：</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 “合同”系指采购人和中标供应商签订的载明双方当事人所达成的协议，并包括所有的附件、附录和构成合同的其他文件。</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2.1.2 “合同价”系指根据合同约定，中标供应商在完全履行合同义务后，采购人应支付给中标供应商的价格。</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 “货物”系指中标供应商根据合同约定应向采购人交付的一切各种形态和种类的物品，包括原材料、燃料、设备、机械、仪表、备件、计算机软件、产品等，并包括工具、手册等其他相关资料。</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2.1.4 “甲方”系指与中标供应商签署合同的采购人；采购人委托采购代理机构代表其与乙方签订合同的，采购人的授权委托书作为合同附件。</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2.1.5 “乙方”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 “现场”系指合同约定货物将要运至或者安装的地点。</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 技术规范</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2.3 知识产权</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2.3.2具有知识产权的计算机软件等货物的知识产权归属，详见合同专用条款。</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2.4 包装和装运</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2.4.1除合同专用条款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2.4.2 装运货物的要求和通知，详见合同专用条款。</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2.5 履约检查和问题反馈</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2.5.2 合同履行期间，甲方有权将履行过程中出现的问题反馈给乙方，双方当事人应以书面形式约定需要完善和改进的内容。</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2.6 结算方式和付款条件</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详见合同专用条款。</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2.7 技术资料和保密义务</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2.7.1 乙方有权依据合同约定和项目需要，向甲方了解有关情况，调阅有关资料等，甲方应予积极配合；</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2.7.2 乙方有义务妥善保管和保护由甲方提供的前款信息和资料等；</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2.8 质量保证</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2.8.1 乙方应建立和完善履行合同的内部质量保证体系，并提供相关内部规章制度给甲方，以便甲方进行监督检查；</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2.8.2 乙方应保证履行合同的人员数量和素质、软件和硬件设备的配置、场地、环境和设施等满足全面履行合同的要求，并应接受甲方的监督检查。</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2.9 货物的风险负担</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货物或者在途货物或者交付给第一承运人后的货物毁损、灭失的风险负担详见合同专用条款。</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2.10 延迟交货</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2.11 合同变更</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2.11.2 合同继续履行将损害国家利益和社会公共利益的，双方当事人应当以书面形式变更合同。有过错的一方应当承担赔偿责任，双方当事人都有过错的，各自承担相应的责任。</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2.12 合同转让和分包</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2.13 不可抗力</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2.13.1如果任何一方遭遇法律规定的不可抗力，致使合同履行受阻时，履行合同的期限应予延长，延长的期限应相当于不可抗力所影响的时间；</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2.13.2 因不可抗力致使不能实现合同目的的，当事人可以解除合同；</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2.13.3 因不可抗力致使合同有变更必要的，双方当事人应在合同专用条款约定时间内以书面形式变更合同；</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2.13.4受不可抗力影响的一方在不可抗力发生后，应在合同专用条款约定时间内以书面形式通知对方当事人，并在合同专用条款约定时间内，将有关部门出具的证明文件送达对方当事人。</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2.14 税费</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与合同有关的一切税费，均由乙方承担。</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2.15 乙方破产</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2.16 合同中止、终止</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2.16.1 双方当事人不得擅自中止或者终止合同；</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2.16.2合同继续履行将损害国家利益和社会公共利益的，双方当事人应当中止或者终止合同。有过错的一方应当承担赔偿责任，双方当事人都有过错的，各自承担相应的责任。</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2.17 检验和验收</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2.17.1货物交付前，乙方应对货物的质量、数量等方面进行详细、全面的检验，并向甲方出具证明货物符合合同约定的文件；货物交付时，乙方在合同专用条款约定时间内组织验收，并可依法邀请相关方参加，验收应出具验收书。</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2.17.3 检验和验收标准、程序等具体内容以及前述验收书的效力详见合同专用条款。</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2.18 通知和送达</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2.18.1 任何一方因履行合同而以合同第一部分尾部所列明的          发出的所有通知、文件、材料，均视为已向对方当事人送达；任何一方变更上述送达方式或者地址的，应于   个工作日内书面通知对方当事人，在对方当事人收到有关变更通知之前，变更前的约定送达方式或者地址仍视为有效。</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2.19 计量单位</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除技术规范中另有规定外，合同的计量单位均使用国家法定计量单位。</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2.20 合同使用的文字和适用的法律</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2.20.1 合同使用汉语书就、变更和解释；</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2.20.2 合同适用中华人民共和国法律。</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2.21 履约保证金</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2.21.1乙方应按合同专用条款约定的方式，以支票、汇票、本票或者金融机构、担保机构出具的保函等非现金形式，提交合同价</w:t>
      </w:r>
      <w:r>
        <w:rPr>
          <w:rFonts w:ascii="方正仿宋_GB2312" w:hAnsi="仿宋" w:eastAsia="方正仿宋_GB2312"/>
          <w:sz w:val="28"/>
          <w:szCs w:val="28"/>
          <w:u w:val="single"/>
        </w:rPr>
        <w:t xml:space="preserve">5</w:t>
      </w:r>
      <w:r>
        <w:rPr>
          <w:rFonts w:hint="eastAsia" w:ascii="方正仿宋_GB2312" w:hAnsi="仿宋" w:eastAsia="方正仿宋_GB2312"/>
          <w:sz w:val="28"/>
          <w:szCs w:val="28"/>
        </w:rPr>
        <w:t xml:space="preserve">%的履约保证金；</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2.21.2 项目终验通过后甲方将全部履约保证金退还乙方；</w:t>
      </w:r>
      <w:r>
        <w:rPr>
          <w:rFonts w:ascii="方正仿宋_GB2312" w:hAnsi="仿宋" w:eastAsia="方正仿宋_GB2312"/>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方正仿宋_GB2312" w:hAnsi="仿宋" w:eastAsia="方正仿宋_GB2312"/>
          <w:sz w:val="28"/>
          <w:szCs w:val="28"/>
        </w:rPr>
      </w:r>
      <w:r/>
    </w:p>
    <w:p>
      <w:pPr>
        <w:pStyle w:val="91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2.22 合同份数</w:t>
      </w:r>
      <w:r>
        <w:rPr>
          <w:rFonts w:ascii="方正仿宋_GB2312" w:hAnsi="仿宋" w:eastAsia="方正仿宋_GB2312"/>
          <w:b/>
          <w:bCs/>
          <w:sz w:val="28"/>
          <w:szCs w:val="28"/>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合同一式肆份，每份均具有同等法律效力。</w:t>
      </w:r>
      <w:r>
        <w:rPr>
          <w:rFonts w:ascii="方正仿宋_GB2312" w:hAnsi="仿宋" w:eastAsia="方正仿宋_GB2312"/>
          <w:sz w:val="28"/>
          <w:szCs w:val="28"/>
        </w:rPr>
      </w:r>
      <w:r/>
    </w:p>
    <w:p>
      <w:pPr>
        <w:pStyle w:val="911"/>
        <w:jc w:val="center"/>
        <w:spacing w:line="500" w:lineRule="exact"/>
        <w:widowControl/>
        <w:rPr>
          <w:rFonts w:ascii="仿宋" w:hAnsi="仿宋" w:eastAsia="仿宋"/>
          <w:b/>
          <w:bCs/>
          <w:sz w:val="36"/>
          <w:szCs w:val="36"/>
        </w:rPr>
      </w:pPr>
      <w:r>
        <w:rPr>
          <w:rFonts w:hint="eastAsia" w:ascii="方正仿宋_GB2312" w:hAnsi="仿宋" w:eastAsia="方正仿宋_GB2312"/>
          <w:sz w:val="28"/>
          <w:szCs w:val="28"/>
        </w:rPr>
        <w:br w:type="page" w:clear="all"/>
      </w:r>
      <w:bookmarkStart w:id="187" w:name="_Toc16487"/>
      <w:r/>
      <w:bookmarkStart w:id="188" w:name="_Toc71632273"/>
      <w:r/>
      <w:bookmarkStart w:id="189" w:name="_Toc49590163"/>
      <w:r>
        <w:rPr>
          <w:rFonts w:hint="eastAsia" w:ascii="仿宋" w:hAnsi="仿宋" w:eastAsia="仿宋"/>
          <w:b/>
          <w:bCs/>
          <w:sz w:val="36"/>
          <w:szCs w:val="36"/>
        </w:rPr>
        <w:t xml:space="preserve">第三部分</w:t>
      </w:r>
      <w:r>
        <w:rPr>
          <w:rFonts w:ascii="仿宋" w:hAnsi="仿宋" w:eastAsia="仿宋"/>
          <w:b/>
          <w:bCs/>
          <w:sz w:val="36"/>
          <w:szCs w:val="36"/>
        </w:rPr>
        <w:t xml:space="preserve"> </w:t>
      </w:r>
      <w:r>
        <w:rPr>
          <w:rFonts w:hint="eastAsia" w:ascii="仿宋" w:hAnsi="仿宋" w:eastAsia="仿宋"/>
          <w:b/>
          <w:bCs/>
          <w:sz w:val="36"/>
          <w:szCs w:val="36"/>
        </w:rPr>
        <w:t xml:space="preserve">合同专用条款</w:t>
      </w:r>
      <w:bookmarkEnd w:id="187"/>
      <w:r/>
      <w:bookmarkEnd w:id="188"/>
      <w:r/>
      <w:bookmarkEnd w:id="189"/>
      <w:r>
        <w:rPr>
          <w:rFonts w:ascii="仿宋" w:hAnsi="仿宋" w:eastAsia="仿宋"/>
          <w:b/>
          <w:bCs/>
          <w:sz w:val="36"/>
          <w:szCs w:val="36"/>
        </w:rPr>
      </w:r>
      <w:r/>
    </w:p>
    <w:p>
      <w:pPr>
        <w:pStyle w:val="91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ascii="方正仿宋_GB2312" w:hAnsi="仿宋" w:eastAsia="方正仿宋_GB2312"/>
          <w:sz w:val="28"/>
          <w:szCs w:val="28"/>
        </w:rPr>
      </w:r>
      <w:r/>
    </w:p>
    <w:tbl>
      <w:tblPr>
        <w:tblW w:w="8434"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7272"/>
      </w:tblGrid>
      <w:tr>
        <w:trPr>
          <w:trHeight w:val="391"/>
        </w:trPr>
        <w:tc>
          <w:tcPr>
            <w:tcW w:w="1162" w:type="dxa"/>
            <w:vAlign w:val="center"/>
            <w:textDirection w:val="lrTb"/>
            <w:noWrap w:val="false"/>
          </w:tcPr>
          <w:p>
            <w:pPr>
              <w:pStyle w:val="911"/>
              <w:jc w:val="center"/>
              <w:spacing w:line="500" w:lineRule="exact"/>
              <w:rPr>
                <w:rFonts w:ascii="方正仿宋_GB2312" w:hAnsi="仿宋" w:eastAsia="方正仿宋_GB2312"/>
                <w:b/>
                <w:bCs/>
                <w:sz w:val="24"/>
                <w:szCs w:val="24"/>
              </w:rPr>
            </w:pPr>
            <w:r>
              <w:rPr>
                <w:rFonts w:hint="eastAsia" w:ascii="方正仿宋_GB2312" w:hAnsi="仿宋" w:eastAsia="方正仿宋_GB2312"/>
                <w:b/>
                <w:bCs/>
                <w:sz w:val="24"/>
                <w:szCs w:val="24"/>
              </w:rPr>
              <w:t xml:space="preserve">条款号</w:t>
            </w:r>
            <w:r>
              <w:rPr>
                <w:rFonts w:ascii="方正仿宋_GB2312" w:hAnsi="仿宋" w:eastAsia="方正仿宋_GB2312"/>
                <w:b/>
                <w:bCs/>
                <w:sz w:val="24"/>
                <w:szCs w:val="24"/>
              </w:rPr>
            </w:r>
            <w:r/>
          </w:p>
        </w:tc>
        <w:tc>
          <w:tcPr>
            <w:tcW w:w="7272" w:type="dxa"/>
            <w:vAlign w:val="center"/>
            <w:textDirection w:val="lrTb"/>
            <w:noWrap w:val="false"/>
          </w:tcPr>
          <w:p>
            <w:pPr>
              <w:pStyle w:val="911"/>
              <w:jc w:val="center"/>
              <w:spacing w:line="500" w:lineRule="exact"/>
              <w:rPr>
                <w:rFonts w:ascii="方正仿宋_GB2312" w:hAnsi="仿宋" w:eastAsia="方正仿宋_GB2312"/>
                <w:b/>
                <w:bCs/>
                <w:sz w:val="24"/>
                <w:szCs w:val="24"/>
              </w:rPr>
            </w:pPr>
            <w:r>
              <w:rPr>
                <w:rFonts w:hint="eastAsia" w:ascii="方正仿宋_GB2312" w:hAnsi="仿宋" w:eastAsia="方正仿宋_GB2312"/>
                <w:b/>
                <w:bCs/>
                <w:sz w:val="24"/>
                <w:szCs w:val="24"/>
              </w:rPr>
              <w:t xml:space="preserve">约定内容</w:t>
            </w:r>
            <w:r>
              <w:rPr>
                <w:rFonts w:ascii="方正仿宋_GB2312" w:hAnsi="仿宋" w:eastAsia="方正仿宋_GB2312"/>
                <w:b/>
                <w:bCs/>
                <w:sz w:val="24"/>
                <w:szCs w:val="24"/>
              </w:rPr>
            </w:r>
            <w:r/>
          </w:p>
        </w:tc>
      </w:tr>
      <w:tr>
        <w:trPr>
          <w:trHeight w:val="88"/>
        </w:trPr>
        <w:tc>
          <w:tcPr>
            <w:tcW w:w="1162" w:type="dxa"/>
            <w:vAlign w:val="center"/>
            <w:textDirection w:val="lrTb"/>
            <w:noWrap w:val="false"/>
          </w:tcPr>
          <w:p>
            <w:pPr>
              <w:pStyle w:val="911"/>
              <w:jc w:val="center"/>
              <w:spacing w:line="500" w:lineRule="exact"/>
              <w:rPr>
                <w:rFonts w:ascii="方正仿宋_GB2312" w:hAnsi="仿宋" w:eastAsia="方正仿宋_GB2312"/>
                <w:sz w:val="24"/>
                <w:szCs w:val="24"/>
              </w:rPr>
            </w:pPr>
            <w:r>
              <w:rPr>
                <w:rFonts w:hint="eastAsia" w:ascii="方正仿宋_GB2312" w:hAnsi="仿宋" w:eastAsia="方正仿宋_GB2312"/>
                <w:sz w:val="24"/>
                <w:szCs w:val="24"/>
              </w:rPr>
              <w:t xml:space="preserve">1</w:t>
            </w:r>
            <w:r>
              <w:rPr>
                <w:rFonts w:ascii="方正仿宋_GB2312" w:hAnsi="仿宋" w:eastAsia="方正仿宋_GB2312"/>
                <w:sz w:val="24"/>
                <w:szCs w:val="24"/>
              </w:rPr>
            </w:r>
            <w:r/>
          </w:p>
        </w:tc>
        <w:tc>
          <w:tcPr>
            <w:tcW w:w="7272" w:type="dxa"/>
            <w:vAlign w:val="center"/>
            <w:textDirection w:val="lrTb"/>
            <w:noWrap w:val="false"/>
          </w:tcPr>
          <w:p>
            <w:pPr>
              <w:pStyle w:val="911"/>
              <w:spacing w:line="500" w:lineRule="exact"/>
              <w:rPr>
                <w:rFonts w:ascii="方正仿宋_GB2312" w:hAnsi="仿宋" w:eastAsia="方正仿宋_GB2312"/>
                <w:sz w:val="24"/>
                <w:szCs w:val="24"/>
              </w:rPr>
            </w:pPr>
            <w:r>
              <w:rPr>
                <w:rFonts w:hint="eastAsia" w:ascii="方正仿宋_GB2312" w:hAnsi="仿宋" w:eastAsia="方正仿宋_GB2312"/>
                <w:sz w:val="24"/>
                <w:szCs w:val="24"/>
              </w:rPr>
              <w:t xml:space="preserve">所有产品设备供货时，如甲方要求提供产品质量检验合格证明，乙方均需按要求提供，属于国家强制性产品认证目录范围的，必须经国家指定的认证机构认证合格，取得相关证书并加施认证标志。</w:t>
            </w:r>
            <w:r>
              <w:rPr>
                <w:rFonts w:ascii="方正仿宋_GB2312" w:hAnsi="仿宋" w:eastAsia="方正仿宋_GB2312"/>
                <w:sz w:val="24"/>
                <w:szCs w:val="24"/>
              </w:rPr>
            </w:r>
            <w:r/>
          </w:p>
        </w:tc>
      </w:tr>
      <w:tr>
        <w:trPr>
          <w:trHeight w:val="352"/>
        </w:trPr>
        <w:tc>
          <w:tcPr>
            <w:tcW w:w="1162" w:type="dxa"/>
            <w:vAlign w:val="center"/>
            <w:textDirection w:val="lrTb"/>
            <w:noWrap w:val="false"/>
          </w:tcPr>
          <w:p>
            <w:pPr>
              <w:pStyle w:val="911"/>
              <w:jc w:val="center"/>
              <w:spacing w:line="500" w:lineRule="exact"/>
              <w:rPr>
                <w:rFonts w:ascii="方正仿宋_GB2312" w:hAnsi="仿宋" w:eastAsia="方正仿宋_GB2312"/>
                <w:sz w:val="24"/>
                <w:szCs w:val="24"/>
              </w:rPr>
            </w:pPr>
            <w:r>
              <w:rPr>
                <w:rFonts w:hint="eastAsia" w:ascii="方正仿宋_GB2312" w:hAnsi="仿宋" w:eastAsia="方正仿宋_GB2312"/>
                <w:sz w:val="24"/>
                <w:szCs w:val="24"/>
              </w:rPr>
              <w:t xml:space="preserve">2</w:t>
            </w:r>
            <w:r>
              <w:rPr>
                <w:rFonts w:ascii="方正仿宋_GB2312" w:hAnsi="仿宋" w:eastAsia="方正仿宋_GB2312"/>
                <w:sz w:val="24"/>
                <w:szCs w:val="24"/>
              </w:rPr>
            </w:r>
            <w:r/>
          </w:p>
        </w:tc>
        <w:tc>
          <w:tcPr>
            <w:tcW w:w="7272" w:type="dxa"/>
            <w:vAlign w:val="center"/>
            <w:textDirection w:val="lrTb"/>
            <w:noWrap w:val="false"/>
          </w:tcPr>
          <w:p>
            <w:pPr>
              <w:pStyle w:val="911"/>
              <w:spacing w:line="500" w:lineRule="exact"/>
              <w:rPr>
                <w:rFonts w:hAnsi="仿宋"/>
                <w:b/>
                <w:bCs/>
                <w:sz w:val="24"/>
                <w:szCs w:val="24"/>
              </w:rPr>
            </w:pPr>
            <w:r>
              <w:rPr>
                <w:rFonts w:hint="eastAsia" w:ascii="方正仿宋_GB2312" w:hAnsi="仿宋" w:eastAsia="方正仿宋_GB2312"/>
                <w:sz w:val="24"/>
                <w:szCs w:val="24"/>
              </w:rPr>
              <w:t xml:space="preserve">本项目要求整体质保3年，质保期自本项目终验合格之日起计算。</w:t>
            </w:r>
            <w:r>
              <w:rPr>
                <w:rFonts w:hAnsi="仿宋"/>
                <w:b/>
                <w:bCs/>
                <w:sz w:val="24"/>
                <w:szCs w:val="24"/>
              </w:rPr>
            </w:r>
            <w:r/>
          </w:p>
        </w:tc>
      </w:tr>
      <w:tr>
        <w:trPr>
          <w:trHeight w:val="352"/>
        </w:trPr>
        <w:tc>
          <w:tcPr>
            <w:tcW w:w="1162" w:type="dxa"/>
            <w:vAlign w:val="center"/>
            <w:textDirection w:val="lrTb"/>
            <w:noWrap w:val="false"/>
          </w:tcPr>
          <w:p>
            <w:pPr>
              <w:pStyle w:val="911"/>
              <w:jc w:val="center"/>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3</w:t>
            </w:r>
            <w:r>
              <w:rPr>
                <w:rFonts w:hint="eastAsia" w:ascii="方正仿宋_GB2312" w:hAnsi="仿宋" w:eastAsia="方正仿宋_GB2312"/>
                <w:sz w:val="24"/>
                <w:szCs w:val="24"/>
              </w:rPr>
            </w:r>
            <w:r/>
          </w:p>
        </w:tc>
        <w:tc>
          <w:tcPr>
            <w:tcW w:w="7272" w:type="dxa"/>
            <w:vAlign w:val="center"/>
            <w:textDirection w:val="lrTb"/>
            <w:noWrap w:val="false"/>
          </w:tcPr>
          <w:p>
            <w:pPr>
              <w:pStyle w:val="91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乙方应采取必要的安全措施保证货物的运输及安装的安全，且须考虑到可能会发生的野蛮装卸、长途运输及多次装卸之需要。如因乙方包装不当以及其它原因造成损坏或丢失，应由乙方负一切责任。乙方发货到甲方指定地点前应先告知甲方。产品交货时，应提供到货产品、材料的清单等。</w:t>
            </w:r>
            <w:r>
              <w:rPr>
                <w:rFonts w:hint="eastAsia" w:ascii="方正仿宋_GB2312" w:hAnsi="仿宋" w:eastAsia="方正仿宋_GB2312"/>
                <w:sz w:val="24"/>
                <w:szCs w:val="24"/>
              </w:rPr>
            </w:r>
            <w:r/>
          </w:p>
        </w:tc>
      </w:tr>
      <w:tr>
        <w:trPr>
          <w:trHeight w:val="352"/>
        </w:trPr>
        <w:tc>
          <w:tcPr>
            <w:tcW w:w="1162" w:type="dxa"/>
            <w:vAlign w:val="center"/>
            <w:textDirection w:val="lrTb"/>
            <w:noWrap w:val="false"/>
          </w:tcPr>
          <w:p>
            <w:pPr>
              <w:pStyle w:val="911"/>
              <w:jc w:val="center"/>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4</w:t>
            </w:r>
            <w:r>
              <w:rPr>
                <w:rFonts w:hint="eastAsia" w:ascii="方正仿宋_GB2312" w:hAnsi="仿宋" w:eastAsia="方正仿宋_GB2312"/>
                <w:sz w:val="24"/>
                <w:szCs w:val="24"/>
              </w:rPr>
            </w:r>
            <w:r/>
          </w:p>
        </w:tc>
        <w:tc>
          <w:tcPr>
            <w:tcW w:w="7272" w:type="dxa"/>
            <w:vAlign w:val="center"/>
            <w:textDirection w:val="lrTb"/>
            <w:noWrap w:val="false"/>
          </w:tcPr>
          <w:p>
            <w:pPr>
              <w:pStyle w:val="91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受不可抗力影响的一方在不可抗力发生后，应在2个工作日内以书面形式通知对方当事人，并在5个工作日内，将有关部门出具的证明文件送达对方当事人。</w:t>
            </w:r>
            <w:r>
              <w:rPr>
                <w:rFonts w:hint="eastAsia" w:ascii="方正仿宋_GB2312" w:hAnsi="仿宋" w:eastAsia="方正仿宋_GB2312"/>
                <w:sz w:val="24"/>
                <w:szCs w:val="24"/>
              </w:rPr>
            </w:r>
            <w:r/>
          </w:p>
        </w:tc>
      </w:tr>
      <w:tr>
        <w:trPr>
          <w:trHeight w:val="4314"/>
        </w:trPr>
        <w:tc>
          <w:tcPr>
            <w:tcW w:w="1162" w:type="dxa"/>
            <w:vAlign w:val="center"/>
            <w:textDirection w:val="lrTb"/>
            <w:noWrap w:val="false"/>
          </w:tcPr>
          <w:p>
            <w:pPr>
              <w:pStyle w:val="911"/>
              <w:jc w:val="center"/>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5</w:t>
            </w:r>
            <w:r>
              <w:rPr>
                <w:rFonts w:hint="eastAsia" w:ascii="方正仿宋_GB2312" w:hAnsi="仿宋" w:eastAsia="方正仿宋_GB2312"/>
                <w:sz w:val="24"/>
                <w:szCs w:val="24"/>
              </w:rPr>
            </w:r>
            <w:r/>
          </w:p>
        </w:tc>
        <w:tc>
          <w:tcPr>
            <w:tcW w:w="7272" w:type="dxa"/>
            <w:vAlign w:val="center"/>
            <w:textDirection w:val="lrTb"/>
            <w:noWrap w:val="false"/>
          </w:tcPr>
          <w:p>
            <w:pPr>
              <w:pStyle w:val="91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乙方全部履约合同义务，经甲方验收合格无质量、进度等问题的，甲方在验收合格后一次性退还履约保证金；</w:t>
            </w:r>
            <w:r>
              <w:rPr>
                <w:rFonts w:hint="eastAsia" w:ascii="方正仿宋_GB2312" w:hAnsi="仿宋" w:eastAsia="方正仿宋_GB2312"/>
                <w:sz w:val="24"/>
                <w:szCs w:val="24"/>
              </w:rPr>
            </w:r>
            <w:r/>
          </w:p>
          <w:p>
            <w:pPr>
              <w:pStyle w:val="91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发生以下情况的，履约保证金不予退还或部分退还：</w:t>
            </w:r>
            <w:r>
              <w:rPr>
                <w:rFonts w:hint="eastAsia" w:ascii="方正仿宋_GB2312" w:hAnsi="仿宋" w:eastAsia="方正仿宋_GB2312"/>
                <w:sz w:val="24"/>
                <w:szCs w:val="24"/>
              </w:rPr>
            </w:r>
            <w:r/>
          </w:p>
          <w:p>
            <w:pPr>
              <w:pStyle w:val="91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a.签订合同后，乙方不履行合同义务的，甲方有权全额扣除履约保证金，全额不予退还，同时甲方亦有权终止合同，乙方还须承担相应的法律赔偿责任。</w:t>
            </w:r>
            <w:r>
              <w:rPr>
                <w:rFonts w:hint="eastAsia" w:ascii="方正仿宋_GB2312" w:hAnsi="仿宋" w:eastAsia="方正仿宋_GB2312"/>
                <w:sz w:val="24"/>
                <w:szCs w:val="24"/>
              </w:rPr>
            </w:r>
            <w:r/>
          </w:p>
          <w:p>
            <w:pPr>
              <w:pStyle w:val="91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b.乙方在履约过程中发生违约行为，给甲方造成损失的，甲方有权在乙方缴纳的履约保证金中予以扣款，以弥补甲方经济损失，不足的部分乙方另外补齐。</w:t>
            </w:r>
            <w:r>
              <w:rPr>
                <w:rFonts w:hint="eastAsia" w:ascii="方正仿宋_GB2312" w:hAnsi="仿宋" w:eastAsia="方正仿宋_GB2312"/>
                <w:sz w:val="24"/>
                <w:szCs w:val="24"/>
              </w:rPr>
            </w:r>
            <w:r/>
          </w:p>
        </w:tc>
      </w:tr>
    </w:tbl>
    <w:p>
      <w:pPr>
        <w:pStyle w:val="911"/>
      </w:pPr>
      <w:r/>
      <w:r/>
    </w:p>
    <w:p>
      <w:pPr>
        <w:pStyle w:val="911"/>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center"/>
        <w:spacing w:before="120" w:after="120" w:line="480" w:lineRule="exact"/>
        <w:rPr>
          <w:rFonts w:hint="eastAsia" w:ascii="黑体" w:hAnsi="Courier New" w:eastAsia="仿宋" w:cs="Courier New"/>
          <w:bCs/>
          <w:color w:val="000000"/>
          <w:sz w:val="44"/>
          <w:szCs w:val="21"/>
        </w:rPr>
        <w:outlineLvl w:val="0"/>
      </w:pPr>
      <w:r>
        <w:rPr>
          <w:rFonts w:hint="eastAsia" w:ascii="黑体" w:hAnsi="Courier New" w:eastAsia="黑体" w:cs="Courier New"/>
          <w:bCs/>
          <w:color w:val="000000"/>
          <w:sz w:val="44"/>
          <w:szCs w:val="21"/>
        </w:rPr>
        <w:br w:type="page" w:clear="all"/>
      </w:r>
      <w:r>
        <w:rPr>
          <w:rFonts w:hint="eastAsia" w:ascii="仿宋" w:hAnsi="仿宋" w:eastAsia="仿宋"/>
          <w:b/>
          <w:bCs/>
          <w:sz w:val="36"/>
          <w:szCs w:val="36"/>
        </w:rPr>
        <w:t xml:space="preserve">第四部分</w:t>
      </w:r>
      <w:r>
        <w:rPr>
          <w:rFonts w:ascii="仿宋" w:hAnsi="仿宋" w:eastAsia="仿宋"/>
          <w:b/>
          <w:bCs/>
          <w:sz w:val="36"/>
          <w:szCs w:val="36"/>
        </w:rPr>
        <w:t xml:space="preserve"> </w:t>
      </w:r>
      <w:r>
        <w:rPr>
          <w:rFonts w:hint="eastAsia" w:ascii="仿宋" w:hAnsi="仿宋" w:eastAsia="仿宋"/>
          <w:b/>
          <w:bCs/>
          <w:sz w:val="36"/>
          <w:szCs w:val="36"/>
        </w:rPr>
        <w:t xml:space="preserve">设备清单</w:t>
      </w:r>
      <w:r>
        <w:rPr>
          <w:rFonts w:hint="eastAsia" w:ascii="黑体" w:hAnsi="Courier New" w:eastAsia="仿宋" w:cs="Courier New"/>
          <w:bCs/>
          <w:color w:val="000000"/>
          <w:sz w:val="44"/>
          <w:szCs w:val="21"/>
        </w:rPr>
      </w:r>
      <w:r/>
    </w:p>
    <w:tbl>
      <w:tblPr>
        <w:tblW w:w="811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19"/>
        <w:gridCol w:w="1137"/>
        <w:gridCol w:w="1842"/>
        <w:gridCol w:w="993"/>
        <w:gridCol w:w="1134"/>
        <w:gridCol w:w="1590"/>
      </w:tblGrid>
      <w:tr>
        <w:trPr>
          <w:trHeight w:val="2"/>
        </w:trPr>
        <w:tc>
          <w:tcPr>
            <w:tcW w:w="1419" w:type="dxa"/>
            <w:vAlign w:val="top"/>
            <w:textDirection w:val="lrTb"/>
            <w:noWrap w:val="false"/>
          </w:tcPr>
          <w:p>
            <w:pPr>
              <w:pStyle w:val="91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产品名称</w:t>
            </w:r>
            <w:r>
              <w:rPr>
                <w:rFonts w:ascii="方正仿宋_GB2312" w:hAnsi="仿宋" w:eastAsia="方正仿宋_GB2312"/>
                <w:sz w:val="28"/>
                <w:szCs w:val="28"/>
              </w:rPr>
            </w:r>
            <w:r/>
          </w:p>
        </w:tc>
        <w:tc>
          <w:tcPr>
            <w:tcW w:w="1134" w:type="dxa"/>
            <w:vAlign w:val="top"/>
            <w:textDirection w:val="lrTb"/>
            <w:noWrap w:val="false"/>
          </w:tcPr>
          <w:p>
            <w:pPr>
              <w:pStyle w:val="91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品牌</w:t>
            </w:r>
            <w:r>
              <w:rPr>
                <w:rFonts w:ascii="方正仿宋_GB2312" w:hAnsi="仿宋" w:eastAsia="方正仿宋_GB2312"/>
                <w:sz w:val="28"/>
                <w:szCs w:val="28"/>
              </w:rPr>
            </w:r>
            <w:r/>
          </w:p>
        </w:tc>
        <w:tc>
          <w:tcPr>
            <w:tcW w:w="1842" w:type="dxa"/>
            <w:vAlign w:val="top"/>
            <w:textDirection w:val="lrTb"/>
            <w:noWrap w:val="false"/>
          </w:tcPr>
          <w:p>
            <w:pPr>
              <w:pStyle w:val="91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技术规格或型号</w:t>
            </w:r>
            <w:r>
              <w:rPr>
                <w:rFonts w:ascii="方正仿宋_GB2312" w:hAnsi="仿宋" w:eastAsia="方正仿宋_GB2312"/>
                <w:sz w:val="28"/>
                <w:szCs w:val="28"/>
              </w:rPr>
            </w:r>
            <w:r/>
          </w:p>
        </w:tc>
        <w:tc>
          <w:tcPr>
            <w:tcW w:w="993" w:type="dxa"/>
            <w:vAlign w:val="top"/>
            <w:textDirection w:val="lrTb"/>
            <w:noWrap w:val="false"/>
          </w:tcPr>
          <w:p>
            <w:pPr>
              <w:pStyle w:val="91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数量</w:t>
            </w:r>
            <w:r>
              <w:rPr>
                <w:rFonts w:ascii="方正仿宋_GB2312" w:hAnsi="仿宋" w:eastAsia="方正仿宋_GB2312"/>
                <w:sz w:val="28"/>
                <w:szCs w:val="28"/>
              </w:rPr>
            </w:r>
            <w:r/>
          </w:p>
        </w:tc>
        <w:tc>
          <w:tcPr>
            <w:tcW w:w="1134" w:type="dxa"/>
            <w:vAlign w:val="top"/>
            <w:textDirection w:val="lrTb"/>
            <w:noWrap w:val="false"/>
          </w:tcPr>
          <w:p>
            <w:pPr>
              <w:pStyle w:val="911"/>
              <w:jc w:val="center"/>
              <w:spacing w:before="151"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单价</w:t>
            </w:r>
            <w:r>
              <w:rPr>
                <w:rFonts w:ascii="方正仿宋_GB2312" w:hAnsi="仿宋" w:eastAsia="方正仿宋_GB2312"/>
                <w:sz w:val="28"/>
                <w:szCs w:val="28"/>
              </w:rPr>
            </w:r>
            <w:r/>
          </w:p>
        </w:tc>
        <w:tc>
          <w:tcPr>
            <w:tcW w:w="1587" w:type="dxa"/>
            <w:vAlign w:val="top"/>
            <w:textDirection w:val="lrTb"/>
            <w:noWrap w:val="false"/>
          </w:tcPr>
          <w:p>
            <w:pPr>
              <w:pStyle w:val="91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金额</w:t>
            </w:r>
            <w:r>
              <w:rPr>
                <w:rFonts w:ascii="方正仿宋_GB2312" w:hAnsi="仿宋" w:eastAsia="方正仿宋_GB2312"/>
                <w:sz w:val="28"/>
                <w:szCs w:val="28"/>
              </w:rPr>
            </w:r>
            <w:r/>
          </w:p>
        </w:tc>
      </w:tr>
      <w:tr>
        <w:trPr>
          <w:trHeight w:val="2"/>
        </w:trPr>
        <w:tc>
          <w:tcPr>
            <w:tcW w:w="1419"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91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gridSpan w:val="2"/>
            <w:tcW w:w="2556" w:type="dxa"/>
            <w:vAlign w:val="top"/>
            <w:textDirection w:val="lrTb"/>
            <w:noWrap w:val="false"/>
          </w:tcPr>
          <w:p>
            <w:pPr>
              <w:pStyle w:val="911"/>
              <w:jc w:val="left"/>
              <w:spacing w:before="148"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合同总金额</w:t>
            </w:r>
            <w:r>
              <w:rPr>
                <w:rFonts w:ascii="方正仿宋_GB2312" w:hAnsi="仿宋" w:eastAsia="方正仿宋_GB2312"/>
                <w:sz w:val="28"/>
                <w:szCs w:val="28"/>
              </w:rPr>
            </w:r>
            <w:r/>
          </w:p>
        </w:tc>
        <w:tc>
          <w:tcPr>
            <w:tcW w:w="1842" w:type="dxa"/>
            <w:vAlign w:val="top"/>
            <w:textDirection w:val="lrTb"/>
            <w:noWrap w:val="false"/>
          </w:tcPr>
          <w:p>
            <w:pPr>
              <w:pStyle w:val="911"/>
              <w:ind w:left="119"/>
              <w:jc w:val="left"/>
              <w:spacing w:before="149"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大写：</w:t>
            </w:r>
            <w:r>
              <w:rPr>
                <w:rFonts w:ascii="方正仿宋_GB2312" w:hAnsi="仿宋" w:eastAsia="方正仿宋_GB2312"/>
                <w:sz w:val="28"/>
                <w:szCs w:val="28"/>
              </w:rPr>
            </w:r>
            <w:r/>
          </w:p>
        </w:tc>
        <w:tc>
          <w:tcPr>
            <w:gridSpan w:val="3"/>
            <w:tcW w:w="3717" w:type="dxa"/>
            <w:vAlign w:val="top"/>
            <w:textDirection w:val="lrTb"/>
            <w:noWrap w:val="false"/>
          </w:tcPr>
          <w:p>
            <w:pPr>
              <w:pStyle w:val="911"/>
              <w:ind w:left="1369"/>
              <w:spacing w:before="148"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小写（￥）：</w:t>
            </w:r>
            <w:r>
              <w:rPr>
                <w:rFonts w:ascii="方正仿宋_GB2312" w:hAnsi="仿宋" w:eastAsia="方正仿宋_GB2312"/>
                <w:sz w:val="28"/>
                <w:szCs w:val="28"/>
              </w:rPr>
            </w:r>
            <w:r/>
          </w:p>
        </w:tc>
      </w:tr>
    </w:tbl>
    <w:p>
      <w:pPr>
        <w:pStyle w:val="911"/>
        <w:ind w:firstLine="562"/>
        <w:spacing w:line="460" w:lineRule="exact"/>
        <w:rPr>
          <w:rFonts w:ascii="方正仿宋_GB2312" w:hAnsi="仿宋" w:eastAsia="方正仿宋_GB2312"/>
          <w:sz w:val="28"/>
          <w:szCs w:val="28"/>
        </w:rPr>
      </w:pPr>
      <w:r>
        <w:rPr>
          <w:rFonts w:hint="eastAsia" w:ascii="方正仿宋_GB2312" w:hAnsi="仿宋" w:eastAsia="方正仿宋_GB2312"/>
          <w:b/>
          <w:bCs/>
          <w:sz w:val="28"/>
          <w:szCs w:val="28"/>
        </w:rPr>
        <w:t xml:space="preserve">上述合同总金额中包括产品的产品价、包装费、运输费、安装费、调试费、集成费、验收费、培训费、技术服务费（包括技术资料、图纸提供等）以及完成项目建设所必要的设备、材料、工具等，并包含伴随服务及因产品本身及供货相关的各种税金等全部费用。乙方确认，除非双方另有书面认可导致本合同总金额发生变化，否则甲方无须再为实现本合同目的另行支付任何费用。</w:t>
      </w:r>
      <w:r>
        <w:rPr>
          <w:rFonts w:ascii="方正仿宋_GB2312" w:hAnsi="仿宋" w:eastAsia="方正仿宋_GB2312"/>
          <w:sz w:val="28"/>
          <w:szCs w:val="28"/>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2"/>
      <w:r>
        <w:rPr>
          <w:rFonts w:hint="eastAsia" w:ascii="黑体" w:hAnsi="Courier New" w:eastAsia="黑体" w:cs="Courier New"/>
          <w:bCs/>
          <w:color w:val="000000"/>
          <w:sz w:val="44"/>
          <w:szCs w:val="21"/>
        </w:rPr>
        <w:t xml:space="preserve">四章 采购需求</w:t>
      </w:r>
      <w:bookmarkEnd w:id="173"/>
      <w:r/>
      <w:bookmarkEnd w:id="174"/>
      <w:r/>
      <w:bookmarkEnd w:id="175"/>
      <w:r>
        <w:rPr>
          <w:rFonts w:hint="eastAsia" w:ascii="宋体" w:hAnsi="宋体" w:cs="Courier New"/>
          <w:color w:val="000000"/>
          <w:sz w:val="24"/>
          <w:szCs w:val="24"/>
        </w:rPr>
      </w:r>
      <w:r/>
    </w:p>
    <w:p>
      <w:pPr>
        <w:pStyle w:val="911"/>
        <w:spacing w:line="480" w:lineRule="exact"/>
        <w:rPr>
          <w:rFonts w:hint="eastAsia" w:ascii="仿宋" w:hAnsi="仿宋" w:eastAsia="仿宋"/>
          <w:color w:val="000000"/>
          <w:sz w:val="28"/>
          <w:szCs w:val="28"/>
        </w:rPr>
      </w:pPr>
      <w:r/>
      <w:bookmarkStart w:id="190" w:name="_Toc26554093"/>
      <w:r/>
      <w:bookmarkStart w:id="191" w:name="_Toc49090575"/>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911"/>
        <w:spacing w:line="480" w:lineRule="exact"/>
        <w:rPr>
          <w:rFonts w:ascii="仿宋" w:hAnsi="仿宋" w:eastAsia="仿宋"/>
          <w:b/>
          <w:color w:val="000000"/>
          <w:sz w:val="28"/>
          <w:szCs w:val="28"/>
        </w:rPr>
        <w:outlineLvl w:val="1"/>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364"/>
        <w:gridCol w:w="2603"/>
        <w:gridCol w:w="436"/>
        <w:gridCol w:w="583"/>
        <w:gridCol w:w="1685"/>
        <w:gridCol w:w="1248"/>
        <w:gridCol w:w="1012"/>
        <w:gridCol w:w="1238"/>
      </w:tblGrid>
      <w:tr>
        <w:trPr>
          <w:trHeight w:val="45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序号</w:t>
            </w:r>
            <w:r>
              <w:rPr>
                <w:rFonts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采购标的</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单位</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数量</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对应中小企业划分标准所属行业</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91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是否为主要标的</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91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是否为政府强制采购节能产品</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91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备注</w:t>
            </w:r>
            <w:r>
              <w:rPr>
                <w:rFonts w:hint="eastAsia" w:ascii="仿宋" w:hAnsi="仿宋" w:eastAsia="仿宋" w:cs="仿宋"/>
                <w:b/>
                <w:bCs/>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综合布线</w:t>
            </w:r>
            <w:r>
              <w:rPr>
                <w:rFonts w:hint="eastAsia" w:ascii="仿宋" w:hAnsi="仿宋" w:eastAsia="仿宋" w:cs="仿宋"/>
                <w:b/>
                <w:bCs/>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一、前端部分（办公区域、会议室及公共区域，内网、外网、政务网）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单孔网络面板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双孔网络面板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六类非屏蔽模块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662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六类非屏蔽跳线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662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单口信息地插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双口信息地插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电话机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二、楼层弱电间机柜到信息点、信息点到中心机房线路（内网、设备网、外网、政务网）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24口六类非屏蔽配线架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六类非屏蔽跳线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1344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24口光纤配线架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LC-LC单模双芯光纤跳线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金属理线架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光纤熔接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110/RJ45语音跳线（语音）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机架式100对110型跳线架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4口光纤盒（监控）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机柜PDU</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三、机房部分（内网、设备网、外网、政务网）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24口光纤配线架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LC-LC单模双芯光纤跳线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机架式100对110型跳线架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金属理线架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光纤熔接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四、法庭设备到中心机房线路（内网、设备网）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六类低烟无卤非屏蔽网线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m</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7380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24口六类非屏蔽配线架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六类非屏蔽跳线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384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4口光纤盒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光纤熔接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金属理线架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五、消控室机柜到中心机房线路（设备网）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机柜PDU</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24口光纤配线架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光纤熔接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计算机网络</w:t>
            </w:r>
            <w:r>
              <w:rPr>
                <w:rFonts w:hint="eastAsia" w:ascii="仿宋" w:hAnsi="仿宋" w:eastAsia="仿宋" w:cs="仿宋"/>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一、内网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12口接入以太网交换机（法庭）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24口接入以太网交换机（法庭）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汇聚交换机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万兆单模光模块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二、设备网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8口POE接入以太网交换机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8口POE接入以太网交换机（法庭）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12口POE接入以太网交换机（法庭）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汇聚交换机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万兆单模光模块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三、外网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外网汇聚交换机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千兆单模光模块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四、政务网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政务网汇聚交换机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千兆单模光模块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五、专线服务</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专线服务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年</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视频监控</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一、前端设备（摄像头及相关安装用辅材）</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半球摄像机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室内筒型网络摄像机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筒机支架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室外筒型网络摄像机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室外监控立杆</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室外手孔井</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室外防水箱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插排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室外4芯光纤终端盒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屋顶制高点球机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球机支架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大模型周界网络摄像机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人脸半球摄像机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人脸枪机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枪机支架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电梯摄像机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法庭安防监控摄像机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监控集中供电电源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无线网桥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电梯轿厢开关电源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全向抗回声拾音器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音频适配器（拾音器专用滤波电源）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三眼插头</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强电插座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监控授权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282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二、后端设备（存储及相关智能化分析设备）</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人脸分析服务器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文搜型存储服务器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智能文搜应用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云存储服务器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硬盘录像机（法庭录像备份用）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解码器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操作台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安防平台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三、基础供电线路及施工</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监控电源线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23790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室外及地库监控电源线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路面开挖及恢复</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电子巡更</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巡更棒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巡更点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人员钮</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巡更底座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巡更管理模块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出入口控制</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一、门禁设备</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人脸门禁一体机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门禁电源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国密读卡器（消控室、中心机房各1个）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出门按钮（31个人脸门禁点，3个国密读卡器门禁点）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双门磁力锁</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双门磁力锁支架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单门磁力锁</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单门磁力锁支架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国密门禁控制器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国密卡片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张</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智能密码锁</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发卡器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二、基础供电及授权</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2145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开门按钮线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门锁线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门禁授权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三、梯控设备及配套供电线路</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人脸门禁一体机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门禁电源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梯控联动模块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梯控管理授权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梯控联动线1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梯控联动线2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停车场管理</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一、一进一出出入口</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抓拍显示一体机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道闸</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出入口控制终端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雷达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出入口车辆放行管理车道授权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车道</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安全岛</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安装调试</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二、混进混出出入口</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抓拍显示一体机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道闸</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出入口控制终端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雷达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出入口车辆放行管理车道授权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车道</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安全岛</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安装调试</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多媒体会议</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285750</wp:posOffset>
                      </wp:positionH>
                      <wp:positionV relativeFrom="paragraph">
                        <wp:posOffset>0</wp:posOffset>
                      </wp:positionV>
                      <wp:extent cx="1410970" cy="190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2.5pt;mso-position-horizontal:absolute;mso-position-vertical-relative:text;margin-top:0.0pt;mso-position-vertical:absolute;width:111.1pt;height:0.1pt;mso-wrap-distance-left:9.0pt;mso-wrap-distance-top:0.0pt;mso-wrap-distance-right:9.0pt;mso-wrap-distance-bottom:0.0pt;" stroked="f">
                      <v:path textboxrect="0,0,0,0"/>
                      <v:imagedata r:id="rId12"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000000"/>
                <w:sz w:val="20"/>
                <w:szCs w:val="20"/>
                <w:lang w:bidi="ar"/>
              </w:rPr>
              <w:t xml:space="preserve">一、一层大厅</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1、专业扩声系统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真分集无线一拖二手持话筒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16路天线放大器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天线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中继放大器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延长线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音柱支架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吸顶扬声器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吸顶扬声器功放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数字音频处理器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8路智能电源时序器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14"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285750</wp:posOffset>
                      </wp:positionH>
                      <wp:positionV relativeFrom="paragraph">
                        <wp:posOffset>0</wp:posOffset>
                      </wp:positionV>
                      <wp:extent cx="1410970" cy="190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22.5pt;mso-position-horizontal:absolute;mso-position-vertical-relative:text;margin-top:0.0pt;mso-position-vertical:absolute;width:111.1pt;height:0.1pt;mso-wrap-distance-left:9.0pt;mso-wrap-distance-top:0.0pt;mso-wrap-distance-right:9.0pt;mso-wrap-distance-bottom:0.0pt;" stroked="f">
                      <v:path textboxrect="0,0,0,0"/>
                      <v:imagedata r:id="rId15" o:title=""/>
                    </v:shape>
                  </w:pict>
                </mc:Fallback>
              </mc:AlternateContent>
            </w:r>
            <w:r>
              <w:rPr>
                <w:rFonts w:hint="eastAsia" w:ascii="宋体" w:hAnsi="宋体" w:cs="宋体"/>
                <w:b/>
                <w:bCs/>
                <w:color w:val="000000"/>
                <w:sz w:val="20"/>
                <w:szCs w:val="20"/>
                <w:lang w:bidi="ar"/>
              </w:rPr>
              <w:t xml:space="preserve">2、会议设备专用线缆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285750</wp:posOffset>
                      </wp:positionH>
                      <wp:positionV relativeFrom="paragraph">
                        <wp:posOffset>0</wp:posOffset>
                      </wp:positionV>
                      <wp:extent cx="1410970" cy="190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22.5pt;mso-position-horizontal:absolute;mso-position-vertical-relative:text;margin-top:0.0pt;mso-position-vertical:absolute;width:111.1pt;height:0.1pt;mso-wrap-distance-left:9.0pt;mso-wrap-distance-top:0.0pt;mso-wrap-distance-right:9.0pt;mso-wrap-distance-bottom:0.0pt;" stroked="f">
                      <v:path textboxrect="0,0,0,0"/>
                      <v:imagedata r:id="rId16"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17" o:title=""/>
                    </v:shape>
                  </w:pict>
                </mc:Fallback>
              </mc:AlternateContent>
            </w:r>
            <w:r>
              <w:rPr>
                <w:rFonts w:hint="eastAsia" w:ascii="宋体" w:hAnsi="宋体" w:cs="宋体"/>
                <w:b/>
                <w:bCs/>
                <w:color w:val="000000"/>
                <w:sz w:val="20"/>
                <w:szCs w:val="20"/>
                <w:lang w:bidi="ar"/>
              </w:rPr>
              <w:t xml:space="preserve">二、1F1间洽谈室+2F企业并购与重组专家室/企业重组协调工作室+3F党建阵地+3F/4F/5F14间合议室，共18间</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1、显示系统</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落地移动支架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2905760" cy="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9057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0.0pt;mso-position-horizontal:absolute;mso-position-vertical-relative:text;margin-top:0.0pt;mso-position-vertical:absolute;width:228.8pt;height:0.0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投屏器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19"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285750</wp:posOffset>
                      </wp:positionH>
                      <wp:positionV relativeFrom="paragraph">
                        <wp:posOffset>0</wp:posOffset>
                      </wp:positionV>
                      <wp:extent cx="1379855" cy="190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22.5pt;mso-position-horizontal:absolute;mso-position-vertical-relative:text;margin-top:0.0pt;mso-position-vertical:absolute;width:108.6pt;height:0.1pt;mso-wrap-distance-left:9.0pt;mso-wrap-distance-top:0.0pt;mso-wrap-distance-right:9.0pt;mso-wrap-distance-bottom:0.0pt;" stroked="f">
                      <v:path textboxrect="0,0,0,0"/>
                      <v:imagedata r:id="rId20" o:title=""/>
                    </v:shape>
                  </w:pict>
                </mc:Fallback>
              </mc:AlternateContent>
            </w:r>
            <w:r>
              <w:rPr>
                <w:rFonts w:hint="eastAsia" w:ascii="宋体" w:hAnsi="宋体" w:cs="宋体"/>
                <w:b/>
                <w:bCs/>
                <w:color w:val="000000"/>
                <w:sz w:val="20"/>
                <w:szCs w:val="20"/>
                <w:lang w:bidi="ar"/>
              </w:rPr>
              <w:t xml:space="preserve">三、1F信息中心</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1、发言系统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会议系统主机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高保真带显示短杆主席单元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高保真短杆代表单元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会议系统地插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真分集无线一拖二手持话筒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天线放大器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2、扩声系统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全频主扩音箱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全频辅助音箱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全频主扩音箱功放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全频辅助音箱功放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调音台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数字音频处理器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AI反馈抑制增益器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智能时序电源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3、集中控制系统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网络中控主机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网络中控系统逻辑处理内嵌软件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1021080" cy="25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1379855" cy="190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color w:val="000000"/>
                <w:sz w:val="18"/>
                <w:szCs w:val="18"/>
                <w:lang w:bidi="ar"/>
              </w:rPr>
              <w:t xml:space="preserve">无线触摸控制屏</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可视化编程软件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1021080" cy="254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1379855" cy="190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color w:val="000000"/>
                <w:sz w:val="18"/>
                <w:szCs w:val="18"/>
                <w:lang w:bidi="ar"/>
              </w:rPr>
              <w:t xml:space="preserve">无线路由器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控制器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4、会议设备专用线缆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多媒体插座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8芯手拉手会议话筒线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25"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285750</wp:posOffset>
                      </wp:positionH>
                      <wp:positionV relativeFrom="paragraph">
                        <wp:posOffset>0</wp:posOffset>
                      </wp:positionV>
                      <wp:extent cx="1379855" cy="19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22.5pt;mso-position-horizontal:absolute;mso-position-vertical-relative:text;margin-top:0.0pt;mso-position-vertical:absolute;width:108.6pt;height:0.1pt;mso-wrap-distance-left:9.0pt;mso-wrap-distance-top:0.0pt;mso-wrap-distance-right:9.0pt;mso-wrap-distance-bottom:0.0pt;" stroked="f">
                      <v:path textboxrect="0,0,0,0"/>
                      <v:imagedata r:id="rId26" o:title=""/>
                    </v:shape>
                  </w:pict>
                </mc:Fallback>
              </mc:AlternateContent>
            </w:r>
            <w:r>
              <w:rPr>
                <w:rFonts w:hint="eastAsia" w:ascii="宋体" w:hAnsi="宋体" w:cs="宋体"/>
                <w:b/>
                <w:bCs/>
                <w:color w:val="000000"/>
                <w:sz w:val="20"/>
                <w:szCs w:val="20"/>
                <w:lang w:bidi="ar"/>
              </w:rPr>
              <w:t xml:space="preserve">四、2F视频会议室</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1、发言系统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会议系统主机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高保真带显示短杆主席单元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高保真短杆代表单元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会议系统地插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真分集无线一拖二手持话筒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天线放大器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2、扩声系统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全频主扩音箱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全频辅助音箱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全频主扩音箱功放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全频辅助音箱功放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调音台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数字音频处理器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AI反馈抑制增益器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智能时序电源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3、集中控制系统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网络中控主机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网络中控系统逻辑处理内嵌软件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1379855" cy="190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1021080" cy="25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color w:val="000000"/>
                <w:sz w:val="18"/>
                <w:szCs w:val="18"/>
                <w:lang w:bidi="ar"/>
              </w:rPr>
              <w:t xml:space="preserve">无线触摸控制屏</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可视化编程软件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1021080" cy="254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29" o:title=""/>
                    </v:shape>
                  </w:pict>
                </mc:Fallback>
              </mc:AlternateContent>
            </w: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1379855" cy="190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color w:val="000000"/>
                <w:sz w:val="18"/>
                <w:szCs w:val="18"/>
                <w:lang w:bidi="ar"/>
              </w:rPr>
              <w:t xml:space="preserve">无线路由器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控制器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4、会议设备专用线缆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多媒体插座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8芯手拉手会议话筒线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285750</wp:posOffset>
                      </wp:positionH>
                      <wp:positionV relativeFrom="paragraph">
                        <wp:posOffset>0</wp:posOffset>
                      </wp:positionV>
                      <wp:extent cx="1410970" cy="190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22.5pt;mso-position-horizontal:absolute;mso-position-vertical-relative:text;margin-top:0.0pt;mso-position-vertical:absolute;width:111.1pt;height:0.1pt;mso-wrap-distance-left:9.0pt;mso-wrap-distance-top:0.0pt;mso-wrap-distance-right:9.0pt;mso-wrap-distance-bottom:0.0pt;" stroked="f">
                      <v:path textboxrect="0,0,0,0"/>
                      <v:imagedata r:id="rId31"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285750</wp:posOffset>
                      </wp:positionH>
                      <wp:positionV relativeFrom="paragraph">
                        <wp:posOffset>0</wp:posOffset>
                      </wp:positionV>
                      <wp:extent cx="1379855" cy="190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22.5pt;mso-position-horizontal:absolute;mso-position-vertical-relative:text;margin-top:0.0pt;mso-position-vertical:absolute;width:108.6pt;height:0.1pt;mso-wrap-distance-left:9.0pt;mso-wrap-distance-top:0.0pt;mso-wrap-distance-right:9.0pt;mso-wrap-distance-bottom:0.0pt;" stroked="f">
                      <v:path textboxrect="0,0,0,0"/>
                      <v:imagedata r:id="rId32"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33" o:title=""/>
                    </v:shape>
                  </w:pict>
                </mc:Fallback>
              </mc:AlternateContent>
            </w:r>
            <w:r>
              <w:rPr>
                <w:rFonts w:hint="eastAsia" w:ascii="宋体" w:hAnsi="宋体" w:cs="宋体"/>
                <w:b/>
                <w:bCs/>
                <w:color w:val="000000"/>
                <w:sz w:val="20"/>
                <w:szCs w:val="20"/>
                <w:lang w:bidi="ar"/>
              </w:rPr>
              <w:t xml:space="preserve">五、视频会议系统（二楼会议室）</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视频会议终端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视频会议高清摄像机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视频会议电视墙</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视频超高清解码单元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信息发布</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一、一层展示显示系统（知识产权司法保护中心服务大厅）</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电视机信息发布盒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二、一层企业全周期司法服务中心</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信息发布管理服务器软件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壁挂信息发布屏（含多媒体播放终端软件）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三、一层业务自助办理台</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壁挂触摸一体机（电容）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91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出入口安检</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一、访客通道</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智能X射线检查系统</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智能金属探测门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手持金属探测器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鞋底金属探测仪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二、门厅到服务大厅闸机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人行闸机（2通道）</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三、门厅入口闸机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人行闸机（2通道）</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律师一码通扫码头</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律师一码通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四、智能储物柜</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智能储物柜（存包柜）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智能储物柜（手机存放柜）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数字法庭</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一、支云庭审系统（为全部法庭提供画面融合能力）</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画面融合服务器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二、2层大法庭1间（7台一体机、其中法官席位5台（五人制法官席位）、原被告席位各1台）</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（一）、语音转写系统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语音转写声卡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语音转写服务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（二）、电子质证显示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电子质证应用系统</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庭审公告终端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多功能打印机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庭审触摸一体机（电动翻转）</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书记员显示器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定制化电视机电动折叠支架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壁挂伸缩架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无线键鼠</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智能签字板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（三）、庭审话筒系统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高保真网络心型嵌入话筒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高保真网络桌面话筒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AI网络音频处理器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8路智能电源时序器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庭审高清图像无缝切换矩阵</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（四）、庭审录像系统及其他</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全景备份摄像机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全向数字降噪拾音器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音频适配器（拾音器专用滤波电源）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拾音器专用混音器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（五）、中控系统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中控控制主机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有线控制面板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灯光控制模块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（六）、法庭内设备线缆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音频线（话筒用）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电源线A</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电源线B</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拖线板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三、3层大法庭1间中小法庭4间（1间大法庭使用7台一体机，其中法官席位5台（五人制法官席位）、原被告席位各1台；4间中小法庭共使用20台一体机，其中法官席位各3台、原被告席位各1台；）</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（一）、语音转写系统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语音转写声卡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语音转写服务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（二）、电子质证显示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电子质证应用系统</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庭审公告终端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多功能打印机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庭审触摸一体机（电动翻转）</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书记员显示器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定制化电视机电动折叠支架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无线键鼠</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智能签字板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（三）、庭审话筒系统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高保真网络心型嵌入话筒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高保真网络桌面话筒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AI网络音频处理器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8路智能电源时序器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庭审高清图像无缝切换矩阵</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（四）、庭审录像系统及其他</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全景备份摄像机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全向数字降噪拾音器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音频适配器（拾音器专用滤波电源）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拾音器专用混音器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信号屏蔽仪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（五）、中控系统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中控控制主机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有线控制面板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灯光控制模块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（六）、录音信号屏蔽设备</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吸顶嵌入式录音干扰设备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墙面隐藏式录音干扰设备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侧面式录音干扰设备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预备嵌入式录音干扰设备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预留信号屏蔽设备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信号屏蔽器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开关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（七）、法庭内设备线缆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音频线（话筒用）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电源线A</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电源线B</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拖线板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四、4、5层大法庭2间中小法庭8间（2间大法庭（五人制席位），各用5台庭审显示器；8间中小法庭（三人制席位），各用3台庭审显示器；各法庭原被告席位各用2台庭审显示器）</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（一）、语音转写系统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语音转写声卡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语音转写服务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（二）、电子质证显示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电子质证应用系统</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庭审公告终端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多功能打印机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法官（当事人）席位显示器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书记员显示器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无线键鼠</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分屏器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分屏器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智能签字板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（三）、庭审话筒系统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高保真网络心型嵌入话筒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高保真网络桌面话筒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AI网络音频处理器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8路智能电源时序器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庭审高清图像无缝切换矩阵</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（四）、庭审录像系统及其他</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全景备份摄像机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全向数字降噪拾音器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音频适配器（拾音器专用滤波电源）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拾音器专用混音器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（五）、中控系统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中控控制主机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有线控制面板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灯光控制模块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（六）、法庭内设备线缆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音频线（话筒用）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电源线A</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电源线B</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拖线板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五、管网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桥架200*100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配管JDG20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配管JDG25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配管JDG32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六、法庭可视化运维</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可视化运维服务器（含运维软件）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shd w:val="clear" w:color="auto" w:fill="ffff00"/>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b/>
                <w:bCs/>
                <w:color w:val="ff0000"/>
                <w:sz w:val="22"/>
              </w:rPr>
            </w:pPr>
            <w:r>
              <w:rPr>
                <w:rFonts w:hint="eastAsia" w:ascii="仿宋" w:hAnsi="仿宋" w:eastAsia="仿宋" w:cs="仿宋"/>
                <w:b/>
                <w:bCs/>
                <w:color w:val="ff0000"/>
                <w:sz w:val="22"/>
                <w:lang w:bidi="ar"/>
              </w:rPr>
              <w:t xml:space="preserve">是</w:t>
            </w:r>
            <w:r>
              <w:rPr>
                <w:rFonts w:hint="eastAsia" w:ascii="仿宋" w:hAnsi="仿宋" w:eastAsia="仿宋" w:cs="仿宋"/>
                <w:b/>
                <w:bCs/>
                <w:color w:val="ff0000"/>
                <w:sz w:val="22"/>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公共广播</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一、设备</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IP网络广播控制主机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IP网络广播系统软件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CD播放器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数字调谐器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IP网络消防报警矩阵</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IP网络音频采集器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网络寻呼话筒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监听音箱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2905760" cy="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29057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0.0pt;mso-position-horizontal:absolute;mso-position-vertical-relative:text;margin-top:0.0pt;mso-position-vertical:absolute;width:228.8pt;height:0.0pt;mso-wrap-distance-left:9.0pt;mso-wrap-distance-top:0.0pt;mso-wrap-distance-right:9.0pt;mso-wrap-distance-bottom:0.0pt;" stroked="f">
                      <v:path textboxrect="0,0,0,0"/>
                      <v:imagedata r:id="rId34" o:title=""/>
                    </v:shape>
                  </w:pict>
                </mc:Fallback>
              </mc:AlternateContent>
            </w: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2905760" cy="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29057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0.0pt;mso-position-horizontal:absolute;mso-position-vertical-relative:text;margin-top:0.0pt;mso-position-vertical:absolute;width:228.8pt;height:0.0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1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二、广播专用线</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广播线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m</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1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bl>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二、政府采购中实施本国产品标准及相关政策</w:t>
      </w:r>
      <w:r>
        <w:rPr>
          <w:rFonts w:hint="eastAsia" w:ascii="仿宋" w:hAnsi="仿宋" w:eastAsia="仿宋"/>
          <w:b/>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1.本项目对采购本国产品给予政策支持，具体内容见招标文件“第五章 评标方法与评标标准”。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bCs/>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911"/>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品目清单见《关于印发环境标志产品政府采购品目清单的通知》（财库〔2019〕18号）、《关于印发节能产品政府采购品目清单的通知》（财库〔2019〕19号）。</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bCs/>
          <w:color w:val="000000"/>
          <w:sz w:val="28"/>
          <w:szCs w:val="28"/>
        </w:rPr>
      </w:r>
      <w:r/>
    </w:p>
    <w:p>
      <w:pPr>
        <w:pStyle w:val="912"/>
        <w:numPr>
          <w:ilvl w:val="0"/>
          <w:numId w:val="0"/>
        </w:numPr>
        <w:jc w:val="both"/>
        <w:rPr>
          <w:rFonts w:hint="eastAsia"/>
          <w:b/>
          <w:bCs/>
        </w:rPr>
      </w:pPr>
      <w:r/>
      <w:bookmarkStart w:id="192" w:name="_Toc25540"/>
      <w:r>
        <w:rPr>
          <w:rFonts w:hint="eastAsia"/>
          <w:b/>
          <w:bCs/>
        </w:rPr>
        <w:t xml:space="preserve">技术参数要求</w:t>
      </w:r>
      <w:bookmarkEnd w:id="192"/>
      <w:r>
        <w:rPr>
          <w:rFonts w:hint="eastAsia"/>
          <w:b/>
          <w:bCs/>
        </w:rPr>
      </w:r>
      <w:r/>
    </w:p>
    <w:p>
      <w:pPr>
        <w:pStyle w:val="913"/>
        <w:rPr>
          <w:rFonts w:hint="eastAsia"/>
        </w:rPr>
      </w:pPr>
      <w:r/>
      <w:bookmarkStart w:id="193" w:name="_Toc6186"/>
      <w:r>
        <w:rPr>
          <w:rFonts w:hint="eastAsia"/>
        </w:rPr>
        <w:t xml:space="preserve">综合布线</w:t>
      </w:r>
      <w:bookmarkEnd w:id="193"/>
      <w:r>
        <w:rPr>
          <w:rFonts w:hint="eastAsia"/>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830"/>
        <w:gridCol w:w="1426"/>
        <w:gridCol w:w="5156"/>
        <w:gridCol w:w="876"/>
        <w:gridCol w:w="874"/>
      </w:tblGrid>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64"/>
        </w:trPr>
        <w:tc>
          <w:tcPr>
            <w:gridSpan w:val="4"/>
            <w:tcBorders>
              <w:top w:val="single" w:color="000000" w:sz="4" w:space="0"/>
              <w:left w:val="single" w:color="000000" w:sz="4" w:space="0"/>
              <w:bottom w:val="single" w:color="000000" w:sz="4" w:space="0"/>
              <w:right w:val="single" w:color="000000" w:sz="4" w:space="0"/>
            </w:tcBorders>
            <w:tcW w:w="8288"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一、前端部分（办公区域、会议室及公共区域，内网、外网、政务网）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229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单孔网络面板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1、使用ABS材料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2、材料：PC或ABS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3、颜色：瓷白色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4、面板与模块的插合次数≥1000次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5、储存温度：-40℃～80℃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6、工作温度：-30℃～70℃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7、工作湿度：&lt;95%相对湿度</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153</w:t>
            </w:r>
            <w:r>
              <w:rPr>
                <w:rFonts w:hint="eastAsia" w:ascii="方正仿宋_GBK" w:hAnsi="方正仿宋_GBK" w:eastAsia="方正仿宋_GBK" w:cs="方正仿宋_GBK"/>
                <w:color w:val="000000"/>
                <w:sz w:val="20"/>
                <w:szCs w:val="20"/>
              </w:rPr>
            </w:r>
            <w:r/>
          </w:p>
        </w:tc>
      </w:tr>
      <w:tr>
        <w:trPr>
          <w:trHeight w:val="35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双孔网络面板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1、使用ABS材料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2、材料：PC或ABS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3、颜色：瓷白色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4、面板与模块的插合次数≥1000次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5、储存温度：-40℃～80℃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6、工作温度：-30℃～70℃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7、工作湿度：&lt;95%相对湿度</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207</w:t>
            </w:r>
            <w:r>
              <w:rPr>
                <w:rFonts w:hint="eastAsia" w:ascii="方正仿宋_GBK" w:hAnsi="方正仿宋_GBK" w:eastAsia="方正仿宋_GBK" w:cs="方正仿宋_GBK"/>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六类非屏蔽模块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1、传输带宽：250MHz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2、支持速率：1000Mbps 千兆，兼容 2.5G；短距离可支持 10G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3、执行标准：TIA568.2-D、ISO/IEC11801、YD/T926.3；</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4、线序：支持 T568A / T568B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5、适配网线：22～24AWG（0.5～0.6mm）六类双绞线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6、端接形式：180° 打线款 / 免工具款（地插常用 180°）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662</w:t>
            </w:r>
            <w:r>
              <w:rPr>
                <w:rFonts w:hint="eastAsia" w:ascii="方正仿宋_GBK" w:hAnsi="方正仿宋_GBK" w:eastAsia="方正仿宋_GBK" w:cs="方正仿宋_GBK"/>
                <w:color w:val="000000"/>
                <w:sz w:val="20"/>
                <w:szCs w:val="20"/>
              </w:rPr>
            </w:r>
            <w:r/>
          </w:p>
        </w:tc>
      </w:tr>
      <w:tr>
        <w:trPr>
          <w:trHeight w:val="112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六类非屏蔽跳线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1、标准RJ45至RJ45跳线；长度2米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2、符合T568A和T568B线序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3、采用六类多股屏蔽阻燃线缆和六类RJ45水晶头制作而成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4、工厂化端接工艺采用自动剥线设备和专用气动端接设备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5、六类水晶头应采用物理线缆隔离技术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662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单口信息地插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1、面板：材质铜合金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2、内部基座：阻燃 PC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3、导电弹片：锡磷青铜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4、开启方式：普通弹起式 / 阻尼缓起式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5、闭合状态防护：IP44（防溅水、防尘）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6、开启状态：IP30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7、抗压：常规≥3000N，可供行人正常踩踏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8、配置：带橡胶密封圈、儿童防触电保护门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双口信息地插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1、面板：材质铜合金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2、内部基座：阻燃 PC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3、导电弹片：锡磷青铜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4、开启方式：普通弹起式 / 阻尼缓起式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5、闭合状态防护：IP44（防溅水、防尘）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6、开启状态：IP30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7、抗压：常规≥3000N，可供行人正常踩踏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8、配置：带橡胶密封圈、儿童防触电保护门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电话机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1、清晰通话</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2、免提通话，音量可调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3、来电显示，亮度调节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4、来去电查询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5、大按键拨号</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464"/>
        </w:trPr>
        <w:tc>
          <w:tcPr>
            <w:gridSpan w:val="4"/>
            <w:tcBorders>
              <w:top w:val="single" w:color="000000" w:sz="4" w:space="0"/>
              <w:left w:val="single" w:color="000000" w:sz="4" w:space="0"/>
              <w:bottom w:val="single" w:color="000000" w:sz="4" w:space="0"/>
              <w:right w:val="none" w:color="000000" w:sz="4" w:space="0"/>
            </w:tcBorders>
            <w:tcW w:w="8288"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二、楼层弱电间机柜到信息点、信息点到中心机房线路（内网、设备网、外网、政务网）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24口六类非屏蔽配线架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1、24口RJ45配线架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2、六类非屏蔽配线架采用模块化设计，每个模块能够单独拆卸，配合六类非屏蔽铜缆和六类屏蔽模块可以组成高性价比的六类非屏蔽水平信道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六类非屏蔽跳线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1、标准RJ45至RJ45跳线；长度2米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2、符合T568A和T568B线序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3、采用六类多股屏蔽阻燃线缆和六类RJ45水晶头制作而成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4、工厂化端接工艺采用自动剥线设备和专用气动端接设备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5、六类水晶头应采用物理线缆隔离技术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1344</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24口光纤配线架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1、24口光纤配线架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778-2011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3、墙挂式终端盒，冷轧板材料，静电喷涂，全密封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4、集光缆、尾纤接续、尾纤、跳线收容等功能为一体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LC-LC单模双芯光纤跳线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1、LC-LC单模双芯光纤跳线；3米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1272 系列现行有效版本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3、接头材料：氧化锆陶瓷插芯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4、插入损耗（含重复性）：≤0.2dB；回波损耗：≥50dB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5、重复性：≤0.1dB；互换性：≤0.2dB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6、插拔次数：≥1000 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140</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金属理线架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1、金属理线架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2、采用冷轧钢板钢板部分采用静电粉末喷涂，表面可脱卸的安装面板设计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3、1U标准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74</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312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110/RJ45语音跳线（语音）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1、110/RJ45语音跳线，长度2m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2、采用六类屏蔽阻燃线缆和六类RJ45水晶头制做而成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3、工厂化端接工艺采用自动剥线设备和专用气动端接设备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4、六类水晶头应采用物理线缆隔离技术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163</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机架式100对110型跳线架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一、容量：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1、100 对线（语音电话专用）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2、机架标准：19 英寸标准机柜，1U 高度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二、适配线缆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1、适用线规：22~26AWG（0.4~0.64mm）语音大对数电缆高岘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2、配套：4 对、5 对 110 连接块</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三、材质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1、底座框架：加厚冷轧钢板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2、打线 IDC 端子：磷青铜镀金（抗氧化、接触稳定）</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3、塑料基座：阻燃 PC（UL94-V0）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四、机械性能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1、插拔 / 打线耐久：≥250 次无接触不良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4口光纤盒（监控）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1、4口光纤盒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2、采用冷轧钢板钢板部分采用静电粉末喷涂，避免划伤，表面可脱卸的安装面板设计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规格：600*600*2000mm，42U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16位 10A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r>
      <w:tr>
        <w:trPr>
          <w:trHeight w:val="464"/>
        </w:trPr>
        <w:tc>
          <w:tcPr>
            <w:gridSpan w:val="4"/>
            <w:tcBorders>
              <w:top w:val="single" w:color="000000" w:sz="4" w:space="0"/>
              <w:left w:val="single" w:color="000000" w:sz="4" w:space="0"/>
              <w:bottom w:val="single" w:color="000000" w:sz="4" w:space="0"/>
              <w:right w:val="none" w:color="000000" w:sz="4" w:space="0"/>
            </w:tcBorders>
            <w:tcW w:w="8288"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三、机房部分（内网、设备网、外网、政务网）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24口光纤配线架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1、24口光纤配线架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778-2011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3、墙挂式终端盒，冷轧板材料，静电喷涂，全密封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4、集光缆、尾纤接续、尾纤、跳线收容等功能为一体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17</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LC-LC单模双芯光纤跳线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1、LC-LC单模双芯光纤跳线；3米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1272 系列现行有效版本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3、接头材料：氧化锆陶瓷插芯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4、插入损耗（含重复性）：≤0.2dB；回波损耗：≥50dB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5、重复性：≤0.1dB；互换性：≤0.2dB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6、插拔次数：≥1000 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机架式100对110型跳线架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一、容量：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1、100 对线（语音电话专用）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2、机架标准：19 英寸标准机柜，1U 高度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二、适配线缆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1、适用线规：22~26AWG（0.4~0.64mm）语音大对数电缆高岘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2、配套：4 对、5 对 110 连接块</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三、材质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1、底座框架：加厚冷轧钢板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2、打线 IDC 端子：磷青铜镀金（抗氧化、接触稳定）</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3、塑料基座：阻燃 PC（UL94-V0）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四、机械性能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1、插拔 / 打线耐久：≥250 次无接触不良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金属理线架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1、金属理线架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2、采用冷轧钢板钢板部分采用静电粉末喷涂，表面可脱卸的安装面板设计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3、1U标准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19</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408</w:t>
            </w:r>
            <w:r>
              <w:rPr>
                <w:rFonts w:hint="eastAsia" w:ascii="方正仿宋_GBK" w:hAnsi="方正仿宋_GBK" w:eastAsia="方正仿宋_GBK" w:cs="方正仿宋_GBK"/>
                <w:color w:val="000000"/>
                <w:sz w:val="20"/>
                <w:szCs w:val="20"/>
              </w:rPr>
            </w:r>
            <w:r/>
          </w:p>
        </w:tc>
      </w:tr>
      <w:tr>
        <w:trPr>
          <w:trHeight w:val="464"/>
        </w:trPr>
        <w:tc>
          <w:tcPr>
            <w:gridSpan w:val="4"/>
            <w:tcBorders>
              <w:top w:val="single" w:color="000000" w:sz="4" w:space="0"/>
              <w:left w:val="single" w:color="000000" w:sz="4" w:space="0"/>
              <w:bottom w:val="single" w:color="000000" w:sz="4" w:space="0"/>
              <w:right w:val="none" w:color="000000" w:sz="4" w:space="0"/>
            </w:tcBorders>
            <w:tcW w:w="8288"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四、法庭设备到中心机房线路（内网、设备网）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六类低烟无卤非屏蔽网线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1、HSYZ-6六类4 对非屏蔽电缆，导体材料：无氧圆铜，纯度99.99%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2、导体0.57±0.05mm，绝缘材料HDPE</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3、护套采用低烟无卤阻燃环保材质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4、线缆采用高密度双绞结构，十字骨架隔离提高线缆的平衡性，线对之间串扰小，保证四对双绞线的相对位置稳定，并增强信号的稳定性，支持千兆以太网信号传输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7380</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24口六类非屏蔽配线架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1、24口RJ45配线架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2、六类非屏蔽配线架采用模块化设计，每个模块能够单独拆卸，配合六类非屏蔽铜缆和六类屏蔽模块可以组成高性价比的六类非屏蔽水平信道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六类非屏蔽跳线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1、标准RJ45至RJ45跳线；长度2米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2、符合T568A和T568B线序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3、采用六类多股屏蔽阻燃线缆和六类RJ45水晶头制做而成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4、工厂化端接工艺采用自动剥线设备和专用气动端接设备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5、六类水晶头应采用物理线缆隔离技术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384</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4口光纤盒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1、4口光纤盒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2、采用冷轧钢板钢板部分采用静电粉末喷涂，表面可脱卸的安装面板设计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64</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金属理线架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1、金属理线架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2、采用冷轧钢板钢板部分采用静电粉末喷涂，表面可脱卸的安装面板设计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3、1U标准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gridSpan w:val="4"/>
            <w:tcBorders>
              <w:top w:val="single" w:color="000000" w:sz="4" w:space="0"/>
              <w:left w:val="single" w:color="000000" w:sz="4" w:space="0"/>
              <w:bottom w:val="single" w:color="000000" w:sz="4" w:space="0"/>
              <w:right w:val="none" w:color="000000" w:sz="4" w:space="0"/>
            </w:tcBorders>
            <w:tcW w:w="8288"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五、消控室机柜到中心机房线路（设备网）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规格:600*600*2000mm，42U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16位 10A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24口光纤配线架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1、24口光纤配线架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778-2011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3、墙挂式终端盒，冷轧板材料，静电喷涂，全密封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4、集光缆、尾纤接续、尾纤、跳线收容等功能为一体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194" w:name="_Toc21541"/>
      <w:r>
        <w:rPr>
          <w:rFonts w:hint="eastAsia"/>
        </w:rPr>
        <w:t xml:space="preserve">计算机网络</w:t>
      </w:r>
      <w:bookmarkEnd w:id="194"/>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487"/>
        <w:gridCol w:w="5446"/>
        <w:gridCol w:w="704"/>
        <w:gridCol w:w="741"/>
      </w:tblGrid>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W w:w="81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W w:w="2969"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64"/>
        </w:trPr>
        <w:tc>
          <w:tcPr>
            <w:gridSpan w:val="4"/>
            <w:tcW w:w="8428"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一、内网</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1、交换容量≥336Gbps，包转发率≥108Mpps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1、交换容量≥432Gbps，包转发率≥144Mpps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2、48个10/100/1000Mbps自适应电口交换机，固化4个SFP+万兆光口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12口接入以太网交换机（法庭）</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1、交换容量≥168Gbps，包转发率≥54Mpps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24口接入以太网交换机（法庭）</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1、交换容量≥336Gbps，包转发率≥108Mpps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4、支持APP统一管理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汇聚交换机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1、交换容量≥2.56Tbps，包转发率≥720Mpps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2、8个10/100/1000/2500Mbps自适应电口，24个SFP+万兆光口，2个40G QSFP+光口，2个模块化电源插槽.配单电源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万兆单模光模块</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万兆单模光模块，最大传输距离10KM，双纤口，适用LC型接头跳线</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96</w:t>
            </w:r>
            <w:r>
              <w:rPr>
                <w:rFonts w:hint="eastAsia" w:ascii="方正仿宋_GBK" w:hAnsi="方正仿宋_GBK" w:eastAsia="方正仿宋_GBK" w:cs="方正仿宋_GBK"/>
                <w:color w:val="000000"/>
                <w:sz w:val="20"/>
                <w:szCs w:val="20"/>
              </w:rPr>
            </w:r>
            <w:r/>
          </w:p>
        </w:tc>
      </w:tr>
      <w:tr>
        <w:trPr>
          <w:trHeight w:val="464"/>
        </w:trPr>
        <w:tc>
          <w:tcPr>
            <w:gridSpan w:val="4"/>
            <w:tcW w:w="8428"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二、设备网</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8口POE接入以太网交换机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1、交换容量≥112Gbps，包转发率≥36Mpps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3、支持POE</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1、交换容量≥336Gbps，包转发率≥108Mpps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1、交换容量≥432Gbps，包转发率≥144Mpps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2、48个10/100/1000Mbps自适应电口交换机，固化4个SFP+万兆光口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8口POE接入以太网交换机（法庭）</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1、交换容量≥112Gbps，包转发率≥36Mpps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3、支持POE</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12口POE接入以太网交换机（法庭）</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1、交换容量≥168Gbps，包转发率≥54Mpps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3、支持POE</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汇聚交换机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1、交换容量≥2.56Tbps，包转发率≥720Mpps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2、8个10/100/1000/2500Mbps自适应电口，24个SFP+万兆光口，2个40G QSFP+光口，2个模块化电源插槽.配单电源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万兆单模光模块</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万兆单模光模块，最大传输距离10KM，双纤口，适用LC型接头跳线</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144</w:t>
            </w:r>
            <w:r>
              <w:rPr>
                <w:rFonts w:hint="eastAsia" w:ascii="方正仿宋_GBK" w:hAnsi="方正仿宋_GBK" w:eastAsia="方正仿宋_GBK" w:cs="方正仿宋_GBK"/>
                <w:color w:val="000000"/>
                <w:sz w:val="20"/>
                <w:szCs w:val="20"/>
              </w:rPr>
            </w:r>
            <w:r/>
          </w:p>
        </w:tc>
      </w:tr>
      <w:tr>
        <w:trPr>
          <w:trHeight w:val="464"/>
        </w:trPr>
        <w:tc>
          <w:tcPr>
            <w:gridSpan w:val="4"/>
            <w:tcW w:w="8428"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三、外网</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1、交换容量≥336Gbps，包转发率≥78Mpps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2、24口10/100/1000Mbps自适应电口交换机，固化4个SFP千兆光口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1、交换容量≥432Gbps，包转发率≥108Mpps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2、48口10/100/1000Mbps自适应电口交换机，固化4个SFP千兆光口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外网汇聚交换机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1、交换容量≥598Gbps，包转发率≥148Mpps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2、24个千兆光口，8个10/100/1000Mbps自适应复用电口，固化4个SFP+万兆光口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3、支持静态路由、三层聚合口、ACL、端口镜像等功能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千兆单模光模块</w:t>
            </w:r>
            <w:r>
              <w:rPr>
                <w:rFonts w:hint="eastAsia" w:ascii="方正仿宋_GBK" w:hAnsi="方正仿宋_GBK" w:eastAsia="方正仿宋_GBK" w:cs="方正仿宋_GBK"/>
                <w:color w:val="000000"/>
                <w:sz w:val="20"/>
                <w:szCs w:val="20"/>
              </w:rPr>
            </w:r>
            <w:r/>
          </w:p>
        </w:tc>
        <w:tc>
          <w:tcPr>
            <w:tcW w:w="2969" w:type="dxa"/>
            <w:vAlign w:val="center"/>
            <w:textDirection w:val="lrTb"/>
            <w:noWrap/>
          </w:tcPr>
          <w:p>
            <w:pPr>
              <w:pStyle w:val="911"/>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千兆单模光模块，最大传输距离10KM，双纤口，适用LC型接头跳线 </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r>
      <w:tr>
        <w:trPr>
          <w:trHeight w:val="464"/>
        </w:trPr>
        <w:tc>
          <w:tcPr>
            <w:gridSpan w:val="4"/>
            <w:tcW w:w="8428"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四、政务网</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1、交换容量≥168Gbps，包转发率≥54Mpps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政务网汇聚交换机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1、交换容量≥598Gbps，包转发率≥148Mpps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2、24个千兆光口，8个10/100/1000Mbps自适应复用电口，固化4个SFP+万兆光口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3、支持静态路由、三层聚合口、ACL、端口镜像等功能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千兆单模光模块</w:t>
            </w:r>
            <w:r>
              <w:rPr>
                <w:rFonts w:hint="eastAsia" w:ascii="方正仿宋_GBK" w:hAnsi="方正仿宋_GBK" w:eastAsia="方正仿宋_GBK" w:cs="方正仿宋_GBK"/>
                <w:color w:val="000000"/>
                <w:sz w:val="20"/>
                <w:szCs w:val="20"/>
              </w:rPr>
            </w:r>
            <w:r/>
          </w:p>
        </w:tc>
        <w:tc>
          <w:tcPr>
            <w:tcW w:w="296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千兆单模光模块，最大传输距离10KM，双纤口，适用LC型接头跳线</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r>
      <w:tr>
        <w:trPr>
          <w:trHeight w:val="464"/>
        </w:trPr>
        <w:tc>
          <w:tcPr>
            <w:gridSpan w:val="4"/>
            <w:tcW w:w="8428"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五、专线服务</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1530"/>
        </w:trPr>
        <w:tc>
          <w:tcPr>
            <w:tcW w:w="43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专线服务</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4层机房到中院本部主机房和容灾机房布放专线光缆，采用裸光纤方式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1、内网千兆，双线路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2、设备网千兆，双线路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3、外网两百兆，单线路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4、政务网百兆，单线路</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年</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195" w:name="_Toc24286"/>
      <w:r>
        <w:rPr>
          <w:rFonts w:hint="eastAsia"/>
        </w:rPr>
        <w:t xml:space="preserve">视频监控</w:t>
      </w:r>
      <w:bookmarkEnd w:id="195"/>
      <w:r>
        <w:rPr>
          <w:rFonts w:hint="eastAsia"/>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18"/>
        <w:gridCol w:w="1065"/>
        <w:gridCol w:w="6155"/>
        <w:gridCol w:w="618"/>
        <w:gridCol w:w="709"/>
      </w:tblGrid>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456"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一、前端设备（摄像头及相关安装用辅材）</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半球摄像机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3、支持红外补光，红外作用距离不低于30m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5、内置1个麦克风，具有1个RJ45网络接口，1个音频输入接口、1个音频输出接口、1个报警输入接口、1个报警输出接口。支持DC12V供电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6、支持IK10机械碰撞防护等级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7、具备区域入侵、越界、进入区域、离开区域、人员聚集、快速移动、徘徊、物品移除、物品遗留、停车智能分析功能，当以上智能分析行为达到设定的阈值时，可通过客户端软件或浏览器给出报警提示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室内筒型网络摄像机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3、支持白光/红外双补光，支持分区补光，红外光作用距离不低于50 m；白光作用距离不低于30 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5、支持越界侦测，区域入侵侦测，进入区域侦测和离开区域侦测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6、IP67防护等级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7、设备内置1个GPU、不少于1个麦克风、报警输入输出，音频输入输出、RJ45网络接口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8、支持智能分析抗干扰功能，当篮球、小狗、树叶等非人或车辆目标经过检测区域时，不会触发报警</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筒机支架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白色鸭嘴支架，工程塑料材质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室外筒型网络摄像机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3、支持白光/红外双补光，支持分区补光，红外光作用距离不低于50 m；白光作用距离不低于30 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5、支持越界侦测，区域入侵侦测，进入区域侦测和离开区域侦测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6、IP67防护等级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7、设备内置1个GPU、不少于1个麦克风、报警输入输出，音频输入输出、RJ45网络接口</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19</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室外监控立杆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立杆高度可在2-3米内定制，镀锌钢管材质，包含配件地垄、螺丝、垫片等</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室外手孔井</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室外600mm*600mm手孔井，手孔盖可以根据现场要求选择工程塑料盖或者铸铁盖，手孔深不小于400mm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室外防水箱</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室外监控防水箱，304不锈钢金属材质，尺寸不小于400*300*180mm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插排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8孔位国标插排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室外4芯光纤终端盒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1、光纤熔接箱，采用高性能橡胶密封条密封，防水等级不低于IP53</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2、所有塑料材料采用ABS材质耐腐塑料，UL 94V-0 防火等级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3、颜色为乳白色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4、采用翻转结构，可合理配置配线熔接区域空间，便于安装与维护；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5、产品符合RoHS环保要求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6、安装特点：可安装LC耦合器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7、光纤芯数4芯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8、路由标识清晰；可挂墙安装</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屋顶制高点球机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2、最低照度：红外灯关闭：彩色≤0.005Lux，黑白模式≤0.001Lux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3、球机水平手控速度不小于160°/S，垂直速度不小于120°/S，云台定位精度≤0.1°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4、水平旋转范围为360°连续旋转，垂直旋转范围为-15°~90°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5、支持32倍光学变焦，16倍数字变倍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6、动态范围不小于106dB，照度适应范围不小于138dB，宽动态能力综合得分不小于140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7、具有1路音频输入、1路音频输出、2路报警输入、1路报警输出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8、内置1颗GPU芯片，支持同时检测监控场景内出现的不少于5张人脸图片，并可进行抓拍和人脸追踪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9、应具有300个预置位，可按照所设置的预置位完成不小于8条巡航路径，可按照所设置轨迹完成4条模式路径</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球机支架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金属材质，挑出长度0.5-1.2米可定制，杆高0.5-1.2米可定制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大模型周界网络摄像机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 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3、支持越界侦测，区域入侵侦测，进入区域侦测和离开区域侦测，支持联动声光报警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4、内置GPU芯片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5、支持对运动人脸抓拍和属性分析，支持快速抓拍和优选抓拍两种模式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6、1个内置麦克风，1个内置扬声器，支持双向语音对讲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7、同一静止场景相同图像质量下，设备在H.264、H.265编码方式时，开启智能编码功能和不开启智能编码相比，码率节约50%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8、支持智能报警防干扰功能，智能分析行为类型为区域入侵、越界、进入区域、离开区域时，报警检测目标设置为人体或车辆时，光线明暗变化，篮球滚动，狗行走，树摇晃，不触发报警</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人脸半球摄像机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1、主码流视频分辨率不小于2560×1440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 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5、内置2个麦克风、1个扬声器，1路报警输入、1路报警输出、1路音频输入、1路音频输出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6、支持单场景同时检出不少于30张人脸图片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7、支持检出两眼瞳距40像素点以上的人脸图片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8、外壳防护能力不低于IP67</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9、具有图像质量提升功能，在低照度环境下，可自动调节预览场景视频画面中人脸、人体、车辆等目标及预览场景视频画面的区域曝光、亮度、色彩饱和度、对比度、锐度等</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人脸枪机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top"/>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1、主码流视频分辨率不小于2688×1520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 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3、支持双光补光，红外作用距离不低于50m，暖白作用距离不低于30m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4、当进入区域、离开区域、越界侦测或区域入侵报警产生时，可在报警布防时间内联动声音报警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6、内置2个麦克风、1个扬声器，具有1路报警输入、1路报警输出、1个音频输入接口、1个音频输出接口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7、内置GPU芯片，支持检出两眼瞳距40像素点以上的人脸图片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8、内置鳞镜式补光灯，灯珠朝向与设备照射方向不同，补光灯开启后正面不可见补光灯灯珠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枪机支架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白色鸭嘴支架，工程塑料材质。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电梯摄像机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 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3、支持越界侦测，区域入侵侦测，进入区域侦测和离开区域侦测，支持联动声光报警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4、内置不少于1个内置麦克风，1个内置扬声器，支持双向语音对讲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5、内置不少于1路报警输入，1路报警输出，1路音频输入，1路音频输出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6、支持红外补光，红外作用距离不低于10m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7、支持DC12VE或者PoE供电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8、碰撞防护等级IK08</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9、同一静止场景，相同图像质量下开启智能编码功能和不开启智能编码相比，码率节约50%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法庭安防监控摄像机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1、支持输出图像分辨率不低于1920x1080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2、内置1个麦克风，1个RJ45网络接口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3、具有1个音频输入接口，1个音频输出接口，具有1个报警输入接口，1个报警输出接口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4、夜间开启红外补光灯可识别距摄像机30m处人体轮廓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5、具备区域入侵、越界入侵、进入区域、离开区域、人员聚集、快速移动、徘徊、物品移除、物品遗留、停车智能分析功能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6、支持IP66防尘防水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7、支持IK10碰撞防护等级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8、夜间开启红外补光灯可识别距摄像机30m处人体轮廓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9、同一静止场景相同图像质量下，设备在H.264或H.265编码方式时，开启智能编码功能和不开启智能编码相比，码率节约50%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监控集中供电电源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DC12V30A，不少于8路摄像机供电，带箱子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600mm*440mm*368mm，6U机柜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无线网桥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1、≥1个百兆电口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2、无线传输距离≥100m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3、支持APP、客户端统一管理 拓扑可视化、智能运维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4、无线抗干扰 故障可自愈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5、水平天线角度≥50°，垂直天线角度≥50°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6、浪涌防护：共模2 kV，差模1 kV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电梯轿厢开关电源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DC12V30A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全向抗回声拾音器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1、拾音范围：10～70平方米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2、音频传输距离：3000米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 -46dB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5、指向特性：全方向性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6、信噪比：70dB ( 1米40 dB音源） 35dB (10米40 dB音源） 1KHz at 1 Pa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7、动态范围：50dB(1KHz at Max dB SPL)</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8、最大承受音压： 120dB SPL（1KHz，THD 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9、输出阻抗：最大600欧姆非平衡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10、输出信号幅度：2.5Vpp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11、麦克风：两只高灵敏度电容咪头，内置DSP芯片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12、保护电路：雷击保护、电源极性反接保护</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音频适配器（拾音器专用滤波电源）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1、拾音器接口：1个三芯（V,A,G）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2、音频输出端子：二个线性输出（1个两芯端子，1个3.5插孔）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3、音量调节：-10dB ～ +10dB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11、拾音器连接方式：电源线V（红色）、音频A（黄色）、公共地G（黑色）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14、电源输入电压：直流电DC12V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15、工作环境温度：-25℃ ～ 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RVVP2*0.5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RVVP3*0.5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三眼插头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国标三眼插头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强电插座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五孔插座，面板材质为工程塑料</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监控授权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1、支持视频实时预览能力，实现预览窗口布局切换、预览画面自适应及全屏切换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2、支持云台控制、实时抓图、紧急录像、即时回放、主子码流切换、声音开启\关闭、辅屏预览（1个辅屏）、对讲、广播、报警输出控制的能力</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3、支持智能规则展示的能力（如：针对热成像设备温度信息实时展示）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4、支持资源视图管理能力，以视图形式管理监控点、视频预览轮巡等自定义资源组，其中视图类型包含公有视图和私有视图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5、支持全景视频监控预览能力，支持球型鹰眼、全景摄像机的全景模式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282</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456"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二、后端设备（存储及相关智能化分析设备）</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人脸分析服务器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top"/>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1、24盘位边缘计算主机</w:t>
            </w:r>
            <w:r>
              <w:rPr>
                <w:rFonts w:hint="eastAsia" w:ascii="方正仿宋_GBK" w:hAnsi="方正仿宋_GBK" w:eastAsia="方正仿宋_GBK" w:cs="方正仿宋_GBK"/>
                <w:color w:val="000000"/>
                <w:sz w:val="20"/>
                <w:szCs w:val="20"/>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2、支持</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144路视频流人脸识别，支持</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256路图片流人脸识别，并支持联动录像、抓图、报警和日志记录等功能</w:t>
            </w:r>
            <w:r>
              <w:rPr>
                <w:rFonts w:hint="eastAsia" w:ascii="方正仿宋_GBK" w:hAnsi="方正仿宋_GBK" w:eastAsia="方正仿宋_GBK" w:cs="方正仿宋_GBK"/>
                <w:color w:val="000000"/>
                <w:sz w:val="20"/>
                <w:szCs w:val="20"/>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3、支持</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64个人脸库，库容</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50万张人脸图片；支持路人库，库容</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30万张人脸抓拍图片</w:t>
            </w:r>
            <w:r>
              <w:rPr>
                <w:rFonts w:hint="eastAsia" w:ascii="方正仿宋_GBK" w:hAnsi="方正仿宋_GBK" w:eastAsia="方正仿宋_GBK" w:cs="方正仿宋_GBK"/>
                <w:color w:val="000000"/>
                <w:sz w:val="20"/>
                <w:szCs w:val="20"/>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4、</w:t>
            </w:r>
            <w:r>
              <w:rPr>
                <w:rFonts w:hint="eastAsia" w:ascii="方正仿宋_GBK" w:hAnsi="方正仿宋_GBK" w:eastAsia="方正仿宋_GBK" w:cs="方正仿宋_GBK"/>
                <w:color w:val="000000"/>
                <w:sz w:val="20"/>
                <w:szCs w:val="20"/>
                <w:lang w:bidi="ar"/>
              </w:rPr>
              <w:t xml:space="preserve">设备支持以文搜图功能，可通过文字语义描述，快速检索目标对象或内容；并可基于以文搜图快速检索的结果，对目标进行图搜的二次精准检索定位</w:t>
            </w:r>
            <w:r>
              <w:rPr>
                <w:rFonts w:hint="eastAsia" w:ascii="方正仿宋_GBK" w:hAnsi="方正仿宋_GBK" w:eastAsia="方正仿宋_GBK" w:cs="方正仿宋_GBK"/>
                <w:color w:val="000000"/>
                <w:sz w:val="20"/>
                <w:szCs w:val="20"/>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5、支持对智能IPC上报的人体，车辆等目标进行多模态大模型的建模并生成特征模型，也可接入普通IPC分析建模</w:t>
            </w:r>
            <w:r>
              <w:rPr>
                <w:rFonts w:hint="eastAsia" w:ascii="方正仿宋_GBK" w:hAnsi="方正仿宋_GBK" w:eastAsia="方正仿宋_GBK" w:cs="方正仿宋_GBK"/>
                <w:color w:val="000000"/>
                <w:sz w:val="20"/>
                <w:szCs w:val="20"/>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6、配置不低于24块8T硬盘</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文搜型存储服务器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pStyle w:val="911"/>
              <w:jc w:val="left"/>
              <w:widowControl/>
              <w:rPr>
                <w:rStyle w:val="1034"/>
                <w:rFonts w:ascii="方正仿宋_GBK" w:hAnsi="方正仿宋_GBK" w:eastAsia="方正仿宋_GBK" w:cs="方正仿宋_GBK"/>
                <w:highlight w:val="yellow"/>
                <w:lang w:bidi="ar"/>
              </w:rPr>
            </w:pPr>
            <w:r>
              <w:rPr>
                <w:rStyle w:val="1034"/>
                <w:rFonts w:ascii="方正仿宋_GBK" w:hAnsi="方正仿宋_GBK" w:eastAsia="方正仿宋_GBK" w:cs="方正仿宋_GBK"/>
                <w:lang w:bidi="ar"/>
              </w:rPr>
              <w:t xml:space="preserve">1、36盘位网络存储</w:t>
            </w:r>
            <w:r>
              <w:rPr>
                <w:rStyle w:val="1034"/>
                <w:rFonts w:ascii="方正仿宋_GBK" w:hAnsi="方正仿宋_GBK" w:eastAsia="方正仿宋_GBK" w:cs="方正仿宋_GBK"/>
                <w:lang w:bidi="ar"/>
              </w:rPr>
              <w:br w:type="textWrapping" w:clear="all"/>
            </w:r>
            <w:r>
              <w:rPr>
                <w:rStyle w:val="1034"/>
                <w:rFonts w:ascii="方正仿宋_GBK" w:hAnsi="方正仿宋_GBK" w:eastAsia="方正仿宋_GBK" w:cs="方正仿宋_GBK"/>
                <w:lang w:bidi="ar"/>
              </w:rPr>
              <w:t xml:space="preserve">2、处理器≥1颗64位多核处理器，系统内存≥24GB，系统盘≥1×240GB SSD，数据盘≥1×960GB SSD</w:t>
            </w:r>
            <w:r>
              <w:rPr>
                <w:rStyle w:val="1034"/>
                <w:rFonts w:ascii="方正仿宋_GBK" w:hAnsi="方正仿宋_GBK" w:eastAsia="方正仿宋_GBK" w:cs="方正仿宋_GBK"/>
                <w:lang w:bidi="ar"/>
              </w:rPr>
              <w:br w:type="textWrapping" w:clear="all"/>
            </w:r>
            <w:r>
              <w:rPr>
                <w:rStyle w:val="1034"/>
                <w:rFonts w:ascii="方正仿宋_GBK" w:hAnsi="方正仿宋_GBK" w:eastAsia="方正仿宋_GBK" w:cs="方正仿宋_GBK"/>
                <w:lang w:bidi="ar"/>
              </w:rPr>
              <w:t xml:space="preserve">3、支持硬盘热插拔</w:t>
            </w:r>
            <w:r>
              <w:rPr>
                <w:rStyle w:val="1034"/>
                <w:rFonts w:ascii="方正仿宋_GBK" w:hAnsi="方正仿宋_GBK" w:eastAsia="方正仿宋_GBK" w:cs="方正仿宋_GBK"/>
                <w:highlight w:val="yellow"/>
                <w:lang w:bidi="ar"/>
              </w:rPr>
            </w:r>
            <w:r/>
          </w:p>
          <w:p>
            <w:pPr>
              <w:pStyle w:val="911"/>
              <w:numPr>
                <w:ilvl w:val="0"/>
                <w:numId w:val="6"/>
              </w:numPr>
              <w:jc w:val="left"/>
              <w:widowControl/>
              <w:rPr>
                <w:rStyle w:val="1034"/>
                <w:rFonts w:ascii="方正仿宋_GBK" w:hAnsi="方正仿宋_GBK" w:eastAsia="方正仿宋_GBK" w:cs="方正仿宋_GBK"/>
                <w:lang w:bidi="ar"/>
              </w:rPr>
            </w:pPr>
            <w:r>
              <w:rPr>
                <w:rStyle w:val="1034"/>
                <w:rFonts w:ascii="方正仿宋_GBK" w:hAnsi="方正仿宋_GBK" w:eastAsia="方正仿宋_GBK" w:cs="方正仿宋_GBK"/>
                <w:lang w:bidi="ar"/>
              </w:rPr>
              <w:t xml:space="preserve">网络接口≥4个2.5G数据网口，1个千兆管理口，其他接口≥1×COM，2×USB2.0，2×USB3.0，1×VGA，1×HDMI</w:t>
            </w:r>
            <w:r>
              <w:rPr>
                <w:rStyle w:val="1034"/>
                <w:rFonts w:ascii="方正仿宋_GBK" w:hAnsi="方正仿宋_GBK" w:eastAsia="方正仿宋_GBK" w:cs="方正仿宋_GBK"/>
                <w:lang w:bidi="ar"/>
              </w:rPr>
              <w:br w:type="textWrapping" w:clear="all"/>
            </w:r>
            <w:r>
              <w:rPr>
                <w:rStyle w:val="1034"/>
                <w:rFonts w:ascii="方正仿宋_GBK" w:hAnsi="方正仿宋_GBK" w:eastAsia="方正仿宋_GBK" w:cs="方正仿宋_GBK"/>
                <w:lang w:bidi="ar"/>
              </w:rPr>
              <w:t xml:space="preserve">5、整机电源≥800W，1+1冗余电源</w:t>
            </w:r>
            <w:r>
              <w:rPr>
                <w:rFonts w:hint="eastAsia" w:ascii="方正仿宋_GBK" w:hAnsi="方正仿宋_GBK" w:eastAsia="方正仿宋_GBK" w:cs="方正仿宋_GBK"/>
                <w:color w:val="ff0000"/>
                <w:sz w:val="20"/>
                <w:szCs w:val="20"/>
                <w:lang w:bidi="ar"/>
              </w:rPr>
              <w:br w:type="textWrapping" w:clear="all"/>
            </w:r>
            <w:r>
              <w:rPr>
                <w:rFonts w:hint="eastAsia" w:ascii="方正仿宋_GBK" w:hAnsi="方正仿宋_GBK" w:eastAsia="方正仿宋_GBK" w:cs="方正仿宋_GBK"/>
                <w:sz w:val="20"/>
                <w:szCs w:val="20"/>
                <w:lang w:bidi="ar"/>
              </w:rPr>
              <w:t xml:space="preserve">6、</w:t>
            </w:r>
            <w:r>
              <w:rPr>
                <w:rStyle w:val="1034"/>
                <w:rFonts w:ascii="方正仿宋_GBK" w:hAnsi="方正仿宋_GBK" w:eastAsia="方正仿宋_GBK" w:cs="方正仿宋_GBK"/>
                <w:color w:val="000000"/>
                <w:lang w:bidi="ar"/>
              </w:rPr>
              <w:t xml:space="preserve">以文搜图≥550路（文搜IPC），检索数量</w:t>
            </w:r>
            <w:r>
              <w:rPr>
                <w:rStyle w:val="1034"/>
                <w:rFonts w:ascii="方正仿宋_GBK" w:hAnsi="方正仿宋_GBK" w:eastAsia="方正仿宋_GBK" w:cs="方正仿宋_GBK"/>
                <w:lang w:bidi="ar"/>
              </w:rPr>
              <w:t xml:space="preserve">≥</w:t>
            </w:r>
            <w:r>
              <w:rPr>
                <w:rStyle w:val="1034"/>
                <w:rFonts w:ascii="方正仿宋_GBK" w:hAnsi="方正仿宋_GBK" w:eastAsia="方正仿宋_GBK" w:cs="方正仿宋_GBK"/>
                <w:color w:val="000000"/>
                <w:lang w:bidi="ar"/>
              </w:rPr>
              <w:t xml:space="preserve">350万/天，视频性能</w:t>
            </w:r>
            <w:r>
              <w:rPr>
                <w:rStyle w:val="1034"/>
                <w:rFonts w:ascii="方正仿宋_GBK" w:hAnsi="方正仿宋_GBK" w:eastAsia="方正仿宋_GBK" w:cs="方正仿宋_GBK"/>
                <w:lang w:bidi="ar"/>
              </w:rPr>
              <w:t xml:space="preserve">≥550路（最大接入带宽1375Mbps），图片性能≥50张/S（单张图片500KB），回放性能≥55路2Mbps，事件录像≥200路2Mbps</w:t>
            </w:r>
            <w:r>
              <w:rPr>
                <w:rStyle w:val="1034"/>
                <w:rFonts w:ascii="方正仿宋_GBK" w:hAnsi="方正仿宋_GBK" w:eastAsia="方正仿宋_GBK" w:cs="方正仿宋_GBK"/>
                <w:lang w:bidi="ar"/>
              </w:rPr>
              <w:br w:type="textWrapping" w:clear="all"/>
            </w:r>
            <w:r>
              <w:rPr>
                <w:rStyle w:val="1034"/>
                <w:rFonts w:ascii="方正仿宋_GBK" w:hAnsi="方正仿宋_GBK" w:eastAsia="方正仿宋_GBK" w:cs="方正仿宋_GBK"/>
                <w:lang w:bidi="ar"/>
              </w:rPr>
              <w:t xml:space="preserve">7、大模型图文建模：内置大模型算法引擎，支持对目标图像和自然语言的多模态大模型建模，建立目标图像和自然语言的对应关系，目标包括人、车、非机动车及其附属物品</w:t>
            </w:r>
            <w:r>
              <w:rPr>
                <w:rStyle w:val="1034"/>
                <w:rFonts w:ascii="方正仿宋_GBK" w:hAnsi="方正仿宋_GBK" w:eastAsia="方正仿宋_GBK" w:cs="方正仿宋_GBK"/>
                <w:lang w:bidi="ar"/>
              </w:rPr>
              <w:br w:type="textWrapping" w:clear="all"/>
            </w:r>
            <w:r>
              <w:rPr>
                <w:rStyle w:val="1034"/>
                <w:rFonts w:ascii="方正仿宋_GBK" w:hAnsi="方正仿宋_GBK" w:eastAsia="方正仿宋_GBK" w:cs="方正仿宋_GBK"/>
                <w:lang w:bidi="ar"/>
              </w:rPr>
              <w:t xml:space="preserve">8、以文搜图应用展示：支持全通道录像检索，且通道和时间范围可设；支持搜索结果相似度自定义设置展示；支持自定义选择时间范围</w:t>
            </w:r>
            <w:r>
              <w:rPr>
                <w:rStyle w:val="1034"/>
                <w:rFonts w:ascii="方正仿宋_GBK" w:hAnsi="方正仿宋_GBK" w:eastAsia="方正仿宋_GBK" w:cs="方正仿宋_GBK"/>
                <w:lang w:bidi="ar"/>
              </w:rPr>
              <w:br w:type="textWrapping" w:clear="all"/>
            </w:r>
            <w:r>
              <w:rPr>
                <w:rStyle w:val="1034"/>
                <w:rFonts w:ascii="方正仿宋_GBK" w:hAnsi="方正仿宋_GBK" w:eastAsia="方正仿宋_GBK" w:cs="方正仿宋_GBK"/>
                <w:lang w:bidi="ar"/>
              </w:rPr>
              <w:t xml:space="preserve">搜索结果精准定位：支持搜索结果按相似度排序展示，根据搜索结果，可一键关联录像片段及以图搜图，对目标进行二次精准检索定位，还原目标的跨通道行动轨迹</w:t>
            </w:r>
            <w:r>
              <w:rPr>
                <w:rStyle w:val="1034"/>
                <w:rFonts w:ascii="方正仿宋_GBK" w:hAnsi="方正仿宋_GBK" w:eastAsia="方正仿宋_GBK" w:cs="方正仿宋_GBK"/>
                <w:lang w:bidi="ar"/>
              </w:rPr>
              <w:br w:type="textWrapping" w:clear="all"/>
            </w:r>
            <w:r>
              <w:rPr>
                <w:rStyle w:val="1034"/>
                <w:rFonts w:ascii="方正仿宋_GBK" w:hAnsi="方正仿宋_GBK" w:eastAsia="方正仿宋_GBK" w:cs="方正仿宋_GBK"/>
                <w:lang w:bidi="ar"/>
              </w:rPr>
              <w:t xml:space="preserve">9、搜索结果快速筛选：以文搜图检索结果支持以相似度、时间、通道等条件对检出录像/图片进行排序或筛选</w:t>
            </w:r>
            <w:r>
              <w:rPr>
                <w:rStyle w:val="1034"/>
                <w:rFonts w:ascii="方正仿宋_GBK" w:hAnsi="方正仿宋_GBK" w:eastAsia="方正仿宋_GBK" w:cs="方正仿宋_GBK"/>
                <w:lang w:bidi="ar"/>
              </w:rPr>
            </w:r>
            <w:r/>
          </w:p>
          <w:p>
            <w:pPr>
              <w:pStyle w:val="911"/>
              <w:jc w:val="left"/>
              <w:widowControl/>
              <w:rPr>
                <w:rStyle w:val="1034"/>
                <w:rFonts w:ascii="方正仿宋_GBK" w:hAnsi="方正仿宋_GBK" w:eastAsia="方正仿宋_GBK" w:cs="方正仿宋_GBK"/>
                <w:lang w:bidi="ar"/>
              </w:rPr>
            </w:pPr>
            <w:r>
              <w:rPr>
                <w:rStyle w:val="1034"/>
                <w:rFonts w:ascii="方正仿宋_GBK" w:hAnsi="方正仿宋_GBK" w:eastAsia="方正仿宋_GBK" w:cs="方正仿宋_GBK"/>
                <w:lang w:bidi="ar"/>
              </w:rPr>
              <w:t xml:space="preserve">10、</w:t>
            </w:r>
            <w:r>
              <w:rPr>
                <w:rFonts w:hint="eastAsia" w:ascii="方正仿宋_GBK" w:hAnsi="方正仿宋_GBK" w:eastAsia="方正仿宋_GBK" w:cs="方正仿宋_GBK"/>
                <w:color w:val="000000"/>
                <w:sz w:val="20"/>
                <w:szCs w:val="20"/>
                <w:lang w:bidi="ar"/>
              </w:rPr>
              <w:t xml:space="preserve">配置不低于36块12T硬盘</w:t>
            </w:r>
            <w:r>
              <w:rPr>
                <w:rStyle w:val="1034"/>
                <w:rFonts w:ascii="方正仿宋_GBK" w:hAnsi="方正仿宋_GBK" w:eastAsia="方正仿宋_GBK" w:cs="方正仿宋_GBK"/>
                <w:lang w:bidi="ar"/>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智能文搜应用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1、支持根据文本、时间范围、监控点、相似度查询文搜结果（CVR\超脑\NVR\主机）；支持按相似度或时间排序；搜索的目标大类包括找人、找车、找单车、找物品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2、支持跨设备智能文搜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3、支持从历史录像中检索目标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4、针对敏感词检索支持提示并阻拦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5、提供人、职业、行为、交通工具、车、单车、物品等标签，方便文搜文本快捷生成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6、支持展示历史词、热词；支持词语联想功能；支持对常见文本进行收藏，方便下次检索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7、文搜结果支持导出，需进行二次认证；支持单个下载，批量下载，全部下载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8、支持查看文搜结果详情，包括背景图及录像、点位上图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9、支持对文搜结果进行以图搜图，并查看目标轨迹；支持对文搜结果目标进行身份确认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10、文搜检索后，支持选择正确样本和错误样本并进行模型微调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支持对搜索结果进行快速标定和在线微调训练，持续提升以文搜图和文本预警效果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11、支持在以文搜图界面即时开启模型训练。支持选择多个正确样本和错误样本，并发起训练；可针对每条搜索结果设置为正确或错误样本</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550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云存储服务器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pStyle w:val="911"/>
              <w:numPr>
                <w:ilvl w:val="0"/>
                <w:numId w:val="7"/>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处理器</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1颗64位多核处理器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2、系统内存</w:t>
            </w:r>
            <w:r>
              <w:rPr>
                <w:rStyle w:val="1034"/>
                <w:rFonts w:ascii="方正仿宋_GBK" w:hAnsi="方正仿宋_GBK" w:eastAsia="方正仿宋_GBK" w:cs="方正仿宋_GBK"/>
                <w:lang w:bidi="ar"/>
              </w:rPr>
              <w:t xml:space="preserve">≥16</w:t>
            </w:r>
            <w:r>
              <w:rPr>
                <w:rFonts w:hint="eastAsia" w:ascii="方正仿宋_GBK" w:hAnsi="方正仿宋_GBK" w:eastAsia="方正仿宋_GBK" w:cs="方正仿宋_GBK"/>
                <w:color w:val="000000"/>
                <w:sz w:val="20"/>
                <w:szCs w:val="20"/>
                <w:lang w:bidi="ar"/>
              </w:rPr>
              <w:t xml:space="preserve">GB</w:t>
            </w:r>
            <w:r>
              <w:rPr>
                <w:rFonts w:hint="eastAsia" w:ascii="方正仿宋_GBK" w:hAnsi="方正仿宋_GBK" w:eastAsia="方正仿宋_GBK" w:cs="方正仿宋_GBK"/>
                <w:color w:val="000000"/>
                <w:sz w:val="20"/>
                <w:szCs w:val="20"/>
                <w:lang w:bidi="ar"/>
              </w:rPr>
            </w:r>
            <w:r/>
          </w:p>
          <w:p>
            <w:pPr>
              <w:pStyle w:val="911"/>
              <w:numPr>
                <w:ilvl w:val="0"/>
                <w:numId w:val="7"/>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存储设备配置2个 USB3.0 接口、2个 USB2.0 接口、标配4个千兆网口、1个千兆管理网口、1个IPMI管理口、1个VGA接口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w:t>
            </w:r>
            <w:r>
              <w:rPr>
                <w:rStyle w:val="1034"/>
                <w:rFonts w:ascii="方正仿宋_GBK" w:hAnsi="方正仿宋_GBK" w:eastAsia="方正仿宋_GBK" w:cs="方正仿宋_GBK"/>
                <w:lang w:bidi="ar"/>
              </w:rPr>
              <w:t xml:space="preserve">磁盘接口：SATA接口，支持硬盘热插拔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5、统一命名空间，将所有物理存储资源虚拟化成统一的存储空间，以唯一业务IP地址对外提供存储服务，实现存储资源的统一管理与分配；支持1台存储设备即可构建存储系统虚拟化空间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6、支持集群管理功能，包括集群单元弹性扩容、负载均衡、故障迁移等；支持集群节点生命周期管理，支持集群节点服务启动/停止，集群节点服务组建、扩展、删除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7、云存储系统支持集群部署，集群内节点不需要独立的集群管理服务器，当任意一个节点故障，业务负载分担到其他节点</w:t>
            </w:r>
            <w:r>
              <w:rPr>
                <w:rFonts w:hint="eastAsia" w:ascii="方正仿宋_GBK" w:hAnsi="方正仿宋_GBK" w:eastAsia="方正仿宋_GBK" w:cs="方正仿宋_GBK"/>
                <w:color w:val="000000"/>
                <w:sz w:val="20"/>
                <w:szCs w:val="20"/>
                <w:lang w:bidi="ar"/>
              </w:rPr>
            </w:r>
            <w:r/>
          </w:p>
          <w:p>
            <w:pPr>
              <w:pStyle w:val="911"/>
              <w:jc w:val="left"/>
              <w:widowControl/>
              <w:rPr>
                <w:rFonts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8、配置不低于24块16T硬盘</w:t>
            </w:r>
            <w:r>
              <w:rPr>
                <w:rFonts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硬盘录像机（法庭录像备份用）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pStyle w:val="911"/>
              <w:numPr>
                <w:ilvl w:val="0"/>
                <w:numId w:val="8"/>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机架式9盘位嵌入式网络硬盘录像机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2、接入路数</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64路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3、支持4路视频流人脸识别，支持16路图片流人脸识别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4、接入带宽</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512Mbps，存储带宽</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512Mbps，转发带宽</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256Mbps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设备支持文搜功能，可通过文字语义描述，快速检索目标对象或内容；支持对人体、车辆、非机动车、物品、动物、基础事件等类型的检索；并可基于文搜快速检索的结果，对目标进行图搜的二次精准检索定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6、设备支持独立的智能文搜应用模块，应用内置文搜高频热词，如：人的上衣颜色、下装颜色、随身物品、性别；车的颜色、类型、品牌；其他的保安、抽烟、打电话、玩手机等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7、最大支持32×1080P同时解码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8、HDMI1、HDMI2和HDMI3组合支持最大单路8K、4K和4K三异源输出</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9、配置不低于5块12T硬盘</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解码器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1、支持4路3200W、或4路2400W、或8路1200W、或16路800W、或20路600W、或32路400W、或64路200W、或128路100W 像素的视频图像同时解码上墙，支持对主/子码流区分取流和解码显示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2、支持接入MPEG4、MPEG2、H.264、MJPEG、H.265、SVAC等编码格式视频，并解码输出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3、支持跨屏同步显示功能，所有跨屏信号源可同时发送至各个屏幕显示，时差小于1ms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4、单个HDMI输出接口可实现40个画面分割显示，每个视频流的分辨率为1920×1080、帧率为30fps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5、支持通过客户端，实现设备与摄像机之间的双向语音对讲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6、每个输出口支持任意开窗、漫游；任意1路信号显示画面可进行任意漫游、缩放；可在单屏或多屏的任意位置上叠加显示，图层最大不少于64层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7、支持1、2、4、6、8、9、10、12、16、25、36、64画面分割显示，支持M×N≤64的任意分割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8、支持通过键盘控制画面上墙、点位切换、画面分割、场景切换的功能（需搭配键盘使用）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操作台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3联操作台，根据采购人提供的图纸</w:t>
            </w:r>
            <w:r>
              <w:rPr>
                <w:rFonts w:hint="eastAsia" w:ascii="方正仿宋_GBK" w:hAnsi="方正仿宋_GBK" w:eastAsia="方正仿宋_GBK" w:cs="方正仿宋_GBK"/>
                <w:b/>
                <w:bCs/>
                <w:color w:val="000000"/>
                <w:sz w:val="20"/>
                <w:szCs w:val="20"/>
                <w:highlight w:val="none"/>
                <w:lang w:bidi="ar"/>
              </w:rPr>
              <w:t xml:space="preserve">（投标人如需在投标前获取图纸，请联系鲁先生（电话：0513-68506398）</w:t>
            </w:r>
            <w:r>
              <w:rPr>
                <w:rFonts w:hint="eastAsia" w:ascii="方正仿宋_GBK" w:hAnsi="方正仿宋_GBK" w:eastAsia="方正仿宋_GBK" w:cs="方正仿宋_GBK"/>
                <w:color w:val="000000"/>
                <w:sz w:val="20"/>
                <w:szCs w:val="20"/>
                <w:lang w:bidi="ar"/>
              </w:rPr>
              <w:t xml:space="preserve">，现场勘验定制，桌面材质为人造板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55寸监视器，支持3840*2160@60Hz超高清显示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2、支持对设备账号进行管理，包括新建用户、用户密码修改、删除用户和用户权限修改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3、最大支持20路1080P、25fps、2Mbps 码流的取流和解码显示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4、解码支持封装格式 PS、ES、RTP、HIK、TS、DHAV；解码支持视频编码格式 H.265、H.264及Smart系列H264、 H265码流、HIK264、场编码、MJPEG码流；音频支持格式G711-A、G711-U、G722.1、G726-16/U/A、MPEG、AAC-LC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5、支持向智能前端取流，并分析码流中智能规则，分析的智能规则可以叠加在输出画面上</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6、显示单元支持4 比 3、16 比 9、点对点等比例显示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7、图像显示完整性，无噪点、无花屏、无闪屏、无漏光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8、支持屏幕背光亮度控制，亮度（背光）调节范围为0-100，亮度值在0时仍可看见屏幕菜单进行操作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9、支持信源自动切换，接入新信源时，自动切换到相应通道显示；当前信源断开，自动转到下一优先级有信号的信源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10、支持底座便携安装，同时拥有标准 VESA安装孔位供壁挂、吊装等其他安装方式使用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11、支持手动和NTP校时模式，NTP 模式可配置服务器地址、NTP 端口和校时间隔</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安防平台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numPr>
                <w:ilvl w:val="0"/>
                <w:numId w:val="9"/>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提供统一的认证、鉴权管理、应用管理、菜单管理、用户管理、角色管理、组织管理、资源管理等能力</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2、提供用户权限管理能力，包括菜单权限、组织权限、区域权限、资源权限、功能控制权限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3、提供系统运行状态监测能力，包括运行服务监控、运行服务统计、运行数据报告和运行服务解析概览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4、支持事件联动规则配置管理，包括规则增删改查，支持自定义联动规则模板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5、支持多种报警事件配置联动，包括：视频事件、入侵报警事件、IO事件、门禁事件、停车场事件、梯控事件、紧急报警事件、等事件联动动作配置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6、提供各类资源图上展示及控制操作，在地图上可展示各类资源点的地理位置，通过接收资源点报警事件，实现报警信息可视化展示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7、支持设置门禁点作为考勤点，进行统一管理；支持抓拍机点位、停车场出入口作为考勤点进行人脸智能考勤、车辆进出智能考勤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8、支持设置某一地点作为移动端考勤点，结合移动端APP获取人员实时定位实现移动考勤；支持班组管理，为相同考勤规则的人员或组织设置考勤班组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9、支持报警子系统管理能力，包含布防、撤防、消警控制操作；支持防区管理能力，包含旁路、旁路恢复操作；支持实时入侵报警能力；支持历史入侵报警事件查询及导出能力</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10、提供视频点位联网服务能力，用于平台域间视频联网，基于视频通用标准协议（</w:t>
            </w:r>
            <w:r>
              <w:rPr>
                <w:rFonts w:hint="eastAsia" w:ascii="方正仿宋_GBK" w:hAnsi="方正仿宋_GBK" w:eastAsia="方正仿宋_GBK" w:cs="方正仿宋_GBK"/>
                <w:color w:val="000000"/>
                <w:sz w:val="20"/>
                <w:szCs w:val="20"/>
                <w:highlight w:val="none"/>
                <w:lang w:bidi="ar"/>
              </w:rPr>
              <w:t xml:space="preserve">GB/T28181-2022）</w:t>
            </w:r>
            <w:r>
              <w:rPr>
                <w:rFonts w:hint="eastAsia" w:ascii="方正仿宋_GBK" w:hAnsi="方正仿宋_GBK" w:eastAsia="方正仿宋_GBK" w:cs="方正仿宋_GBK"/>
                <w:color w:val="000000"/>
                <w:sz w:val="20"/>
                <w:szCs w:val="20"/>
                <w:lang w:bidi="ar"/>
              </w:rPr>
              <w:t xml:space="preserve">与外域平台互联互通，实现平台视频资源点位推送等操作控制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11、部门人员信息支持标签身份选择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12、支持自选统计时间段，可生成全部门考勤统计柱状图，可导出指定标签人员的独立考勤报表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456"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三、基础供电线路及施工</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监控电源线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RVV2*1.0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23790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室外及地库监控电源线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1000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路面开挖及恢复</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室外路面开挖及恢复</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196" w:name="_Toc25639"/>
      <w:r>
        <w:rPr>
          <w:rFonts w:hint="eastAsia"/>
        </w:rPr>
        <w:t xml:space="preserve">电子巡更</w:t>
      </w:r>
      <w:bookmarkEnd w:id="196"/>
      <w:r>
        <w:rPr>
          <w:rFonts w:hint="eastAsia"/>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134"/>
        <w:gridCol w:w="1135"/>
        <w:gridCol w:w="4624"/>
        <w:gridCol w:w="1135"/>
        <w:gridCol w:w="1135"/>
      </w:tblGrid>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1、产品材质：采用铝合金材质，防水抗摔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2、灯光功能：支持</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3种不同灯光模式，可通过灯光按键切换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3、读卡技术：使用非接触125KHz读卡方案，读卡距离3cm-5cm，读卡速度&lt;0.1秒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4、读卡提示：读卡成功后有灯光和蜂鸣提醒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5、存储容量：支持存储</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60000条巡检记录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6、通讯方式：使用USB数据线传输通讯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7、重复识别时间间隔：相同点位1分钟1次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8、巡更功能：可单机搭配巡更客户端使用，也可搭配联网版应用服务组件使用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1、巡更功能：搭配感应式巡更棒使用，用作在标记地点位置巡更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2、读卡技术：感应式射频读卡，内置唯一ID卡号，防止作弊</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3、产品材质：工程塑料封装，内置芯片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4、外观特点：自带夜光功能，提示标贴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5、安装方式：可埋入墙体，隐蔽式安装</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人员钮</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1、产品材质：工程塑料封装，内置芯片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2、读卡技术：感应式读卡，感应距离3cm-5cm无需接触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3、区分方式：内置不可修改的ID码，ID卡序列号具有唯一性，区分巡逻人员。方便查阅巡检考核数据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4、巡更功能：与感应式巡更器配合使用，识别巡逻人员信息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巡更底座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1、功能：通过USB与计算机通讯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2、材料：金属合金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3、物理接口：USB2.0 * 2</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4、操作温度：-40-85℃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巡更管理模块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巡更管理应用，利用门禁点、报警器等设备作为巡更点，完成区域内的巡更任务。主要提供巡更点管理、巡更计划、单兵巡更、巡更信息查询和统计分析等应用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197" w:name="_Toc32673"/>
      <w:r>
        <w:rPr>
          <w:rFonts w:hint="eastAsia"/>
        </w:rPr>
        <w:t xml:space="preserve">出入口控制</w:t>
      </w:r>
      <w:bookmarkEnd w:id="197"/>
      <w:r>
        <w:rPr>
          <w:rFonts w:hint="eastAsia"/>
        </w:rPr>
      </w:r>
      <w:r/>
    </w:p>
    <w:tbl>
      <w:tblPr>
        <w:tblW w:w="9288" w:type="dxa"/>
        <w:tblInd w:w="-15" w:type="dxa"/>
        <w:tblLayout w:type="fixed"/>
        <w:tblCellMar>
          <w:left w:w="108" w:type="dxa"/>
          <w:top w:w="0" w:type="dxa"/>
          <w:right w:w="108" w:type="dxa"/>
          <w:bottom w:w="0" w:type="dxa"/>
        </w:tblCellMar>
        <w:tblLook w:val="04A0" w:firstRow="1" w:lastRow="0" w:firstColumn="1" w:lastColumn="0" w:noHBand="0" w:noVBand="1"/>
      </w:tblPr>
      <w:tblGrid>
        <w:gridCol w:w="1103"/>
        <w:gridCol w:w="1389"/>
        <w:gridCol w:w="4590"/>
        <w:gridCol w:w="1103"/>
        <w:gridCol w:w="1103"/>
      </w:tblGrid>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185"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一、门禁设备</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人脸门禁一体机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7英寸触摸屏；屏幕流明度</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250cd/m2；屏幕分辨率</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1024*600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2、设备应支持以下认证方式：人脸识别，屏下卡片识读，密码；设备应支持人脸、卡片、密码独立凭证、任意2种或3种凭证的复合识读</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3、设备离线应能储存</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6000个用户（用户权限应能配置为管理员）、</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10000张卡片信息、</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50000条事件记录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4、支持防假体攻击功能，对视频、电子照片、打印照片、3D 面具应能防伪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5、支持人脸识别功能，现场抓拍人脸照片与本地人脸库照片进行比对，进行人员身份核验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6、支持在0.001lux低照度无补光环境下正常实现人脸识别，适应强光、逆光、暗光等条件的人脸识别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7、设备结构后壳的防破坏能力应满足IK07的要求；屏幕防破坏能力应满足IK04的要求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设备应支持本地加密存储比对结果、身份信息及抓拍人脸照片；应支持实时加密上传比对结果、身份信息及抓拍人脸照片等至管理中心；应支持断网续传离线加密记录功能；设备USB导出数据（事件记录及人脸等）应采用加密处理；用户数据及比对记录应采用加密处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门禁电源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1、输入电压：100-240VAC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2、输出电压：12VDC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3、输出电流：3.33A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4、输出功率：40W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5、工作温度：-10℃-+50℃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6、工作湿度：＜95%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国密读卡器（消控室、中心机房各1个）</w:t>
            </w:r>
            <w:r>
              <w:rPr>
                <w:rFonts w:hint="eastAsia" w:ascii="方正仿宋_GBK" w:hAnsi="方正仿宋_GBK" w:eastAsia="方正仿宋_GBK" w:cs="方正仿宋_GBK"/>
                <w:color w:val="000000"/>
                <w:sz w:val="20"/>
                <w:szCs w:val="20"/>
              </w:rPr>
            </w:r>
            <w:r/>
          </w:p>
        </w:tc>
        <w:tc>
          <w:tcPr>
            <w:tcBorders>
              <w:top w:val="none" w:color="000000" w:sz="4" w:space="0"/>
              <w:left w:val="none" w:color="000000" w:sz="4" w:space="0"/>
              <w:bottom w:val="none" w:color="000000" w:sz="4" w:space="0"/>
              <w:right w:val="non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1、支持国密CPU卡片读卡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2、支持RS485通讯接口；RS485采用国密算法加密处理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3、支持防拆报警功能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4、内建声响提示功能，供读卡状态辨识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5、内置国密安全加密芯片，支持SM4加密处理，满足商用密码检测认证中心</w:t>
            </w:r>
            <w:r>
              <w:rPr>
                <w:rFonts w:hint="eastAsia" w:ascii="方正仿宋_GBK" w:hAnsi="方正仿宋_GBK" w:eastAsia="方正仿宋_GBK" w:cs="方正仿宋_GBK"/>
                <w:color w:val="000000"/>
                <w:sz w:val="20"/>
                <w:szCs w:val="20"/>
                <w:highlight w:val="none"/>
                <w:lang w:bidi="ar"/>
              </w:rPr>
              <w:t xml:space="preserve">GM/T0028-2024《密码模块安全要求》</w:t>
            </w:r>
            <w:r>
              <w:rPr>
                <w:rFonts w:hint="eastAsia" w:ascii="方正仿宋_GBK" w:hAnsi="方正仿宋_GBK" w:eastAsia="方正仿宋_GBK" w:cs="方正仿宋_GBK"/>
                <w:color w:val="000000"/>
                <w:sz w:val="20"/>
                <w:szCs w:val="20"/>
                <w:lang w:bidi="ar"/>
              </w:rPr>
              <w:t xml:space="preserve">第二级要求</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出门按钮（31个人脸门禁点，3个国密读卡器门禁点）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1、结构：工程塑料面板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2、性能：最大耐电流1.25A，电压250V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3、输出：常开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4、类型：适合埋入式电器盒使用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双门磁力锁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1、最大静态直线拉力：280kg ± 5% * 2</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2、配备状态指示灯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3、锁状态侦测信号（门磁）输出：NO/NC/COM接点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4、工作电压：12V/430mA x 2(±10%）或24V/215mA x 2(±10%)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5、使用环境：室内，适用门型：木门、玻璃门、金属门、防火门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6、电源：可自行设定12VDC 或24VDC</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双门磁力锁支架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1、选用材料：高强度铝合金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2、适用门类型：木门/金属门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单门磁力锁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1、最大静态直线拉力：280kg ± 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2、配备状态指示灯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3、锁状态侦测信号（门磁）输出：NO/NC/COM接点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4、工作电压：12V/430mA(±10%) 或24V/215mA(±10%)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5、使用环境：室内，适用门型：木门、玻璃门、金属门、防火门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6、电源：可自行设定12VDC 或24VDC</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单门磁力锁支架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1、开门角度：90°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2、选用材料：高强度铝合金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3、适用门类型：木门/金属门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国密门禁控制器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1、主机可直接管控4门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2、搭配读卡器可以实现刷卡、指纹、密码等认证方式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3、搭配读卡器可实现刷卡+密码、刷卡+指纹、刷卡+指纹+密码等组合认证方式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4、支持多个人员认证（刷卡、密码、指纹等）通过后才开门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5、设备前后壳应采用金属材质，防爆等级IK06，支持壁挂和平放。设备应具有电源、运行、通信、门指示灯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6、接口：LAN接口1个；RS485通讯接口7个；韦根通讯接口2个；I/O输入接口2个；I/O输出接口2个；门磁I/O输入接口1个；开门I/O按钮接口1个；门锁I/O输出接口1个；消防接口1个；防拆接口1个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7、支持≥200000张卡片容量，100000个密码，10000枚指纹和600000笔记录存储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304"/>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国密卡片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1、国密CPU卡/IC卡加密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2、复合卡，国密CPU卡+IC卡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3、支持国密SM4算法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4、符合ISO14443TypeA标准，工作频率为13.56MHz，容量为80K</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5、＞10万次的擦写测试，10年数据保存期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6、出厂时已经完成国密密钥和IC卡密钥的灌装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7、卡片频率：13.56MHz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智能密码锁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1、适用门厚：40-70mm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2、锁芯等级：C级锁芯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3、面板材质：铝合金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4、锁体电源类型：干电池</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5、开锁方式：密码、临时密码、指纹、钥匙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6、锁体类型：半自动锁体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86</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发卡器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1、支持发卡类型：ID卡、IC卡、身份证物料卡号（序列号）、普通CPU卡、国密CPU卡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2、USB2.0接口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3、具有2个Sim卡尺寸的PSAM卡座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4、工作电压：DC 5V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5、工作电流：0.2A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185"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二、基础供电及授权</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RVV2*1.5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2145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开门按钮线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RVV4*1.0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550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门锁线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RVV6*1.0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650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电源箱</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集中供电电源，12V30A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门禁授权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门禁点位授权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34</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185"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三、梯控设备及配套供电线路</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331"/>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人脸门禁一体机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7英寸触摸屏；屏幕流明度</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250cd/m2；屏幕分辨率</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1024*600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2、设备应支持以下认证方式：人脸识别，屏下卡片识读，密码；设备应支持人脸、卡片、密码独立凭证、任意2种或3种凭证的复合识读</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3、设备离线应能储存</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6000个用户（用户权限应能配置为管理员）、</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10000张卡片信息、</w:t>
            </w:r>
            <w:r>
              <w:rPr>
                <w:rStyle w:val="1034"/>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50000条事件记录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4、支持防假体攻击功能，对视频、电子照片、打印照片、3D 面具应能防伪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5、支持人脸识别功能，现场抓拍人脸照片与本地人脸库照片进行比对，进行人员身份核验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6、支持在0.001lux低照度无补光环境下正常实现人脸识别，适应强光、逆光、暗光等条件的人脸识别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7、设备结构后壳的防破坏能力应满足IK07的要求；屏幕防破坏能力应满足IK04的要求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设备应支持本地加密存储比对结果、身份信息及抓拍人脸照片；应支持实时加密上传比对结果、身份信息及抓拍人脸照片等至管理中心；应支持断网续传离线加密记录功能；设备USB导出数据（事件记录及人脸等）应采用加密处理；用户数据及比对记录应采用加密处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门禁电源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1、输入电压：100-240VAC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2、输出电压：12VDC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3、输出电流：3.33A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4、输出功率：40W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5、工作温度：-10℃-+50℃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6、工作湿度：＜95%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1、系统应能对电梯的楼层进行权限控制，对电梯的权限进行组合设置，实现不同场景的权限管理： 刷卡、指纹、密码、刷卡+指纹、刷卡+密码等认证方式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2、主机支持2万张卡片管理，5万条事件存储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3、主机支持时段管理功能，支持256个周计划和1024个假日计划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4、主机支持Web接入，实现权限操作、楼层配置、参数配置、远程操作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5、主机应具有以下接口类型及相应数量：上行TCP/IP接口1个、下行RS485通信接口2个、下行Wiegand通信接口2个、可接入读卡器数量2个、紧急输入接口1个、消防输入接口1个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梯控联动模块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1、联动模块应具有以下接口类型及相应数量：上行RS485接口2个、报警输入接口2个、继电器输出16个、蜂鸣器接口1个、防拆接口1个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2、联动模块具有看门狗检测功能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3、联动模块支持在线升级功能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梯控管理授权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1、支持按组织、人员维度配置梯控权限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2、支持梯控权限的增量下发和初始化下发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3、支持按周计划设置楼层常开常闭工作状态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4、支持按楼层、人员、组织、区域等多维度，综合查询权限配置、下发状态等信息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5、支持配置平台接收到事件类型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6、支持配置事件保存时长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7、支持查询人员出入事件和设备事件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梯控联动线1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RVV4*0.5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梯控联动线2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RVV2*0.75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bl>
    <w:p>
      <w:pPr>
        <w:pStyle w:val="913"/>
        <w:rPr>
          <w:rFonts w:hint="eastAsia"/>
        </w:rPr>
      </w:pPr>
      <w:r/>
      <w:bookmarkStart w:id="198" w:name="_Toc6176"/>
      <w:r>
        <w:rPr>
          <w:rFonts w:hint="eastAsia"/>
        </w:rPr>
        <w:t xml:space="preserve">停车场管理</w:t>
      </w:r>
      <w:bookmarkEnd w:id="198"/>
      <w:r>
        <w:rPr>
          <w:rFonts w:hint="eastAsia"/>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844"/>
        <w:gridCol w:w="1529"/>
        <w:gridCol w:w="5098"/>
        <w:gridCol w:w="847"/>
        <w:gridCol w:w="845"/>
      </w:tblGrid>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318"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一、一进一出出入口</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抓拍显示一体机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1、≥400万像素，分辨率≥2688*1520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2、内置高亮LED灯，白光/红外二合一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3、支持LCD显示屏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4、支持电动变焦镜头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5、支持识别符合GA 36《中华人民共和国机动车号牌》标准的车牌类型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6、支持授权名单的导入及对比，可直接联动道闸开闸，支持脱机运行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7、车身颜色识别功能检查：支持车身识别的颜色种类至少包括：白、灰、黄、粉、紫、蓝、红、棕、黑10种颜色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8、机动车捕获率：在天气晴朗无雾条件下进行测试，日间环境光照度≥2001x，夜间辅助光照度≤301x。日间机动车捕获率≥99.9%；夜间地动车捕获率≥99.9%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9、显示屏功能检查：支持滚动或静止显示过车时间、车牌号、停车时长、收费金额、自定义内容等信息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补光灯控制功能检查：内置补光灯，可通过IE浏览器或客户端开启/关闭。支持在低照度环境下，自动开启补光灯，并调节补光灯亮度。支持按预先设置时间段开启补光灯，控制补光灯亮度。支持手动调节补光灯亮度，补光灯亮度1~100可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道闸</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1、无线摇控功能，采用学习码遥控技术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2、多种控制方式，具备升优先功能，支持通过开关量、遥控器、软件命令三种方式控制闸机升降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3、支持遥控一键进入车队模式（常开模式）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4、停电或故障时，旋转电机离合，实现手动开启/关闭闸杆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5、标配防砸胶条、压力波感应器、具有良好的防砸保护功能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6、延时自动关门，配合地感或红外等外接保护装置，实现无人值守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7、闸机防护等级≥IP54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出入口控制终端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1、远程访问运维功能：设备上电后，无需连接外部网络，可依靠设备自带无线通讯模块，进行远程运维、远程配置、远程操作、远程控制停车场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2、双屏显示功能检查：设备支持 VGA 和HDMI同时输出画面，一个屏幕展示最多12分屏的实时预览界面；另一个屏幕可展示出入口控制界面，支持实时查看过车图片、视频，支持控制出入口进出、缴费，最多支持12分屏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3、防车辆假出场逃费功能检查：当接入的出口摄像机识别到车辆倒退行为时，可联动设备对车辆进行入场处理，防止车辆假出场逃费行为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4、BS/CS 客户端功能检查：设备支持BS架构，可通过浏览器登录BS客户端，支持功能包括：登录设备、控制出入口管控、录入名单、查询过车记录；设备支持 CS架构，可通过鼠标、键盘、显示器登录设备CS客户端，支持功能包括：登录设备，控制出入口管控、录入名单、查询过车记录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5、终端备份功能检查：一台终端管理停车场，可额外设置另外一台备机，当前设备故障时，另外一台可以切换成正式管理设备，保持停车场正常运行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6、特殊车牌管理功能：支持特殊车牌管理，可分别设置放行规则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7、录像功能检查：可按时间设置定时录像和报警录像，并能根据时间、通道进行查询与回放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雷达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1、支持宽电压范围为：DC9V~16V，一般采用DC12V供电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2、功耗≤3W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3、设备具有电源和状态指示灯。一个红色电源指示灯，一个绿色状态指示灯；实时反映是否有车或有人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4、在触发雷达作用区域内，车速30km/h以内，触发捕获率≥99%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5、具有人车区分功能。可对行人和车辆进行区分，控制触发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6、触发模式具有区分方向功能，方向区分成功率≥95%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7、检测距离：最远6米；检测宽度：最宽2米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8、可通过WIFI和串口线进行数据通信，对设备进行升级和调试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9、1组RS485接口；1组报警信号输出；1组固件升级接口。支持WIFI</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10、外壳防护等级：IP67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出入口车辆放行管理车道授权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1、支持停车场出入口设备的管理，包含出入口抓拍机、道闸、显示屏等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2、支持对停车场的管理，配置停车库的名称、车位数、车道信息、车库管理人员电话</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3、支持对车道的管理，支持管理车道方向、识别模式（车牌识别、卡号识别）和启用时段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4、支持固定车、临时车、预约车、黑名单车辆的管理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5、支持黑名单车辆管控，黑名单车辆进出报警提醒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6、支持预约车管理，按次预约和按时段预约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7、支持嵌套停车场场景下的车辆进出管理和余位统计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8、支持自动放行、手动放行和单进单出等多种放行模式；支持车位满时固定车辆、临时车辆自动放行</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车道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安全岛</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尺寸≥1500*400*150mm，浇筑混凝土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安装调试</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包括道闸施工布线，设备安装，系统调试等</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318"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二、混进混出出入口</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抓拍显示一体机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1、≥400万像素，分辨率≥2688*1520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2、内置高亮LED灯，白光/红外二合一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3、支持LCD显示屏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4、支持电动变焦镜头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5、支持识别符合GA 36《中华人民共和国机动车号牌》标准的车牌类型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6、支持授权名单的导入及对比，可直接联动道闸开闸，支持脱机运行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7、车身颜色识别功能检查：支持车身识别的颜色种类至少包括：白、灰、黄、粉、紫、蓝、红、棕、黑10种颜色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8、机动车捕获率：在天气晴朗无雾条件下进行测试，日间环境光照度≥2001x，夜间辅助光照度≤301x。日间机动车捕获率≥99.9%；夜间地动车捕获率≥99.9%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9、显示屏功能检查：支持滚动或静止显示过车时间、车牌号、停车时长、收费金额、自定义内容等信息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补光灯控制功能检查：内置补光灯，可通过IE浏览器或客户端开启/关闭。支持在低照度环境下，自动开启补光灯，并调节补光灯亮度。支持按预先设置时间段开启补光灯，控制补光灯亮度。支持手动调节补光灯亮度，补光灯亮度1~100可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道闸</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1、无线摇控功能，采用学习码遥控技术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2、多种控制方式，具备升优先功能，支持通过开关量、遥控器、软件命令三种方式控制闸机升降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3、支持遥控一键进入车队模式（常开模式）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4、停电或故障时，旋转电机离合，实现手动开启/关闭闸杆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5、标配防砸胶条、压力波感应器、具有良好的防砸保护功能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6、延时自动关门，配合地感或红外等外接保护装置，实现无人值守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7、闸机防护等级≥IP54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出入口控制终端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1、远程访问运维功能：设备上电后，无需连接外部网络，可依靠设备自带无线通讯模块，进行远程运维、远程配置、远程操作、远程控制停车场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2、双屏显示功能检查：设备支持 VGA 和HDMI同时输出画面，一个屏幕展示最多12分屏的实时预览界面；另一个屏幕可展示出入口控制界面，支持实时查看过车图片、视频，支持控制出入口进出、缴费，最多支持12分屏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3、防车辆假出场逃费功能检查：当接入的出口摄像机识别到车辆倒退行为时，可联动设备对车辆进行入场处理，防止车辆假出场逃费行为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4、BS/CS 客户端功能检查：设备支持BS架构，可通过浏览器登录BS客户端，支持功能包括：登录设备、控制出入口管控、录入名单、查询过车记录；设备支持 CS架构，可通过鼠标、键盘、显示器登录设备CS客户端，支特功能包括：登录设备，控制出入口管控、录入名单、查询过车记录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5、终端备份功能检查：一台终端管理停车场，可额外设置另外一台备机，当前设备故障时，另外一台可以切换成正式管理设备，保持停车场正常运行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6、特殊车牌管理功能：支持特殊车牌管理，可分别设置放行规则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7、录像功能检查：可按时间设置定时录像和报警录像，并能根据时间、通道进行查询与回放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雷达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1、支持宽电压范围为：DC9V~16V，一般采用DC12V供电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2、功耗≤3W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3、设备具有电源和状态指示灯。一个红色电源指示灯，一个绿色状态指示灯；实时反映是否有车或有人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4、在触发雷达作用区域内，车速30km/h以内，触发捕获率≥99%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5、具有人车区分功能。可对行人和车辆进行区分，控制触发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6、触发模式具有区分方向功能，方向区分成功率≥95%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7、检测距离：最远6米；检测宽度：最宽2米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8、可通过WIFI和串口线进行数据通信，对设备进行升级和调试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9、1组RS485接口；1组报警信号输出；1组固件升级接口。支持WIFI</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10、外壳防护等级：IP67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出入口车辆放行管理车道授权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1、支持停车场出入口设备的管理，包含出入口抓拍机、道闸、显示屏等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2、支持对停车场的管理，配置停车库的名称、车位数、车道信息、车库管理人员电话</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3、支持对车道的管理，支持管理车道方向、识别模式（车牌识别、卡号识别）和启用时段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4、支持固定车、临时车、预约车、黑名单车辆的管理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5、支持黑名单车辆管控，黑名单车辆进出报警提醒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6、支持预约车管理，按次预约和按时段预约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7、支持嵌套停车场场景下的车辆进出管理和余位统计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8、支持自动放行、手动放行和单进单出等多种放行模式；支持车位满时固定车辆、临时车辆自动放行</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车道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安全岛</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尺寸≥1500*400*150mm，浇筑混凝土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安装调试</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包括道闸施工布线，设备安装，系统调试等</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199" w:name="_Toc1805"/>
      <w:r>
        <w:rPr>
          <w:rFonts w:hint="eastAsia"/>
        </w:rPr>
        <w:t xml:space="preserve">多媒体会议</w:t>
      </w:r>
      <w:bookmarkEnd w:id="199"/>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168"/>
        <w:gridCol w:w="5487"/>
        <w:gridCol w:w="831"/>
        <w:gridCol w:w="965"/>
      </w:tblGrid>
      <w:tr>
        <w:trPr>
          <w:trHeight w:val="420"/>
        </w:trPr>
        <w:tc>
          <w:tcPr>
            <w:tcW w:w="392"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W w:w="637"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W w:w="299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W w:w="45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20"/>
        </w:trPr>
        <w:tc>
          <w:tcPr>
            <w:gridSpan w:val="4"/>
            <w:tcW w:w="8204"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699770</wp:posOffset>
                      </wp:positionH>
                      <wp:positionV relativeFrom="paragraph">
                        <wp:posOffset>0</wp:posOffset>
                      </wp:positionV>
                      <wp:extent cx="1410970" cy="190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55.1pt;mso-position-horizontal:absolute;mso-position-vertical-relative:text;margin-top:0.0pt;mso-position-vertical:absolute;width:111.1pt;height:0.1pt;mso-wrap-distance-left:9.0pt;mso-wrap-distance-top:0.0pt;mso-wrap-distance-right:9.0pt;mso-wrap-distance-bottom:0.0pt;" stroked="f">
                      <v:path textboxrect="0,0,0,0"/>
                      <v:imagedata r:id="rId36"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37" o:title=""/>
                    </v:shape>
                  </w:pict>
                </mc:Fallback>
              </mc:AlternateContent>
            </w:r>
            <w:r>
              <w:rPr>
                <w:rFonts w:hint="eastAsia" w:ascii="方正仿宋_GBK" w:hAnsi="方正仿宋_GBK" w:eastAsia="方正仿宋_GBK" w:cs="方正仿宋_GBK"/>
                <w:b/>
                <w:bCs/>
                <w:color w:val="000000"/>
                <w:sz w:val="20"/>
                <w:szCs w:val="20"/>
                <w:lang w:bidi="ar"/>
              </w:rPr>
              <w:t xml:space="preserve">一、一层大厅</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1、专业扩声系统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真分集无线一拖二手持话筒</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numPr>
                <w:ilvl w:val="0"/>
                <w:numId w:val="10"/>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具备超强抗干扰能力和宽频稳定信号收发能力，六段LED指示灯组显示，真分集双通道RFA/RFB射频信号自动切换显示，6级接收LED灯信号显示，6级AF音频LED灯信号显示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2、使用UHF560-680MHz频段，应用PLL频率合成锁相环技术，频率可调，发射功率可调，避免干扰频率，防手机干扰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3、面板≥1个2.4英寸TFT彩色液晶界面显示，A与B通道按键选择，≥2个一键对频独立按键功能，≥1个飞梭旋钮，≥1个快捷键（FBX/EQ/ECHO选择），≥1个电源开关轻触按键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4、可设置音频增益、≥10种EQ均衡设置、≥9种混响模式设置、≥9啸叫抑制模式等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5、支持自动锁屏，可开启与关闭锁屏模式，支持面板一键锁屏功能，开启锁屏模式后，不操作时15秒自动锁屏，防止误触修改参数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6、内置3W腔体喇叭，支持语音控制关闭与开启，内置Ai语音控制功能，通过手持话筒讲话语音可以控制电源时序器，灯光、LED屏控制，音频处理器、视频矩阵等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7、双通道31级音量，每通道有单独电子音量调节大小</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8、后面板≥4个BNC天线、≥2个XRL平衡输出、≥1个6.35混音输出、≥1个USB插口</w:t>
            </w:r>
            <w:r>
              <w:rPr>
                <w:rFonts w:hint="eastAsia" w:ascii="方正仿宋_GBK" w:hAnsi="方正仿宋_GBK" w:eastAsia="方正仿宋_GBK" w:cs="方正仿宋_GBK"/>
                <w:color w:val="000000"/>
                <w:sz w:val="20"/>
                <w:szCs w:val="20"/>
                <w:lang w:bidi="ar"/>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16路天线放大器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1、频率范围：≥450～970MHZ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2、阻抗：50Ω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3、输入电压：DC 12V 5A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4、输出直流电压：12V四组DC输出端子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5、天线增幅电压：12V 150mA</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天线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numPr>
                <w:ilvl w:val="0"/>
                <w:numId w:val="11"/>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频率范围：500-950MHz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2、输入截断点：+22dBm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3、噪声比：4.0dB </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4、输出阻抗：50欧姆（SWR&lt;=1:1.5）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5、频宽：450MHz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6、调控开关：轻触开关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7、接口：B型母座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8、输出阻抗：50欧姆（SWR&lt;=1:1.5）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9、增益（最大）：12dB（典型）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10、整合数控可调范围：-6-12dB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11、阶互调截取点：+45dBm（典型）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12、增益平坦度：+1dB，全频段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13、电源：+9V至12V（典型），150mA</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中继放大器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1、频率范围：≥450～970MHZ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2、增益：3dB/12dB 二级可调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3、输入接口：BNC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4、输出接口：BNC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5、阻抗：50Ω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6、输入电压：DC 9-12V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7、天线增幅电压：9-12V 100mA</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延长线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200米 50Ω同轴线缆</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音柱</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1.≥4×4.5寸两分频高性能线阵列音柱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2.频率响应≥80Hz-20KHz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3.灵敏度≥96dB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4.标称抗阻：4Ω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5.额定功率≥300W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6.低音单元≥4×4.5英寸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7.高音单元≥1×1英寸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8.扩散角度: 100°×30°(H×V）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9.最大声压级≥129dB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音柱支架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1、最大承重≥40 Kg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2、水平角度：-90°~+90°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3、垂直下倾角度：40°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4、材质：冷轧钢板</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音柱功放</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numPr>
                <w:ilvl w:val="0"/>
                <w:numId w:val="12"/>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标准机柜式设计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2.内置中文点阵屏</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3.内置高品质蓝牙解码芯片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4.内置高品质MP3解码芯片USB接口，兼容MP3/WAV等多种音频格式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5.内置高灵敏度收音解码芯片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6.内置警报提示音输出，有强切入优先，并具备默音调节功能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7.内置高品质铃声提示音，有强切入优先，并具备默音调节功能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8.≥2路线路输入，AUX1，AUX2，1路辅助输出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9.≥2路话筒输入，话筒MIC1具强切默音功能，具有最高优先权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10.具有高音、低音音调控制，各输入通道独立音量控制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11.具前进、后退、播放、暂停、音量增加、音量减小等按键（带遥控器）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12.额定输出功率≥800W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13.≥2种功率输出方式：定压输出70V、100V和定阻输出4～16Ω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14.内置智能温度检测驱动风冷，采用低噪声风扇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15.具有短路、过载、过热、饱和失真、直流输出等保护功能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16.内置自激、过热、开关机防冲击保护及LED警示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17.独立的静噪音线路处理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18.额定输出功率≥：800W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19.输出方式：70V、100V、4-16Ω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20.辅助输出：600Ω1V(0dB)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21.信噪比：话筒&gt;68dB   线路&gt;82dB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22.频率响应：60Hz-18KHz/±3Db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23.总谐波失真&lt;0.1% at 1KHz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24.线路失真度＜0.1%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25.话筒失真度＜0.3%</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吸顶扬声器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1、额定功率（定阻）8Ω≥40W，峰值功率≥160W；额定功率（定压）≥70V*10W/100V*20W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2、灵敏度（1W@1m）≥101dB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3、频率响应≥55-18KHz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4、喇叭单元≥1 x 6.5英寸</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吸顶扬声器功放</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1、功率输出≥2x300W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2、负载阻抗≥4-8Ω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3、输入灵敏度≥0.70/50KΩ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4、话筒输入≤20mv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5、信噪比：-103dB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6、总谐波失真&lt;0.01%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7、频率响应≥5Hz-50KHz（±3dB）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8、串音衰减≥45dB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数字音频处理器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numPr>
                <w:ilvl w:val="0"/>
                <w:numId w:val="13"/>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3.≥8路平衡式线路输出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16.采用ARM架构芯片，设备检测符合GB4943.1-2022标准要求</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17.≥2个USB音频接口，支持接U盘录制和播放，具有USB-B声卡接口，支持≥2x2，可连接Android/ HarmonyOS等系统设备，与软件类视频会议无缝对接，网络音频通道：≥16通道发送，≥16通道接收</w:t>
            </w:r>
            <w:r>
              <w:rPr>
                <w:rFonts w:hint="eastAsia" w:ascii="方正仿宋_GBK" w:hAnsi="方正仿宋_GBK" w:eastAsia="方正仿宋_GBK" w:cs="方正仿宋_GBK"/>
                <w:color w:val="000000"/>
                <w:sz w:val="20"/>
                <w:szCs w:val="20"/>
                <w:lang w:bidi="ar"/>
              </w:rPr>
            </w:r>
            <w:r/>
          </w:p>
          <w:p>
            <w:pPr>
              <w:pStyle w:val="911"/>
              <w:numPr>
                <w:ilvl w:val="0"/>
                <w:numId w:val="14"/>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支持AI去噪算法：可去除稳态噪声和非稳态噪声；支持AI自动增益：采用AI识别技术，可根据设定的目标值自动将声音大小调整到合适的范围</w:t>
            </w:r>
            <w:r>
              <w:rPr>
                <w:rFonts w:hint="eastAsia" w:ascii="方正仿宋_GBK" w:hAnsi="方正仿宋_GBK" w:eastAsia="方正仿宋_GBK" w:cs="方正仿宋_GBK"/>
                <w:color w:val="000000"/>
                <w:sz w:val="20"/>
                <w:szCs w:val="20"/>
                <w:lang w:bidi="ar"/>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8路智能电源时序器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1.具有触摸屏，≥8路万能插座，具有≥2路RS-485 具有≥1路RS232，具有≥1路USB，具有≥2路RJ45，具有≥1路Wi-Fi天线口，具有≥1路32A空气开关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2.输入电流≥30A ，总功率≥6600W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3.通道控制：1-8路单独触摸开关，支持记忆启动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4.定时任务：4组任务定时设置，支持每日定时开关机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5.延时控制：每路单独设置延时开关（0.1~999秒），默认1秒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6.输入电源：AC 110-240V，50/60Hz，30A，6600W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7.时间管理：支持时区设置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8.支持2.4/5GHz频段，外接天线，手机APP远程控制，级联功能，通过RJ-45方式级联6台设备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9.支持密码功能1-6位数字密码锁定</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6;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38"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699770</wp:posOffset>
                      </wp:positionH>
                      <wp:positionV relativeFrom="paragraph">
                        <wp:posOffset>0</wp:posOffset>
                      </wp:positionV>
                      <wp:extent cx="1410970" cy="190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7;o:allowoverlap:true;o:allowincell:true;mso-position-horizontal-relative:text;margin-left:55.1pt;mso-position-horizontal:absolute;mso-position-vertical-relative:text;margin-top:0.0pt;mso-position-vertical:absolute;width:111.1pt;height:0.1pt;mso-wrap-distance-left:9.0pt;mso-wrap-distance-top:0.0pt;mso-wrap-distance-right:9.0pt;mso-wrap-distance-bottom:0.0pt;" stroked="f">
                      <v:path textboxrect="0,0,0,0"/>
                      <v:imagedata r:id="rId39" o:title=""/>
                    </v:shape>
                  </w:pict>
                </mc:Fallback>
              </mc:AlternateContent>
            </w:r>
            <w:r>
              <w:rPr>
                <w:rFonts w:hint="eastAsia" w:ascii="方正仿宋_GBK" w:hAnsi="方正仿宋_GBK" w:eastAsia="方正仿宋_GBK" w:cs="方正仿宋_GBK"/>
                <w:b/>
                <w:bCs/>
                <w:color w:val="000000"/>
                <w:sz w:val="20"/>
                <w:szCs w:val="20"/>
                <w:lang w:bidi="ar"/>
              </w:rPr>
              <w:t xml:space="preserve">2、会议设备专用线缆</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1、600*590*600mm，带PDU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2、前钢化玻璃、后钣金</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1、300芯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2、采用铝箔屏蔽或者PVC加银色线镀锡铜屏蔽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3、抗电磁干扰</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699770</wp:posOffset>
                      </wp:positionH>
                      <wp:positionV relativeFrom="paragraph">
                        <wp:posOffset>0</wp:posOffset>
                      </wp:positionV>
                      <wp:extent cx="1410970" cy="190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55.1pt;mso-position-horizontal:absolute;mso-position-vertical-relative:text;margin-top:0.0pt;mso-position-vertical:absolute;width:111.1pt;height:0.1pt;mso-wrap-distance-left:9.0pt;mso-wrap-distance-top:0.0pt;mso-wrap-distance-right:9.0pt;mso-wrap-distance-bottom:0.0pt;" stroked="f">
                      <v:path textboxrect="0,0,0,0"/>
                      <v:imagedata r:id="rId40"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41" o:title=""/>
                    </v:shape>
                  </w:pict>
                </mc:Fallback>
              </mc:AlternateContent>
            </w:r>
            <w:r>
              <w:rPr>
                <w:rFonts w:hint="eastAsia" w:ascii="方正仿宋_GBK" w:hAnsi="方正仿宋_GBK" w:eastAsia="方正仿宋_GBK" w:cs="方正仿宋_GBK"/>
                <w:b/>
                <w:bCs/>
                <w:color w:val="000000"/>
                <w:sz w:val="20"/>
                <w:szCs w:val="20"/>
                <w:lang w:bidi="ar"/>
              </w:rPr>
              <w:t xml:space="preserve">二、1F1间洽谈室+2F企业并购与重组专家室/企业重组协调工作室+3F党建阵地+3F/4F/5F14间合议室，共18间</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1、显示系统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会议一体机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1、整机屏幕≥86英寸液晶显示器，采用超高清LED液晶显示屏，显示比例16:9，屏幕分辨率最大支持3840×2160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2、整机屏幕显示灰度分辨等级达到256及以上灰阶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3、整机屏幕采用≥3.2mm防眩钢化玻璃保护，硬度≥9H</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4、整机在0℃- 40℃环境下可正常工作，在-20℃—60℃的环境下可正常贮存且贮存后功能无损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5、支持自定义图像设置，可对对比度、屏幕色温、图像亮度、亮度范围调节设置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6、整机CPU，可编程逻辑芯片、时钟芯片、采用自主芯片</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落地移动支架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1、全金属</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2、自带托盘，支持前后安装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3、静音万向轮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4、适合会议一体机</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r>
            <w:r/>
          </w:p>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r>
            <w:r/>
          </w:p>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0</wp:posOffset>
                      </wp:positionH>
                      <wp:positionV relativeFrom="paragraph">
                        <wp:posOffset>0</wp:posOffset>
                      </wp:positionV>
                      <wp:extent cx="4692650" cy="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46926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0;o:allowoverlap:true;o:allowincell:true;mso-position-horizontal-relative:text;margin-left:0.0pt;mso-position-horizontal:absolute;mso-position-vertical-relative:text;margin-top:0.0pt;mso-position-vertical:absolute;width:369.5pt;height:0.0pt;mso-wrap-distance-left:9.0pt;mso-wrap-distance-top:0.0pt;mso-wrap-distance-right:9.0pt;mso-wrap-distance-bottom:0.0pt;" stroked="f">
                      <v:path textboxrect="0,0,0,0"/>
                      <v:imagedata r:id="rId42" o:title=""/>
                    </v:shape>
                  </w:pict>
                </mc:Fallback>
              </mc:AlternateContent>
            </w: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投屏器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1、发射器*1，接收器*1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2、发射端接口：USBA+C双接口，接收端接口：HDMI</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3、单按键设计，一按即可传屏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4、分辨率/刷新率4K/30Hz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5、2.4G+5.8G频段，传输稳定可靠</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6、无需单独供电，传输距离30米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1、≥86英寸，miniLED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2、分辨率≥4K，屏幕亮度≥800尼特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3、运行内存≥4G，存储内存≥64G</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1;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43"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699770</wp:posOffset>
                      </wp:positionH>
                      <wp:positionV relativeFrom="paragraph">
                        <wp:posOffset>0</wp:posOffset>
                      </wp:positionV>
                      <wp:extent cx="1379855" cy="190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55.1pt;mso-position-horizontal:absolute;mso-position-vertical-relative:text;margin-top:0.0pt;mso-position-vertical:absolute;width:108.6pt;height:0.1pt;mso-wrap-distance-left:9.0pt;mso-wrap-distance-top:0.0pt;mso-wrap-distance-right:9.0pt;mso-wrap-distance-bottom:0.0pt;" stroked="f">
                      <v:path textboxrect="0,0,0,0"/>
                      <v:imagedata r:id="rId44" o:title=""/>
                    </v:shape>
                  </w:pict>
                </mc:Fallback>
              </mc:AlternateContent>
            </w:r>
            <w:r>
              <w:rPr>
                <w:rFonts w:hint="eastAsia" w:ascii="方正仿宋_GBK" w:hAnsi="方正仿宋_GBK" w:eastAsia="方正仿宋_GBK" w:cs="方正仿宋_GBK"/>
                <w:b/>
                <w:bCs/>
                <w:color w:val="000000"/>
                <w:sz w:val="20"/>
                <w:szCs w:val="20"/>
                <w:lang w:bidi="ar"/>
              </w:rPr>
              <w:t xml:space="preserve">三、1F信息中心</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1、发言系统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会议系统主机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1.主机内置嵌入式处理器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2.内置环境噪音消除器、数字均衡电路、自适应反馈抑器；具备“手拉手”连接和环路连接多种方式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3.具备≥4寸真彩触摸屏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4.支持自由模式、轮替模式、限制模式、申请模式、计时模式、声控模式、PTT模式、VIP模式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5.系统主机具有双机热备份模式功能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6.具有USB录音功能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7.内置≥4进1出视频矩阵，实现会议中视频自动跟踪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8.≥4路⽹络总线，每个接⼝可接驳≥15个会议发⾔单元</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高保真带显示短杆主席单元</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1.内置≥14mm高品质电容音头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2.内置≥4英寸高清触摸屏，可触摸控制话筒开关状态、ID 号、音量大小等信息；单元支持15级音量统一或独立调节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3.单元具有时钟显示，待机图片定制，支持倒计时发言和顺计时发言功能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4.单元具有申请发言灯环闪烁提示功能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5.单元灯环可通过主机统一开启或关闭功能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6.支持超6类双屏蔽网线手拉手和环形回路备份连接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7.系统具有自动修复功能，支持线路的“热插拔”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8.主席单元具有主席优先控制功能，当主席单元开启话筒后，可启动系统提示音提醒所有出席人员注意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9.话筒杆长度≤230mm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高保真短杆代表单元</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1.内置≥14mm高品质电容音头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2.内置≥4英寸高清触摸屏，可触摸控制话筒开关状态、ID 号、音量大小等信息；单元支持15级音量统一或独立调节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3.单元具有时钟显示，待机图片定制，支持倒计时发言和顺计时发言功能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4.单元具有申请发言灯环闪烁提示功能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5.单元灯环可通过主机统一开启或关闭功能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6.支持超6类双屏蔽网线手拉手和环形回路备份连接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7.系统具有自动修复功能，支持线路的“热插拔”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8.话筒杆长度≤230mm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会议系统地插</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8芯会议模块+网线模块</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真分集无线一拖二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手持话筒</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1.双通道UHF超高频真分集无线接收机，支持根据信号强度自动切换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2.支持混音输出，同时支持每通道一个平衡卡侬座独立输出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3.急速红外对频方式，对频距离远，锁定速度快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4.频率范围≥641-690MHz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5.可调信道数≥200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6.振荡方式：锁相环（PLL）频率合成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7.频率稳定度&lt;±3ppm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8.自动跟踪调谐技术，保证系统在任何频率工作时保持最佳稳定性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9.LED高清屏幕显示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10.接收灵敏度：-99~-69dBm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11.音频频响≥40~18000Hz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12.谐波失真&lt;0.5%(1kHz,25mVrms)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13.信噪比≥110dB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14.手持无线话筒频率范围≥641-690MHz，音频频响≥40~18000Hz，辐射功率≤10dBm，谐波失&lt;0.5%(1kHz,25mVrms)</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天线放大器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1.一拖四天线放大器，最远距离≥400米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2.≥12dB可调的射频信号电平，用于优化使用不同线缆的接收效率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3.可链接≥8台无线接收机组成大型系统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4.RF电平过载LED，及时监察射频信号质量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5.高清LCD显示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6.通道≥2*5(10路）输出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7.频率≥450-970MHz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8.输入/输出阻抗：50欧姆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9.增益≥+6dB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2、扩声系统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全频主扩音箱</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 频率范围：69Hz-20kHz（-10dB）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轴向灵敏度：94dB±2dB/1W/1m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最大声压级：连续：117dB±2dB；峰值：123dB±2dB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功率：额定250W，峰值1000W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覆盖角度：H90°×V60°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低频单元：10英寸单元×1,2英寸音圈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高频单元：1英寸喉口，1英寸音圈</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全频辅助音箱</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 频率范围：80-20kHz（-10dB）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轴向灵敏度：91dB±2dB/1W/1m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最大声压级：连续：113dB±2dB；峰值：119dB±2dB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功率：额定150W，峰值600W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覆盖角度：H90°×V60°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低频单元：8英寸单元×1,2英寸音圈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高频单元：1英寸喉口，1英寸音圈</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壁挂架</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全频主扩音箱功放</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1.两通道D类数字专业功率放大器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2.1U结构设计，多输入灵敏度选择</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3.具有短路保护、直流保护，过温保护、无线电干扰保护等多种保护功能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4.额定功率：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立体声模式：2x600W@8Ω，2x900W@4Ω；桥接模式：1x1800W@8Ω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 15Hz-30kHz（士1dB）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 &lt;0.1%，20Hz-20kHz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7.阻尼系数 &gt;240(1KHZ，8Ω)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8.信噪比：105dB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9.输入灵敏度：35dB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全频辅助音箱功放</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1.两通道D类数字专业功率放大器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2.1U结构设计，多输入灵敏度选择</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3.具有短路保护、直流保护，过温保护、无线电干扰保护等多种保护功能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4.额定功率：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立体声模式：2x350W@8Ω，2x600W@4Ω；桥接模式：1x1200W@8Ω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 15Hz-30kHz（士1dB）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 &lt;0.1%，20Hz-20kHz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7.阻尼系数 &gt;240(1KHZ，8Ω)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 105dB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9.输入灵敏度：35dB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调音台</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1.≥12路输入：4路平衡式麦克风输入和平衡线路输入通道；4组立体声，2路立体声输入通道支持单声道，2路立体声输入通道支持RCA输入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2.≥14路输出：1组主输出，采用平衡式与非平衡式输出接口，4路AUX辅助，4路编组，1组监听及1组耳机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3.超低噪声离散式麦克风前置放大器和+48V幻象电源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4.每路单声道输入通道设有压缩器，≥3段参量均衡器，带中频扫频，低切，高低阻切换开关（部分通道支持），设有峰值LED指示灯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5.每路通道均支持PFL （衰减前监听）、静音功能，行程60mm衰减推子带有防尘网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6.内置24位DSP效果器，提供≥100种预设效果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7.具有USB-B接口，支持2x2UAC音频传输，可切换至立体声输入，接收主输出通道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8.具有LED电平指示灯，指示主输出、监听信号电平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数字音频处理器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3.≥8路平衡式线路输出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16.采用ARM架构芯片，设备检测符合GB4943.1-2022标准要求</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17.≥2个USB音频接口，支持接U盘录制和播放，具有USB-B声卡接口，支持≥2x2，可连接Android/ HarmonyOS等系统设备，与软件类视频会议无缝对接，网络音频通道：≥16通道发送，≥16通道接收</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18.支持AI去噪算法：可去除稳态噪声和非稳态噪声；支持AI自动增益：采用AI识别技术，可根据设定的目标值自动将声音大小调整到合适的范围</w:t>
            </w:r>
            <w:r>
              <w:rPr>
                <w:rFonts w:hint="eastAsia" w:ascii="方正仿宋_GBK" w:hAnsi="方正仿宋_GBK" w:eastAsia="方正仿宋_GBK" w:cs="方正仿宋_GBK"/>
                <w:color w:val="000000"/>
                <w:sz w:val="20"/>
                <w:szCs w:val="20"/>
                <w:lang w:bidi="ar"/>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AI反馈抑制增益器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1.DNN深度神经网络的AI动态自适应降噪技术，高保真度还原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2.提供Peak峰值电平表，监测当前音频信号幅度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3.支持多麦克风智能混音、具备话筒优选功能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4.具备信号处理模块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5.滤波功能模块，包括高通滤波器、低通滤波器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6.支持参量均衡调节功能/内置压缩器功能/支持音量调节功能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7.模拟输入通道（卡龙、6.35）≥2通道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8.模拟输出通道（平衡输出）≥2通道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9.USB（Type-A）接口≥1路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10.电平开关（支持3档输入增益调节）≥1路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11.音量调节(旋钮）≥1路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12.旁路开关≥1路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13.幻象电源：每路输入通道48V幻象供电，自带幻象供电按钮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14.频率响应≥ 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15.总谐波失真≥ THD &lt;0.01%@1KHz</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智能时序电源</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numPr>
                <w:ilvl w:val="0"/>
                <w:numId w:val="15"/>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顺序开启逆序关闭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2.彩屏显示电压，电流，功率，功率因数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3.内置功率计，电压，电流，功率，功率因数实时显示</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4.具备电压保护、电流保护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5.中控系统：支持RS232 接口，波特率可设置（4800-128000，默认9600）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6.掉电记忆：当设备自动断电，数据自动储存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7.可循环定制开关（服务端控制）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8.面板或手机APP独立控制各通道</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3、集中控制系统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网络中控主机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1.控制上采用神经网络图算法，支持自主绘制任意控制运行图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2.人机界面采用符合HTML5标准的动态图形及矢量图形技术，支持编制动态人机交互界面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3.支持云端编程、远程控制、可视化操作，支持宏模块、用户自建模块、资源共享及多重界面，支持Tcp、Udp、Telnet等网络协议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4.≥8路低压继电器，≥8路数字I/O输入，≥8路红外或单向RS-232串行通讯口，≥8路双向RS-232/422/485串行通讯口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5.≥1个RST系统复位按钮，≥3个LED系统状态指示灯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7.前面板带液晶显示屏和红外学习窗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8.前面板≥4个可编程按键</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网络中控系统逻辑处理内嵌软件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1.配合控制主机硬件使用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2.接受系统中心服务平台软件管理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3.可视化系统定制编程</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0</wp:posOffset>
                      </wp:positionH>
                      <wp:positionV relativeFrom="paragraph">
                        <wp:posOffset>0</wp:posOffset>
                      </wp:positionV>
                      <wp:extent cx="1021080" cy="254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45" o:title=""/>
                    </v:shape>
                  </w:pict>
                </mc:Fallback>
              </mc:AlternateContent>
            </w: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0</wp:posOffset>
                      </wp:positionH>
                      <wp:positionV relativeFrom="paragraph">
                        <wp:posOffset>0</wp:posOffset>
                      </wp:positionV>
                      <wp:extent cx="1379855" cy="190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4;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46" o:title=""/>
                    </v:shape>
                  </w:pict>
                </mc:Fallback>
              </mc:AlternateContent>
            </w:r>
            <w:r>
              <w:rPr>
                <w:rFonts w:hint="eastAsia" w:ascii="方正仿宋_GBK" w:hAnsi="方正仿宋_GBK" w:eastAsia="方正仿宋_GBK" w:cs="方正仿宋_GBK"/>
                <w:color w:val="000000"/>
                <w:sz w:val="20"/>
                <w:szCs w:val="20"/>
                <w:lang w:bidi="ar"/>
              </w:rPr>
              <w:t xml:space="preserve">无线触摸控制屏</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屏幕尺寸≥11.5英寸，分辨率≥2.5K，峰值亮度≥600nits，电池容量≥10000mAh，运行内存≥8G，存储容量≥128G</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可视化编程软件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定制可视化编程软件</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0</wp:posOffset>
                      </wp:positionH>
                      <wp:positionV relativeFrom="paragraph">
                        <wp:posOffset>0</wp:posOffset>
                      </wp:positionV>
                      <wp:extent cx="1021080" cy="254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5;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47" o:title=""/>
                    </v:shape>
                  </w:pict>
                </mc:Fallback>
              </mc:AlternateContent>
            </w: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0</wp:posOffset>
                      </wp:positionV>
                      <wp:extent cx="1379855" cy="190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6;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48" o:title=""/>
                    </v:shape>
                  </w:pict>
                </mc:Fallback>
              </mc:AlternateContent>
            </w:r>
            <w:r>
              <w:rPr>
                <w:rFonts w:hint="eastAsia" w:ascii="方正仿宋_GBK" w:hAnsi="方正仿宋_GBK" w:eastAsia="方正仿宋_GBK" w:cs="方正仿宋_GBK"/>
                <w:color w:val="000000"/>
                <w:sz w:val="20"/>
                <w:szCs w:val="20"/>
                <w:lang w:bidi="ar"/>
              </w:rPr>
              <w:t xml:space="preserve">无线路由器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1、无线协议：WIFI6</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2、无线速率：7200M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3、支持外置天线、防火墙</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控制器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1.支持通过RS232、RS485控制通道开关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2.支持通过网络TCP、UDP、HTTP、web控制通道开关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3.支持时序控制通道开启和关闭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4.支持每通道单独控制开启和关闭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5.支持锁定面板按键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6.支持通道与通道之间状态互锁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7.支持自定义设备名称和通道名称设备掉电，供电恢复后，端口状态自动恢复到断电前的状态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8.可对每个通道配置打开或关闭此功能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9.支持场景保存和调用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10.≥8路通道，每通道一个COM公共火线端，一个NC常闭端，一个NO常开端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11.单通道支持≥250V 15A</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4、会议设备专用线缆</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多媒体插座</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1、180度开启式地插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2、材质：铜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3、五孔插座，8芯手拉手，RJ45，HDMI</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1、600*600*2000mm，带PDU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2、前钢化玻璃、后钣金</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1、300芯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2、采用铝箔屏蔽或者PVC加银色线镀锡铜屏蔽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3、抗电磁干扰</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1、128网双芯咪线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2、铝箔+裸铜编织屏蔽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3、PVC外被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4、线径OD6.0mm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HDMI光纤高清线，长度20米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HDMI光纤高清线，长度25米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8芯手拉手会议话筒线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1、插口芯数：8芯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2、线材外被：PVC外被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3、接口材质：镀镍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4、线材规格：屏蔽线/26AWG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5、线材外径：6mm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6、线缆长度：20m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699770</wp:posOffset>
                      </wp:positionH>
                      <wp:positionV relativeFrom="paragraph">
                        <wp:posOffset>0</wp:posOffset>
                      </wp:positionV>
                      <wp:extent cx="1379855" cy="190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7;o:allowoverlap:true;o:allowincell:true;mso-position-horizontal-relative:text;margin-left:55.1pt;mso-position-horizontal:absolute;mso-position-vertical-relative:text;margin-top:0.0pt;mso-position-vertical:absolute;width:108.6pt;height:0.1pt;mso-wrap-distance-left:9.0pt;mso-wrap-distance-top:0.0pt;mso-wrap-distance-right:9.0pt;mso-wrap-distance-bottom:0.0pt;" stroked="f">
                      <v:path textboxrect="0,0,0,0"/>
                      <v:imagedata r:id="rId49"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8;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50" o:title=""/>
                    </v:shape>
                  </w:pict>
                </mc:Fallback>
              </mc:AlternateContent>
            </w:r>
            <w:r>
              <w:rPr>
                <w:rFonts w:hint="eastAsia" w:ascii="方正仿宋_GBK" w:hAnsi="方正仿宋_GBK" w:eastAsia="方正仿宋_GBK" w:cs="方正仿宋_GBK"/>
                <w:b/>
                <w:bCs/>
                <w:color w:val="000000"/>
                <w:sz w:val="20"/>
                <w:szCs w:val="20"/>
                <w:lang w:bidi="ar"/>
              </w:rPr>
              <w:t xml:space="preserve">四、2F视频会议室</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1、发言系统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会议系统主机</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1.主机内置嵌入式处理器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2.内置环境噪音消除器、数字均衡电路、自适应反馈抑器；具备“手拉手”连接和环路连接多种方式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3.具备≥4寸真彩触摸屏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4.支持自由模式、轮替模式、限制模式、申请模式、计时模式、声控模式、PTT模式、VIP模式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5.系统主机具有双机热备份模式功能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6.具有USB录音功能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7.内置≥4进1出视频矩阵，实现会议中视频自动跟踪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8.≥4路⽹络总线，每个接⼝可接驳≥15个会议发⾔单元</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高保真带显示短杆主席单元</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1.内置≥14mm高品质电容音头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2.内置≥4英寸高清触摸屏，可触摸控制话筒开关状态、ID 号、音量大小等信息；单元支持15级音量统一或独立调节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3.单元具有时钟显示，待机图片定制，支持倒计时发言和顺计时发言功能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4.单元具有申请发言灯环闪烁提示功能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5.单元灯环可通过主机统一开启或关闭功能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6.支持超6类双屏蔽网线手拉手和环形回路备份连接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7.系统具有自动修复功能，支持线路的“热插拔”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8.主席单元具有主席优先控制功能，当主席单元开启话筒后，可启动系统提示音提醒所有出席人员注意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9.话筒杆长度≤230mm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高保真短杆代表单元</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1.内置≥14mm高品质电容音头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2.内置≥4英寸高清触摸屏，可触摸控制话筒开关状态、ID 号、音量大小等信息；单元支持15级音量统一或独立调节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3.单元具有时钟显示，待机图片定制，支持倒计时发言和顺计时发言功能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4.单元具有申请发言灯环闪烁提示功能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5.单元灯环可通过主机统一开启或关闭功能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6.支持超6类双屏蔽网线手拉手和环形回路备份连接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7.系统具有自动修复功能，支持线路的“热插拔”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8.话筒杆长度≤230mm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会议系统地插</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8芯会议模块+网线模块</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真分集无线一拖二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手持话筒</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1.双通道UHF超高频真分集无线接收机，支持根据信号强度自动切换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2.支持混音输出，同时支持每通道一个平衡卡侬座独立输出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3.急速红外对频方式，对频距离远，锁定速度快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4.频率范围≥641-690MHz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5.可调信道数≥200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6.振荡方式：锁相环（PLL）频率合成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7.频率稳定度&lt;±3ppm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8.自动跟踪调谐技术，保证系统在任何频率工作时保持最佳稳定性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9.LED高清屏幕显示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10.接收灵敏度：-99~-69dBm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11.音频频响≥40~18000Hz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12.谐波失真&lt;0.5%(1kHz,25mVrms)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13.信噪比≥110dB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14.手持无线话筒频率范围≥641-690MHz，音频频响≥40~18000Hz，辐射功率≤10dBm，谐波失&lt;0.5%(1kHz,25mVrms)</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天线放大器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1.一拖四天线放大器，最远距离≥400米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2.≥12dB可调的射频信号电平，用于优化使用不同线缆的接收效率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3.可链接≥8台无线接收机组成大型系统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4.RF电平过载LED，及时监察射频信号质量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5.高清LCD显示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6.通道≥2*5(10路）输出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7.频率≥450-970MHz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8.输入/输出阻抗：50欧姆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9.增益≥+6dB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2、扩声系统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全频主扩音箱</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 频率范围：69Hz-20kHz（-10dB）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轴向灵敏度：94dB±2dB/1W/1m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最大声压级：连续：117dB±2dB；峰值：123dB±2dB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功率：额定250W，峰值1000W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覆盖角度：H90°×V60°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低频单元：10英寸单元×1,2英寸音圈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高频单元：1英寸喉口，1英寸音圈</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全频辅助音箱</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 频率范围：80-20kHz（-10dB）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轴向灵敏度：91dB±2dB/1W/1m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最大声压级：连续：113dB±2dB；峰值：119dB±2dB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功率：额定150W，峰值600W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覆盖角度：H90°×V60°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低频单元：8英寸单元×1,2英寸音圈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高频单元：1英寸喉口，1英寸音圈</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壁挂架</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壁挂架</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全频主扩音箱功放</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1.两通道D类数字专业功率放大器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2.1U结构设计，多输入灵敏度选择</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3.具有短路保护、直流保护，过温保护、无线电干扰保护等多种保护功能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4.额定功率：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立体声模式：2x600W@8Ω，2x900W@4Ω；桥接模式：1x1800W@8Ω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 15Hz-30kHz（士1dB）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 &lt;0.1%，20Hz-20kHz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7.阻尼系数 &gt;240(1KHZ，8Ω)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8.信噪比：105dB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9.输入灵敏度：35dB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全频辅助音箱功放</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1.两通道D类数字专业功率放大器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2.1U结构设计，多输入灵敏度选择</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3.具有短路保护、直流保护，过温保护、无线电干扰保护等多种保护功能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4.额定功率：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立体声模式：2x350W@8Ω，2x600W@4Ω；桥接模式：1x1200W@8Ω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 15Hz-30kHz（士1dB）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 &lt;0.1%，20Hz-20kHz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7.阻尼系数 &gt;240(1KHZ，8Ω)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 105dB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9.输入灵敏度：35dB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调音台</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1.≥12路输入：4路平衡式麦克风输入和平衡线路输入通道；4组立体声，2路立体声输入通道支持单声道，2路立体声输入通道支持RCA输入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2.≥14路输出：1组主输出，采用平衡式与非平衡式输出接口，4路AUX辅助，4路编组，1组监听及1组耳机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3.超低噪声离散式麦克风前置放大器和+48V幻象电源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4.每路单声道输入通道设有压缩器，≥3段参量均衡器，带中频扫频，低切，高低阻切换开关（部分通道支持），设有峰值LED指示灯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5.每路通道均支持PFL （衰减前监听）、静音功能，行程60mm衰减推子带有防尘网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6.内置24位DSP效果器，提供≥100种预设效果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7.具有USB-B接口，支持2x2UAC音频传输，可切换至立体声输入，接收主输出通道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8.具有LED电平指示灯，指示主输出、监听信号电平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数字音频处理器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3.≥8路平衡式线路输出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16.采用ARM架构芯片，设备检测符合GB4943.1-2022标准要求</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17.≥2个USB音频接口，支持接U盘录制和播放，具有USB-B声卡接口，支持≥2x2，可连接Android/ HarmonyOS等系统设备，与软件类视频会议无缝对接，网络音频通道：≥16通道发送，≥16通道接收</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18.支持AI去噪算法：可去除稳态噪声和非稳态噪声；支持AI自动增益：采用AI识别技术，可根据设定的目标值自动将声音大小调整到合适的范围</w:t>
            </w:r>
            <w:r>
              <w:rPr>
                <w:rFonts w:hint="eastAsia" w:ascii="方正仿宋_GBK" w:hAnsi="方正仿宋_GBK" w:eastAsia="方正仿宋_GBK" w:cs="方正仿宋_GBK"/>
                <w:color w:val="000000"/>
                <w:sz w:val="20"/>
                <w:szCs w:val="20"/>
                <w:lang w:bidi="ar"/>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AI反馈抑制增益器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1.DNN深度神经网络的AI动态自适应降噪技术，高保真度还原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2.提供Peak峰值电平表，监测当前音频信号幅度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3.支持多麦克风智能混音、具备话筒优选功能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4.具备信号处理模块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5.滤波功能模块，包括高通滤波器、低通滤波器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6.支持参量均衡调节功能/内置压缩器功能/支持音量调节功能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7.模拟输入通道（卡龙、6.35）≥2通道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8.模拟输出通道（平衡输出）≥2通道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9.USB（Type-A）接口≥1路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10.电平开关（支持3档输入增益调节）≥1路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11.音量调节(旋钮）≥1路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12.旁路开关≥1路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13.幻象电源：每路输入通道48V幻象供电，自带幻象供电按钮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14.频率响应≥ 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15.总谐波失真≥ THD &lt;0.01%@1KHz</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智能时序电源</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numPr>
                <w:ilvl w:val="0"/>
                <w:numId w:val="15"/>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顺序开启逆序关闭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2.彩屏显示电压，电流，功率，功率因数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3.内置功率计，电压，电流，功率，功率因数实时显示</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4.具备电压保护、电流保护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5.中控系统：支持RS232 接口，波特率可设置（4800-128000，默认9600）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6.掉电记忆：当设备自动断电，数据自动储存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7.可循环定制开关（服务端控制）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8.面板或手机APP独立控制各通道</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3、集中控制系统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网络中控主机</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1.控制上采用神经网络图算法，支持自主绘制任意控制运行图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2.人机界面采用符合HTML5标准的动态图形及矢量图形技术，支持编制动态人机交互界面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3.支持云端编程、远程控制、可视化操作，支持宏模块、用户自建模块、资源共享及多重界面，支持Tcp、Udp、Telnet等网络协议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4.≥8路低压继电器，≥8路数字I/O输入，≥8路红外或单向RS-232串行通讯口，≥8路双向RS-232/422/485串行通讯口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5.≥1个RST系统复位按钮，≥3个LED系统状态指示灯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7.前面板带液晶显示屏和红外学习窗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8.前面板≥4个可编程按键</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网络中控系统逻辑处理内嵌软件</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1.配合控制主机硬件使用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2.接受系统中心服务平台软件管理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3.可视化系统定制编程</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0</wp:posOffset>
                      </wp:positionH>
                      <wp:positionV relativeFrom="paragraph">
                        <wp:posOffset>0</wp:posOffset>
                      </wp:positionV>
                      <wp:extent cx="1379855" cy="190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9;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51" o:title=""/>
                    </v:shape>
                  </w:pict>
                </mc:Fallback>
              </mc:AlternateContent>
            </w: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0</wp:posOffset>
                      </wp:positionH>
                      <wp:positionV relativeFrom="paragraph">
                        <wp:posOffset>0</wp:posOffset>
                      </wp:positionV>
                      <wp:extent cx="1021080" cy="254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80;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52" o:title=""/>
                    </v:shape>
                  </w:pict>
                </mc:Fallback>
              </mc:AlternateContent>
            </w:r>
            <w:r>
              <w:rPr>
                <w:rFonts w:hint="eastAsia" w:ascii="方正仿宋_GBK" w:hAnsi="方正仿宋_GBK" w:eastAsia="方正仿宋_GBK" w:cs="方正仿宋_GBK"/>
                <w:color w:val="000000"/>
                <w:sz w:val="20"/>
                <w:szCs w:val="20"/>
                <w:lang w:bidi="ar"/>
              </w:rPr>
              <w:t xml:space="preserve">无线触摸控制屏</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屏幕尺寸≥11.5英寸，分辨率≥2.5K，峰值亮度≥600nits，电池容量≥10000mAh，运行内存≥8G，存储容量≥128G</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可视化编程软件</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定制可视化编程软件</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0</wp:posOffset>
                      </wp:positionH>
                      <wp:positionV relativeFrom="paragraph">
                        <wp:posOffset>0</wp:posOffset>
                      </wp:positionV>
                      <wp:extent cx="1379855" cy="190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1;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53" o:title=""/>
                    </v:shape>
                  </w:pict>
                </mc:Fallback>
              </mc:AlternateContent>
            </w: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0</wp:posOffset>
                      </wp:positionH>
                      <wp:positionV relativeFrom="paragraph">
                        <wp:posOffset>0</wp:posOffset>
                      </wp:positionV>
                      <wp:extent cx="1021080" cy="254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2;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54" o:title=""/>
                    </v:shape>
                  </w:pict>
                </mc:Fallback>
              </mc:AlternateContent>
            </w:r>
            <w:r>
              <w:rPr>
                <w:rFonts w:hint="eastAsia" w:ascii="方正仿宋_GBK" w:hAnsi="方正仿宋_GBK" w:eastAsia="方正仿宋_GBK" w:cs="方正仿宋_GBK"/>
                <w:color w:val="000000"/>
                <w:sz w:val="20"/>
                <w:szCs w:val="20"/>
                <w:lang w:bidi="ar"/>
              </w:rPr>
              <w:t xml:space="preserve">无线路由器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1、无线协议：WIFI6</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2、无线速率：7200M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3、支持外置天线、防火墙</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控制器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1.支持通过RS232、RS485控制通道开关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2.支持通过网络TCP、UDP、HTTP、web控制通道开关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3.支持时序控制通道开启和关闭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4.支持每通道单独控制开启和关闭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5.支持锁定面板按键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6.支持通道与通道之间状态互锁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7.支持自定义设备名称和通道名称设备掉电，供电恢复后，端口状态自动恢复到断电前的状态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8.可对每个通道配置打开或关闭此功能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9.支持场景保存和调用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10.≥8路通道，每通道一个COM公共火线端，一个NC常闭端，一个NO常开端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11.单通道支持≥250V 15A</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4、会议设备专用线缆</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多媒体插座</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1、180度开启式地插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2、材质：铜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3、五孔插座，8芯手拉手，RJ45，HDMI</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1、600*600*2000mm，带PDU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2、前钢化玻璃、后钣金</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1、300芯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2、采用铝箔屏蔽或者PVC加银色线镀锡铜屏蔽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3、抗电磁干扰</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1、128网双芯咪线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2、铝箔+裸铜编织屏蔽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3、PVC外被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4、线径OD6.0mm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HDMI光纤高清线，长度20米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HDMI光纤高清线，长度25米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8芯手拉手会议话筒线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手拉手话筒线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1、插口芯数：8芯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2、线材外被：PVC外被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3、接口材质：镀镍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4、线材规格：屏蔽线/26AWG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5、线材外径：6mm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6、线缆长度：20m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699770</wp:posOffset>
                      </wp:positionH>
                      <wp:positionV relativeFrom="paragraph">
                        <wp:posOffset>0</wp:posOffset>
                      </wp:positionV>
                      <wp:extent cx="1379855" cy="190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3;o:allowoverlap:true;o:allowincell:true;mso-position-horizontal-relative:text;margin-left:55.1pt;mso-position-horizontal:absolute;mso-position-vertical-relative:text;margin-top:0.0pt;mso-position-vertical:absolute;width:108.6pt;height:0.1pt;mso-wrap-distance-left:9.0pt;mso-wrap-distance-top:0.0pt;mso-wrap-distance-right:9.0pt;mso-wrap-distance-bottom:0.0pt;" stroked="f">
                      <v:path textboxrect="0,0,0,0"/>
                      <v:imagedata r:id="rId55"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699770</wp:posOffset>
                      </wp:positionH>
                      <wp:positionV relativeFrom="paragraph">
                        <wp:posOffset>0</wp:posOffset>
                      </wp:positionV>
                      <wp:extent cx="1410970" cy="190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4;o:allowoverlap:true;o:allowincell:true;mso-position-horizontal-relative:text;margin-left:55.1pt;mso-position-horizontal:absolute;mso-position-vertical-relative:text;margin-top:0.0pt;mso-position-vertical:absolute;width:111.1pt;height:0.1pt;mso-wrap-distance-left:9.0pt;mso-wrap-distance-top:0.0pt;mso-wrap-distance-right:9.0pt;mso-wrap-distance-bottom:0.0pt;" stroked="f">
                      <v:path textboxrect="0,0,0,0"/>
                      <v:imagedata r:id="rId56"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5;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57" o:title=""/>
                    </v:shape>
                  </w:pict>
                </mc:Fallback>
              </mc:AlternateContent>
            </w:r>
            <w:r>
              <w:rPr>
                <w:rFonts w:hint="eastAsia" w:ascii="方正仿宋_GBK" w:hAnsi="方正仿宋_GBK" w:eastAsia="方正仿宋_GBK" w:cs="方正仿宋_GBK"/>
                <w:b/>
                <w:bCs/>
                <w:color w:val="000000"/>
                <w:sz w:val="20"/>
                <w:szCs w:val="20"/>
                <w:lang w:bidi="ar"/>
              </w:rPr>
              <w:t xml:space="preserve">五、视频会议系统（二楼会议室）</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88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视频会议终端</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1.采用硬件分体式结构，非PC架构、非工控机架构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2.终端采用嵌入式操作系统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3.终端核心芯片采用自研元器件，至少包括音视频编解码单元、CPU处理单元、视频输入输出芯片、音频输入输出芯片、可编程逻辑芯片、电源芯片、时钟芯片、专用安全芯片、内存存储芯片、闪存存储芯片等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4.支持ITU-T H.320、H.323和IETF SIP、RTC通信标准，会议速率支持128Kbps－8Mbps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8.支持1080p60、1080p30、720p60、720p30高清分辨率，并向下兼容4CIF、CIF标清分辨率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11.支持≥4路高清视频输入接口（至少含1个HDBaseT接口、2个HDMI输入口）、≥2路高清视频输出接口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12.支持标准的HDBaseT视频输入接口，支持视频、供电、控制三线合一，可通过网线作为传输介质，无需外接其他设备传输距离可达100米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13.支持≥6路音频输入接口，≥3路独立的音频输出接口</w:t>
            </w:r>
            <w:r>
              <w:rPr>
                <w:rFonts w:hint="eastAsia" w:ascii="方正仿宋_GBK" w:hAnsi="方正仿宋_GBK" w:eastAsia="方正仿宋_GBK" w:cs="方正仿宋_GBK"/>
                <w:color w:val="0000ff"/>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14.支持演讲者追踪，手动指定某区域，智能跟踪指定区域内的发言人，并居中显示</w:t>
            </w:r>
            <w:r>
              <w:rPr>
                <w:rFonts w:hint="eastAsia" w:ascii="方正仿宋_GBK" w:hAnsi="方正仿宋_GBK" w:eastAsia="方正仿宋_GBK" w:cs="方正仿宋_GBK"/>
                <w:color w:val="0000ff"/>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15.支持背景替换，通过人像检测技术，可将与会方与背景分离，可以虚化模糊背景或替换已有的背景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16.支持多人特写功能，支持把会议室中的与会方的人像裁剪出来拼接成一个多宫格画面，作为一路图像显示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17.支持多视功能，终端可将2路本地视频输入图像合成1路视频，在本地显示或发送到远端，画面合成风格可设置</w:t>
            </w:r>
            <w:r>
              <w:rPr>
                <w:rFonts w:hint="eastAsia" w:ascii="方正仿宋_GBK" w:hAnsi="方正仿宋_GBK" w:eastAsia="方正仿宋_GBK" w:cs="方正仿宋_GBK"/>
                <w:color w:val="0000ff"/>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18.终端支持设置横幅，支持文字或图片横幅，支持设置横幅位置，支持配置横幅时进行可视化预览，支持设置滚动速度和滚动方式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19.终端具备信息窗功能，支持首页显示信息窗，实现多幅画面进行循环播放，画面内容可自定义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20.终端支持国家密码局认定的国产密码算法，保证信息安全自主可控。支持SM4等国密加密算法</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视频会议高清摄像机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1.摄像机需与视频终端同一品牌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2.支持壁装、三脚架安装或吊顶安装等多种安装方式，可按用户需求进行安装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3.图像传感器采用≥1/2.8"CMOS 图像传感器，支持1080p60、1080p50、1080p30、1080p25、720p60、720p50等高清信号输出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4.支持不小于12倍光学变倍，支持不小于16倍数字变焦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5.支持广角镜头，水平视角不小于80°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6.视频输出接口具备HDBaseT、HDMI、USB接口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7.支持一根网线实现供电、图像显示、摄像机控制多线合一，支持通过一根网线实现信号传输100米长距离传输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8.支持RS422控制接口，支持标准VISCA和PELCO协议，支持摄像机通过控制口实现菊花链控制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9.支持网口VISCA控制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10.水平转动范围≥±170°，垂直转动范围≥-30°～30°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11.支持自带显示屏，可方便显示视频输出分辨率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12.支持保存≥255个预置位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13.支持图像防抖功能，可实现图像防抖</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14.支持HDR高动态功能，支持图像抗闪烁功能</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视频会议电视墙</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1.采用19英寸标准机架式结构，嵌入式、模块化设计，可根据业务所需配置相应的解码模块，实现高密度视频解码输出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2.支持双电源、双网口冗余备份，支持设备长时间稳定运行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3.支持远程网络连接MCU方式实现电视墙解码输出，即MCU和电视墙解码器之间距离不受限制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4.支持H.264 BP、H.264 HP、H.265视频解码协议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5.支持G.711、G.722、G.728、G.722.1AnnexC、G.719、MPEG4-AAC LC/LD等音频协议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6.支持4K30fps、1080p60、1080p30、720p60、720p30高清图像格式，并向下兼容4CIF、CIF标清图像格式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7.单台电视墙解码器支持8个解码卡插槽，最大支持16路高清图像输出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8.电视墙解码卡支持HDBaseT/HDMI等多种视频接口可选。本次要求配置2路1080p60fps高清输出，视频输出接口为HDMI</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9.支持在MCU中进行电视墙集群化管理、 支持解码板卡向资源池进行注册并统一管理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10.支持电视墙通道画面合成，可以在无需占用MCU画面合成资源情况下支持4路高清图像合成输出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11.支持虚拟电视墙， 按照用户拼接大屏实际拼接模式进行设置， 保存多个电视墙预案， 同时可以针对电视墙通道设置自主多画面，可设置≥25种多画面风格，扩展电视墙画面显示的路数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12.支持电视墙通道叠加台标， 输出图像的同时， 在图像上叠加台标，用于标识输出图像的内容</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视频超高清解码单元</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超清解码单元，2路高清视频解码输出，2路音频输出，2个HDMI接口</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200" w:name="_Toc25974"/>
      <w:r>
        <w:rPr>
          <w:rFonts w:hint="eastAsia"/>
        </w:rPr>
        <w:t xml:space="preserve">信息发布</w:t>
      </w:r>
      <w:bookmarkEnd w:id="200"/>
      <w:r>
        <w:rPr>
          <w:rFonts w:hint="eastAsia"/>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2077"/>
        <w:gridCol w:w="4487"/>
        <w:gridCol w:w="667"/>
        <w:gridCol w:w="1235"/>
      </w:tblGrid>
      <w:tr>
        <w:trPr>
          <w:trHeight w:val="420"/>
        </w:trPr>
        <w:tc>
          <w:tcPr>
            <w:tcW w:w="380"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W w:w="1133"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W w:w="2448"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W w:w="364"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W w:w="674"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20"/>
        </w:trPr>
        <w:tc>
          <w:tcPr>
            <w:gridSpan w:val="4"/>
            <w:tcW w:w="7928"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一、一层展示显示系统（知识产权司法保护中心服务大厅）</w:t>
            </w:r>
            <w:r>
              <w:rPr>
                <w:rFonts w:hint="eastAsia" w:ascii="方正仿宋_GBK" w:hAnsi="方正仿宋_GBK" w:eastAsia="方正仿宋_GBK" w:cs="方正仿宋_GBK"/>
                <w:b/>
                <w:bCs/>
                <w:color w:val="000000"/>
                <w:sz w:val="20"/>
                <w:szCs w:val="20"/>
              </w:rPr>
            </w:r>
            <w:r/>
          </w:p>
        </w:tc>
        <w:tc>
          <w:tcPr>
            <w:tcW w:w="674"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8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11"/>
              <w:numPr>
                <w:ilvl w:val="0"/>
                <w:numId w:val="16"/>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屏幕尺寸≥100寸，分辨率≥4K，MiniLED</w:t>
            </w:r>
            <w:r>
              <w:rPr>
                <w:rFonts w:hint="eastAsia" w:ascii="方正仿宋_GBK" w:hAnsi="方正仿宋_GBK" w:eastAsia="方正仿宋_GBK" w:cs="方正仿宋_GBK"/>
                <w:color w:val="000000"/>
                <w:sz w:val="20"/>
                <w:szCs w:val="20"/>
                <w:lang w:bidi="ar"/>
              </w:rPr>
            </w:r>
            <w:r/>
          </w:p>
          <w:p>
            <w:pPr>
              <w:pStyle w:val="911"/>
              <w:numPr>
                <w:ilvl w:val="0"/>
                <w:numId w:val="16"/>
              </w:numPr>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运行内存≥4G，存储空间≥64G</w:t>
            </w:r>
            <w:r>
              <w:rPr>
                <w:rFonts w:hint="eastAsia" w:ascii="方正仿宋_GBK" w:hAnsi="方正仿宋_GBK" w:eastAsia="方正仿宋_GBK" w:cs="方正仿宋_GBK"/>
                <w:color w:val="000000"/>
                <w:sz w:val="20"/>
                <w:szCs w:val="20"/>
              </w:rPr>
            </w:r>
            <w:r/>
          </w:p>
          <w:p>
            <w:pPr>
              <w:pStyle w:val="911"/>
              <w:numPr>
                <w:ilvl w:val="0"/>
                <w:numId w:val="16"/>
              </w:numPr>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亮度≥600尼特</w:t>
            </w:r>
            <w:r>
              <w:rPr>
                <w:rFonts w:hint="eastAsia" w:ascii="方正仿宋_GBK" w:hAnsi="方正仿宋_GBK" w:eastAsia="方正仿宋_GBK" w:cs="方正仿宋_GBK"/>
                <w:color w:val="000000"/>
                <w:sz w:val="20"/>
                <w:szCs w:val="20"/>
              </w:rPr>
            </w:r>
            <w:r/>
          </w:p>
          <w:p>
            <w:pPr>
              <w:pStyle w:val="911"/>
              <w:numPr>
                <w:ilvl w:val="0"/>
                <w:numId w:val="16"/>
              </w:numPr>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含支架</w:t>
            </w:r>
            <w:r>
              <w:rPr>
                <w:rFonts w:hint="eastAsia" w:ascii="方正仿宋_GBK" w:hAnsi="方正仿宋_GBK" w:eastAsia="方正仿宋_GBK" w:cs="方正仿宋_GBK"/>
                <w:color w:val="000000"/>
                <w:sz w:val="20"/>
                <w:szCs w:val="20"/>
              </w:rPr>
            </w:r>
            <w:r/>
          </w:p>
        </w:tc>
        <w:tc>
          <w:tcPr>
            <w:tcW w:w="364"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8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电视机信息发布盒</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1、支持图片、视频、文档、流媒体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2、AV接口 HDMI 2.1 DP1.4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3、4K分辨率输出</w:t>
            </w:r>
            <w:r>
              <w:rPr>
                <w:rFonts w:hint="eastAsia" w:ascii="方正仿宋_GBK" w:hAnsi="方正仿宋_GBK" w:eastAsia="方正仿宋_GBK" w:cs="方正仿宋_GBK"/>
                <w:color w:val="000000"/>
                <w:sz w:val="20"/>
                <w:szCs w:val="20"/>
              </w:rPr>
            </w:r>
            <w:r/>
          </w:p>
        </w:tc>
        <w:tc>
          <w:tcPr>
            <w:tcW w:w="364"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7928"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二、一层企业全周期司法服务中心</w:t>
            </w:r>
            <w:r>
              <w:rPr>
                <w:rFonts w:hint="eastAsia" w:ascii="方正仿宋_GBK" w:hAnsi="方正仿宋_GBK" w:eastAsia="方正仿宋_GBK" w:cs="方正仿宋_GBK"/>
                <w:b/>
                <w:bCs/>
                <w:color w:val="000000"/>
                <w:sz w:val="20"/>
                <w:szCs w:val="20"/>
              </w:rPr>
            </w:r>
            <w:r/>
          </w:p>
        </w:tc>
        <w:tc>
          <w:tcPr>
            <w:tcW w:w="674"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8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信息发布管理服务器软件</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11"/>
              <w:numPr>
                <w:ilvl w:val="0"/>
                <w:numId w:val="17"/>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资源管理：实现发布系统发布各种媒体格式文件的传输，对媒体资源实现统一存储、共享使用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节目资源：视频、音乐、图片、文字、PPT、Word、Excel等Office文档以及PDF资源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节目接口：支持外部接口资源，如天气、股票、世界时间、汇率、网站等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节目类型：实现常规、轮播、插播节目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终端管理：支持终端运行监控主要是监控终端的运行状态的监控，可以看到终端是否在线，当前播放的节目清单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终端分组：把网络上所有的终端根据管理模式的需要按区域或者级别分成多个组，以组的方式实现对终端的管理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远程升级：实现终端软件的远程更新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节目模板：模板的制作只需要规划节目的内容布局，不需要选择具体播放资源，使节目的风格、样式、布局更加统一，更加规范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 模板节目制作：可快速根据模板的控件要求进行节目制作，制作时选择播放的媒体素材即可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 新建节目制作：通过鼠标拖拽左侧工具栏的媒体控件实现节目制作，布局灵活、内容丰富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 系统管理对使用系统的公司部门、角色权限、用户进行管理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 节目审批：可对制作好的节目，统一审批管理，不符合要求的节目，在审批不通过时，可自由添加提示或建议，确保节目内容符合要求，内容不涉及违规信息等</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13.适配统信、银河麒麟等主流操作系统</w:t>
            </w:r>
            <w:r>
              <w:rPr>
                <w:rFonts w:hint="eastAsia" w:ascii="方正仿宋_GBK" w:hAnsi="方正仿宋_GBK" w:eastAsia="方正仿宋_GBK" w:cs="方正仿宋_GBK"/>
                <w:color w:val="000000"/>
                <w:sz w:val="20"/>
                <w:szCs w:val="20"/>
                <w:lang w:bidi="ar"/>
              </w:rPr>
            </w:r>
            <w:r/>
          </w:p>
        </w:tc>
        <w:tc>
          <w:tcPr>
            <w:tcW w:w="364"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720"/>
        </w:trPr>
        <w:tc>
          <w:tcPr>
            <w:tcW w:w="38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壁挂信息发布屏</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1.屏幕尺寸≥15.6、屏幕比例 16：9、物理分辨率最大支持1920*1080、屏幕亮度≥250cd/㎡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2.触摸参数：投射式电容触摸技术、触摸点数：10点，响应时间≤3ms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3.控制系统：内置专用显控主板，CPU≥四核64位，频率≥1.8GHz，内存≥DDR4-2G，存储≥EMMC-16G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4.外置接口：USB*1、RJ45*1网卡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5.功能模块：前置200W高清摄像头、门锁控制模块</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6.散热方式：无风扇整体机身散热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7.安装方式：86底盒壁挂安装，标配壁挂安装支架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8.POE供电</w:t>
            </w:r>
            <w:r>
              <w:rPr>
                <w:rFonts w:hint="eastAsia" w:ascii="方正仿宋_GBK" w:hAnsi="方正仿宋_GBK" w:eastAsia="方正仿宋_GBK" w:cs="方正仿宋_GBK"/>
                <w:color w:val="000000"/>
                <w:sz w:val="20"/>
                <w:szCs w:val="20"/>
              </w:rPr>
            </w:r>
            <w:r/>
          </w:p>
        </w:tc>
        <w:tc>
          <w:tcPr>
            <w:tcW w:w="364"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20"/>
        </w:trPr>
        <w:tc>
          <w:tcPr>
            <w:gridSpan w:val="4"/>
            <w:tcW w:w="7928"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三、一层业务自助办理台</w:t>
            </w:r>
            <w:r>
              <w:rPr>
                <w:rFonts w:hint="eastAsia" w:ascii="方正仿宋_GBK" w:hAnsi="方正仿宋_GBK" w:eastAsia="方正仿宋_GBK" w:cs="方正仿宋_GBK"/>
                <w:b/>
                <w:bCs/>
                <w:color w:val="000000"/>
                <w:sz w:val="20"/>
                <w:szCs w:val="20"/>
              </w:rPr>
            </w:r>
            <w:r/>
          </w:p>
        </w:tc>
        <w:tc>
          <w:tcPr>
            <w:tcW w:w="674"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8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壁挂触摸一体机</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1、C86架构，≥8核16线程，运行内存≥8G，存储≥256G SSD，独立显卡≥4G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2、≥43寸，分辨率≥1920*1080P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3、USB*2+网口</w:t>
            </w:r>
            <w:r>
              <w:rPr>
                <w:rFonts w:hint="eastAsia" w:ascii="方正仿宋_GBK" w:hAnsi="方正仿宋_GBK" w:eastAsia="方正仿宋_GBK" w:cs="方正仿宋_GBK"/>
                <w:color w:val="000000"/>
                <w:sz w:val="20"/>
                <w:szCs w:val="20"/>
              </w:rPr>
            </w:r>
            <w:r/>
          </w:p>
        </w:tc>
        <w:tc>
          <w:tcPr>
            <w:tcW w:w="364"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201" w:name="_Toc2905"/>
      <w:r>
        <w:rPr>
          <w:rFonts w:hint="eastAsia"/>
        </w:rPr>
        <w:t xml:space="preserve">出入口安检</w:t>
      </w:r>
      <w:bookmarkEnd w:id="201"/>
      <w:r>
        <w:rPr>
          <w:rFonts w:hint="eastAsia"/>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910"/>
        <w:gridCol w:w="4820"/>
        <w:gridCol w:w="781"/>
        <w:gridCol w:w="871"/>
      </w:tblGrid>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W w:w="1042"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W w:w="2630"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W w:w="425"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64"/>
        </w:trPr>
        <w:tc>
          <w:tcPr>
            <w:gridSpan w:val="4"/>
            <w:tcW w:w="8291"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一、访客通道</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智能X射线检查系统</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1、传送带高度：670mm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2、电源：220VAC(-15%~±10%)  50±3Hz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3、功耗：＜0.5kvA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4、工作温度/湿度：0℃~45℃；10%至90%（在不凝结水滴状态下）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5、设备由 X 射线源、X 射线探测器、控制部件、传送带、计算机等组成，采用双源多能量X射线检查技术，能够准确识别有机物（橙色显示）、无机物（蓝色显示）和混合物（绿色显示）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6、线分辨力：底视角Φ0.127mm和侧视角Φ0.127mm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7、穿透分辨力：底视角Φ0.254mm和侧视角Φ0.254mm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8、空间分辨力：设备在0.2m/s速度下正常工作时，能够分辨最小线对直径1mm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9、图像存储功能：设备应具有图像实时存储功能，并能支持扩展，保存图像应包含图像生成时间、操作员ID、设备ID、疑似危险品名称等信息，并可将疑似危险品报警信息同X光机过包图像同步保存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10、语音播报和报警功能：当检测到违禁品、难穿透物品或可疑有机物时，设备应能通过外接音箱进行语音播报提示，设备外置报警灯应持续闪烁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11、设备内置智能识别算法，实现对违禁品的智能识别功能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12、同屏显示功能：设备通道出入口的摄像头拍摄的图像与过包X射线图像可以同屏显示，并支持一键切换至全屏X射线过包画面。X射线过包图像应支持以黑白/彩色形式同屏对照显示，并可支持分屏显示</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智能金属探测门</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1、应符合《GB 15210-2018 通过式金属探测门通用技术规范》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2、安检门应具有金属检测功能、抓拍等功能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3、门体显示：采用≥7寸液晶屏，用于客流和报警数据的展示，以及金属探测参数的设置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4、多区位报警功能：人体不同位置的多个金属通过安检门时会同时报警，并可以指示多个金属的位置，最多支持33区位。每个区域255级灵敏度等级调节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5、通行速度：≥0.2m/s～2.0m/s。当人在规定的通行速度范围内穿过时，应报警测试物正确响应并报警，总探测率应≥90%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6、报警响应时间：进入探测区后1s，金属门应能发出报警提示，且离开探测区后报警指示延续应小于等于1s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7、探测区内磁感应强度：在探测区左右边界各方内150mm形成的区域中，任意一点的磁感应强度都不应超过4.5μT</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8、探测灵敏度范围：可一键设置灵敏度，灵敏度等级为0-9999级</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手持金属探测器</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1、灵敏度高，能探测一枚大头针大小金属物品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2、探测面大、从上到下一次探测完毕</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3、具有三个指示灯显示，支持电量检测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4、有声光和振动报警双重提示方式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5、具有高低灵敏度调节按钮</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鞋底金属探测仪</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1、灵敏度等级：255级灵敏度范围左右脚单独可调，在无环境干扰情况下最高灵敏度可探测到一枚回形针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2、报警显示灯：左右两边各12个LED灯报警显示；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3、面板显示：采用≥2.8寸TFT彩色液晶屏显示， 显示报警次数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4、具有低电量提醒功能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5、语音提醒：具有≥5种报警音频及16级音量大小设置</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gridSpan w:val="4"/>
            <w:tcW w:w="8291"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二、门厅到服务大厅闸机</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人行闸机（2通道）</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1、闸机通道应为摆闸箱体，采用直流无刷伺服电机，霍尔传感器及平行轴减速箱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2、外壳采用不锈钢，箱体尺寸：长≥1200mm，宽≥170mm，高≥1000mm，门翼应支持选用不锈钢或亚克力材质，通道宽度尺寸应支持550mm~950mm配置，闸机通道采用厚度≥1.0mm的不锈钢板材；设备应采用不少于4对红外对射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3、闸机通道物理接口应满足：开门按钮接口2个，消防输入接口1个，报警输出接口2个，TCP/IP接口1个，RS-485通讯接口2个，对于RS-485接口，每个接口最多可接入读卡器4个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闸机设备应支持ID卡、M1卡、CPU卡、NFC等读卡器识读设备、二维码扫描仪、面部识别组件、身份证阅读器等设备集成，实现多种认证方式组合应用。应具中心远程开门、遥控器开门、支持手机开门、支持居民身份证开门、支持二维码/条码开门、支持面部识别开门、支持普通卡、来宾卡、巡更卡、黑名单卡等多种类型用户权限设置，闸机应有一个双向人脸刷卡装置和1个单向人脸刷卡装置和刷码装置，闸机应配置1个遥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5、闸机应具备防水浸功能，支持在底部积水情况下正常运行，最大水浸高度≥700mm（以产品底部为基准）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6、闸机通道功能应满足单通道反潜回、多通道跨主机反潜回的功能，当检测到任意一种反潜回报警时，除了联动语音播报、指示灯、IO信号联动输出等报警提示外，需同时上传对应的报警事件</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gridSpan w:val="4"/>
            <w:tcW w:w="8291"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三、门厅入口闸机</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人行闸机（2通道）</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1、闸机通道应为摆闸箱体，采用直流无刷伺服电机，霍尔传感器及平行轴减速箱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2、外壳采用不锈钢，箱体尺寸：长≥1200mm，宽≥170mm，高≥1000mm，门翼应支持选用不锈钢或亚克力材质，通道宽度尺寸应支持550mm~950mm配置，闸机通道采用厚度≥1.0mm的不锈钢板材；设备应采用不少于4对红外对射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3、闸机通道物理接口应满足：开门按钮接口2个，消防输入接口1个，报警输出接口2个，TCP/IP接口1个，RS-485通讯接口2个，对于RS-485接口，每个接口最多可接入读卡器4个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闸机设备应支持ID卡、M1卡、CPU卡、NFC等读卡器识读设备、二维码扫描仪、面部识别组件、身份证阅读器等设备集成，实现多种认证方式组合应用。应具中心远程开门、遥控器开门、支持手机开门、支持居民身份证开门、支持二维码/条码开门、支持面部识别开门、支持普通卡、来宾卡、巡更卡、黑名单卡等多种类型用户权限设置，闸机应有一个双向人脸刷卡装置和1个单向人脸刷卡装置和刷码装置，闸机应配置1个遥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5、闸机应具备防水浸功能，支持在底部积水情况下正常运行，最大水浸高度≥700mm（以产品底部为基准）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6、闸机通道功能应满足单通道反潜回、多通道跨主机反潜回的功能，当检测到任意一种反潜回报警时，除了联动语音播报、指示灯、IO信号联动输出等报警提示外，需同时上传对应的报警事件</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律师一码通扫码头</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支持律师二维码识别模块</w:t>
            </w:r>
            <w:r>
              <w:rPr>
                <w:rFonts w:hint="eastAsia" w:ascii="方正仿宋_GBK" w:hAnsi="方正仿宋_GBK" w:eastAsia="方正仿宋_GBK" w:cs="方正仿宋_GBK"/>
                <w:color w:val="000000"/>
                <w:sz w:val="20"/>
                <w:szCs w:val="20"/>
              </w:rPr>
            </w:r>
            <w:r/>
          </w:p>
        </w:tc>
        <w:tc>
          <w:tcPr>
            <w:tcW w:w="42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律师一码通</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1、支持和最高法全国法院办案办公平台标准接口的对接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2、支持法院门禁闸机扫描律师二维码并实时调用"律师一码通"接口进行身份信息核验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3、支持闸机根据平台验证结果自动控制通行，实现律师快速无感进出法院</w:t>
            </w:r>
            <w:r>
              <w:rPr>
                <w:rFonts w:hint="eastAsia" w:ascii="方正仿宋_GBK" w:hAnsi="方正仿宋_GBK" w:eastAsia="方正仿宋_GBK" w:cs="方正仿宋_GBK"/>
                <w:color w:val="000000"/>
                <w:sz w:val="20"/>
                <w:szCs w:val="20"/>
              </w:rPr>
            </w:r>
            <w:r/>
          </w:p>
        </w:tc>
        <w:tc>
          <w:tcPr>
            <w:tcW w:w="42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gridSpan w:val="4"/>
            <w:tcW w:w="8291"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四、智能储物柜</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智能储物柜（存包柜）</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1、规格：24门存包柜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2、外部尺寸≥1700*460*1800mm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3、厚度含喷塑≥0.8mm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4、识别方式：人脸+密码识别</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智能储物柜（手机存放柜）</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1、规格：50门手机存放柜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2、外部尺寸≥1260*300*1800mm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3、厚度含喷塑≥0.8mm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4、识别方式：人脸+密码识别</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202" w:name="_Toc20041"/>
      <w:r>
        <w:rPr>
          <w:rFonts w:hint="eastAsia"/>
        </w:rPr>
        <w:t xml:space="preserve">数字法庭</w:t>
      </w:r>
      <w:bookmarkEnd w:id="202"/>
      <w:r>
        <w:rPr>
          <w:rFonts w:hint="eastAsia"/>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618"/>
        <w:gridCol w:w="1304"/>
        <w:gridCol w:w="5867"/>
        <w:gridCol w:w="680"/>
        <w:gridCol w:w="693"/>
      </w:tblGrid>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一、庭审系统（为“两个中心”法庭提供画面融合能力）</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画面融合服务器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numPr>
                <w:ilvl w:val="0"/>
                <w:numId w:val="18"/>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硬件参数：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1、CPU：核心数≥48核*2，主频≥2.6GHz，ARM构架CPU，制程≤7纳米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2、内存≥ 256GB DDR4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3、硬盘≥480 SATA SSD*2</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4、RAID：RAID标卡-PCIE 4.0 X8，缓存容量≥4GB，支持RAID 0,1,5,6,10,50,60等模式，支持超级电容和边带管理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5、网卡：4*10/100/1000自适应网卡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6、企业级数据盘4块，单块≥10T</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二、画面融合应用：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1、动态应用组庭：支持动态混合模式开庭，远程席位的动态选择，满足线上线下融合开庭需求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2、音视频独立采编：支持庭审本地庭室中各采集点与远程视频信号的独立采编</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3、音视频合成：支持庭审本地庭室多采集点与远程视频信号的画面合成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4、布局管理：支持多布局配置（包含画面分隔方式，播放窗口和通道的关系）</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5、全高清采编：独立画面与合成画面全面支持1080P全高清采编。客户端支持每路图像单路放大，便于诉讼参与人查看</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二、2层大法庭1间（7台一体机、其中法官席位5台（五人制法官席位）、原被告席位各1台）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（一）、语音转写系统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语音转写声卡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1.CPU≥8核，主频≥2.4GHz，ARM处理器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2.安装方式：≤1U 机架式安装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3.内存/存储：RAM≥4G；ROM≥32G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4.控制面板：需具备液晶显示屏，支持显示名称、网络、固件版本等；具备功能控制按键；具备USB2.0≥1，支持固件离线本地升级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5.模拟音频输入参数不低于如下配置：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1）频响：20Hz-20kHz（±0.1/-0.4dB）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2）动态范围：114dB（A）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3）噪声级别：-125dBu（A）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6.模拟音频输出参数不低于如下配置：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2）动态范围：110dB（A）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3）噪声级别：-87dBu（A）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7.网络接口：1000M 自适应以太网接口≥2，支持双网主备连接，零延迟无缝切换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8.电源：设备需支持双电源备份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语音转写服务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1.系统要求在采购人专网中进行安装部署，全部数据都要求保存在专网服务器上，与外网无任何数据交互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笔录模板管理：支持将庭审过程案件常用的模板导入到系统，并可将其设定为常用庭审模板，对于修改后的笔录，可以保存到模板库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3.个性化热词：针对庭审过程中转写经常出现且容易出错的词语，可直接添加到个性化词汇中，对个性化词汇进行感知、认知数据模型计算，生成热词模型，支持批量导入热词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4.麦克风角色管理：法庭麦克风支持配置角色信息，在整个庭审过程全局生效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5.笔录修改：按照正常文本操作习惯提供正常的增删改、复制、粘贴、字号、段落、页面，编辑等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7.同人智能合并：当上下文为同一个陈述人的识别文字，会自动合并成同一个人的文字记录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8.庭审录音标记、回听：可快速进行标记，标记后的内容在庭审结束后可进行回听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9、智能模糊查找替换：系统支持在模糊搜索框输入关键字，实现摘要笔录页面将所有和关键字发音相似、文本相近、内容相同的结果高亮显示，并进行全文匹配的修改和替换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10.导出笔录、音频：支持导出笔录和音频，导出操作自动保存系统的样式，默认按照案件号进行命名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11.打印笔录：可从系统的客户端软件中将庭审生成的庭审记录连接打印机进行打印，并可支持打印预览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（二）、电子质证显示</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电子质证应用系统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1.笔录服务：支持法官实时查看书记员的笔录文本以及桌面操作，支持法官对笔录进行快捷批注，可推送给书记员，书记员可快速定位批注位置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2.随庭笔记：对案件重要信息进行记录，支持键盘输入、手写输入，具备自动保存功能，支持记录的内容绑定案件信息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3.庭审流程指引：基于庭审案件类型，支持庭审流程分阶段话术指引，并结合庭审笔录内容进行指引提醒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4.卷宗材料检索：系统支持对卷宗进行材料名称检索，搜索结果可准确定位至对应的页面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示证质证：支持法官查看当事人上传的视频、文字与图片类型证据材料（包括庭前从第三方审判同步的卷宗材料、庭中当事人在pc客户端上传证据）；支持多方快速查阅以及同步标绘证据材料；质证环节中，支持法官分享证据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6.多份证据同屏标绘：可支持对多个证据材料的比对功能，快速比对出相似材料中的不同部分，针对比对后的结果可以直接共享推送给其他人员同步查阅，系统支持不低于三份材料同步展示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7.庭中法条随讲随查：支持通过语音唤醒的方式实现对法律条款随讲随查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庭审公告终端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numPr>
                <w:ilvl w:val="0"/>
                <w:numId w:val="19"/>
              </w:numPr>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屏幕尺寸≥21.5寸、屏幕规格：原装A+屏、屏幕比例 16：9、物理分辨率≥1920*1080、屏幕亮度≥250cd/㎡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2、控制系统：内置专用显控主板，CPU≥四核64位，主频≥1.8GHz，内存≥DDR4-2G，存储≥EMMC-32G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3、外置接口≥HDMI*1、USB*2、3.5音频输出*1、DC输入*1、RJ45*1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多功能打印机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1、打印幅面：A4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2、需具有打印/复印/传真/扫描功能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3、接口类型：USB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庭审触摸一体机（电动翻转）</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1、屏幕尺寸≥29寸、带内嵌指纹仪，钢化玻璃+铝型材外框、屏幕比例 21：9、显示分辨率≥2560*1080、屏幕亮度≥350cd/㎡、2 ×8 Ω 5W喇叭、支持WIFI和G+G 多点触控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2、控制系统：C86架构，≥8核16线程，运行内存≥16G，存储≥512G SSD，独立显卡≥4G，预安装正版操作系统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3、外置接口≥HDMI*1、USB*2、RS485、DC输入*1、RJ45*1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4、支持多种控制方式实现电动翻转，包括无线遥控、按键开关、RS485中控控制等方式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书记员显示器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1、尺寸≥23.8英寸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2、分辨率≥1920*1080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3、最大亮度≥250cd/m²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4、IPS技术广角硬屏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1、尺寸≥65英寸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定制化电视机电动折叠支架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1、液晶电视机可隐藏到天花顶内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2、多种控制方式，无线遥控、按键开关、RS232/485中控控制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3、观看角度可调0-105°，可根据观看视角调整翻转角度大小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4、带有电子限位功能，遥控器完成吊架上下限位的设置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5、电机负载能力≥40kg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6、背后带遮线板，电视机下降时可隐藏背后线材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7、坦克链隐藏走线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壁挂伸缩架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电视机伸缩支架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无线键鼠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1、无线2.4G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2、有效连接距离≥10米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智能签字板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1、≥4核CPU，主频≥1.8G，内存≥2G，存储≥16G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2、电磁电容双控屏：电子签名方式为电磁感应，压感2048级，支持10点触控，使用者在浏览文档可以直接采用手势滑动屏幕翻页。屏幕尺寸≥10 英寸，分辨率≥1280Ｘ800，显示屏亮度≥350cd/㎡，对比度≥800：1，水平可视角≥160°，垂直可视角≥160°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3、电签笔：无线无源电磁笔，笔尖可更换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4、公安指纹识别模块：半导体电容式传感器，有效图像尺寸≥12.8 *18.0 mm，图像大小≥256*360像素，图像分辨率≥500dpi，比对方式1:1 /1：N，认假率（FAR）&lt;0.001%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5、接口：USB口3个，支持USB HID免驱连接，RJ45口1个，TF卡座1个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6、语音模块：扬声器：2个，功率：2W ；麦克风*1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7、电源：9V/2.5A 外置电源，并支持自动开关机功能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8、可靠性：整机平均无故障时间≥10000小时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（三）、庭审话筒系统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高保真网络心型嵌入话筒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1.双鹅颈电容式话筒杆，自带嵌入式固定式话筒底座，轻触式开关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2.具有带状态反馈指示灯的轻触式开关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3.Dante网络音频输出，提供RJ45标准连接器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4.拾音头：电容式金膜音头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5.指向性：心形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6.频率响应≥38Hz-20KHz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7.灵敏度≤-41dB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8.最大声压级≥130dB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9.等效噪声≤23dB(A计权）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10.话筒杆长度≥380mm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高保真网络桌面话筒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1.采用≥14mm镀金电容拾音头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2.模/数双备实时输出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3.≥2.8寸高清显示屏，可显示话筒话筒状态、网络信息、屏保、升级提示等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4.内置音频处理功能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5.最佳拾音距离10-80cm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6.具备双备份发言按键设计，可同时支持实体按键及触控屏触摸按键控制开关发言静音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7.咪杆长度≥42cm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AI网络音频处理器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2.≥16路平衡式话筒／线路输入，具有48V幻象供电软开关，具有不少于八级增益可调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3.≥16路平衡式线路输出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吸顶喇叭功放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1.采用Class D技术，转换效率≥90%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2.机身轻、方便携带和安装，高度≤1U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3.自动限幅输出、短路、过载、过温、开机延时等保护功能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4.功放开关电源带有单独的冷却系统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5.额定功率不低于：2×350W/8Ω,2×550W/4Ω；桥接:1×1000W/8Ω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6.频率响应不低于：20Hz-20kHz（±3dB）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7.总谐波失真(THD)≤0.01%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8.信噪比≥80dB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1.低音单元≥6.5英寸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2.高音单元≥1英寸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3.功率≥持续60W，节目120W，峰值240W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5.频率响应≥100Hz- 19kHz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6.灵敏度≥86dB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7.声压级：持续≥105dB，峰值≥110dB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8.指向角度≥H100°×V100°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8路智能电源时序器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1.总功率≥6500W，前面板万能插头支持最大10A，后面板万能插支持≥13A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≥8个可控制插座电源，每个可单独控制:前面板有一路直通电源插座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3.RJ45 级联方式，最多可级联不少于15台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4.支持电子密码锁保护功能;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5.电源模式有默认模式，自定义模式，全开放模式和反向模式，在自定义电源通道开启模式时，每个电源插座可单独控制，关机后自动记忆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6.每通道开启或关闭时，可单独设置延时时间，最多可延时不小于999 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7.带 RS232 双向中控接口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8.支持免驱 USB 安全升级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庭审高清图像无缝切换矩阵</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1.≥8路HDMI信号输入，≥8路HDMI信号输出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2.支持≥8路模拟音频解嵌输出接口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3.带屏幕显示实时操作状态和设备IP地址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4.支持断电记忆功能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5.支持HDMI接口连续热拔插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6.支持双向串口控制、RJ45控制；输入内置≥7种EDID，≥3840x2160@30Hz，双声道，支持自定义EDID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7.前面板实体按键、RS232串口控制、TCP/IP、上位机软件控制；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8.输⼊输出⽀持HDMI1.4，最⾼分辨3840x2160@30Hz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9.输⼊输出⾊彩空间⽀持RGB4:4:4、YCbCr4:4:4, YCbCr4:2:2等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10.支持高清无缝切换矩阵功能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11.输入兼容DVI/HDMI信号，支持HDMI内嵌音频输入输出切换；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12.≥9种输出分辨率可选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13.输出信号格式支持HDMI、DVI</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（四）、庭审录像系统及其他</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3、支持红外补光，红外作用距离不低于30m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5、1个内置麦克风，1个内置扬声器；1路报警输入，1路报警输出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6、支持IK10机械碰撞防护等级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7、支持区域入侵侦测，越界侦测，进入区域侦测，离开区域侦测，物品遗留侦测，物品拿取侦测，徘徊侦测等识别检测事件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全景备份摄像机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3、内置GPU芯片，麦克风，扬声器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4、支持不小于4倍光学变焦，变焦过程中不会完全虚焦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5、支持红外补光距离不小于30米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6、支持声音报警功能，报警声音类型不低于10种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7、支持1路报警输入，1路报警输出，1路音频输入，1路音频输出，1个DC12V电压输出接口，支持DC12V供电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8、同一静止场景相同图像质量下，设备在H.264或H.265编码方式时，开启智能编码功能和不开启智能编码相比，码率节约50%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9、支持智能报警防干扰功能，智能分析行为类型为区域入侵、越界入侵、进入区域、离开区域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全向数字降噪拾音器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1、拾音范围：10～70平方米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2、音频传输距离：3000米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 -46dB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5、指向特性：全方向性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6、信噪比：70dB ( 1米40 dB音源） 35dB (10米40 dB音源） 1KHz at 1 Pa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7、动态范围：50dB(1KHz at Max dB SPL)</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8、最大承受音压： 120dB SPL（1KHz，THD 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9、输出阻抗：最大600欧姆非平衡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10、输出信号幅度：2.5Vpp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11、麦克风：两只高灵敏度电容咪头，内置DSP芯片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12、保护电路：雷击保护、电源极性反接保护</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音频适配器（拾音器专用滤波电源）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1、拾音器接口：1个三芯（V,A,G）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2、音频输出端子：二个线性输出（1个两芯端子，1个3.5插孔）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3、音量调节：-10dB ～ +10dB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11、拾音器连接方式：电源线V（红色）、音频A（黄色）、公共地G（黑色）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14、电源输入电压：直流电DC12V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15、工作环境温度：-25℃ ～ 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拾音器专用混音器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1.拾音器接口：2组三芯（电源正极V，音频A，公共地G）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2.音频输出端子：4个莲花头，3个两芯端子，3个3.5插孔（其中MIX为混音输出）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3.音量调节：-20dB ～ +20dB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14.电源输入电压：直流DC12V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（五）、中控系统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中控控制主机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1.支持红外控制、RS-232、RS-422、RS-485、UDP、TCP、telnet、http、MQTT以及SNMP等多种协议，兼容性强，可对接第三方设备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2.≥8路低压继电器，≥8路数字I/O输入，≥8路红外或单向RS-232串行通讯口，≥8路双向RS-232/422/485串行通讯口；    ≥3个LED系统状态指示灯；≥1个RJ45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3.支持双机热备份。当中控主机出现故障时，备用中控主机自动承担服务，从而保证系统在不需要人工干预的情况下能正常运行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4.支持互联网控制。中控主机在连接互联网的情况下，用户可操作手机或平板等移动端通过互联网实现对中控主机远程控制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5.支持视频矩阵可视化控制。用户可通过控制端实时预览、拖动并切换矩阵视频信号，支持设置触碰和投放触发切换方式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6.支持拼接矩阵可视化控制。用户可通过控制端实时预览、放大、缩小、拖动并切换拼接矩阵视频信号，可对输入信号源进行置底、置顶以及一键清屏等操作，支持设置触碰和投放触发切换方式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7.支持远程管理，无需连接外部网络或使用第三方软件，支持多用户远程协同控制，便于现场运维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有线控制面板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1.ARM架构，≥1.8Ghz主频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2.内存≥2GB、存储≥8GB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3.屏幕尺寸≥10英寸，分辨率≥1280*800 (16:10），桌面屏设计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4.支持行业标准网络通信协议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5.支持1路千兆网络接口，速率≥1G/bps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6.支持POE供电或独立DC24V/1A电源供电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7.电容触摸屏，支持多点触控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灯光控制模块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1、全远程管控：双向通信/状态反馈/设备操控，调试/运维/巡检/异常报警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2、灯光智能控制：8通道独立控制（延时/顺序/逻辑编程），断电状态记忆 + 自动/手动切换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3、安全防护：过压/欠压/短路/过热保护，磁保持继电器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4、通信：RS485/网络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5、供电：DC12V双电源备份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（六）、法庭内设备线缆</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1、300芯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2、采用铝箔屏蔽或者PVC加银色线镀锡铜屏蔽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3、抗电磁干扰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音频线（话筒用）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128编</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RVVP2*0.5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RVVP3*0.5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15米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拖线板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插孔数量应不低于6孔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额定功率应不小于2500W</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600*600*1200mm，带8位PDU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三、3层大法庭1间中小法庭4间（1间大法庭使用7台一体机，其中法官席位5台（五人制法官席位）、原被告席位各1台；4间中小法庭共使用20台一体机，其中法官席位各3台、原被告席位各1台；）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（一）、语音转写系统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语音转写声卡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1.CPU≥8核，主频≥2.4GHz，ARM处理器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2.安装方式：≤1U 机架式安装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3.内存/存储：RAM≥4G；ROM≥32G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4.控制面板：需具备液晶显示屏，支持显示名称、网络、固件版本等；具备功能控制按键；具备USB2.0≥1，支持固件离线本地升级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5.模拟音频输入参数不低于如下配置：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1）频响：20Hz-20kHz（±0.1/-0.4dB）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2）动态范围：114dB（A）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3）噪声级别：-125dBu（A）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6.模拟音频输出参数不低于如下配置：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2）动态范围：110dB（A）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3）噪声级别：-87dBu（A）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7.网络接口：1000M 自适应以太网接口≥2，支持双网主备连接，零延迟无缝切换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8.电源：设备需支持双电源备份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语音转写服务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1.系统要求在采购人专网中进行安装部署，全部数据都要求保存在专网服务器上，与外网无任何数据交互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笔录模板管理：支持将庭审过程案件常用的模板导入到系统，并可将其设定为常用庭审模板，对于修改后的笔录，可以保存到模板库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3.个性化热词：针对庭审过程中转写经常出现且容易出错的词语，可直接添加到个性化词汇中，对个性化词汇进行感知、认知数据模型计算，生成热词模型，支持批量导入热词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4.麦克风角色管理：法庭麦克风支持配置角色信息，在整个庭审过程全局生效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5.笔录修改：按照正常文本操作习惯提供正常的增删改、复制、粘贴、字号、段落、页面，编辑等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7.同人智能合并：当上下文为同一个陈述人的识别文字，会自动合并成同一个人的文字记录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8.庭审录音标记、回听：可快速进行标记，标记后的内容在庭审结束后可进行回听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9、智能模糊查找替换：系统支持在模糊搜索框输入关键字，实现摘要笔录页面将所有和关键字发音相似、文本相近、内容相同的结果高亮显示，并进行全文匹配的修改和替换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10.导出笔录、音频：支持导出笔录和音频，导出操作自动保存系统的样式，默认按照案件号进行命名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11.打印笔录：可从系统的客户端软件中将庭审生成的庭审记录连接打印机进行打印，并可支持打印预览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（二）、电子质证显示</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电子质证应用系统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1.笔录服务：支持法官实时查看书记员的笔录文本以及桌面操作，支持法官对笔录进行快捷批注，可推送给书记员，书记员可快速定位批注位置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2.随庭笔记：对案件重要信息进行记录，支持键盘输入、手写输入，具备自动保存功能，支持记录的内容绑定案件信息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3.庭审流程指引：基于庭审案件类型，支持庭审流程分阶段话术指引，并结合庭审笔录内容进行指引提醒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4.卷宗材料检索：系统支持对卷宗进行材料名称检索，搜索结果可准确定位至对应的页面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示证质证：支持法官查看当事人上传的视频、文字与图片类型证据材料（包括庭前从第三方审判同步的卷宗材料、庭中当事人在pc客户端上传证据）；支持多方快速查阅以及同步标绘证据材料；质证环节中，支持法官分享证据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6.多份证据同屏标绘：可支持对多个证据材料的比对功能，快速比对出相似材料中的不同部分，针对比对后的结果可以直接共享推送给其他人员同步查阅，系统支持不低于三份材料同步展示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7.庭中法条随讲随查：支持通过语音唤醒的方式实现对法律条款随讲随查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庭审公告终端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1、屏幕尺寸≥21.5寸、屏幕规格：原装A+屏、屏幕比例 16：9、物理分辨率≥1920*1080、屏幕亮度≥250cd/㎡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2、控制系统：内置专用显控主板，CPU≥四核64位，主频≥1.8GHz，内存≥DDR4-2G，存储≥EMMC-32G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3、外置接口≥HDMI*1、USB*2、3.5音频输出*1、DC输入*1、RJ45*1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多功能打印机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1、打印幅面：A4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2、需具有打印/复印/传真/扫描功能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3、接口类型：USB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庭审触摸一体机（电动翻转）</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1、屏幕尺寸≥29寸、带内嵌指纹仪，钢化玻璃+铝型材外框、屏幕比例 21：9、显示分辨率≥2560*1080、屏幕亮度≥350cd/㎡、2 ×8 Ω 5W喇叭、支持WIFI和G+G 多点触控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2、控制系统：C86架构，≥8核16线程，运行内存≥16G，存储≥512G SSD，独立显卡≥4G，预安装正版操作系统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3、外置接口≥HDMI*1、USB*2、RS485、DC输入*1、RJ45*1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4、支持多种控制方式实现电动翻转，包括无线遥控、按键开关、RS485中控控制等方式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27</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书记员显示器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1、尺寸≥23.8英寸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2、分辨率≥1920*1080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3、最大亮度≥250cd/m²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4、IPS技术广角硬屏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定制化电视机电动折叠支架（隐藏式）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1、液晶电视机可隐藏到天花顶内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2、多种控制方式，无线遥控、按键开关、RS232/485中控控制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3、观看角度可调0-105°，可根据观看视角调整翻转角度大小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4、带有电子限位功能，遥控器完成吊架上下限位的设置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5、电机负载能力≥40kg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6、背后带遮线板，电视机下降时可隐藏背后线材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7、坦克链隐藏走线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电视机配套支架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无线键鼠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1、无线2.4G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2、有效连接距离≥10米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智能签字板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1、≥4核CPU，主频≥1.8G，内存≥2G，存储≥16G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2、电磁电容双控屏：电子签名方式为电磁感应，压感2048级，支持10点触控，使用者在浏览文档可以直接采用手势滑动屏幕翻页。屏幕尺寸≥10 英寸，分辨率≥1280Ｘ800，显示屏亮度≥350cd/㎡，对比度≥800：1，水平可视角≥160°，垂直可视角≥160°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3、电签笔：无线无源电磁笔，笔尖可更换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4、公安指纹识别模块：半导体电容式传感器，有效图像尺寸≥12.8 *18.0 mm，图像大小≥256*360像素，图像分辨率≥500dpi，比对方式1:1 /1：N，认假率（FAR）&lt;0.001%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5、接口：USB口3个，支持USB HID免驱连接，RJ45口1个，TF卡座1个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6、语音模块：扬声器：2个，功率：2W ；麦克风*1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7、电源：9V/2.5A 外置电源，并支持自动开关机功能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8、可靠性：整机平均无故障时间≥10000小时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（三）、庭审话筒系统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高保真网络心型嵌入话筒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1.双鹅颈电容式话筒杆，自带嵌入式固定式话筒底座，轻触式开关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2.具有带状态反馈指示灯的轻触式开关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3.Dante网络音频输出，提供RJ45标准连接器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4.拾音头：电容式金膜音头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5.指向性：心形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6.频率响应≥38Hz-20KHz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7.灵敏度≤-41dB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8.最大声压级≥130dB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9.等效噪声≤23dB(A计权）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10.话筒杆长度≥380mm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39</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高保真网络桌面话筒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1.采用≥14mm镀金电容拾音头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2.模/数双备实时输出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3.≥2.8寸高清显示屏，可显示话筒话筒状态、网络信息、屏保、升级提示等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4.内置音频处理功能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5.最佳拾音距离10-80cm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6.具备双备份发言按键设计，可同时支持实体按键及触控屏触摸按键控制开关发言静音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7.咪杆长度≥42cm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AI网络音频处理器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2.≥16路平衡式话筒／线路输入，具有48V幻象供电软开关，具有不少于八级增益可调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3.≥16路平衡式线路输出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吸顶喇叭功放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1.采用Class D技术，转换效率≥90%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2.机身轻、方便携带和安装，高度≤1U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3.自动限幅输出、短路、过载、过温、开机延时等保护功能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4.功放开关电源带有单独的冷却系统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5.额定功率不低于：2×350W/8Ω,2×550W/4Ω；桥接:1×1000W/8Ω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6.频率响应不低于：20Hz-20kHz（±3dB）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7.总谐波失真(THD)≤0.01%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8.信噪比≥80dB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1.低音单元≥6.5英寸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2.高音单元≥1英寸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3.功率≥持续60W，节目120W，峰值240W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5.频率响应≥100Hz- 19kHz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6.灵敏度≥86dB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7.声压级：持续≥105dB，峰值≥110dB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8.指向角度≥H100°×V100°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8路智能电源时序器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1.总功率≥6500W，前面板万能插头支持最大10A，后面板万能插支持≥13A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≥8个可控制插座电源，每个可单独控制:前面板有一路直通电源插座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3.RJ45 级联方式，最多可级联不少于15台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4.支持电子密码锁保护功能;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5.电源模式有默认模式，自定义模式，全开放模式和反向模式，在自定义电源通道开启模式时，每个电源插座可单独控制，关机后自动记忆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6.每通道开启或关闭时，可单独设置延时时间，最多可延时不小于999 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7.带 RS232 双向中控接口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8.支持免驱 USB 安全升级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庭审高清图像无缝切换矩阵</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1.≥8路HDMI信号输入，≥8路HDMI信号输出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2.支持≥8路模拟音频解嵌输出接口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3.带屏幕显示实时操作状态和设备IP地址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4.支持断电记忆功能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5.支持HDMI接口连续热拔插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6.支持双向串口控制、RJ45控制；输入内置≥7种EDID，≥3840x2160@30Hz，双声道，支持自定义EDID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7.前面板实体按键、RS232串口控制、TCP/IP、上位机软件控制；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8.输⼊输出⽀持HDMI1.4，最⾼分辨3840x2160@30Hz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9.输⼊输出⾊彩空间⽀持RGB4:4:4、YCbCr4:4:4, YCbCr4:2:2等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10.支持高清无缝切换矩阵功能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11.输入兼容DVI/HDMI信号，支持HDMI内嵌音频输入输出切换；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12.≥9种输出分辨率可选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13.输出信号格式支持HDMI、DVI</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（四）、庭审录像系统及其他</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3、支持红外补光，红外作用距离不低于30m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5、1个内置麦克风，1个内置扬声器；1路报警输入，1路报警输出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6、支持IK10机械碰撞防护等级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7、支持区域入侵侦测，越界侦测，进入区域侦测，离开区域侦测，物品遗留侦测，物品拿取侦测，徘徊侦测等识别检测事件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全景备份摄像机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3、内置GPU芯片，麦克风，扬声器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4、支持不小于4倍光学变焦，变焦过程中不会完全虚焦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5、支持红外补光距离不小于30米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6、支持声音报警功能，报警声音类型不低于10种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7、支持1路报警输入，1路报警输出，1路音频输入，1路音频输出，1个DC12V电压输出接口，支持DC12V供电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8、同一静止场景相同图像质量下，设备在H.264或H.265编码方式时，开启智能编码功能和不开启智能编码相比，码率节约50%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9、支持智能报警防干扰功能，智能分析行为类型为区域入侵、越界入侵、进入区域、离开区域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全向数字降噪拾音器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1、拾音范围：10～70平方米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2、音频传输距离：3000米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 -46dB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5、指向特性：全方向性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6、信噪比：70dB ( 1米40 dB音源） 35dB (10米40 dB音源） 1KHz at 1 Pa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7、动态范围：50dB(1KHz at Max dB SPL)</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8、最大承受音压： 120dB SPL（1KHz，THD 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9、输出阻抗：最大600欧姆非平衡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10、输出信号幅度：2.5Vpp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11、麦克风：两只高灵敏度电容咪头，内置DSP芯片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12、保护电路：雷击保护、电源极性反接保护</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音频适配器（拾音器专用滤波电源）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1、拾音器接口：1个三芯（V,A,G）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2、音频输出端子：二个线性输出（1个两芯端子，1个3.5插孔）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3、音量调节：-10dB ～ +10dB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11、拾音器连接方式：电源线V（红色）、音频A（黄色）、公共地G（黑色）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14、电源输入电压：直流电DC12V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15、工作环境温度：-25℃ ～ 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拾音器专用混音器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1.拾音器接口：2组三芯（电源正极V，音频A，公共地G）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2.音频输出端子：4个莲花头，3个两芯端子，3个3.5插孔（其中MIX为混音输出）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3.音量调节：-20dB ～ +20dB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14.电源输入电压：直流DC12V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信号屏蔽仪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numPr>
                <w:ilvl w:val="0"/>
                <w:numId w:val="20"/>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发射功率≥80W，屏蔽半径5-25m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2、工作频率包括：CDMA：869-884MHz、GSM:925-962MHz、3G1:2008-2026MHz、WIFI:2400-2485MHz、4G:1805-1995MHz、3G2:2110-2174MHz、4G1:2298-2404MHz、4G2:2515-2677MHz、5G1:3299-3603MHz、5G2:4798-4903MHz、5G3:703-801MHz、5.8G:5725-5850MHz等</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（五）、中控系统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中控控制主机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1.支持红外控制、RS-232、RS-422、RS-485、UDP、TCP、telnet、http、MQTT以及SNMP等多种协议，兼容性强，可对接第三方设备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2.≥8路低压继电器，≥8路数字I/O输入，≥8路红外或单向RS-232串行通讯口，≥8路双向RS-232/422/485串行通讯口；    ≥3个LED系统状态指示灯；≥1个RJ45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3.支持双机热备份。当中控主机出现故障时，备用中控主机自动承担服务，从而保证系统在不需要人工干预的情况下能正常运行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4.支持互联网控制。中控主机在连接互联网的情况下，用户可操作手机或平板等移动端通过互联网实现对中控主机远程控制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5.支持视频矩阵可视化控制。用户可通过控制端实时预览、拖动并切换矩阵视频信号，支持设置触碰和投放触发切换方式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6.支持拼接矩阵可视化控制。用户可通过控制端实时预览、放大、缩小、拖动并切换拼接矩阵视频信号，可对输入信号源进行置底、置顶以及一键清屏等操作，支持设置触碰和投放触发切换方式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7.支持远程管理，无需连接外部网络或使用第三方软件，支持多用户远程协同控制，便于现场运维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有线控制面板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1.ARM架构，≥1.8Ghz主频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2.内存≥2GB、存储≥8GB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3.屏幕尺寸≥10英寸，分辨率≥1280*800 (16:10），桌面屏设计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4.支持行业标准网络通信协议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5.支持1路千兆网络接口，速率≥1G/bps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6.支持POE供电或独立DC24V/1A电源供电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7.电容触摸屏，支持多点触控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灯光控制模块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1、全远程管控：双向通信/状态反馈/设备操控，调试/运维/巡检/异常报警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2、灯光智能控制：8通道独立控制（延时/顺序/逻辑编程），断电状态记忆 + 自动/手动切换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3、安全防护：过压/欠压/短路/过热保护，磁保持继电器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4、通信：RS485/网络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5、供电：DC12V双电源备份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（六）、录音信号屏蔽设备</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吸顶嵌入式录音干扰设备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1.频段：20KHz-30KHz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2.距离设备：30cm处声强&gt;120dB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3.覆盖范围：90°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4.支持多档位调节功能，适应不同干扰强度需求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5.需支持功耗≤20W及作用半径&gt;2米，确保干扰效果；安装方式：隐藏、嵌入式安装，与室内装修风格协调一致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6.支持通过手机App无线遥控操作功能，每台设备独立可控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r>
      <w:tr>
        <w:trPr>
          <w:trHeight w:val="1823"/>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墙面隐藏式录音干扰设备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1.频段：20KHz-30KHz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2.距离设备：30cm处声强&gt;120dB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3.覆盖范围：90°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4.支持多档位调节功能，适应不同干扰强度需求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5.需支持功耗≤20W及作用半径&gt;2米，确保干扰效果；安装方式：隐藏、嵌入式安装，与室内装修风格协调一致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侧面式录音干扰设备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1.频段：20KHz-30KHz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2.距离设备：30cm处声强&gt;120dB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3.覆盖范围：90°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4.支持多档位调节功能，适应不同干扰强度需求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5.需支持功耗≤20W及作用半径&gt;2米，确保干扰效果；安装方式：隐藏、嵌入式安装，与室内装修风格协调一致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预备嵌入式录音干扰设备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1.频段：20KHz-30KHz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2.距离设备：30cm处声强&gt;120dB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3.覆盖范围：90°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4.支持多档位调节功能，适应不同干扰强度需求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5.需支持功耗≤20W及作用半径&gt;2米，确保干扰效果；安装方式：隐藏、嵌入式安装，与室内装修风格协调一致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预留信号屏蔽设备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产品尺寸：不大于440*300*150MM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1.屏蔽手机/WiFi信号范围：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2.通道CH1:广电5G/移动5G,758-803MHz，频段输出功率：40aBm，信道输出功 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3.通道CH2:CDMA/电信2G/4G,869-880MHz，频段输出功率：40dBm，信道输出功 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4.通道CH3:GSM/移动2G 4G联通4G,925-960MHz，频段输出功率：40dBm，信道输出功率：5dBm/30KHz(min);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5.通道CH4:DCS移动2G 4G联通4G电信4G,1805-1918MHz，频段输出功率：40dBm，信道输出功率：2dBm/30KHz(min);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6.通道CH5:PHS移动2G 4G联通4G电信4G,1805-1920MHz，频段输出功率：40dBm，信道输出功率：2dBm/30KHz(min);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7.通道CH6:3G移动联通电信3G 4G,2010-2170MHZ，频段输出功率：40dBm，信道输出功率：2dBm/30KHz(min);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8.通道CH7:3G联通电信3G 4G,2110-2170MHZ，频段输出功率：40dBm，信道输出功率：2dBm/30KHz(min);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9.通道CH8:4G1移动4G（室内覆盖）,2300-2390MHZ，频段输出功率：40dBm，信道输出功率：2dBm/30KHz(min);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10.通道CH9:WIFI2.4G 5.8G,2400-2483MHZ/5725-5850mhz，频段输出功率：37dBm，信道输出功率：2dBm/30KHz(min);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11.通道CH10:移动4G 5G,2515-2600MHZ，频段输出功率：39.5dBm，信道输出功  率：2dBm/30KHz(min)，移动4G 5G,2600-2675MHZ，频段输出功率：39.5dBm, 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12.通道CH11:5G1电信5G,3400-3500MHz，频段输出功率：39dBm，信道输出功率：2dBm/30KHz(min),5G2联通5G,3500-3600MHz，频段输出功率：39dBm，信道输出功率：2dBm/30KHz (min);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13.通道CH12:5G2移动5G（室内分布）WIFI5.2G,4800-4900MHz/5150-5350MHZ，频段输出功率：37dBm，信道输出功率：2dBm/30KHz(min);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14.屏蔽范围：8-50米（视手机运营商网络信号强弱）需支持信号屏蔽功率可调功能，满足不同场景需求。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15.需支持频段独立控制开关功能，可针对性屏蔽指定频段。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16.支持智能检测功能，实现检测到室内通信信号时自动开启屏蔽，无信号时长期关闭以节能。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17.安装方式：墙面膨胀螺丝+承重支架固定式安装（可调方向),与室内装修风格协调一致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信号屏蔽器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满足法庭使用需求，设备安装数量以现场查勘满足使用需求为准，单台设备的技术要求如下：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产品尺寸：不大于440*300*150MM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1.屏蔽手机/WiFi信号范围：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2.通道CH1:广电5G/移动5G,758-803MHz，频段输出功率：40aBm，信道输出功 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3.通道CH2:CDMA/电信2G/4G,869-880MHz，频段输出功率：40dBm，信道输出功 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4.通道CH3:GSM/移动2G 4G联通4G,925-960MHz，频段输出功率：40dBm，信道输出功率：5dBm/30KHz(min);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5.通道CH4:DCS移动2G 4G联通4G电信4G,1805-1918MHz，频段输出功率：40dBm，信道输出功率：2dBm/30KHz(min);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6.通道CH5:PHS移动2G 4G联通4G电信4G,1805-1920MHz，频段输出功率：40dBm，信道输出功率：2dBm/30KHz(min);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7.通道CH6:3G移动联通电信3G 4G,2010-2170MHZ，频段输出功率：40dBm，信道输出功率：2dBm/30KHz(min);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8.通道CH7:3G联通电信3G 4G,2110-2170MHZ，频段输出功率：40dBm，信道输出功率：2dBm/30KHz(min);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9.通道CH8:4G1移动4G（室内覆盖）,2300-2390MHZ，频段输出功率：40dBm，信道输出功率：2dBm/30KHz(min);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10.通道CH9:WIFI2.4G 5.8G,2400-2483MHZ/5725-5850mhz，频段输出功率：37dBm，信道输出功率：2dBm/30KHz(min);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11.通道CH10:移动4G 5G,2515-2600MHZ，频段输出功率：39.5dBm，信道输出功  率：2dBm/30KHz(min)，移动4G 5G,2600-2675MHZ，频段输出功率：39.5dBm, 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12.通道CH11:5G1电信5G,3400-3500MHz，频段输出功率：39dBm，信道输出功率：2dBm/30KHz(min),5G2联通5G,3500-3600MHz，频段输出功率：39dBm，信道输出功率：2dBm/30KHz (min);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13.通道CH12:5G2移动5G（室内分布）WIFI5.2G,4800-4900MHz/5150-5350MHZ，频段输出功率：37dBm，信道输出功率：2dBm/30KHz(min);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14.屏蔽范围：8-50米（视手机运营商网络信号强弱）需支持信号屏蔽功率可调功能，满足不同场景需求。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15.需支持频段独立控制开关功能，可针对性屏蔽指定频段。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16.支持智能检测功能，实现检测到室内通信信号时自动开启屏蔽，无信号时长期关闭以节能。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17.安装方式：墙面膨胀螺丝+承重支架固定式安装（可调方向),与室内装修风格协调一致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开关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（七）、法庭内设备线缆</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300芯带屏蔽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音频线（话筒用）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128编</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RVVP2*0.5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RVVP3*0.5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15米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拖线板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插孔数量应不低于6孔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额定功率应不小于2500W</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600*600*1200mm，带8位PDU。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四、4、5层大法庭2间中小法庭8间（2间大法庭（五人制席位），各用5台庭审显示器；8间中小法庭（三人制席位），各用3台庭审显示器；各法庭原被告席位各用2台庭审显示器）</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（一）、语音转写系统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语音转写声卡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1.CPU≥8核，主频≥2.4GHz，ARM处理器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2.安装方式：≤1U 机架式安装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3.内存/存储：RAM≥4G；ROM≥32G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4.控制面板：控制面板：需具备液晶显示屏，支持显示名称、网络、固件版本等；具备功能控制按键；具备USB2.0≥1，支持固件离线本地升级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5.模拟音频输入参数不低于如下配置：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1）频响：20Hz-20kHz（±0.1/-0.4dB）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2）动态范围：114dB（A）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3）噪声级别：-125dBu（A）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6.模拟音频输出参数不低于如下配置：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2）动态范围：110dB（A）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3）噪声级别：-87dBu（A）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7.网络接口：1000M 自适应以太网接口≥2，支持双网主备连接，零延迟无缝切换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8.电源：设备需支持双电源备份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语音转写服务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1.系统要求在采购人专网中进行安装部署，全部数据都要求保存在专网服务器上，与外网无任何数据交互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笔录模板管理：支持将庭审过程案件常用的模板导入到系统，并可将其设定为常用庭审模板，对于修改后的笔录，可以保存到模板库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3.个性化热词：针对庭审过程中转写经常出现且容易出错的词语，可直接添加到个性化词汇中，对个性化词汇进行感知、认知数据模型计算，生成热词模型，支持批量导入热词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4.麦克风角色管理：法庭麦克风支持配置角色信息，在整个庭审过程全局生效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5.笔录修改：按照正常文本操作习惯提供正常的增删改、复制、粘贴、字号、段落、页面，编辑等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7.同人智能合并：当上下文为同一个陈述人的识别文字，会自动合并成同一个人的文字记录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8.庭审录音标记、回听：可快速进行标记，标记后的内容在庭审结束后可进行回听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9、智能模糊查找替换：系统支持在模糊搜索框输入关键字，实现摘要笔录页面将所有和关键字发音相似、文本相近、内容相同的结果高亮显示，并进行全文匹配的修改和替换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10.导出笔录、音频：支持导出笔录和音频，导出操作自动保存系统的样式，默认按照案件号进行命名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11.打印笔录：可从系统的客户端软件中将庭审生成的庭审记录连接打印机进行打印，并可支持打印预览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（二）、电子质证显示</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电子质证应用系统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1.笔录服务：支持法官实时查看书记员的笔录文本以及桌面操作，支持法官对笔录进行快捷批注，可推送给书记员，书记员可快速定位批注位置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2.随庭笔记：对案件重要信息进行记录，支持键盘输入、手写输入，具备自动保存功能，支持记录的内容绑定案件信息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3.庭审流程指引：基于庭审案件类型，支持庭审流程分阶段话术指引，并结合庭审笔录内容进行指引提醒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4.卷宗材料检索：系统支持对卷宗进行材料名称检索，搜索结果可准确定位至对应的页面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示证质证：支持法官查看当事人上传的视频、文字与图片类型证据材料（包括庭前从第三方审判同步的卷宗材料、庭中当事人在pc客户端上传证据）；支持多方快速查阅以及同步标绘证据材料；质证环节中，支持法官分享证据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6.多份证据同屏标绘：可支持对多个证据材料的比对功能，快速比对出相似材料中的不同部分，针对比对后的结果可以直接共享推送给其他人员同步查阅，系统支持不低于三份材料同步展示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7.庭中法条随讲随查：支持通过语音唤醒的方式实现对法律条款随讲随查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庭审公告终端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1、屏幕尺寸≥21.5寸、屏幕规格：原装A+屏、屏幕比例 16：9、物理分辨率≥1920*1080、屏幕亮度≥250cd/㎡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2、控制系统：内置专用显控主板，CPU≥四核64位，主频≥1.8GHz，内存≥DDR4-2G，存储≥EMMC-32G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3、外置接口≥HDMI*1、USB*2、3.5音频输出*1、DC输入*1、RJ45*1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多功能打印机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1、打印幅面：A4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2、需具有打印/复印/传真/扫描功能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3、接口类型：USB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法官（当事人）席位显示器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1、屏幕尺寸≥34寸，屏幕比例 21：9、显示分辨率≥2560*1080、屏幕亮度≥300cd/㎡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2、支持HDMI、DP等多种接口</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书记员显示器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1、尺寸≥23.8英寸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2、分辨率≥1920*1080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3、最大亮度≥250cd/m²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4、IPS技术广角硬屏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电视机配套支架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无线键鼠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1、无线2.4G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2、有效连接距离≥10米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分屏器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HDMI分配器一分五</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分屏器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HDMI分配器一分二</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29</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智能签字板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1、≥4核CPU，主频≥1.8G，内存≥2G，存储≥16G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2、电磁电容双控屏：电子签名方式为电磁感应，压感2048级，支持10点触控，使用者在浏览文档可以直接采用手势滑动屏幕翻页。屏幕尺寸≥10 英寸，分辨率≥1280Ｘ800，显示屏亮度≥350cd/㎡，对比度≥800：1，水平可视角≥160°，垂直可视角≥160°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3、电签笔：无线无源电磁笔，笔尖可更换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4、公安指纹识别模块：半导体电容式传感器，有效图像尺寸≥12.8 *18.0 mm，图像大小≥256*360像素，图像分辨率≥500dpi，比对方式1:1 /1：N，认假率（FAR）&lt;0.001%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5、接口：USB口3个，支持USB HID免驱连接，RJ45口1个，TF卡座1个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6、语音模块：扬声器：2个，功率：2W ；麦克风*1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7、电源：9V/2.5A 外置电源，并支持自动开关机功能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8、可靠性：整机平均无故障时间≥10000小时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（三）、庭审话筒系统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高保真网络心型嵌入话筒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1.双鹅颈电容式话筒杆，自带嵌入式固定式话筒底座，轻触式开关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2.具有带状态反馈指示灯的轻触式开关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3.Dante网络音频输出，提供RJ45标准连接器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4.拾音头：电容式金膜音头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5.指向性：心形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6.频率响应≥38Hz-20KHz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7.灵敏度≤-41dB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8.最大声压级≥130dB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9.等效噪声≤23dB(A计权）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10.话筒杆长度≥380mm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78</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高保真网络桌面话筒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1.采用≥14mm镀金电容拾音头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2.模/数双备实时输出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3.≥2.8寸高清显示屏，可显示话筒话筒状态、网络信息、屏保、升级提示等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4.内置音频处理功能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5.最佳拾音距离10-80cm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6.具备双备份发言按键设计，可同时支持实体按键及触控屏触摸按键控制开关发言静音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7.咪杆长度≥42cm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AI网络音频处理器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2.≥16路平衡式话筒／线路输入，具有48V幻象供电软开关，具有不少于八级增益可调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3.≥16路平衡式线路输出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吸顶喇叭功放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1.采用Class D技术，转换效率≥90%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2.机身轻、方便携带和安装，高度≤1U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3.自动限幅输出、短路、过载、过温、开机延时等保护功能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4.功放开关电源带有单独的冷却系统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5.额定功率不低于：2×350W/8Ω,2×550W/4Ω；桥接:1×1000W/8Ω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6.频率响应不低于：20Hz-20kHz（±3dB）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7.总谐波失真(THD)≤0.01%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8.信噪比≥80dB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1.低音单元≥6.5英寸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2.高音单元≥1英寸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3.功率≥持续60W，节目120W，峰值240W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5.频率响应≥100Hz- 19kHz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6.灵敏度≥86dB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7.声压级：持续≥105dB，峰值≥110dB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8.指向角度≥H100°×V100°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8路智能电源时序器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1.总功率≥6500W，前面板万能插头支持最大10A，后面板万能插支持≥13A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≥8个可控制插座电源，每个可单独控制:前面板有一路直通电源插座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3.RJ45 级联方式，最多可级联不少于15台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4.支持电子密码锁保护功能;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5.电源模式有默认模式，自定义模式，全开放模式和反向模式，在自定义电源通道开启模式时，每个电源插座可单独控制，关机后自动记忆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6.每通道开启或关闭时，可单独设置延时时间，最多可延时不小于999 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7.带 RS232 双向中控接口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8.支持免驱 USB 安全升级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庭审高清图像无缝切换矩阵</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1.≥8路HDMI信号输入，≥8路HDMI信号输出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2.支持≥8路模拟音频解嵌输出接口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3.带屏幕显示实时操作状态和设备IP地址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4.支持断电记忆功能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5.支持HDMI接口连续热拔插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6.支持双向串口控制、RJ45控制；输入内置≥7种EDID，≥3840x2160@30Hz，双声道，支持自定义EDID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7.前面板实体按键、RS232串口控制、TCP/IP、上位机软件控制；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8.输⼊输出⽀持HDMI1.4，最⾼分辨3840x2160@30Hz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9.输⼊输出⾊彩空间⽀持RGB4:4:4、YCbCr4:4:4, YCbCr4:2:2等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10.支持高清无缝切换矩阵功能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11.输入兼容DVI/HDMI信号，支持HDMI内嵌音频输入输出切换；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12.≥9种输出分辨率可选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13.输出信号格式支持HDMI、DVI</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（四）、庭审录像系统及其他</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3、支持红外补光，红外作用距离不低于30m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5、1个内置麦克风，1个内置扬声器；1路报警输入，1路报警输出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6、支持IK10机械碰撞防护等级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7、支持区域入侵侦测，越界侦测，进入区域侦测，离开区域侦测，物品遗留侦测，物品拿取侦测，徘徊侦测等识别检测事件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全景备份摄像机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3、内置GPU芯片，麦克风，扬声器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4、支持不小于4倍光学变焦，变焦过程中不会完全虚焦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5、支持红外补光距离不小于30米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6、支持声音报警功能，报警声音类型不低于10种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7、支持1路报警输入，1路报警输出，1路音频输入，1路音频输出，1个DC12V电压输出接口，支持DC12V供电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8、同一静止场景相同图像质量下，设备在H.264或H.265编码方式时，开启智能编码功能和不开启智能编码相比，码率节约50%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9、支持智能报警防干扰功能，智能分析行为类型为区域入侵、越界入侵、进入区域、离开区域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全向数字降噪拾音器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1、拾音范围：10～70平方米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2、音频传输距离：3000米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 -46dB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5、指向特性：全方向性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6、信噪比：70dB ( 1米40 dB音源） 35dB (10米40 dB音源） 1KHz at 1 Pa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7、动态范围：50dB(1KHz at Max dB SPL)</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8、最大承受音压： 120dB SPL（1KHz，THD 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9、输出阻抗：最大600欧姆非平衡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10、输出信号幅度：2.5Vpp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11、麦克风：两只高灵敏度电容咪头，内置DSP芯片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12、保护电路：雷击保护、电源极性反接保护</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音频适配器（拾音器专用滤波电源）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1、拾音器接口：1个三芯（V,A,G）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2、音频输出端子：二个线性输出（1个两芯端子，1个3.5插孔）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3、音量调节：-10dB ～ +10dB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11、拾音器连接方式：电源线V（红色）、音频A（黄色）、公共地G（黑色）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14、电源输入电压：直流电DC12V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15、工作环境温度：-25℃ ～ 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拾音器专用混音器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1.拾音器接口：2组三芯（电源正极V，音频A，公共地G）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2.音频输出端子：4个莲花头，3个两芯端子，3个3.5插孔（其中MIX为混音输出）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3.音量调节：-20dB ～ +20dB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14.电源输入电压：直流DC12V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（五）、中控系统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中控控制主机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1.支持红外控制、RS-232、RS-422、RS-485、UDP、TCP、telnet、http、MQTT以及SNMP等多种协议，兼容性强，可对接第三方设备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2.≥8路低压继电器，≥8路数字I/O输入，≥8路红外或单向RS-232串行通讯口，≥8路双向RS-232/422/485串行通讯口；    ≥3个LED系统状态指示灯；≥1个RJ45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3.支持双机热备份。当中控主机出现故障时，备用中控主机自动承担服务，从而保证系统在不需要人工干预的情况下能正常运行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4.支持互联网控制。中控主机在连接互联网的情况下，用户可操作手机或平板等移动端通过互联网实现对中控主机远程控制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5.支持视频矩阵可视化控制。用户可通过控制端实时预览、拖动并切换矩阵视频信号，支持设置触碰和投放触发切换方式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6.支持拼接矩阵可视化控制。用户可通过控制端实时预览、放大、缩小、拖动并切换拼接矩阵视频信号，可对输入信号源进行置底、置顶以及一键清屏等操作，支持设置触碰和投放触发切换方式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7.支持远程管理，无需连接外部网络或使用第三方软件，支持多用户远程协同控制，便于现场运维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有线控制面板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1.ARM架构，≥1.8Ghz主频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2.内存≥2GB、存储≥8GB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3.屏幕尺寸≥10英寸，分辨率≥1280*800 (16:10），桌面屏设计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4.支持行业标准网络通信协议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5.支持1路千兆网络接口，速率≥1G/bps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6.支持POE供电或独立DC24V/1A电源供电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7.电容触摸屏，支持多点触控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灯光控制模块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1、全远程管控：双向通信/状态反馈/设备操控，调试/运维/巡检/异常报警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2、灯光智能控制：8通道独立控制（延时/顺序/逻辑编程），断电状态记忆 + 自动/手动切换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3、安全防护：过压/欠压/短路/过热保护，磁保持继电器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4、通信：RS485/网络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5、供电：DC12V双电源备份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（六）、法庭内设备线缆</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300芯带屏蔽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音频线（话筒用）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128编</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RVVP2*0.5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RVVP3*0.5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15米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拖线板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插孔数量应不低于6孔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额定功率应不小于2500W</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600*600*1200mm，带8位PDU。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289"/>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五、管网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255"/>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桥架200*100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镀锌桥架200*100，厚度1.5mm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480</w:t>
            </w:r>
            <w:r>
              <w:rPr>
                <w:rFonts w:hint="eastAsia" w:ascii="方正仿宋_GBK" w:hAnsi="方正仿宋_GBK" w:eastAsia="方正仿宋_GBK" w:cs="方正仿宋_GBK"/>
                <w:color w:val="000000"/>
                <w:sz w:val="20"/>
                <w:szCs w:val="20"/>
              </w:rPr>
            </w:r>
            <w:r/>
          </w:p>
        </w:tc>
      </w:tr>
      <w:tr>
        <w:trPr>
          <w:trHeight w:val="255"/>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配管JDG20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JDG20（镀锌）国标厚度 1.6mm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840</w:t>
            </w:r>
            <w:r>
              <w:rPr>
                <w:rFonts w:hint="eastAsia" w:ascii="方正仿宋_GBK" w:hAnsi="方正仿宋_GBK" w:eastAsia="方正仿宋_GBK" w:cs="方正仿宋_GBK"/>
                <w:color w:val="000000"/>
                <w:sz w:val="20"/>
                <w:szCs w:val="20"/>
              </w:rPr>
            </w:r>
            <w:r/>
          </w:p>
        </w:tc>
      </w:tr>
      <w:tr>
        <w:trPr>
          <w:trHeight w:val="255"/>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配管JDG25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JDG25（镀锌）国标厚度 1.6mm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1200</w:t>
            </w:r>
            <w:r>
              <w:rPr>
                <w:rFonts w:hint="eastAsia" w:ascii="方正仿宋_GBK" w:hAnsi="方正仿宋_GBK" w:eastAsia="方正仿宋_GBK" w:cs="方正仿宋_GBK"/>
                <w:color w:val="000000"/>
                <w:sz w:val="20"/>
                <w:szCs w:val="20"/>
              </w:rPr>
            </w:r>
            <w:r/>
          </w:p>
        </w:tc>
      </w:tr>
      <w:tr>
        <w:trPr>
          <w:trHeight w:val="255"/>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配管JDG32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JDG32（镀锌）国标厚度 1.6mm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六、法庭可视化运维</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可视化运维服务器（含运维软件）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1.支持用户可以通过本地网络或直接远程连接到软件平台，实现跨地域的设备管理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2.支持全面管理接入系统的各类硬件设备，包括状态监控、配置调整、故障排查等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3.支持以直观的图表、报表等形式展示设备运行数据、用户行为分析等信息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4.支持远程操控和调试设备，减少现场维护成本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统一管控可接入系统：视频显示系统、视频矩阵处理系统、数字有源音箱系统、调音台音频处理系统、功率放大器、数字会议系统、无纸化会议系统、电子桌牌系统、视频会议系统、录播系统、语音转录系统、环境控制系统、新风空调系统、照明系统等各种应用。实现设备的可视化监控、独立操控与调试功能、自动告警、故障处置和集中控制的全过程运维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6.支持可视化监控：实时展示设备状态、会议室环境等关键信息，支持独立操控与集中控制模式切换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7.支持集成化界面，快速定位并解决设备故障，提升运维效率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8.支持4路或多路视频画面监测，实时预览会议室状态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9.支持实时管控：用户可实时调整环境设备参数，如灯光亮度、空调温度等，满足会议需求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10.支持精细化管理：支持对单设备进行详细配置和精细控制，确保设备性能最优化</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11.支持对接入系统中所有类型设备的故障报警，包括离线报警、设备故障报警、温度过高报警和CPU故障报警等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12.支持运维监测：提供设备运维相关的图表数据，帮助管理员评估设备健康状况和运维效率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13.支持预设多种会议场景，支持一键切换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14.支持设备分类管理和自由控制模块选择：允许用户自主选择显示或隐藏设备控制模块</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15.支持环境数据检测：实时监测会议室内的温度、湿度、空气质量等环境参数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16.支持能耗管理：分析设备总能耗，辅助制定节能减排策略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17.CPU≥4核8线程，主频≥2.4G，内存≥16GB，硬盘≥512GB SSD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18.输出≥4×HDMI 4K @60Hz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19.接口≥2xUSB 3.0、2xUSB 2.0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203" w:name="_Toc16352"/>
      <w:r>
        <w:rPr>
          <w:rFonts w:hint="eastAsia"/>
        </w:rPr>
        <w:t xml:space="preserve">公共广播</w:t>
      </w:r>
      <w:bookmarkEnd w:id="203"/>
      <w:r>
        <w:rPr>
          <w:rFonts w:hint="eastAsia"/>
        </w:rPr>
      </w:r>
      <w:r/>
    </w:p>
    <w:tbl>
      <w:tblPr>
        <w:tblW w:w="9195" w:type="dxa"/>
        <w:tblInd w:w="-15" w:type="dxa"/>
        <w:tblLayout w:type="fixed"/>
        <w:tblCellMar>
          <w:left w:w="108" w:type="dxa"/>
          <w:top w:w="0" w:type="dxa"/>
          <w:right w:w="108" w:type="dxa"/>
          <w:bottom w:w="0" w:type="dxa"/>
        </w:tblCellMar>
        <w:tblLook w:val="04A0" w:firstRow="1" w:lastRow="0" w:firstColumn="1" w:lastColumn="0" w:noHBand="0" w:noVBand="1"/>
      </w:tblPr>
      <w:tblGrid>
        <w:gridCol w:w="701"/>
        <w:gridCol w:w="1129"/>
        <w:gridCol w:w="6043"/>
        <w:gridCol w:w="659"/>
        <w:gridCol w:w="663"/>
      </w:tblGrid>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20"/>
        </w:trPr>
        <w:tc>
          <w:tcPr>
            <w:gridSpan w:val="4"/>
            <w:tcBorders>
              <w:top w:val="single" w:color="000000" w:sz="4" w:space="0"/>
              <w:left w:val="single" w:color="000000" w:sz="4" w:space="0"/>
              <w:bottom w:val="single" w:color="000000" w:sz="4" w:space="0"/>
              <w:right w:val="none" w:color="000000" w:sz="4" w:space="0"/>
            </w:tcBorders>
            <w:tcW w:w="8532"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一、设备</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IP网络广播控制主机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≥双核四线程CPU处理器，内存≥DDR3 8G，硬盘≥128G/SSD固态硬盘</w:t>
            </w:r>
            <w:r>
              <w:rPr>
                <w:rFonts w:hint="eastAsia" w:ascii="方正仿宋_GBK" w:hAnsi="方正仿宋_GBK" w:eastAsia="方正仿宋_GBK" w:cs="方正仿宋_GBK"/>
                <w:color w:val="000000"/>
                <w:sz w:val="20"/>
                <w:szCs w:val="20"/>
                <w:lang w:bidi="ar"/>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屏幕尺寸≥17.3英寸，分辨率≥1920*1080，触摸式液晶屏</w:t>
            </w:r>
            <w:r>
              <w:rPr>
                <w:rFonts w:hint="eastAsia" w:ascii="方正仿宋_GBK" w:hAnsi="方正仿宋_GBK" w:eastAsia="方正仿宋_GBK" w:cs="方正仿宋_GBK"/>
                <w:color w:val="000000"/>
                <w:sz w:val="20"/>
                <w:szCs w:val="20"/>
                <w:lang w:bidi="ar"/>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兼容TCP/IP、RTP、RTSP、UDP等多种流媒体网络协议，实施跨网关设备控制以及状态实时监控</w:t>
            </w:r>
            <w:r>
              <w:rPr>
                <w:rFonts w:hint="eastAsia" w:ascii="方正仿宋_GBK" w:hAnsi="方正仿宋_GBK" w:eastAsia="方正仿宋_GBK" w:cs="方正仿宋_GBK"/>
                <w:color w:val="000000"/>
                <w:sz w:val="20"/>
                <w:szCs w:val="20"/>
                <w:lang w:bidi="ar"/>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面板带有超薄DVD光驱</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支持网络唤醒，定时开关机，支持上电开机等</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系统开机后可自动运行，服务器软件采用后台系统服务运行方式</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该中央服务器可灵活配置各智能广播系统及IP网络广播的编程控制软件</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IP网络广播控制系统具有手机WIFI点播，支持任意选择播放终端进行广播</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实现实时采播、即时呼叫、定时、定点、定节目、定组、多音源自动播放</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系统兼容路由器、交换机、网桥网关、Modem、Internet、2G、3G、4G、组播、单播等任意网络结构</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标准接口≥6×串口/1×VGA/1*HDMI/2×RJ45/4×USB/4×RCA/1×6.5MIC/1*3.5MIC-in/1*3.5Line-out</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音频信号信噪比Line：70dB;Mic：60dB</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音频信号失真度：1KHz&lt;0.5%</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音频信号标准输入电平：Line:300mV; Mic：5mV</w:t>
            </w:r>
            <w:r>
              <w:rPr>
                <w:rFonts w:hint="eastAsia" w:ascii="方正仿宋_GBK" w:hAnsi="方正仿宋_GBK" w:eastAsia="方正仿宋_GBK" w:cs="方正仿宋_GBK"/>
                <w:color w:val="000000"/>
                <w:sz w:val="20"/>
                <w:szCs w:val="20"/>
              </w:rPr>
            </w:r>
            <w:r/>
          </w:p>
          <w:p>
            <w:pPr>
              <w:pStyle w:val="91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音频信号标准输出电平：0.775dBV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IP网络广播系统软件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1.具备终端管理功能：支持批量添加终端，终端匹配自动上线；支持列表视图和网格视图、地图模式三种管理模式；支持终端状态及任务状态显示及不同颜色提示；可视对讲终端有视频颜色特殊标识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2.具备终端故障自动检测功能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提供全双工语音对讲及视频对讲，响应各对讲终端的呼叫和视频通话请求，支持一键呼叫、一键对讲、一键求助、一键报警等通话模式，支持自动接听、手动接听，支持无应答自动转接，转接时间可设置，支持可视对讲终端视频分辨率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4.支持显示实时任务播放列表，支持一键启动和停止任务；支持MP3和WAV音频文件，支持播放歌曲列表显示，可以调整歌曲的播放顺序，支持文本转语音广播，可自定义播放时长，具备实时任务优先级调整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计划任务：支持编程多套定时方案，支持选择任意终端和设置任意时间；支持定时任务执行测试、设置重复周期。支持定时任务多种音源选择（音乐播放、语音合成、终端采集）；支持显示当天定时任务列表，支持任务的复制、粘贴、冻结，每条任务均有执行日志，方便查看及管理；支持自定义开启功放时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6.联动管理：支持消防报警信号接入、短路信号以及其他信号触发，可自定义触发区域，可自定义触发音源播放的时间，触发音源包括媒体库音频文件、终端采集、文本转语音广播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7.支持终端短路输入联动触发，支持多种联动预案，可任意设置联动触发方案和触发终端数量，触发方案包括短路输出、音乐播放、终端采集、语音合成、警报等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8.媒体库：广播系统软件自带音频文件码流转换功能，支持分类保存音频文件，支持音频文件试听及下载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9.历史记录：用户操作、广播、对讲以及终端的注册及离线的记录都可以保存，后期可以根据不同操作类型查看操作及广播记录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10.录音录像；语音及可视对讲均可在服务器端同步录音录像；可自定义录音录像保存位置，可开启和关闭录音录像，录音录像可以进行下载播放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11.用户管理：支持超级管理员、管理员、用户、操作员4种用户角色，可对每个用户角色功能及管理终端进行授权，分控端只需要通过浏览器登录即可操作，不需要安装任何插件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12.分区管理：支持批量对终端进行分区，每个分区前会显示分区号，方便用IP话筒进行分区广播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13.广播模式：支持单播、组播两种模式，支持互联网、局域网部署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14.支持广播系统备份，通过备份广播系统指定文件夹，可以备份终端信息、实时任务列表、定时任务以及媒体库音频文件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CD播放器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1.标准机柜式设计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2.吸入式机芯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3.微电脑控制，轻触式按键操作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4.高亮度动态VFD荧光显示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5.支持系统+ESS解码方案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6.兼容DVD、VCD、CD、MP3、SVCD、MPEG4等格式的碟片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7.≥1路音频信号左右声道（L/R）输出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8.具有高清视频输出接口</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数字调谐器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1.标准机柜式设计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2.高亮度动态VFD荧光显示，清晰醒目，微电脑控制，轻触式按键操作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3.内置MP3播放器自带USB和TF卡接口，可读USB、MP3和TF内存卡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3.调频、调幅（AM/FM）立体声二波段接收可选，电台频率记忆存储可达99个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4.电台频率自动搜索存储功能，且有断电记忆功能，数据终身记忆永不丢失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5.内置专业级高保真立体声数码石英锁相环收音系统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6.≥两组接收天线输入：AM接收天线输入；FM接收天线75Ω输入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IP网络消防报警矩阵</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1.标准机架式设计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2.采用嵌入式ARM芯片，可通过WEB登录修改设备参数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3.不少于32路报警输入接口，支持短路触发和12V触发两种方式触发可选，从消防中心接入信号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4.支持状态报警、开路报警、闭路报警三种模式选择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5.报警任务可任意选择播放终端，具有报警任务断开停止任务、播放一整首、自定义播放时长三种模式选择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6.报警任务具有媒体库、音频采集、文本转语音三种音源可选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7.内置不少于1路网络硬件音频解码模块，支持TCP/IP、UDP、IGMP（组播）协议，实现网络化传输16位立体声CD音质的音频信号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8.支持DHCP，兼容路由器、交换机、网桥网关、Modem、Intelnet、2G、3G、4G、组播、单播等任意网络结构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9.网络通讯协议不劣于TCP/IP、UDP、IGMP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10.网络芯片速率≥10/100Mbps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11.接口≥1路RJ45网口，32路报警输入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IP网络音频采集器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1.标准机柜式设计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2.设备采用嵌入式计算机和DSP音频处理技术设计，ARM芯片，启动时间小于1s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3.内置不少于1路网络硬件音频解码模块，支持TCP/IP、UDP、IGMP（组播），实现网络化传输16位CD音质的音频信号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4.不小于2.4寸高亮LED点阵屏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5.可将外接音源播放到指定IP广播及可视对讲终端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6.支持U盘播放，可将U盘内容播放到指定IP终端及可视对讲终端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7.支持蓝牙连接，可将手机音源通过蓝牙播放到指定IP终端及可视对讲终端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8.MP3可实现多种播放模式，随机/单曲循环/全曲循环，自带屏幕可现实播放歌曲名称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9.MP3内置5种音效模式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10.≥10路输入通道，包括6路话筒，3路线路，1路紧急输入接口；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11.具有≥6路线路输出，可接6台纯后级广播功放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12.话筒输入通道和线路输入通道均可独立调校音量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13.设有高音和低音独立调节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14.具有≥三级优先权设计：MIC1为最高优先级，紧急音频信号为第二级，MIC2、3、4、5和线路为第三级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15.紧急音频信号输入无音量调节，自动默音至30dB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16.内置≥1路网络硬件音频解码模块，支持TCP/IP、UDP、IGMP（组播）协议，实现网络化传输16位立体声CD音质的音频信号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17.支持DHCP，兼容路由器、交换机、网桥网关、Modem、Intelnet、2G、3G、4G、组播、单播等任意网络结构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18.网络接口：标准RJ45输入；支持协议：TCP/IP、UDP、IGMP、ARP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19.音频格式：MP3/WAV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20.采样率≥8K-44.1KHz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21.传输速率≥10/100Mbps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22.音频位率≥16bit，32kbps-320kbps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23.音调调节：低音:±10dBat100Hz高音:±10dBat10KHz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24.紧急输入≥1路，10kΩ/0.775V，不平衡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25.话筒默音：MIC1输入强切其他输入，强切灵敏度可调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26.默音抑制能力：MIC1输入时:MIC2-MIC6、AUX1-AUX3、EMC1信号衰减0-30dB;EMC1紧急输入时:MIC2-MIC5,AUX1-AUX3信号衰减0-30dB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网络寻呼话筒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1、采用ARM架构芯片，支持局域网及互联网接入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2、采用桌面式话筒设计，支持屏幕可视角度调节，带有不小于10.1英寸电容触摸显示屏；支持通过触摸呼叫广播及发起对讲；支持呼叫终端及多个终端、呼叫分区及多个分区、呼叫全区广播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3、内置不少于1路网络硬件音频解码模块，具有不少于1路RJ45网络接口，不低于100Mbps传输速率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4.支持双向可视对讲功能，内置3W全频扬声器，实现双向通话</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5.支持不少于1路3.5mm音频线路输入，支持采集播放功能；具有不少于1路3.5mm音频线路输出，可外接功率放大器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6.支持直接操作呼叫或对讲任意终端，支持通过话筒广播呼叫功能，广播延时低于100毫秒，支持线路输入采集及U盘广播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7、支持多种呼叫策略，包括手动转移、无响应转移、占线转移、关机转移；自动接听、手动接听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8、支持用户权限设置，可设置管理和显示指定分区及终端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9、支持操作登录密码验证、操作登录密码验证支持开启和关闭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10、支持广播提示音开启和关闭选择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11、支持紧急广播、预警广播、自然灾害、地震广播四个快捷键，长按快捷键可以快速发起设置好的广播任务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12、具有不少于1路短路输出接口、1路短路输入接口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13、支持WEB修改和配置话筒参数，包括本机IP、服务器IP、用户权限参数等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14、支持自定义寻呼话筒是否接收广播，可以手动开启和关闭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监听音箱</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1.一体化壁挂式设计，符合声音共振原理设计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2.设备采用嵌入式计算机和DSP音频处理技术设计，ARM芯片，启动时间小于1s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3.内置≥1路网络硬件音频解码模块，支持TCP/IP、UDP、IGMP（组播），实现网络化传输16位CD音质的音频信号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4.内置D类立体声不小于2×20W功率，1路接主音箱，1路外接副音箱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5.采用不小于5.25寸中低音单元与1.5寸高音单元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6.不少于1路线路输入，1路话筒输入，具有独立的音量电位器控制，用于接入本地其他音源进行扩声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7.内置WEB服务器、提供浏览器远程配置和网络升级功能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8.支持DHCP，兼容路由器、交换机、网桥网关、Modem、Internet、2G、3G、4G、组播、单播等任意网络结构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9.传输速率≥10/100Mbps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10.支持ARP、UDP、TCP/IP、ICMP、IGMP等协议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11.功率输出≥2*20W/8Ω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12.输入灵敏度不低于音频输入:550mV/600Ω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13.音频位率≥32Kbps～320Kbps自适应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14.频率响应≥40Hz～20KHz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15.信噪比：≥85dB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16.总谐波失真：≤0.1%(@1W)</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电源时序器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1、通道数量≥8路可控，1路直通。前一后八输出，采用万能插座适用各种插头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2、电源输入接线方式≥3×6平方电缆线，≥1.3米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3、时序控制输出通道数目≥8个兼容型电源插座（后机板）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4、无时序控制输出通道数目≥2个兼容型电源插座（前机板）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5、每通道提供的最大输出电流：音频设备负载&lt;20A；线性纯阻负载&lt;13A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6、时序控制方式：面板开关控制、线控或联机控制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7、具备时序直通功能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8、具备时序每通道独立开关功能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0</wp:posOffset>
                      </wp:positionH>
                      <wp:positionV relativeFrom="paragraph">
                        <wp:posOffset>0</wp:posOffset>
                      </wp:positionV>
                      <wp:extent cx="4916805" cy="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491680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6;o:allowoverlap:true;o:allowincell:true;mso-position-horizontal-relative:text;margin-left:0.0pt;mso-position-horizontal:absolute;mso-position-vertical-relative:text;margin-top:0.0pt;mso-position-vertical:absolute;width:387.1pt;height:0.0pt;mso-wrap-distance-left:9.0pt;mso-wrap-distance-top:0.0pt;mso-wrap-distance-right:9.0pt;mso-wrap-distance-bottom:0.0pt;" stroked="f">
                      <v:path textboxrect="0,0,0,0"/>
                      <v:imagedata r:id="rId58" o:title=""/>
                    </v:shape>
                  </w:pict>
                </mc:Fallback>
              </mc:AlternateContent>
            </w: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IP网络功放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1.标准机架式设计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2.设备采用嵌入式计算机和DSP音频处理技术设计，高速工业级ARM芯片，启动时间小于1s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3.内置不少于1路网络硬件音频解码模块，支持TCP/IP、UDP、IGMP（组播），实现网络化传输16位CD音质的音频信号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4.不少于2路线路输入，AUX1，AUX2，1路辅助输出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5.不少于2路话筒输入，话筒MIC1具强切默音功能，具有最高优先权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6.各路输入具有独立音量调节，且总音量具有高音、低音调节及音量大小控制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7.额定输出功率≥70W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8.不少于2种功率输出方式：定压输出70V、100V和定阻输出4～16Ω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9.内置智能温度检测驱动风冷，采用低噪声风扇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10.具有短路、过载、过热、饱和失真、直流输出等保护功能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11.内置WEB服务器、提供浏览器远程配置和网络升级功能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12.支持DHCP，兼容路由器、交换机、网桥网关、Modem、Internet、2G、3G、4G、组播、单播等任意网络结构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13.网络接口：标准RJ45，支持TCP/IP、UDP、ARP、ICMP、IGMP等网络通讯协议；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14.传输速率≥10/100Mbps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15.音频模式不低于16位立体声音质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16.采样率≥8K-48KHz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17.信噪比：＞85dB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18.频率响应≥80Hz-16KHz/±3dB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19.线路失真度＜0.1%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20.话筒失真度＜0.3%</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21.音调调节：低音:±10dBat100Hz高音:±10dBat10KHz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22.话筒默音：MIC1强切，强切灵敏度可调范围0-38dB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0</wp:posOffset>
                      </wp:positionH>
                      <wp:positionV relativeFrom="paragraph">
                        <wp:posOffset>0</wp:posOffset>
                      </wp:positionV>
                      <wp:extent cx="4916805" cy="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491680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7;o:allowoverlap:true;o:allowincell:true;mso-position-horizontal-relative:text;margin-left:0.0pt;mso-position-horizontal:absolute;mso-position-vertical-relative:text;margin-top:0.0pt;mso-position-vertical:absolute;width:387.1pt;height:0.0pt;mso-wrap-distance-left:9.0pt;mso-wrap-distance-top:0.0pt;mso-wrap-distance-right:9.0pt;mso-wrap-distance-bottom:0.0pt;" stroked="f">
                      <v:path textboxrect="0,0,0,0"/>
                      <v:imagedata r:id="rId59" o:title=""/>
                    </v:shape>
                  </w:pict>
                </mc:Fallback>
              </mc:AlternateContent>
            </w: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1.全频带单元喇叭，全频段范围覆盖</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2.特殊阻尼处理，降低失真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3.额定功率不低于5W/8W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4.最大功率不低于8W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5.输入电压不低于70V/100V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6.灵敏度不低于91dB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7.频率响应不低于110Hz-15KHz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8.最大声压级不低于97dB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壁挂音箱</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1.额定功率不低于5W/10W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2.最大功率不低于13W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3.输入电压不低于70V/100V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4.灵敏度不低于95dB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5.频率响应不低于110Hz-13KHz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6.最大声压级不低于94dB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7.单元不低于5英寸全频×1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20"/>
        </w:trPr>
        <w:tc>
          <w:tcPr>
            <w:gridSpan w:val="4"/>
            <w:tcBorders>
              <w:top w:val="single" w:color="000000" w:sz="4" w:space="0"/>
              <w:left w:val="single" w:color="000000" w:sz="4" w:space="0"/>
              <w:bottom w:val="single" w:color="000000" w:sz="4" w:space="0"/>
              <w:right w:val="none" w:color="000000" w:sz="4" w:space="0"/>
            </w:tcBorders>
            <w:tcW w:w="8532" w:type="dxa"/>
            <w:vAlign w:val="center"/>
            <w:textDirection w:val="lrTb"/>
            <w:noWrap/>
          </w:tcPr>
          <w:p>
            <w:pPr>
              <w:pStyle w:val="91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二、广播专用线</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广播线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ZR-RVS2*1.5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520</w:t>
            </w:r>
            <w:r>
              <w:rPr>
                <w:rFonts w:hint="eastAsia" w:ascii="方正仿宋_GBK" w:hAnsi="方正仿宋_GBK" w:eastAsia="方正仿宋_GBK" w:cs="方正仿宋_GBK"/>
                <w:color w:val="000000"/>
                <w:sz w:val="20"/>
                <w:szCs w:val="20"/>
              </w:rPr>
            </w:r>
            <w:r/>
          </w:p>
        </w:tc>
      </w:tr>
    </w:tbl>
    <w:p>
      <w:pPr>
        <w:pStyle w:val="911"/>
        <w:rPr>
          <w:rFonts w:hint="eastAsia"/>
        </w:rPr>
      </w:pPr>
      <w:r>
        <w:rPr>
          <w:rFonts w:hint="eastAsia"/>
        </w:rPr>
      </w:r>
      <w:r/>
    </w:p>
    <w:p>
      <w:pPr>
        <w:pStyle w:val="913"/>
        <w:rPr>
          <w:rFonts w:hint="eastAsia"/>
        </w:rPr>
      </w:pPr>
      <w:r/>
      <w:bookmarkStart w:id="204" w:name="_Toc29524"/>
      <w:r>
        <w:rPr>
          <w:rFonts w:hint="eastAsia"/>
        </w:rPr>
        <w:t xml:space="preserve">标▲号指标</w:t>
      </w:r>
      <w:r>
        <w:rPr>
          <w:rFonts w:hint="eastAsia"/>
        </w:rPr>
      </w:r>
      <w:r/>
    </w:p>
    <w:tbl>
      <w:tblPr>
        <w:tblW w:w="9195" w:type="dxa"/>
        <w:tblInd w:w="-15" w:type="dxa"/>
        <w:tblLayout w:type="fixed"/>
        <w:tblCellMar>
          <w:left w:w="108" w:type="dxa"/>
          <w:top w:w="0" w:type="dxa"/>
          <w:right w:w="108" w:type="dxa"/>
          <w:bottom w:w="0" w:type="dxa"/>
        </w:tblCellMar>
        <w:tblLook w:val="04A0" w:firstRow="1" w:lastRow="0" w:firstColumn="1" w:lastColumn="0" w:noHBand="0" w:noVBand="1"/>
      </w:tblPr>
      <w:tblGrid>
        <w:gridCol w:w="655"/>
        <w:gridCol w:w="1575"/>
        <w:gridCol w:w="6965"/>
      </w:tblGrid>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证明材料</w:t>
            </w:r>
            <w:r>
              <w:rPr>
                <w:rFonts w:hint="eastAsia" w:ascii="方正仿宋_GBK" w:hAnsi="方正仿宋_GBK" w:eastAsia="方正仿宋_GBK" w:cs="方正仿宋_GBK"/>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室外筒型网络摄像机</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▲支持智能分析抗干扰功能，当篮球、小狗、树叶等非人或车辆目标经过检测区域时，不会触发报警。（需提供国家认可的第三方检验检测机构出具的检验检测报告复印件证明）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大模型周界网络摄像机</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▲当报警产生时，可触发联动声音报警。报警声音类型不低于 10 种，报警音量和重复次数可设置。（需提供国家认可的第三方检验检测机构出具的检验检测报告复印件证明）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人脸分析服务器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top"/>
            <w:textDirection w:val="lrTb"/>
            <w:noWrap/>
          </w:tcPr>
          <w:p>
            <w:pPr>
              <w:pStyle w:val="91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w:t>
            </w:r>
            <w:r>
              <w:rPr>
                <w:rFonts w:hint="eastAsia" w:ascii="方正仿宋_GBK" w:hAnsi="方正仿宋_GBK" w:eastAsia="方正仿宋_GBK" w:cs="方正仿宋_GBK"/>
                <w:color w:val="000000"/>
                <w:sz w:val="20"/>
                <w:szCs w:val="20"/>
              </w:rPr>
              <w:t xml:space="preserve">支持人员档案聚合，一人一档功能，可将陌生人自动归入到档案库，并统计和展示每个陌生人出现的次数，多次出现的陌生人，设备自动选取一张评分最高的人脸图片作为人员档案封面</w:t>
            </w:r>
            <w:r>
              <w:rPr>
                <w:rFonts w:hint="eastAsia" w:ascii="方正仿宋_GBK" w:hAnsi="方正仿宋_GBK" w:eastAsia="方正仿宋_GBK" w:cs="方正仿宋_GBK"/>
                <w:color w:val="000000"/>
                <w:sz w:val="20"/>
                <w:szCs w:val="20"/>
                <w:lang w:bidi="ar"/>
              </w:rPr>
              <w:t xml:space="preserve">（需提供国家认可的第三方检验检测机构出具的检验检测报告复印件证明）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文搜型存储服务器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▲大模型以文搜图：内置图文搜索引擎，支持开放式语义检索，输入文字描述即可查找人、车、非机动车及附属物等目标（需提供国家认可的第三方检验检测机构出具的检验检测报告复印件证明）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国密门禁控制器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▲控制器支持GM/T0028-2024《密码模块安全要求》安全二级，并支持在商用密码检测中心官网查询证书有效性。</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rPr>
            </w:pPr>
            <w:r>
              <w:rPr>
                <w:rFonts w:hint="eastAsia" w:ascii="方正仿宋_GBK" w:hAnsi="方正仿宋_GBK" w:eastAsia="方正仿宋_GBK" w:cs="方正仿宋_GBK"/>
                <w:sz w:val="20"/>
                <w:szCs w:val="20"/>
                <w:lang w:bidi="ar"/>
              </w:rPr>
              <w:t xml:space="preserve">6</w:t>
            </w:r>
            <w:r>
              <w:rPr>
                <w:rFonts w:hint="eastAsia" w:ascii="方正仿宋_GBK" w:hAnsi="方正仿宋_GBK" w:eastAsia="方正仿宋_GBK" w:cs="方正仿宋_GBK"/>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真分集无线一拖二手持话筒</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▲后面板≥1个type-c接口、≥1个网口、≥1路音频输入与1路反馈声输出 （证明材料：提供设备接口截图佐证）</w:t>
            </w:r>
            <w:r>
              <w:rPr>
                <w:rFonts w:hint="eastAsia" w:ascii="方正仿宋_GBK" w:hAnsi="方正仿宋_GBK" w:eastAsia="方正仿宋_GBK" w:cs="方正仿宋_GBK"/>
                <w:sz w:val="20"/>
                <w:szCs w:val="2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rPr>
            </w:pPr>
            <w:r>
              <w:rPr>
                <w:rFonts w:hint="eastAsia" w:ascii="方正仿宋_GBK" w:hAnsi="方正仿宋_GBK" w:eastAsia="方正仿宋_GBK" w:cs="方正仿宋_GBK"/>
                <w:sz w:val="20"/>
                <w:szCs w:val="20"/>
                <w:lang w:bidi="ar"/>
              </w:rPr>
              <w:t xml:space="preserve">7</w:t>
            </w:r>
            <w:r>
              <w:rPr>
                <w:rFonts w:hint="eastAsia" w:ascii="方正仿宋_GBK" w:hAnsi="方正仿宋_GBK" w:eastAsia="方正仿宋_GBK" w:cs="方正仿宋_GBK"/>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AI反馈抑制增益器</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▲DNN深度神经网络的AI自学习声反馈抑制功能，支持自动增益控制功能，能有效的提高话筒的拾音距离，不低于60cm（需提供国家认可的第三方检验检测机构出具的检验检测报告复印件证明）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none" w:color="000000" w:sz="0" w:space="0"/>
              <w:right w:val="single" w:color="000000" w:sz="4" w:space="0"/>
            </w:tcBorders>
            <w:tcW w:w="1575" w:type="dxa"/>
            <w:vAlign w:val="center"/>
            <w:vMerge w:val="restart"/>
            <w:textDirection w:val="lrTb"/>
            <w:noWrap w:val="false"/>
          </w:tcPr>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视频会议终端</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▲支持≥4路高清视频输入接口（至少含1个HDBaseT接口、2个HDMI输入口）、≥2路高清视频输出接口。）（需提供国家认可的第三方检验检测机构出具的检验检测报告复印件证明）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ascii="方正仿宋_GBK" w:hAnsi="方正仿宋_GBK" w:eastAsia="方正仿宋_GBK" w:cs="方正仿宋_GBK"/>
                <w:color w:val="000000"/>
                <w:sz w:val="20"/>
                <w:szCs w:val="20"/>
                <w:lang w:val="en-US" w:eastAsia="zh-CN" w:bidi="ar"/>
              </w:rPr>
            </w:pPr>
            <w:r>
              <w:rPr>
                <w:rFonts w:hint="eastAsia" w:ascii="方正仿宋_GBK" w:hAnsi="方正仿宋_GBK" w:eastAsia="方正仿宋_GBK" w:cs="方正仿宋_GBK"/>
                <w:color w:val="000000"/>
                <w:sz w:val="20"/>
                <w:szCs w:val="20"/>
                <w:lang w:val="en-US" w:eastAsia="zh-CN" w:bidi="ar"/>
              </w:rPr>
              <w:t xml:space="preserve">9</w:t>
            </w:r>
            <w:r>
              <w:rPr>
                <w:rFonts w:ascii="方正仿宋_GBK" w:hAnsi="方正仿宋_GBK" w:eastAsia="方正仿宋_GBK" w:cs="方正仿宋_GBK"/>
                <w:color w:val="000000"/>
                <w:sz w:val="20"/>
                <w:szCs w:val="20"/>
                <w:lang w:val="en-US" w:eastAsia="zh-CN" w:bidi="ar"/>
              </w:rPr>
            </w:r>
            <w:r/>
          </w:p>
        </w:tc>
        <w:tc>
          <w:tcPr>
            <w:tcBorders>
              <w:top w:val="none" w:color="000000" w:sz="0"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▲支持内置视频矩阵功能，可在终端控制系统上灵活配置任意视频输入和输出接口之间的对应关系。（需提供国家认可的第三方检验检测机构出具的检验检测报告复印件证明）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ascii="方正仿宋_GBK" w:hAnsi="方正仿宋_GBK" w:eastAsia="方正仿宋_GBK" w:cs="方正仿宋_GBK"/>
                <w:color w:val="000000"/>
                <w:sz w:val="20"/>
                <w:szCs w:val="20"/>
                <w:lang w:val="en-US" w:eastAsia="zh-CN" w:bidi="ar"/>
              </w:rPr>
            </w:pPr>
            <w:r>
              <w:rPr>
                <w:rFonts w:hint="eastAsia" w:ascii="方正仿宋_GBK" w:hAnsi="方正仿宋_GBK" w:eastAsia="方正仿宋_GBK" w:cs="方正仿宋_GBK"/>
                <w:color w:val="000000"/>
                <w:sz w:val="20"/>
                <w:szCs w:val="20"/>
                <w:lang w:val="en-US" w:eastAsia="zh-CN" w:bidi="ar"/>
              </w:rPr>
              <w:t xml:space="preserve">10</w:t>
            </w:r>
            <w:r>
              <w:rPr>
                <w:rFonts w:ascii="方正仿宋_GBK" w:hAnsi="方正仿宋_GBK" w:eastAsia="方正仿宋_GBK" w:cs="方正仿宋_GBK"/>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1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画面融合服务器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▲提供由国家版权局出具的画面合成系统相关软件著作权证书</w:t>
            </w:r>
            <w:r>
              <w:rPr>
                <w:rFonts w:hint="eastAsia" w:ascii="等线" w:hAnsi="等线" w:eastAsia="等线" w:cs="方正仿宋_GBK"/>
                <w:color w:val="000000"/>
                <w:sz w:val="20"/>
                <w:szCs w:val="20"/>
                <w:lang w:bidi="ar"/>
              </w:rPr>
              <w:t xml:space="preserve">，</w:t>
            </w:r>
            <w:r>
              <w:rPr>
                <w:rFonts w:hint="eastAsia" w:ascii="方正仿宋_GBK" w:hAnsi="方正仿宋_GBK" w:eastAsia="方正仿宋_GBK" w:cs="方正仿宋_GBK"/>
                <w:color w:val="000000"/>
                <w:sz w:val="20"/>
                <w:szCs w:val="20"/>
                <w:lang w:bidi="ar"/>
              </w:rPr>
              <w:t xml:space="preserve">（提供证书原件扫描件）</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等线" w:cs="方正仿宋_GBK"/>
                <w:sz w:val="20"/>
                <w:szCs w:val="20"/>
                <w:lang w:eastAsia="zh-CN"/>
              </w:rPr>
            </w:pPr>
            <w:r>
              <w:rPr>
                <w:rFonts w:hint="eastAsia" w:ascii="方正仿宋_GBK" w:hAnsi="方正仿宋_GBK" w:eastAsia="等线" w:cs="方正仿宋_GBK"/>
                <w:sz w:val="20"/>
                <w:szCs w:val="20"/>
              </w:rPr>
              <w:t xml:space="preserve">1</w:t>
            </w:r>
            <w:r>
              <w:rPr>
                <w:rFonts w:hint="eastAsia" w:ascii="方正仿宋_GBK" w:hAnsi="方正仿宋_GBK" w:eastAsia="等线" w:cs="方正仿宋_GBK"/>
                <w:sz w:val="20"/>
                <w:szCs w:val="20"/>
                <w:lang w:val="en-US" w:eastAsia="zh-CN"/>
              </w:rPr>
              <w:t xml:space="preserve">1</w:t>
            </w:r>
            <w:r>
              <w:rPr>
                <w:rFonts w:hint="eastAsia" w:ascii="方正仿宋_GBK" w:hAnsi="方正仿宋_GBK" w:eastAsia="等线"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语音转写声卡</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▲NPU：内置≥6TOPS（int8）NPU 加速器（需提供国家认可的第三方检验检测机构出具的检验检测报告复印件证明）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2</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▲音频算法：为保证庭审过程中语音采集的质量要求，需集成多维度智能音频处理算法套件，需至少包括AI精准防串音算法 （切麦准确率≥98%）、EQ、混音、反馈消除、回声消除、噪声抑制、自动增益控制（需提供国家认可的第三方检验检测机构出具的检验检测报告复印件证明）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3</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语音转写服务</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庭审信息语音播报：对于开庭需要宣读的法庭纪律、审判人员入庭和证人出庭等内容，系统能够通过客户端软件由系统进行自动语音播报，并且支持播报速度的人工调整。语音播报的中文语音合成技术自然度≥4.5分（按播音员播报标准为5分计算）。（需提供系统功能截图，并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4</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为保障庭审活动的高效开展与转写结果的可用度，系统支持多种方言口音的免切换语音识别转写。系统支持中文普通话的识别字正确率≥99.50%；（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5</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▲需基于语音内容及指令，庭审行为识别等技术完成融合应用，需实现场景目标要素定位准确率不低于85%（需提供国家认可的第三方检验检测机构出具的检验检测报告复印件证明）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6</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none" w:color="000000" w:sz="0" w:space="0"/>
              <w:right w:val="single" w:color="000000" w:sz="4" w:space="0"/>
            </w:tcBorders>
            <w:tcW w:w="1575" w:type="dxa"/>
            <w:vAlign w:val="center"/>
            <w:vMerge w:val="restart"/>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电子质证应用系统</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庭中证据随讲随翻：支持卷宗目录与语音转写智能匹配，庭审中，语音关键词识别到后电子证据联动随翻，辅助法官进行材料快速定位。（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lang w:eastAsia="zh-CN" w:bidi="ar"/>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7</w:t>
            </w:r>
            <w:r>
              <w:rPr>
                <w:rFonts w:hint="eastAsia" w:ascii="方正仿宋_GBK" w:hAnsi="方正仿宋_GBK" w:eastAsia="方正仿宋_GBK" w:cs="方正仿宋_GBK"/>
                <w:sz w:val="20"/>
                <w:szCs w:val="20"/>
                <w:lang w:eastAsia="zh-CN" w:bidi="ar"/>
              </w:rPr>
            </w:r>
            <w:r/>
          </w:p>
        </w:tc>
        <w:tc>
          <w:tcPr>
            <w:tcBorders>
              <w:top w:val="none" w:color="000000" w:sz="0"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多份证据智能对比：支持证据材料的智能对比，一键点击即可高亮显示材料中的相同内容，且每部分展示不同颜色标明并用序号区分，提升相似材料的比对效率。（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8</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智能签字板</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▲安全性：内置独立国密加密芯片、支持国密算法；（提供商用密码产品认证书）</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9</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▲适配龙芯、兆芯等平台，适配UOS、麒麟等操作系统；（提供承诺函加盖供应商公章，格式自拟）</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ascii="方正仿宋_GBK" w:hAnsi="方正仿宋_GBK" w:eastAsia="等线" w:cs="方正仿宋_GBK"/>
                <w:sz w:val="20"/>
                <w:szCs w:val="20"/>
                <w:lang w:val="en-US" w:eastAsia="zh-CN"/>
              </w:rPr>
            </w:pPr>
            <w:r>
              <w:rPr>
                <w:rFonts w:hint="eastAsia" w:ascii="方正仿宋_GBK" w:hAnsi="方正仿宋_GBK" w:eastAsia="方正仿宋_GBK" w:cs="方正仿宋_GBK"/>
                <w:sz w:val="20"/>
                <w:szCs w:val="20"/>
                <w:lang w:val="en-US" w:eastAsia="zh-CN" w:bidi="ar"/>
              </w:rPr>
              <w:t xml:space="preserve">20</w:t>
            </w:r>
            <w:r>
              <w:rPr>
                <w:rFonts w:ascii="方正仿宋_GBK" w:hAnsi="方正仿宋_GBK" w:eastAsia="等线" w:cs="方正仿宋_GBK"/>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AI网络音频处理器</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▲≥2个USB音频接口，支持接U盘录制和播放，具有USB-B声卡接口，支持≥2x2，可连接Android/ HarmonyOS等系统设备，与软件类视频会议无缝对接，网络音频通道：≥16通道发送，≥16通道接收（需提供国家认可的第三方检验检测机构出具的检验检测报告复印件证明）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等线" w:cs="方正仿宋_GBK"/>
                <w:sz w:val="20"/>
                <w:szCs w:val="20"/>
                <w:lang w:eastAsia="zh-CN"/>
              </w:rPr>
            </w:pPr>
            <w:r>
              <w:rPr>
                <w:rFonts w:hint="eastAsia" w:ascii="方正仿宋_GBK" w:hAnsi="方正仿宋_GBK" w:eastAsia="等线" w:cs="方正仿宋_GBK"/>
                <w:sz w:val="20"/>
                <w:szCs w:val="20"/>
                <w:lang w:bidi="ar"/>
              </w:rPr>
              <w:t xml:space="preserve">2</w:t>
            </w:r>
            <w:r>
              <w:rPr>
                <w:rFonts w:hint="eastAsia" w:ascii="方正仿宋_GBK" w:hAnsi="方正仿宋_GBK" w:eastAsia="等线" w:cs="方正仿宋_GBK"/>
                <w:sz w:val="20"/>
                <w:szCs w:val="20"/>
                <w:lang w:val="en-US" w:eastAsia="zh-CN" w:bidi="ar"/>
              </w:rPr>
              <w:t xml:space="preserve">1</w:t>
            </w:r>
            <w:r>
              <w:rPr>
                <w:rFonts w:hint="eastAsia" w:ascii="方正仿宋_GBK" w:hAnsi="方正仿宋_GBK" w:eastAsia="等线"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支持AI去噪算法：可去除稳态噪声和非稳态噪声，噪声抑制量＞30dB；支持AI自动增益：采用AI识别技术，可根据设定的目标值自动将声音大小调整到合适的范围；具有监听按钮，可通过运行软件调试界面的电脑声卡监听音频，远程监听音频处理的实时效果（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等线" w:cs="方正仿宋_GBK"/>
                <w:sz w:val="20"/>
                <w:szCs w:val="20"/>
              </w:rPr>
            </w:pPr>
            <w:r>
              <w:rPr>
                <w:rFonts w:hint="eastAsia" w:ascii="方正仿宋_GBK" w:hAnsi="方正仿宋_GBK" w:eastAsia="方正仿宋_GBK" w:cs="方正仿宋_GBK"/>
                <w:sz w:val="20"/>
                <w:szCs w:val="20"/>
                <w:lang w:bidi="ar"/>
              </w:rPr>
              <w:t xml:space="preserve">2</w:t>
            </w:r>
            <w:r>
              <w:rPr>
                <w:rFonts w:hint="eastAsia" w:ascii="方正仿宋_GBK" w:hAnsi="方正仿宋_GBK" w:eastAsia="等线" w:cs="方正仿宋_GBK"/>
                <w:sz w:val="20"/>
                <w:szCs w:val="20"/>
                <w:lang w:bidi="ar"/>
              </w:rPr>
              <w:t xml:space="preserve">2</w:t>
            </w:r>
            <w:r>
              <w:rPr>
                <w:rFonts w:hint="eastAsia" w:ascii="方正仿宋_GBK" w:hAnsi="方正仿宋_GBK" w:eastAsia="等线" w:cs="方正仿宋_GBK"/>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1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吸顶嵌入式录音干扰设备</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▲提供公安部防录音设备装备名录编号；</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3</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▲提供防录音系统移动端管理 APP或小程序著作权证书；（提供证书原件扫描件）</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4</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▲提供公安部装备与警用电子产品检测报告；（提供证书原件扫描件）</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5</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1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可视化运维服务器（含运维软件）</w:t>
            </w: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▲应支持以柱状图、雷达图、扇形图或2D动态图形等多种方式展示环境数据、设备使用次数、场景调用次数、服务器开关机次数、设备总能耗等动态数据。（提供设备功能截图）</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6</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▲应支持多维度数据呈现：包括设备使用频率、在线状态、室内环境、空间能耗等，为决策提供数据支持。（提供设备功能截图）</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7</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▲应支持使用统计：统计设备使用次数、场景调用次数等，评估资源利用率。（提供设备功能截图）</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1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rPr>
              <w:t xml:space="preserve">2</w:t>
            </w:r>
            <w:r>
              <w:rPr>
                <w:rFonts w:hint="eastAsia" w:ascii="方正仿宋_GBK" w:hAnsi="方正仿宋_GBK" w:eastAsia="等线" w:cs="方正仿宋_GBK"/>
                <w:sz w:val="20"/>
                <w:szCs w:val="20"/>
                <w:highlight w:val="none"/>
              </w:rPr>
              <w:t xml:space="preserve">8</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1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1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▲应支持对空间内设备数据实时监测，进行一键自检，实时检测设备工作状态，设备在线率。（提供设备功能截图）</w:t>
            </w:r>
            <w:r>
              <w:rPr>
                <w:rFonts w:hint="eastAsia" w:ascii="方正仿宋_GBK" w:hAnsi="方正仿宋_GBK" w:eastAsia="方正仿宋_GBK" w:cs="方正仿宋_GBK"/>
                <w:sz w:val="20"/>
                <w:szCs w:val="20"/>
                <w:highlight w:val="none"/>
                <w:lang w:bidi="ar"/>
              </w:rPr>
            </w:r>
            <w:r/>
          </w:p>
        </w:tc>
      </w:tr>
    </w:tbl>
    <w:p>
      <w:pPr>
        <w:pStyle w:val="913"/>
        <w:rPr>
          <w:rFonts w:hint="eastAsia"/>
          <w:highlight w:val="none"/>
        </w:rPr>
      </w:pPr>
      <w:r/>
      <w:bookmarkEnd w:id="204"/>
      <w:r>
        <w:rPr>
          <w:rFonts w:hint="eastAsia"/>
          <w:highlight w:val="none"/>
        </w:rPr>
        <w:t xml:space="preserve">标★号指标</w:t>
      </w:r>
      <w:r>
        <w:rPr>
          <w:rFonts w:hint="eastAsia"/>
          <w:highlight w:val="none"/>
        </w:rPr>
      </w:r>
      <w:r/>
    </w:p>
    <w:tbl>
      <w:tblPr>
        <w:tblW w:w="5207" w:type="pct"/>
        <w:tblInd w:w="-108" w:type="dxa"/>
        <w:tblLayout w:type="autofit"/>
        <w:tblCellMar>
          <w:left w:w="108" w:type="dxa"/>
          <w:top w:w="0" w:type="dxa"/>
          <w:right w:w="108" w:type="dxa"/>
          <w:bottom w:w="0" w:type="dxa"/>
        </w:tblCellMar>
        <w:tblLook w:val="04A0" w:firstRow="1" w:lastRow="0" w:firstColumn="1" w:lastColumn="0" w:noHBand="0" w:noVBand="1"/>
      </w:tblPr>
      <w:tblGrid>
        <w:gridCol w:w="768"/>
        <w:gridCol w:w="1710"/>
        <w:gridCol w:w="7071"/>
      </w:tblGrid>
      <w:tr>
        <w:trPr>
          <w:trHeight w:val="255"/>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highlight w:val="none"/>
              </w:rPr>
            </w:pPr>
            <w:r>
              <w:rPr>
                <w:rFonts w:hint="eastAsia" w:ascii="方正仿宋_GBK" w:hAnsi="方正仿宋_GBK" w:eastAsia="方正仿宋_GBK" w:cs="方正仿宋_GBK"/>
                <w:b/>
                <w:bCs/>
                <w:color w:val="000000"/>
                <w:sz w:val="20"/>
                <w:szCs w:val="20"/>
                <w:highlight w:val="none"/>
                <w:lang w:bidi="ar"/>
              </w:rPr>
              <w:t xml:space="preserve">序号</w:t>
            </w:r>
            <w:r>
              <w:rPr>
                <w:rFonts w:hint="eastAsia" w:ascii="方正仿宋_GBK" w:hAnsi="方正仿宋_GBK" w:eastAsia="方正仿宋_GBK" w:cs="方正仿宋_GBK"/>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911"/>
              <w:jc w:val="center"/>
              <w:widowControl/>
              <w:rPr>
                <w:rFonts w:hint="eastAsia" w:ascii="方正仿宋_GBK" w:hAnsi="方正仿宋_GBK" w:eastAsia="方正仿宋_GBK" w:cs="方正仿宋_GBK"/>
                <w:b/>
                <w:bCs/>
                <w:color w:val="000000"/>
                <w:sz w:val="20"/>
                <w:szCs w:val="20"/>
                <w:highlight w:val="none"/>
              </w:rPr>
            </w:pPr>
            <w:r>
              <w:rPr>
                <w:rFonts w:hint="eastAsia" w:ascii="方正仿宋_GBK" w:hAnsi="方正仿宋_GBK" w:eastAsia="方正仿宋_GBK" w:cs="方正仿宋_GBK"/>
                <w:b/>
                <w:bCs/>
                <w:color w:val="000000"/>
                <w:sz w:val="20"/>
                <w:szCs w:val="20"/>
                <w:highlight w:val="none"/>
                <w:lang w:bidi="ar"/>
              </w:rPr>
              <w:t xml:space="preserve">系统设备名称</w:t>
            </w:r>
            <w:r>
              <w:rPr>
                <w:rFonts w:hint="eastAsia" w:ascii="方正仿宋_GBK" w:hAnsi="方正仿宋_GBK" w:eastAsia="方正仿宋_GBK" w:cs="方正仿宋_GBK"/>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01" w:type="dxa"/>
            <w:vAlign w:val="center"/>
            <w:textDirection w:val="lrTb"/>
            <w:noWrap w:val="false"/>
          </w:tcPr>
          <w:p>
            <w:pPr>
              <w:pStyle w:val="911"/>
              <w:jc w:val="center"/>
              <w:widowControl/>
              <w:rPr>
                <w:rFonts w:hint="eastAsia" w:ascii="方正仿宋_GBK" w:hAnsi="方正仿宋_GBK" w:eastAsia="方正仿宋_GBK" w:cs="方正仿宋_GBK"/>
                <w:b/>
                <w:bCs/>
                <w:color w:val="000000"/>
                <w:sz w:val="20"/>
                <w:szCs w:val="20"/>
                <w:highlight w:val="none"/>
              </w:rPr>
            </w:pPr>
            <w:r>
              <w:rPr>
                <w:rFonts w:hint="eastAsia" w:ascii="方正仿宋_GBK" w:hAnsi="方正仿宋_GBK" w:eastAsia="方正仿宋_GBK" w:cs="方正仿宋_GBK"/>
                <w:b/>
                <w:bCs/>
                <w:color w:val="000000"/>
                <w:sz w:val="20"/>
                <w:szCs w:val="20"/>
                <w:highlight w:val="none"/>
                <w:lang w:bidi="ar"/>
              </w:rPr>
              <w:t xml:space="preserve">证明材料</w:t>
            </w:r>
            <w:r>
              <w:rPr>
                <w:rFonts w:hint="eastAsia" w:ascii="方正仿宋_GBK" w:hAnsi="方正仿宋_GBK" w:eastAsia="方正仿宋_GBK" w:cs="方正仿宋_GBK"/>
                <w:b/>
                <w:bCs/>
                <w:color w:val="000000"/>
                <w:sz w:val="20"/>
                <w:szCs w:val="2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1</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安防平台</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安防平台数据库需适配人大金仓、达梦等主流数据库，应用需适配银河麒麟、统信UOS等主流操作系统，对接采购人现有短信平台进行预警推送，并将采购人本部现有监控、门禁、考勤、道闸等存量安防硬件设备接入并管理使用。（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25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2</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视频会议系统</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★投标人所投视频会</w:t>
            </w:r>
            <w:r>
              <w:rPr>
                <w:rFonts w:hint="eastAsia" w:ascii="仿宋" w:hAnsi="仿宋" w:eastAsia="仿宋" w:cs="仿宋"/>
                <w:i/>
                <w:iCs/>
                <w:color w:val="000000"/>
                <w:sz w:val="20"/>
                <w:szCs w:val="20"/>
                <w:highlight w:val="none"/>
                <w:u w:val="single"/>
                <w:lang w:bidi="ar"/>
              </w:rPr>
              <w:t xml:space="preserve">议终端能通过H.232协议接入采</w:t>
            </w:r>
            <w:r>
              <w:rPr>
                <w:rFonts w:hint="eastAsia" w:ascii="方正仿宋_GBK" w:hAnsi="方正仿宋_GBK" w:eastAsia="方正仿宋_GBK" w:cs="方正仿宋_GBK"/>
                <w:i/>
                <w:iCs/>
                <w:color w:val="000000"/>
                <w:sz w:val="20"/>
                <w:szCs w:val="20"/>
                <w:highlight w:val="none"/>
                <w:u w:val="single"/>
                <w:lang w:bidi="ar"/>
              </w:rPr>
              <w:t xml:space="preserve">购人现有存量MCU并正常使用。（提供承诺函加盖供应商公章，格式自拟）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25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11"/>
              <w:jc w:val="center"/>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3</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画面融合服务器</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★投标人所投画面融合服务器需适配银河麒麟、统信UOS等主流操作系统，画面融合应用</w:t>
            </w:r>
            <w:r>
              <w:rPr>
                <w:rFonts w:hint="eastAsia" w:ascii="方正仿宋_GBK" w:hAnsi="方正仿宋_GBK" w:eastAsia="方正仿宋_GBK" w:cs="方正仿宋_GBK"/>
                <w:i/>
                <w:iCs/>
                <w:sz w:val="20"/>
                <w:szCs w:val="20"/>
                <w:highlight w:val="none"/>
                <w:u w:val="single"/>
              </w:rPr>
              <w:t xml:space="preserve">具备画面合成功能和标准 API 接口，</w:t>
            </w:r>
            <w:r>
              <w:rPr>
                <w:rFonts w:hint="eastAsia" w:ascii="方正仿宋_GBK" w:hAnsi="方正仿宋_GBK" w:eastAsia="方正仿宋_GBK" w:cs="方正仿宋_GBK"/>
                <w:i/>
                <w:iCs/>
                <w:color w:val="000000"/>
                <w:sz w:val="20"/>
                <w:szCs w:val="20"/>
                <w:highlight w:val="none"/>
                <w:u w:val="single"/>
                <w:lang w:bidi="ar"/>
              </w:rPr>
              <w:t xml:space="preserve">能被采购人现有的庭审系统最大化调优使用，所产生的录音录像存储到现有的流媒体存储中。（提供承诺函加盖供应商公章，格式自拟）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4</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电子质证系统</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★投标人所投电子质证系统应与“全国法院办案办公平台”系统实现对接，数据库需适配人大金仓、达梦等主流数据库，应用需适配银河麒麟、统信UOS等主流操作系统。（提供承诺函加盖供应商公章，格式自拟）</w:t>
            </w:r>
            <w:r>
              <w:rPr>
                <w:rFonts w:hint="eastAsia" w:ascii="方正仿宋_GBK" w:hAnsi="方正仿宋_GBK" w:eastAsia="方正仿宋_GBK" w:cs="方正仿宋_GBK"/>
                <w:i/>
                <w:iCs/>
                <w:color w:val="000000"/>
                <w:sz w:val="20"/>
                <w:szCs w:val="20"/>
                <w:highlight w:val="none"/>
                <w:u w:val="single"/>
              </w:rPr>
            </w:r>
            <w:r/>
          </w:p>
        </w:tc>
      </w:tr>
      <w:tr>
        <w:trPr>
          <w:trHeight w:val="51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5</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语音转写系统</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w:t>
            </w:r>
            <w:r>
              <w:rPr>
                <w:rFonts w:hint="eastAsia" w:ascii="方正仿宋_GBK" w:hAnsi="方正仿宋_GBK" w:eastAsia="方正仿宋_GBK" w:cs="方正仿宋_GBK"/>
                <w:i/>
                <w:iCs/>
                <w:sz w:val="20"/>
                <w:szCs w:val="20"/>
                <w:highlight w:val="none"/>
                <w:u w:val="single"/>
              </w:rPr>
              <w:t xml:space="preserve">投标人所投语音转写系统须具备标准 API 接口，可与采购人现有语音转写业务平台实现对接。</w:t>
            </w:r>
            <w:r>
              <w:rPr>
                <w:rFonts w:hint="eastAsia" w:ascii="方正仿宋_GBK" w:hAnsi="方正仿宋_GBK" w:eastAsia="方正仿宋_GBK" w:cs="方正仿宋_GBK"/>
                <w:i/>
                <w:iCs/>
                <w:color w:val="000000"/>
                <w:sz w:val="20"/>
                <w:szCs w:val="20"/>
                <w:highlight w:val="none"/>
                <w:u w:val="single"/>
                <w:lang w:bidi="ar"/>
              </w:rPr>
              <w:t xml:space="preserve">（提供承诺函加盖供应商公章，格式自拟）</w:t>
            </w:r>
            <w:r>
              <w:rPr>
                <w:rFonts w:hint="eastAsia" w:ascii="方正仿宋_GBK" w:hAnsi="方正仿宋_GBK" w:eastAsia="方正仿宋_GBK" w:cs="方正仿宋_GBK"/>
                <w:i/>
                <w:iCs/>
                <w:color w:val="000000"/>
                <w:sz w:val="20"/>
                <w:szCs w:val="20"/>
                <w:highlight w:val="none"/>
                <w:u w:val="single"/>
              </w:rPr>
            </w:r>
            <w:r/>
          </w:p>
        </w:tc>
      </w:tr>
      <w:tr>
        <w:trPr>
          <w:trHeight w:val="51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lang w:bidi="ar"/>
              </w:rPr>
            </w:pPr>
            <w:r/>
            <w:bookmarkStart w:id="205" w:name="_Toc23033"/>
            <w:r>
              <w:rPr>
                <w:rFonts w:hint="eastAsia" w:ascii="方正仿宋_GBK" w:hAnsi="方正仿宋_GBK" w:eastAsia="方正仿宋_GBK" w:cs="方正仿宋_GBK"/>
                <w:i/>
                <w:iCs/>
                <w:color w:val="000000"/>
                <w:sz w:val="20"/>
                <w:szCs w:val="20"/>
                <w:highlight w:val="none"/>
                <w:u w:val="single"/>
                <w:lang w:bidi="ar"/>
              </w:rPr>
              <w:t xml:space="preserve">6</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律师一码通</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★投标人所投律师一码通应与“全国法院办案办公平台”系统对接，实现律师持证刷码完成身份验证。（提供承诺函加盖供应商公章，格式自拟）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7</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庭审公告终端</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★投标人所投庭审公告终端应通过现有庭审系统提供的标准API接口获取到庭审相关信息在公告终端上显示。（提供承诺函加盖供应商公章，格式自拟）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bl>
    <w:p>
      <w:pPr>
        <w:pStyle w:val="911"/>
        <w:rPr>
          <w:rFonts w:hint="eastAsia" w:ascii="方正仿宋_GBK" w:hAnsi="方正仿宋_GBK" w:eastAsia="方正仿宋_GBK" w:cs="方正仿宋_GBK"/>
          <w:b/>
          <w:bCs/>
          <w:i/>
          <w:iCs/>
          <w:sz w:val="24"/>
          <w:szCs w:val="24"/>
          <w:highlight w:val="none"/>
          <w:u w:val="single"/>
        </w:rPr>
      </w:pPr>
      <w:r/>
      <w:bookmarkEnd w:id="205"/>
      <w:r>
        <w:rPr>
          <w:rFonts w:hint="eastAsia" w:ascii="方正仿宋_GBK" w:hAnsi="方正仿宋_GBK" w:eastAsia="方正仿宋_GBK" w:cs="方正仿宋_GBK"/>
          <w:i/>
          <w:iCs/>
          <w:sz w:val="24"/>
          <w:szCs w:val="24"/>
          <w:highlight w:val="none"/>
          <w:u w:val="single"/>
        </w:rPr>
        <w:t xml:space="preserve">其中，第1至7项为本项目系统对接要求，投标人应在投标文件中作出书面承诺，系统对接所产生的全部开发工作量及相关费用均已包含在投标总价内，采购人不另行支付（如需获取现有系统的详细情况，请联系鲁先生，电话：0513-68506398）。中标人无正当理由未按投标承诺完成系统对接，经采购人书面催告后15日内仍未完成的，采购人有权将此类情形作为线索，提请财政监管部门依法调查处理。由此产生的一切不利后果，由投标人自行承担。</w:t>
      </w:r>
      <w:r>
        <w:rPr>
          <w:rFonts w:hint="eastAsia" w:ascii="方正仿宋_GBK" w:hAnsi="方正仿宋_GBK" w:eastAsia="方正仿宋_GBK" w:cs="方正仿宋_GBK"/>
          <w:b/>
          <w:bCs/>
          <w:i/>
          <w:iCs/>
          <w:sz w:val="24"/>
          <w:szCs w:val="24"/>
          <w:highlight w:val="none"/>
          <w:u w:val="single"/>
        </w:rPr>
      </w:r>
      <w:r/>
    </w:p>
    <w:p>
      <w:pPr>
        <w:pStyle w:val="911"/>
        <w:ind w:firstLine="562"/>
        <w:spacing w:line="480" w:lineRule="exact"/>
        <w:rPr>
          <w:rFonts w:hint="eastAsia" w:ascii="仿宋" w:hAnsi="仿宋" w:eastAsia="仿宋" w:cs="Times New Roman"/>
          <w:b/>
          <w:bCs w:val="0"/>
          <w:color w:val="000000"/>
          <w:sz w:val="28"/>
          <w:szCs w:val="28"/>
        </w:rPr>
      </w:pPr>
      <w:r>
        <w:rPr>
          <w:rFonts w:hint="eastAsia" w:ascii="仿宋" w:hAnsi="仿宋" w:eastAsia="仿宋" w:cs="Times New Roman"/>
          <w:b/>
          <w:bCs w:val="0"/>
          <w:color w:val="000000"/>
          <w:sz w:val="28"/>
          <w:szCs w:val="28"/>
          <w:lang w:val="en-US" w:eastAsia="zh-CN"/>
        </w:rPr>
        <w:t xml:space="preserve">合同签订后履约施工前，</w:t>
      </w:r>
      <w:r>
        <w:rPr>
          <w:rFonts w:hint="eastAsia" w:ascii="仿宋" w:hAnsi="仿宋" w:eastAsia="仿宋" w:cs="Times New Roman"/>
          <w:b/>
          <w:bCs w:val="0"/>
          <w:color w:val="000000"/>
          <w:sz w:val="28"/>
          <w:szCs w:val="28"/>
        </w:rPr>
        <w:t xml:space="preserve">中标供应商须提供：①投标设备生产厂家盖章的技术偏离表原件；②投标设备生产厂家针对本项目的原厂质保售后服务承诺函原件。上述材料作为本项目履约保障资料。中标供应商</w:t>
      </w:r>
      <w:r>
        <w:rPr>
          <w:rFonts w:hint="eastAsia" w:ascii="仿宋" w:hAnsi="仿宋" w:eastAsia="仿宋" w:cs="Times New Roman"/>
          <w:b/>
          <w:bCs w:val="0"/>
          <w:color w:val="000000"/>
          <w:sz w:val="28"/>
          <w:szCs w:val="28"/>
          <w:lang w:val="en-US" w:eastAsia="zh-CN"/>
        </w:rPr>
        <w:t xml:space="preserve">在合同签订后15日内</w:t>
      </w:r>
      <w:r>
        <w:rPr>
          <w:rFonts w:hint="eastAsia" w:ascii="仿宋" w:hAnsi="仿宋" w:eastAsia="仿宋" w:cs="Times New Roman"/>
          <w:b/>
          <w:bCs w:val="0"/>
          <w:color w:val="000000"/>
          <w:sz w:val="28"/>
          <w:szCs w:val="28"/>
        </w:rPr>
        <w:t xml:space="preserve">无法提供的，视为中标供应商履约风险情形，采购人将依法报财政部门，由财政监管部门依法调查处理，由此产生的一切不利后果，由投标人自行承担。</w:t>
      </w:r>
      <w:r>
        <w:rPr>
          <w:rFonts w:hint="eastAsia" w:ascii="仿宋" w:hAnsi="仿宋" w:eastAsia="仿宋" w:cs="Times New Roman"/>
          <w:b/>
          <w:bCs w:val="0"/>
          <w:color w:val="000000"/>
          <w:sz w:val="28"/>
          <w:szCs w:val="28"/>
        </w:rPr>
      </w:r>
      <w:r/>
    </w:p>
    <w:p>
      <w:pPr>
        <w:pStyle w:val="911"/>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r>
      <w:r/>
    </w:p>
    <w:p>
      <w:pPr>
        <w:pStyle w:val="911"/>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其内容包含</w:t>
      </w:r>
      <w:r>
        <w:rPr>
          <w:rFonts w:ascii="仿宋" w:hAnsi="仿宋" w:eastAsia="仿宋"/>
          <w:bCs/>
          <w:color w:val="000000"/>
          <w:sz w:val="28"/>
          <w:szCs w:val="28"/>
        </w:rPr>
        <w:t xml:space="preserve">但不限于</w:t>
      </w:r>
      <w:r>
        <w:rPr>
          <w:rFonts w:hint="eastAsia" w:ascii="仿宋" w:hAnsi="仿宋" w:eastAsia="仿宋"/>
          <w:bCs/>
          <w:color w:val="000000"/>
          <w:sz w:val="28"/>
          <w:szCs w:val="28"/>
        </w:rPr>
        <w:t xml:space="preserve">以下</w:t>
      </w:r>
      <w:r>
        <w:rPr>
          <w:rFonts w:ascii="仿宋" w:hAnsi="仿宋" w:eastAsia="仿宋"/>
          <w:bCs/>
          <w:color w:val="000000"/>
          <w:sz w:val="28"/>
          <w:szCs w:val="28"/>
        </w:rPr>
        <w:t xml:space="preserve">内容：</w:t>
      </w:r>
      <w:r>
        <w:rPr>
          <w:rFonts w:hint="eastAsia" w:ascii="仿宋" w:hAnsi="仿宋" w:eastAsia="仿宋"/>
          <w:color w:val="000000"/>
          <w:sz w:val="28"/>
          <w:szCs w:val="28"/>
        </w:rPr>
      </w:r>
      <w:r/>
    </w:p>
    <w:p>
      <w:pPr>
        <w:pStyle w:val="911"/>
        <w:numPr>
          <w:ilvl w:val="0"/>
          <w:numId w:val="22"/>
        </w:numPr>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采购标的需实现的功能或者目标，以及为落实政府采购政策需满足的要求；</w:t>
      </w:r>
      <w:r>
        <w:rPr>
          <w:rFonts w:hint="eastAsia" w:ascii="仿宋" w:hAnsi="仿宋" w:eastAsia="仿宋"/>
          <w:b/>
          <w:bCs/>
          <w:color w:val="000000"/>
          <w:sz w:val="28"/>
          <w:szCs w:val="28"/>
        </w:rPr>
      </w:r>
      <w:r/>
    </w:p>
    <w:p>
      <w:pPr>
        <w:pStyle w:val="911"/>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拟对原市税务局第三税务分局及第一稽查局大楼实施改造，建设南通知识产权法庭、南通市企业司法服务中心及南通市知识产权司法保护中心。本项目为南通知识产权法庭暨“两个中心”装修改造项目智能化工程，共计11个子工程。</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06" w:name="_Toc8411"/>
      <w:r>
        <w:rPr>
          <w:rFonts w:hint="eastAsia" w:ascii="仿宋" w:hAnsi="仿宋" w:eastAsia="仿宋" w:cs="仿宋"/>
          <w:b/>
          <w:bCs/>
          <w:color w:val="000000"/>
          <w:sz w:val="28"/>
          <w:szCs w:val="28"/>
        </w:rPr>
        <w:t xml:space="preserve">1、综合布线</w:t>
      </w:r>
      <w:bookmarkEnd w:id="206"/>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垂直干线子系统和水平子系统的施工和线缆不在此次建设内容中，本次建设内容为1-5层办公区域、设备间和法庭的室内综合布线。</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07" w:name="_Toc10872"/>
      <w:r>
        <w:rPr>
          <w:rFonts w:hint="eastAsia" w:ascii="仿宋" w:hAnsi="仿宋" w:eastAsia="仿宋" w:cs="仿宋"/>
          <w:b/>
          <w:bCs/>
          <w:color w:val="000000"/>
          <w:sz w:val="28"/>
          <w:szCs w:val="28"/>
        </w:rPr>
        <w:t xml:space="preserve">2、计算机网络</w:t>
      </w:r>
      <w:bookmarkEnd w:id="207"/>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建设四套网络包含：内网、设备网、外网、政务网。本次建设内容为接入层和汇聚层，核心层利用中院本部现有设备。</w:t>
      </w:r>
      <w:r>
        <w:rPr>
          <w:rFonts w:hint="eastAsia" w:ascii="仿宋" w:hAnsi="仿宋" w:eastAsia="仿宋" w:cs="仿宋"/>
          <w:color w:val="000000"/>
          <w:sz w:val="28"/>
          <w:szCs w:val="28"/>
        </w:rPr>
      </w:r>
      <w:r/>
    </w:p>
    <w:p>
      <w:pPr>
        <w:pStyle w:val="911"/>
        <w:ind w:firstLine="42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四层机房到中院本部主机房和容灾机房布放专线光缆，采用裸光纤方式。</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08" w:name="_Toc30962"/>
      <w:r>
        <w:rPr>
          <w:rFonts w:hint="eastAsia" w:ascii="仿宋" w:hAnsi="仿宋" w:eastAsia="仿宋" w:cs="仿宋"/>
          <w:b/>
          <w:bCs/>
          <w:color w:val="000000"/>
          <w:sz w:val="28"/>
          <w:szCs w:val="28"/>
        </w:rPr>
        <w:t xml:space="preserve">3、视频监控</w:t>
      </w:r>
      <w:bookmarkEnd w:id="208"/>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摄像头在公共区域无死角覆盖，供电采用集中供电的方式，所有监控在弱电间通过集中电源来供电。</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09" w:name="_Toc29702"/>
      <w:r>
        <w:rPr>
          <w:rFonts w:hint="eastAsia" w:ascii="仿宋" w:hAnsi="仿宋" w:eastAsia="仿宋" w:cs="仿宋"/>
          <w:b/>
          <w:bCs/>
          <w:color w:val="000000"/>
          <w:sz w:val="28"/>
          <w:szCs w:val="28"/>
        </w:rPr>
        <w:t xml:space="preserve">4、电子巡更</w:t>
      </w:r>
      <w:bookmarkEnd w:id="209"/>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sz w:val="28"/>
          <w:szCs w:val="28"/>
        </w:rPr>
        <w:t xml:space="preserve">电子</w:t>
      </w:r>
      <w:r>
        <w:rPr>
          <w:rFonts w:hint="eastAsia" w:ascii="仿宋" w:hAnsi="仿宋" w:eastAsia="仿宋" w:cs="仿宋"/>
          <w:color w:val="000000"/>
          <w:sz w:val="28"/>
          <w:szCs w:val="28"/>
        </w:rPr>
        <w:t xml:space="preserve">巡更采用离线式方案，在楼梯口、走道、休闲区等设置巡更点，从而确保物业巡更动线更完整。</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10" w:name="_Toc5620"/>
      <w:r>
        <w:rPr>
          <w:rFonts w:hint="eastAsia" w:ascii="仿宋" w:hAnsi="仿宋" w:eastAsia="仿宋" w:cs="仿宋"/>
          <w:b/>
          <w:bCs/>
          <w:color w:val="000000"/>
          <w:sz w:val="28"/>
          <w:szCs w:val="28"/>
        </w:rPr>
        <w:t xml:space="preserve">5、出入口控制</w:t>
      </w:r>
      <w:bookmarkEnd w:id="210"/>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各出入口、楼梯口、办公区与业务区的分界区设置门禁，从而实现区域管控，本项目在弱电机房与消控室设置国密门禁，通过读卡器加密的方式来实现对重点区域的管控。办公区的电梯设置梯控系统，法院内部的工作人员在负一层、一层电梯厅通过人脸识别的方式来乘坐电梯。</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11" w:name="_Toc25242"/>
      <w:r>
        <w:rPr>
          <w:rFonts w:hint="eastAsia" w:ascii="仿宋" w:hAnsi="仿宋" w:eastAsia="仿宋" w:cs="仿宋"/>
          <w:b/>
          <w:bCs/>
          <w:color w:val="000000"/>
          <w:sz w:val="28"/>
          <w:szCs w:val="28"/>
        </w:rPr>
        <w:t xml:space="preserve">6、停车场管理</w:t>
      </w:r>
      <w:bookmarkEnd w:id="211"/>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本项目在南大门设置一进一出停车场管理系统，在南门汽车坡道旁设置混进混出停车场道闸。每个停车场道闸由抓拍显示一体机、道闸、出入口控制终端、雷达、安全岛等设备组成。</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12" w:name="_Toc24964"/>
      <w:r>
        <w:rPr>
          <w:rFonts w:hint="eastAsia" w:ascii="仿宋" w:hAnsi="仿宋" w:eastAsia="仿宋" w:cs="仿宋"/>
          <w:b/>
          <w:bCs/>
          <w:color w:val="000000"/>
          <w:sz w:val="28"/>
          <w:szCs w:val="28"/>
        </w:rPr>
        <w:t xml:space="preserve">7、多媒体会议</w:t>
      </w:r>
      <w:bookmarkEnd w:id="212"/>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一层知识产权保护中心服务大厅：扩声；</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一层企业全周期司法服务中心服务大厅：扩声；</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一层洽谈室+二层企业并购与重组专家室+三层党建阵地+三层/四层/五层合议室：显示设备。</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一楼数据会商中心：发言、扩声，中控；</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二楼视频会议室：发言、扩声，中控；</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一套视频会议系统。</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13" w:name="_Toc417"/>
      <w:r>
        <w:rPr>
          <w:rFonts w:hint="eastAsia" w:ascii="仿宋" w:hAnsi="仿宋" w:eastAsia="仿宋" w:cs="仿宋"/>
          <w:b/>
          <w:bCs/>
          <w:color w:val="000000"/>
          <w:sz w:val="28"/>
          <w:szCs w:val="28"/>
        </w:rPr>
        <w:t xml:space="preserve">8、信息发布</w:t>
      </w:r>
      <w:bookmarkEnd w:id="213"/>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服务大厅服务台设壁挂信息发布屏幕；</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一层业务自助办理台设触摸一体机；</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一层展示显示系统（知识产权司法保护中心服务大厅）设显示设备。</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14" w:name="_Toc10344"/>
      <w:r>
        <w:rPr>
          <w:rFonts w:hint="eastAsia" w:ascii="仿宋" w:hAnsi="仿宋" w:eastAsia="仿宋" w:cs="仿宋"/>
          <w:b/>
          <w:bCs/>
          <w:color w:val="000000"/>
          <w:sz w:val="28"/>
          <w:szCs w:val="28"/>
        </w:rPr>
        <w:t xml:space="preserve">9、出入口安检</w:t>
      </w:r>
      <w:bookmarkEnd w:id="214"/>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入口处设置访客通道、内部人员通道含律师通道，门厅到服务大厅通道设置人行闸机。</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安检处设置存包柜和手机存放柜。</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15" w:name="_Toc17837"/>
      <w:r>
        <w:rPr>
          <w:rFonts w:hint="eastAsia" w:ascii="仿宋" w:hAnsi="仿宋" w:eastAsia="仿宋" w:cs="仿宋"/>
          <w:b/>
          <w:bCs/>
          <w:color w:val="000000"/>
          <w:sz w:val="28"/>
          <w:szCs w:val="28"/>
        </w:rPr>
        <w:t xml:space="preserve">10、数字法庭</w:t>
      </w:r>
      <w:bookmarkEnd w:id="215"/>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二层及三层大法庭审判席根据审判席位数量配备一体机，原被告席位各1台一体机。四层及五层法庭各席位采用电脑主机加显示器方式。</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法庭顶部安装吸顶喇叭进行扩声。</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法庭顶部中间吊挂电视机；左右两侧壁挂电视机；其中三层1间法庭加装录音信号屏蔽系统。</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所有法庭配备灯光、扩声、显示系统、电源等设备集中控制。</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所有法庭外壁挂公告屏。</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所有法庭配备庭审摄像机、全景备份摄像机、安防监控摄像机。         </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所有法庭依照席位配备话筒。</w:t>
      </w:r>
      <w:r>
        <w:rPr>
          <w:rFonts w:hint="eastAsia" w:ascii="仿宋" w:hAnsi="仿宋" w:eastAsia="仿宋" w:cs="仿宋"/>
          <w:color w:val="000000"/>
          <w:sz w:val="28"/>
          <w:szCs w:val="28"/>
        </w:rPr>
      </w:r>
      <w:r/>
    </w:p>
    <w:p>
      <w:pPr>
        <w:pStyle w:val="911"/>
        <w:spacing w:line="560" w:lineRule="exact"/>
        <w:rPr>
          <w:rFonts w:hint="eastAsia" w:ascii="仿宋" w:hAnsi="仿宋" w:eastAsia="仿宋" w:cs="仿宋"/>
          <w:b/>
          <w:bCs/>
          <w:color w:val="000000"/>
          <w:sz w:val="28"/>
          <w:szCs w:val="28"/>
        </w:rPr>
      </w:pPr>
      <w:r/>
      <w:bookmarkStart w:id="216" w:name="_Toc1090"/>
      <w:r>
        <w:rPr>
          <w:rFonts w:hint="eastAsia" w:ascii="仿宋" w:hAnsi="仿宋" w:eastAsia="仿宋" w:cs="仿宋"/>
          <w:b/>
          <w:bCs/>
          <w:color w:val="000000"/>
          <w:sz w:val="28"/>
          <w:szCs w:val="28"/>
        </w:rPr>
        <w:t xml:space="preserve">11、公共广播</w:t>
      </w:r>
      <w:bookmarkEnd w:id="216"/>
      <w:r>
        <w:rPr>
          <w:rFonts w:hint="eastAsia" w:ascii="仿宋" w:hAnsi="仿宋" w:eastAsia="仿宋" w:cs="仿宋"/>
          <w:b/>
          <w:bCs/>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公共广播设计安装用于办公大楼日常的背景音乐播放、信息传播、广播通知、找人、背景音乐等实用功能；在紧急情况下，公共广播可以配合消防广播，针对事故发生现场，快速播报紧急疏散语音，提示相关区域的人员迅速逃离现场。</w:t>
      </w:r>
      <w:r>
        <w:rPr>
          <w:rFonts w:hint="eastAsia" w:ascii="仿宋" w:hAnsi="仿宋" w:eastAsia="仿宋" w:cs="仿宋"/>
          <w:color w:val="000000"/>
          <w:sz w:val="28"/>
          <w:szCs w:val="28"/>
        </w:rPr>
      </w:r>
      <w:r/>
    </w:p>
    <w:p>
      <w:pPr>
        <w:pStyle w:val="91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满足消防设计规范，走廊采用吸顶喇叭，地下车库采用壁挂音箱，后端设备放在一层消控室。</w:t>
      </w:r>
      <w:r>
        <w:rPr>
          <w:rFonts w:hint="eastAsia" w:ascii="仿宋" w:hAnsi="仿宋" w:eastAsia="仿宋" w:cs="仿宋"/>
          <w:color w:val="000000"/>
          <w:sz w:val="28"/>
          <w:szCs w:val="28"/>
        </w:rPr>
      </w:r>
      <w:r/>
    </w:p>
    <w:p>
      <w:pPr>
        <w:pStyle w:val="91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1"/>
        <w:numPr>
          <w:ilvl w:val="0"/>
          <w:numId w:val="22"/>
        </w:numPr>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采购标的需执行的国家相关标准、行业标准、地方标准或者其他标准、规范</w:t>
      </w:r>
      <w:r>
        <w:rPr>
          <w:rFonts w:hint="eastAsia" w:ascii="仿宋" w:hAnsi="仿宋" w:eastAsia="仿宋"/>
          <w:b/>
          <w:bCs/>
          <w:sz w:val="28"/>
          <w:szCs w:val="28"/>
        </w:rPr>
        <w:t xml:space="preserve">（包括但不限于）</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《建筑电气与智能化通用规范》GB 55024-2022</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《综合布线系统工程设计规范》GB 50311-2016</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《综合布线系统工程验收规范》GB/T 50312-2016</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《智能建筑设计标准》GB 50314-2015</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《数据中心设计规范》GB 50174-2017</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《公共安全视频监控联网系统信息传输、交换、控制技术要求》GB/T 28181-2022</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《安全防范工程通用规范》GB 55029-2022</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《电子巡更系统通用技术要求》GA/T 644-2017</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《电子会议系统工程设计规范》GB 50799-2012</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《视频会议系统技术要求》YD/T 1707-2022</w:t>
      </w:r>
      <w:r>
        <w:rPr>
          <w:rFonts w:hint="eastAsia" w:ascii="仿宋" w:hAnsi="仿宋" w:eastAsia="仿宋" w:cs="仿宋"/>
          <w:sz w:val="28"/>
          <w:szCs w:val="32"/>
          <w:highlight w:val="none"/>
        </w:rPr>
      </w:r>
      <w:r/>
    </w:p>
    <w:p>
      <w:pPr>
        <w:pStyle w:val="91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《公共广播系统工程技术标准》GB/T 50526-2021</w:t>
      </w:r>
      <w:r>
        <w:rPr>
          <w:rFonts w:hint="eastAsia" w:ascii="仿宋" w:hAnsi="仿宋" w:eastAsia="仿宋" w:cs="仿宋"/>
          <w:sz w:val="28"/>
          <w:szCs w:val="32"/>
          <w:highlight w:val="none"/>
        </w:rPr>
      </w:r>
      <w:r/>
    </w:p>
    <w:p>
      <w:pPr>
        <w:pStyle w:val="911"/>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b/>
          <w:bCs/>
          <w:color w:val="000000"/>
          <w:sz w:val="28"/>
          <w:szCs w:val="28"/>
          <w:highlight w:val="none"/>
        </w:rPr>
        <w:t xml:space="preserve">    ............</w:t>
      </w:r>
      <w:r>
        <w:rPr>
          <w:rFonts w:ascii="仿宋" w:hAnsi="仿宋" w:eastAsia="仿宋"/>
          <w:color w:val="000000"/>
          <w:sz w:val="28"/>
          <w:szCs w:val="28"/>
          <w:highlight w:val="none"/>
        </w:rPr>
      </w:r>
      <w:r/>
    </w:p>
    <w:p>
      <w:pPr>
        <w:pStyle w:val="911"/>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3、采购标的的数量、采购项目交付或者实施的时间和地点；</w:t>
      </w:r>
      <w:r>
        <w:rPr>
          <w:rFonts w:hint="eastAsia" w:ascii="仿宋" w:hAnsi="仿宋" w:eastAsia="仿宋"/>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3.1采购标的的数量</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见本章节“一、采购标的清单”</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3.2交付时间及地点</w:t>
      </w: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交付时间：</w:t>
      </w:r>
      <w:r>
        <w:rPr>
          <w:rFonts w:hint="eastAsia" w:ascii="仿宋" w:hAnsi="仿宋" w:eastAsia="仿宋" w:cs="仿宋"/>
          <w:color w:val="000000"/>
          <w:sz w:val="28"/>
          <w:szCs w:val="28"/>
        </w:rPr>
        <w:t xml:space="preserve">采购人开工令发出后180日内完成项目实施。</w:t>
      </w:r>
      <w:r>
        <w:rPr>
          <w:rFonts w:ascii="仿宋" w:hAnsi="仿宋" w:eastAsia="仿宋"/>
          <w:color w:val="000000"/>
          <w:sz w:val="28"/>
          <w:szCs w:val="28"/>
        </w:rPr>
      </w:r>
      <w:r/>
    </w:p>
    <w:p>
      <w:pPr>
        <w:pStyle w:val="911"/>
        <w:ind w:firstLine="560"/>
        <w:spacing w:line="480" w:lineRule="exact"/>
        <w:rPr>
          <w:rFonts w:hint="eastAsia" w:ascii="仿宋" w:hAnsi="仿宋" w:eastAsia="仿宋" w:cs="仿宋"/>
          <w:color w:val="000000"/>
          <w:sz w:val="28"/>
          <w:szCs w:val="28"/>
        </w:rPr>
      </w:pPr>
      <w:r>
        <w:rPr>
          <w:rFonts w:hint="eastAsia" w:ascii="仿宋" w:hAnsi="仿宋" w:eastAsia="仿宋"/>
          <w:color w:val="000000"/>
          <w:sz w:val="28"/>
          <w:szCs w:val="28"/>
        </w:rPr>
        <w:t xml:space="preserve">交付地点：</w:t>
      </w:r>
      <w:r>
        <w:rPr>
          <w:rFonts w:hint="eastAsia" w:ascii="仿宋" w:hAnsi="仿宋" w:eastAsia="仿宋" w:cs="仿宋"/>
          <w:color w:val="000000"/>
          <w:sz w:val="28"/>
          <w:szCs w:val="28"/>
        </w:rPr>
        <w:t xml:space="preserve">崇川区工农路247号（原市税务局第三税务分局及第一稽查局），具体以甲方要求为准。</w:t>
      </w:r>
      <w:r>
        <w:rPr>
          <w:rFonts w:hint="eastAsia" w:ascii="仿宋" w:hAnsi="仿宋" w:eastAsia="仿宋" w:cs="仿宋"/>
          <w:color w:val="000000"/>
          <w:sz w:val="28"/>
          <w:szCs w:val="28"/>
        </w:rPr>
      </w:r>
      <w:r/>
    </w:p>
    <w:p>
      <w:pPr>
        <w:pStyle w:val="911"/>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1"/>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4、采购标的需满足的服务标准、期限、效率等要求；</w:t>
      </w:r>
      <w:r>
        <w:rPr>
          <w:rFonts w:hint="eastAsia" w:ascii="仿宋" w:hAnsi="仿宋" w:eastAsia="仿宋"/>
          <w:b/>
          <w:bCs/>
          <w:color w:val="000000"/>
          <w:sz w:val="28"/>
          <w:szCs w:val="28"/>
        </w:rPr>
      </w:r>
      <w:r/>
    </w:p>
    <w:p>
      <w:pPr>
        <w:pStyle w:val="911"/>
        <w:ind w:firstLine="560"/>
        <w:spacing w:line="480" w:lineRule="exact"/>
        <w:rPr>
          <w:rFonts w:ascii="仿宋" w:hAnsi="仿宋" w:eastAsia="仿宋"/>
          <w:sz w:val="28"/>
          <w:szCs w:val="28"/>
        </w:rPr>
        <w:outlineLvl w:val="1"/>
      </w:pPr>
      <w:r>
        <w:rPr>
          <w:rFonts w:hint="eastAsia" w:ascii="仿宋" w:hAnsi="仿宋" w:eastAsia="仿宋"/>
          <w:sz w:val="28"/>
          <w:szCs w:val="28"/>
        </w:rPr>
        <w:t xml:space="preserve">本项目要求整体质保3年，质保期自本项目终验合格之日起计算。</w:t>
      </w:r>
      <w:r>
        <w:rPr>
          <w:rFonts w:ascii="仿宋" w:hAnsi="仿宋" w:eastAsia="仿宋"/>
          <w:sz w:val="28"/>
          <w:szCs w:val="28"/>
        </w:rPr>
      </w:r>
      <w:r/>
    </w:p>
    <w:p>
      <w:pPr>
        <w:pStyle w:val="911"/>
        <w:ind w:firstLine="560"/>
        <w:spacing w:line="480" w:lineRule="exact"/>
        <w:rPr>
          <w:rFonts w:hint="eastAsia" w:ascii="仿宋" w:hAnsi="仿宋" w:eastAsia="仿宋"/>
          <w:sz w:val="28"/>
          <w:szCs w:val="28"/>
        </w:rPr>
      </w:pPr>
      <w:r>
        <w:rPr>
          <w:rFonts w:hint="eastAsia" w:ascii="仿宋" w:hAnsi="仿宋" w:eastAsia="仿宋"/>
          <w:sz w:val="28"/>
          <w:szCs w:val="28"/>
        </w:rPr>
        <w:t xml:space="preserve">本项目实施全过程须接受采购单位监督与管控，中标人应配合开展质量、进度、变更、安全及文档管控工作。对提出的问题、整改意见，须按要求及时落实闭环。</w:t>
      </w:r>
      <w:r>
        <w:rPr>
          <w:rFonts w:hint="eastAsia" w:ascii="仿宋" w:hAnsi="仿宋" w:eastAsia="仿宋"/>
          <w:sz w:val="28"/>
          <w:szCs w:val="28"/>
        </w:rPr>
      </w:r>
      <w:r/>
    </w:p>
    <w:p>
      <w:pPr>
        <w:pStyle w:val="911"/>
        <w:ind w:firstLine="560"/>
        <w:spacing w:line="480" w:lineRule="exact"/>
        <w:rPr>
          <w:rFonts w:hint="eastAsia" w:ascii="仿宋" w:hAnsi="仿宋" w:eastAsia="仿宋"/>
          <w:sz w:val="28"/>
          <w:szCs w:val="28"/>
        </w:rPr>
      </w:pPr>
      <w:r>
        <w:rPr>
          <w:rFonts w:hint="eastAsia" w:ascii="仿宋" w:hAnsi="仿宋" w:eastAsia="仿宋"/>
          <w:sz w:val="28"/>
          <w:szCs w:val="28"/>
        </w:rPr>
      </w:r>
      <w:r/>
    </w:p>
    <w:p>
      <w:pPr>
        <w:pStyle w:val="911"/>
        <w:spacing w:line="480" w:lineRule="exact"/>
        <w:rPr>
          <w:rFonts w:ascii="仿宋" w:hAnsi="仿宋" w:eastAsia="仿宋"/>
          <w:b/>
          <w:bCs/>
          <w:sz w:val="28"/>
          <w:szCs w:val="28"/>
        </w:rPr>
        <w:outlineLvl w:val="1"/>
      </w:pPr>
      <w:r>
        <w:rPr>
          <w:rFonts w:hint="eastAsia" w:ascii="仿宋" w:hAnsi="仿宋" w:eastAsia="仿宋"/>
          <w:color w:val="000000"/>
          <w:sz w:val="28"/>
          <w:szCs w:val="28"/>
        </w:rPr>
        <w:t xml:space="preserve">5、</w:t>
      </w:r>
      <w:r>
        <w:rPr>
          <w:rFonts w:hint="eastAsia" w:ascii="仿宋" w:hAnsi="仿宋" w:eastAsia="仿宋"/>
          <w:b/>
          <w:bCs/>
          <w:sz w:val="28"/>
          <w:szCs w:val="28"/>
        </w:rPr>
        <w:t xml:space="preserve">非单一产品采购项目，采购标的中的核心产品。</w:t>
      </w:r>
      <w:r>
        <w:rPr>
          <w:rFonts w:ascii="仿宋" w:hAnsi="仿宋" w:eastAsia="仿宋"/>
          <w:b/>
          <w:bCs/>
          <w:sz w:val="28"/>
          <w:szCs w:val="28"/>
        </w:rPr>
      </w:r>
      <w:r/>
    </w:p>
    <w:p>
      <w:pPr>
        <w:pStyle w:val="911"/>
        <w:spacing w:line="480" w:lineRule="exact"/>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可视化运维服务器（含运维软件）</w:t>
      </w:r>
      <w:r>
        <w:rPr>
          <w:rFonts w:hint="eastAsia" w:ascii="仿宋" w:hAnsi="仿宋" w:eastAsia="仿宋"/>
          <w:sz w:val="28"/>
          <w:szCs w:val="28"/>
        </w:rPr>
      </w:r>
      <w:r/>
    </w:p>
    <w:p>
      <w:pPr>
        <w:pStyle w:val="911"/>
        <w:spacing w:line="480" w:lineRule="exact"/>
        <w:rPr>
          <w:rFonts w:hint="eastAsia" w:ascii="仿宋" w:hAnsi="仿宋" w:eastAsia="仿宋"/>
          <w:sz w:val="28"/>
          <w:szCs w:val="28"/>
        </w:rPr>
      </w:pPr>
      <w:r>
        <w:rPr>
          <w:rFonts w:hint="eastAsia" w:ascii="仿宋" w:hAnsi="仿宋" w:eastAsia="仿宋"/>
          <w:sz w:val="28"/>
          <w:szCs w:val="28"/>
        </w:rPr>
      </w:r>
      <w:r/>
    </w:p>
    <w:p>
      <w:pPr>
        <w:pStyle w:val="911"/>
        <w:spacing w:line="480" w:lineRule="exact"/>
        <w:rPr>
          <w:rFonts w:hint="eastAsia" w:ascii="仿宋" w:hAnsi="仿宋" w:eastAsia="仿宋"/>
          <w:b/>
          <w:bCs/>
          <w:sz w:val="28"/>
          <w:szCs w:val="28"/>
        </w:rPr>
      </w:pPr>
      <w:r>
        <w:rPr>
          <w:rFonts w:hint="eastAsia" w:ascii="仿宋" w:hAnsi="仿宋" w:eastAsia="仿宋"/>
          <w:sz w:val="28"/>
          <w:szCs w:val="28"/>
        </w:rPr>
        <w:t xml:space="preserve">6、</w:t>
      </w:r>
      <w:r>
        <w:rPr>
          <w:rFonts w:hint="eastAsia" w:ascii="仿宋" w:hAnsi="仿宋" w:eastAsia="仿宋"/>
          <w:b/>
          <w:bCs/>
          <w:sz w:val="28"/>
          <w:szCs w:val="28"/>
        </w:rPr>
        <w:t xml:space="preserve">付款方式</w:t>
      </w:r>
      <w:r>
        <w:rPr>
          <w:rFonts w:hint="eastAsia" w:ascii="仿宋" w:hAnsi="仿宋" w:eastAsia="仿宋"/>
          <w:b/>
          <w:bCs/>
          <w:sz w:val="28"/>
          <w:szCs w:val="28"/>
        </w:rPr>
      </w:r>
      <w:r/>
    </w:p>
    <w:p>
      <w:pPr>
        <w:pStyle w:val="911"/>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（1）合同签订之日起30日内，支付合同价款的30%；</w:t>
      </w:r>
      <w:r>
        <w:rPr>
          <w:rFonts w:hint="eastAsia" w:ascii="仿宋" w:hAnsi="仿宋" w:eastAsia="仿宋" w:cs="仿宋"/>
          <w:color w:val="000000"/>
          <w:sz w:val="28"/>
          <w:szCs w:val="28"/>
          <w:highlight w:val="none"/>
        </w:rPr>
      </w:r>
      <w:r/>
    </w:p>
    <w:p>
      <w:pPr>
        <w:pStyle w:val="911"/>
        <w:ind w:firstLine="560"/>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）项目</w:t>
      </w:r>
      <w:r>
        <w:rPr>
          <w:rFonts w:hint="eastAsia" w:ascii="仿宋" w:hAnsi="仿宋" w:eastAsia="仿宋" w:cs="仿宋"/>
          <w:color w:val="000000"/>
          <w:sz w:val="28"/>
          <w:szCs w:val="28"/>
          <w:highlight w:val="none"/>
          <w:lang w:val="en-US" w:eastAsia="zh-CN"/>
        </w:rPr>
        <w:t xml:space="preserve">通过验收</w:t>
      </w:r>
      <w:r>
        <w:rPr>
          <w:rFonts w:hint="eastAsia" w:ascii="仿宋" w:hAnsi="仿宋" w:eastAsia="仿宋" w:cs="仿宋"/>
          <w:color w:val="000000"/>
          <w:sz w:val="28"/>
          <w:szCs w:val="28"/>
          <w:highlight w:val="none"/>
        </w:rPr>
        <w:t xml:space="preserve">之日起30日内，</w:t>
      </w:r>
      <w:r>
        <w:rPr>
          <w:rFonts w:hint="eastAsia" w:ascii="仿宋" w:hAnsi="仿宋" w:eastAsia="仿宋" w:cs="仿宋"/>
          <w:color w:val="000000"/>
          <w:sz w:val="28"/>
          <w:szCs w:val="28"/>
          <w:highlight w:val="none"/>
          <w:lang w:val="en-US" w:eastAsia="zh-CN"/>
        </w:rPr>
        <w:t xml:space="preserve">支付合同价款的70%。</w:t>
      </w:r>
      <w:r>
        <w:rPr>
          <w:rFonts w:hint="eastAsia" w:ascii="仿宋" w:hAnsi="仿宋" w:eastAsia="仿宋" w:cs="仿宋"/>
          <w:color w:val="000000"/>
          <w:sz w:val="28"/>
          <w:szCs w:val="28"/>
          <w:highlight w:val="none"/>
          <w:lang w:val="en-US" w:eastAsia="zh-CN"/>
        </w:rPr>
      </w:r>
      <w:r/>
    </w:p>
    <w:p>
      <w:pPr>
        <w:pStyle w:val="911"/>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发票开具方式：在满足合同约定的付款条件后，乙方应开具符合国家有关财税规定的发票给甲方，甲方在收到乙方正式发票之日起10个工作日内完成支付。</w:t>
      </w:r>
      <w:r>
        <w:rPr>
          <w:rFonts w:hint="eastAsia" w:ascii="仿宋" w:hAnsi="仿宋" w:eastAsia="仿宋" w:cs="仿宋"/>
          <w:sz w:val="28"/>
          <w:szCs w:val="28"/>
          <w:highlight w:val="none"/>
        </w:rPr>
      </w:r>
      <w:r/>
    </w:p>
    <w:p>
      <w:pPr>
        <w:pStyle w:val="911"/>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lang w:val="en-US" w:eastAsia="zh-CN"/>
        </w:rPr>
        <w:t xml:space="preserve">审计条款：采购人有权按有关规定对本项目资金使用开展审计监督，最终审计金额与合同价款不符的，据实调整</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11"/>
        <w:ind w:firstLine="560"/>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11"/>
        <w:numPr>
          <w:ilvl w:val="0"/>
          <w:numId w:val="23"/>
        </w:numPr>
        <w:spacing w:line="480" w:lineRule="exact"/>
        <w:rPr>
          <w:rFonts w:hint="eastAsia" w:ascii="仿宋" w:hAnsi="仿宋" w:eastAsia="仿宋"/>
          <w:b/>
          <w:bCs/>
          <w:sz w:val="28"/>
          <w:szCs w:val="28"/>
          <w:u w:val="single"/>
        </w:rPr>
      </w:pPr>
      <w:r>
        <w:rPr>
          <w:rFonts w:hint="eastAsia" w:ascii="仿宋" w:hAnsi="仿宋" w:eastAsia="仿宋"/>
          <w:b/>
          <w:bCs/>
          <w:sz w:val="28"/>
          <w:szCs w:val="28"/>
          <w:u w:val="single"/>
        </w:rPr>
        <w:t xml:space="preserve">本项目不接受进口产品投标。</w:t>
      </w:r>
      <w:r>
        <w:rPr>
          <w:rFonts w:hint="eastAsia" w:ascii="仿宋" w:hAnsi="仿宋" w:eastAsia="仿宋"/>
          <w:b/>
          <w:bCs/>
          <w:sz w:val="28"/>
          <w:szCs w:val="28"/>
          <w:u w:val="single"/>
        </w:rPr>
      </w:r>
      <w:r/>
    </w:p>
    <w:p>
      <w:pPr>
        <w:pStyle w:val="911"/>
        <w:numPr>
          <w:ilvl w:val="0"/>
          <w:numId w:val="0"/>
        </w:numPr>
        <w:spacing w:line="480" w:lineRule="exact"/>
        <w:rPr>
          <w:rFonts w:hint="eastAsia" w:ascii="仿宋" w:hAnsi="仿宋" w:eastAsia="仿宋"/>
          <w:b/>
          <w:bCs/>
          <w:sz w:val="28"/>
          <w:szCs w:val="28"/>
          <w:u w:val="single"/>
        </w:rPr>
      </w:pPr>
      <w:r>
        <w:rPr>
          <w:rFonts w:hint="eastAsia" w:ascii="仿宋" w:hAnsi="仿宋" w:eastAsia="仿宋"/>
          <w:b/>
          <w:bCs/>
          <w:sz w:val="28"/>
          <w:szCs w:val="28"/>
          <w:u w:val="single"/>
        </w:rPr>
      </w:r>
      <w:r/>
    </w:p>
    <w:p>
      <w:pPr>
        <w:pStyle w:val="911"/>
        <w:spacing w:line="480" w:lineRule="exact"/>
        <w:rPr>
          <w:rFonts w:ascii="仿宋" w:hAnsi="仿宋" w:eastAsia="仿宋"/>
          <w:b/>
          <w:bCs/>
          <w:color w:val="000000"/>
          <w:sz w:val="28"/>
          <w:szCs w:val="28"/>
        </w:rPr>
      </w:pPr>
      <w:r>
        <w:rPr>
          <w:rFonts w:hint="eastAsia" w:ascii="仿宋" w:hAnsi="仿宋" w:eastAsia="仿宋"/>
          <w:b/>
          <w:bCs/>
          <w:sz w:val="28"/>
          <w:szCs w:val="28"/>
        </w:rPr>
        <w:t xml:space="preserve">8、履约保</w:t>
      </w:r>
      <w:r>
        <w:rPr>
          <w:rFonts w:hint="eastAsia" w:ascii="仿宋" w:hAnsi="仿宋" w:eastAsia="仿宋"/>
          <w:b/>
          <w:bCs/>
          <w:color w:val="000000"/>
          <w:sz w:val="28"/>
          <w:szCs w:val="28"/>
        </w:rPr>
        <w:t xml:space="preserve">证金要求</w:t>
      </w:r>
      <w:r>
        <w:rPr>
          <w:rFonts w:ascii="仿宋" w:hAnsi="仿宋" w:eastAsia="仿宋"/>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8.2、成交供应商全部履约合同义务，经采购单位验收合格无质量、进度等问题的，采购人在验收合格后一次性退还履约保证金，采购人若逾期退还履约保证金的，按照逾期部分的每日0.05%支付违约金；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8.3、发生以下情况的，履约保证金不予退还或部分退还：</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8.4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rPr>
        <w:t xml:space="preserve">五、</w:t>
      </w:r>
      <w:r>
        <w:rPr>
          <w:rFonts w:hint="eastAsia" w:ascii="仿宋" w:hAnsi="仿宋" w:eastAsia="仿宋"/>
          <w:b/>
          <w:i/>
          <w:color w:val="000000"/>
          <w:sz w:val="28"/>
          <w:szCs w:val="28"/>
          <w:u w:val="single"/>
        </w:rPr>
        <w:t xml:space="preserve">采购需求中必须满足的实质性要求。（请单独列出并加斜体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rPr>
          <w:rFonts w:hint="eastAsia" w:ascii="仿宋" w:hAnsi="仿宋" w:eastAsia="仿宋"/>
          <w:b/>
          <w:i/>
          <w:color w:val="000000"/>
          <w:sz w:val="28"/>
          <w:szCs w:val="28"/>
          <w:u w:val="single"/>
        </w:rPr>
      </w:r>
      <w:r/>
    </w:p>
    <w:p>
      <w:pPr>
        <w:pStyle w:val="911"/>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技术部分实质性要求</w:t>
      </w:r>
      <w:r>
        <w:rPr>
          <w:rFonts w:hint="eastAsia" w:ascii="仿宋" w:hAnsi="仿宋" w:eastAsia="仿宋"/>
          <w:b/>
          <w:i/>
          <w:color w:val="000000"/>
          <w:sz w:val="28"/>
          <w:szCs w:val="28"/>
          <w:highlight w:val="none"/>
          <w:u w:val="single"/>
        </w:rPr>
        <w:t xml:space="preserve">（请单独列出并加斜体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r>
        <w:rPr>
          <w:rFonts w:hint="eastAsia" w:ascii="仿宋" w:hAnsi="仿宋" w:eastAsia="仿宋"/>
          <w:i/>
          <w:sz w:val="28"/>
          <w:szCs w:val="28"/>
          <w:highlight w:val="none"/>
          <w:u w:val="single"/>
        </w:rPr>
      </w:r>
      <w:r/>
    </w:p>
    <w:tbl>
      <w:tblPr>
        <w:tblW w:w="5207" w:type="pct"/>
        <w:tblInd w:w="-108" w:type="dxa"/>
        <w:tblLayout w:type="autofit"/>
        <w:tblCellMar>
          <w:left w:w="108" w:type="dxa"/>
          <w:top w:w="0" w:type="dxa"/>
          <w:right w:w="108" w:type="dxa"/>
          <w:bottom w:w="0" w:type="dxa"/>
        </w:tblCellMar>
        <w:tblLook w:val="04A0" w:firstRow="1" w:lastRow="0" w:firstColumn="1" w:lastColumn="0" w:noHBand="0" w:noVBand="1"/>
      </w:tblPr>
      <w:tblGrid>
        <w:gridCol w:w="768"/>
        <w:gridCol w:w="1591"/>
        <w:gridCol w:w="7190"/>
      </w:tblGrid>
      <w:tr>
        <w:trPr>
          <w:trHeight w:val="255"/>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11"/>
              <w:jc w:val="center"/>
              <w:widowControl/>
              <w:rPr>
                <w:rFonts w:hint="eastAsia" w:ascii="方正仿宋_GBK" w:hAnsi="方正仿宋_GBK" w:eastAsia="方正仿宋_GBK" w:cs="方正仿宋_GBK"/>
                <w:b/>
                <w:bCs/>
                <w:color w:val="000000"/>
                <w:sz w:val="20"/>
                <w:szCs w:val="20"/>
                <w:highlight w:val="none"/>
              </w:rPr>
            </w:pPr>
            <w:r>
              <w:rPr>
                <w:rFonts w:hint="eastAsia" w:ascii="方正仿宋_GBK" w:hAnsi="方正仿宋_GBK" w:eastAsia="方正仿宋_GBK" w:cs="方正仿宋_GBK"/>
                <w:b/>
                <w:bCs/>
                <w:color w:val="000000"/>
                <w:sz w:val="20"/>
                <w:szCs w:val="20"/>
                <w:highlight w:val="none"/>
                <w:lang w:bidi="ar"/>
              </w:rPr>
              <w:t xml:space="preserve">序号</w:t>
            </w:r>
            <w:r>
              <w:rPr>
                <w:rFonts w:hint="eastAsia" w:ascii="方正仿宋_GBK" w:hAnsi="方正仿宋_GBK" w:eastAsia="方正仿宋_GBK" w:cs="方正仿宋_GBK"/>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11"/>
              <w:jc w:val="center"/>
              <w:widowControl/>
              <w:rPr>
                <w:rFonts w:hint="eastAsia" w:ascii="方正仿宋_GBK" w:hAnsi="方正仿宋_GBK" w:eastAsia="方正仿宋_GBK" w:cs="方正仿宋_GBK"/>
                <w:b/>
                <w:bCs/>
                <w:color w:val="000000"/>
                <w:sz w:val="20"/>
                <w:szCs w:val="20"/>
                <w:highlight w:val="none"/>
              </w:rPr>
            </w:pPr>
            <w:r>
              <w:rPr>
                <w:rFonts w:hint="eastAsia" w:ascii="方正仿宋_GBK" w:hAnsi="方正仿宋_GBK" w:eastAsia="方正仿宋_GBK" w:cs="方正仿宋_GBK"/>
                <w:b/>
                <w:bCs/>
                <w:color w:val="000000"/>
                <w:sz w:val="20"/>
                <w:szCs w:val="20"/>
                <w:highlight w:val="none"/>
                <w:lang w:bidi="ar"/>
              </w:rPr>
              <w:t xml:space="preserve">系统设备名称</w:t>
            </w:r>
            <w:r>
              <w:rPr>
                <w:rFonts w:hint="eastAsia" w:ascii="方正仿宋_GBK" w:hAnsi="方正仿宋_GBK" w:eastAsia="方正仿宋_GBK" w:cs="方正仿宋_GBK"/>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64" w:type="dxa"/>
            <w:vAlign w:val="center"/>
            <w:textDirection w:val="lrTb"/>
            <w:noWrap w:val="false"/>
          </w:tcPr>
          <w:p>
            <w:pPr>
              <w:pStyle w:val="911"/>
              <w:jc w:val="center"/>
              <w:widowControl/>
              <w:rPr>
                <w:rFonts w:hint="eastAsia" w:ascii="方正仿宋_GBK" w:hAnsi="方正仿宋_GBK" w:eastAsia="方正仿宋_GBK" w:cs="方正仿宋_GBK"/>
                <w:b/>
                <w:bCs/>
                <w:color w:val="000000"/>
                <w:sz w:val="20"/>
                <w:szCs w:val="20"/>
                <w:highlight w:val="none"/>
              </w:rPr>
            </w:pPr>
            <w:r>
              <w:rPr>
                <w:rFonts w:hint="eastAsia" w:ascii="方正仿宋_GBK" w:hAnsi="方正仿宋_GBK" w:eastAsia="方正仿宋_GBK" w:cs="方正仿宋_GBK"/>
                <w:b/>
                <w:bCs/>
                <w:color w:val="000000"/>
                <w:sz w:val="20"/>
                <w:szCs w:val="20"/>
                <w:highlight w:val="none"/>
                <w:lang w:bidi="ar"/>
              </w:rPr>
              <w:t xml:space="preserve">证明材料</w:t>
            </w:r>
            <w:r>
              <w:rPr>
                <w:rFonts w:hint="eastAsia" w:ascii="方正仿宋_GBK" w:hAnsi="方正仿宋_GBK" w:eastAsia="方正仿宋_GBK" w:cs="方正仿宋_GBK"/>
                <w:b/>
                <w:bCs/>
                <w:color w:val="000000"/>
                <w:sz w:val="20"/>
                <w:szCs w:val="2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1</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安防平台</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安防平台数据库需适配人大金仓、达梦等主流数据库，应用需适配银河麒麟、统信UOS等主流操作系统，对接采购人现有短信平台进行预警推送，并将采购人本部现有监控、门禁、考勤、道闸等存量安防硬件设备接入并管理使用。（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255"/>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2</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视频会议系统</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★投标人所投视频会议终端能</w:t>
            </w:r>
            <w:r>
              <w:rPr>
                <w:rFonts w:hint="eastAsia" w:ascii="等线" w:hAnsi="等线" w:eastAsia="等线" w:cs="方正仿宋_GBK"/>
                <w:i/>
                <w:iCs/>
                <w:color w:val="000000"/>
                <w:sz w:val="20"/>
                <w:szCs w:val="20"/>
                <w:highlight w:val="none"/>
                <w:u w:val="single"/>
                <w:lang w:bidi="ar"/>
              </w:rPr>
              <w:t xml:space="preserve">通过H</w:t>
            </w:r>
            <w:r>
              <w:rPr>
                <w:rFonts w:hint="eastAsia" w:ascii="方正仿宋_GBK" w:hAnsi="方正仿宋_GBK" w:eastAsia="等线" w:cs="方正仿宋_GBK"/>
                <w:i/>
                <w:iCs/>
                <w:color w:val="000000"/>
                <w:sz w:val="20"/>
                <w:szCs w:val="20"/>
                <w:highlight w:val="none"/>
                <w:u w:val="single"/>
                <w:lang w:bidi="ar"/>
              </w:rPr>
              <w:t xml:space="preserve">.323协议</w:t>
            </w:r>
            <w:r>
              <w:rPr>
                <w:rFonts w:hint="eastAsia" w:ascii="方正仿宋_GBK" w:hAnsi="方正仿宋_GBK" w:eastAsia="方正仿宋_GBK" w:cs="方正仿宋_GBK"/>
                <w:i/>
                <w:iCs/>
                <w:color w:val="000000"/>
                <w:sz w:val="20"/>
                <w:szCs w:val="20"/>
                <w:highlight w:val="none"/>
                <w:u w:val="single"/>
                <w:lang w:bidi="ar"/>
              </w:rPr>
              <w:t xml:space="preserve">接入采购人现有存量MCU并正常使用。（提供承诺函加盖供应商公章，格式自拟）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255"/>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11"/>
              <w:jc w:val="center"/>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3</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画面融合服务器</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★投标人所投画面融合服务器需适配银河麒麟、统信UOS等主流操作系统，画面融合应用</w:t>
            </w:r>
            <w:r>
              <w:rPr>
                <w:rFonts w:hint="eastAsia" w:ascii="方正仿宋_GBK" w:hAnsi="方正仿宋_GBK" w:eastAsia="方正仿宋_GBK" w:cs="方正仿宋_GBK"/>
                <w:i/>
                <w:iCs/>
                <w:sz w:val="20"/>
                <w:szCs w:val="20"/>
                <w:highlight w:val="none"/>
                <w:u w:val="single"/>
              </w:rPr>
              <w:t xml:space="preserve">具备画面合成功能和标准 API 接口，</w:t>
            </w:r>
            <w:r>
              <w:rPr>
                <w:rFonts w:hint="eastAsia" w:ascii="方正仿宋_GBK" w:hAnsi="方正仿宋_GBK" w:eastAsia="方正仿宋_GBK" w:cs="方正仿宋_GBK"/>
                <w:i/>
                <w:iCs/>
                <w:color w:val="000000"/>
                <w:sz w:val="20"/>
                <w:szCs w:val="20"/>
                <w:highlight w:val="none"/>
                <w:u w:val="single"/>
                <w:lang w:bidi="ar"/>
              </w:rPr>
              <w:t xml:space="preserve">能被采购人现有的庭审系统最大化调优使用，所产生的录音录像存储到现有的流媒体存储中。（提供承诺函加盖供应商公章，格式自拟）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4</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电子质证系统</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★投标人所投电子质证系统应与“全国法院办案办公平台”系统实现对接，数据库需适配人大金仓、达梦等主流数据库，应用需适配银河麒麟、统信UOS等主流操作系统。（提供承诺函加盖供应商公章，格式自拟）</w:t>
            </w:r>
            <w:r>
              <w:rPr>
                <w:rFonts w:hint="eastAsia" w:ascii="方正仿宋_GBK" w:hAnsi="方正仿宋_GBK" w:eastAsia="方正仿宋_GBK" w:cs="方正仿宋_GBK"/>
                <w:i/>
                <w:iCs/>
                <w:color w:val="000000"/>
                <w:sz w:val="20"/>
                <w:szCs w:val="20"/>
                <w:highlight w:val="none"/>
                <w:u w:val="single"/>
              </w:rPr>
            </w:r>
            <w:r/>
          </w:p>
        </w:tc>
      </w:tr>
      <w:tr>
        <w:trPr>
          <w:trHeight w:val="510"/>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5</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语音转写系统</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w:t>
            </w:r>
            <w:r>
              <w:rPr>
                <w:rFonts w:hint="eastAsia" w:ascii="方正仿宋_GBK" w:hAnsi="方正仿宋_GBK" w:eastAsia="方正仿宋_GBK" w:cs="方正仿宋_GBK"/>
                <w:i/>
                <w:iCs/>
                <w:sz w:val="20"/>
                <w:szCs w:val="20"/>
                <w:highlight w:val="none"/>
                <w:u w:val="single"/>
              </w:rPr>
              <w:t xml:space="preserve">投标人所投语音转写系统须具备标准 API 接口，可与采购人现有语音转写业务平台实现对接</w:t>
            </w:r>
            <w:r>
              <w:rPr>
                <w:rFonts w:hint="eastAsia" w:ascii="方正仿宋_GBK" w:hAnsi="方正仿宋_GBK" w:eastAsia="方正仿宋_GBK" w:cs="方正仿宋_GBK"/>
                <w:i/>
                <w:iCs/>
                <w:color w:val="000000"/>
                <w:sz w:val="20"/>
                <w:szCs w:val="20"/>
                <w:highlight w:val="none"/>
                <w:u w:val="single"/>
                <w:lang w:bidi="ar"/>
              </w:rPr>
              <w:t xml:space="preserve">（提供承诺函加盖供应商公章，格式自拟）</w:t>
            </w:r>
            <w:r>
              <w:rPr>
                <w:rFonts w:hint="eastAsia" w:ascii="方正仿宋_GBK" w:hAnsi="方正仿宋_GBK" w:eastAsia="方正仿宋_GBK" w:cs="方正仿宋_GBK"/>
                <w:i/>
                <w:iCs/>
                <w:color w:val="000000"/>
                <w:sz w:val="20"/>
                <w:szCs w:val="20"/>
                <w:highlight w:val="none"/>
                <w:u w:val="single"/>
              </w:rPr>
            </w:r>
            <w:r/>
          </w:p>
        </w:tc>
      </w:tr>
      <w:tr>
        <w:trPr>
          <w:trHeight w:val="510"/>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6</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律师一码通</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★投标人所投律师一码通应与“全国法院办案办公平台”系统对接，实现律师持证刷码完成身份验证。（提供承诺函加盖供应商公章，格式自拟）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1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7</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1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庭审公告终端</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1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★投标人所投庭审公告终端应通过现有庭审系统提供的标准API接口获取到庭审相关信息在公告终端上显示。（提供承诺函加盖供应商公章，格式自拟）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bl>
    <w:p>
      <w:pPr>
        <w:pStyle w:val="911"/>
        <w:rPr>
          <w:rFonts w:hint="eastAsia" w:ascii="方正仿宋_GBK" w:hAnsi="方正仿宋_GBK" w:eastAsia="等线" w:cs="方正仿宋_GBK"/>
          <w:i/>
          <w:iCs/>
          <w:sz w:val="24"/>
          <w:szCs w:val="24"/>
          <w:highlight w:val="none"/>
          <w:u w:val="single"/>
        </w:rPr>
      </w:pPr>
      <w:r>
        <w:rPr>
          <w:rFonts w:hint="eastAsia" w:ascii="方正仿宋_GBK" w:hAnsi="方正仿宋_GBK" w:eastAsia="方正仿宋_GBK" w:cs="方正仿宋_GBK"/>
          <w:i/>
          <w:iCs/>
          <w:sz w:val="24"/>
          <w:szCs w:val="24"/>
          <w:highlight w:val="none"/>
          <w:u w:val="single"/>
        </w:rPr>
        <w:t xml:space="preserve">其中，第1至7项为本项目系统对接要求，投标人应在投标文件中作出书面承诺，系统对接所产生的全部开发工作量及相关费用均已包含在投标总价内，采购人不另行支付</w:t>
      </w:r>
      <w:r>
        <w:rPr>
          <w:rFonts w:hint="eastAsia" w:ascii="方正仿宋_GBK" w:hAnsi="方正仿宋_GBK" w:eastAsia="方正仿宋_GBK" w:cs="方正仿宋_GBK"/>
          <w:b/>
          <w:bCs/>
          <w:i/>
          <w:iCs/>
          <w:color w:val="000000"/>
          <w:sz w:val="24"/>
          <w:szCs w:val="24"/>
          <w:highlight w:val="none"/>
          <w:u w:val="single"/>
        </w:rPr>
        <w:t xml:space="preserve">（如需获取现有系统的详细情况，请联系鲁先生，电话：0513-68506398）</w:t>
      </w:r>
      <w:r>
        <w:rPr>
          <w:rFonts w:hint="eastAsia" w:ascii="方正仿宋_GBK" w:hAnsi="方正仿宋_GBK" w:eastAsia="方正仿宋_GBK" w:cs="方正仿宋_GBK"/>
          <w:i/>
          <w:iCs/>
          <w:sz w:val="24"/>
          <w:szCs w:val="24"/>
          <w:highlight w:val="none"/>
          <w:u w:val="single"/>
        </w:rPr>
        <w:t xml:space="preserve">。中标人无正当理由未按投标承诺完成系统对接，经采购人书面催告后15日内仍未完成的，采购人有权将此类情形作为线索，提请财政监管部门依法调查处理。由此产生的一切不利后果，由投标人自行承担。</w:t>
      </w:r>
      <w:r>
        <w:rPr>
          <w:rFonts w:hint="eastAsia" w:ascii="方正仿宋_GBK" w:hAnsi="方正仿宋_GBK" w:eastAsia="等线" w:cs="方正仿宋_GBK"/>
          <w:i/>
          <w:iCs/>
          <w:sz w:val="24"/>
          <w:szCs w:val="24"/>
          <w:highlight w:val="none"/>
          <w:u w:val="single"/>
        </w:rPr>
      </w:r>
      <w:r/>
    </w:p>
    <w:p>
      <w:pPr>
        <w:pStyle w:val="911"/>
        <w:ind w:firstLine="480"/>
        <w:rPr>
          <w:rFonts w:hint="eastAsia" w:ascii="宋体" w:hAnsi="宋体"/>
          <w:color w:val="000000"/>
          <w:sz w:val="24"/>
          <w:szCs w:val="24"/>
        </w:rPr>
      </w:pPr>
      <w:r>
        <w:rPr>
          <w:rFonts w:hint="eastAsia" w:ascii="宋体" w:hAnsi="宋体"/>
          <w:color w:val="000000"/>
          <w:sz w:val="24"/>
          <w:szCs w:val="24"/>
        </w:rPr>
      </w:r>
      <w:r/>
    </w:p>
    <w:p>
      <w:pPr>
        <w:pStyle w:val="1028"/>
        <w:rPr>
          <w:rFonts w:hint="eastAsia" w:ascii="黑体" w:hAnsi="Times New Roman" w:eastAsia="黑体"/>
          <w:bCs/>
          <w:color w:val="000000"/>
          <w:sz w:val="44"/>
          <w:szCs w:val="28"/>
        </w:rPr>
      </w:pPr>
      <w:r/>
      <w:bookmarkStart w:id="217" w:name="_Toc120614281"/>
      <w:r>
        <w:rPr>
          <w:rFonts w:hint="eastAsia" w:ascii="黑体" w:hAnsi="Times New Roman" w:eastAsia="黑体"/>
          <w:bCs/>
          <w:color w:val="000000"/>
          <w:sz w:val="44"/>
          <w:szCs w:val="28"/>
        </w:rPr>
      </w:r>
      <w:r/>
    </w:p>
    <w:p>
      <w:pPr>
        <w:pStyle w:val="91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911"/>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911"/>
        <w:ind w:firstLine="560"/>
        <w:jc w:val="left"/>
        <w:spacing w:before="120" w:after="120" w:line="480" w:lineRule="exact"/>
        <w:rPr>
          <w:rFonts w:ascii="仿宋" w:hAnsi="仿宋" w:eastAsia="仿宋" w:cs="Times New Roman"/>
          <w:color w:val="000000"/>
          <w:sz w:val="28"/>
          <w:szCs w:val="28"/>
          <w:highlight w:val="yellow"/>
          <w:lang w:val="en-US" w:eastAsia="zh-CN"/>
        </w:rPr>
      </w:pPr>
      <w:r>
        <w:rPr>
          <w:rFonts w:hint="eastAsia" w:ascii="仿宋" w:hAnsi="仿宋" w:eastAsia="仿宋"/>
          <w:color w:val="000000"/>
          <w:sz w:val="28"/>
          <w:szCs w:val="28"/>
        </w:rPr>
        <w:t xml:space="preserve">1、小微型企业价格扣除</w:t>
      </w:r>
      <w:r>
        <w:rPr>
          <w:rFonts w:ascii="仿宋" w:hAnsi="仿宋" w:eastAsia="仿宋" w:cs="Times New Roman"/>
          <w:color w:val="000000"/>
          <w:sz w:val="28"/>
          <w:szCs w:val="28"/>
          <w:highlight w:val="yellow"/>
          <w:lang w:val="en-US" w:eastAsia="zh-CN"/>
        </w:rPr>
      </w:r>
      <w:r/>
    </w:p>
    <w:p>
      <w:pPr>
        <w:pStyle w:val="91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的扣除价格，用扣除后的价格参与评审。</w:t>
      </w:r>
      <w:r>
        <w:rPr>
          <w:rFonts w:hint="eastAsia" w:ascii="仿宋" w:hAnsi="仿宋" w:eastAsia="仿宋"/>
          <w:color w:val="000000"/>
          <w:sz w:val="28"/>
          <w:szCs w:val="28"/>
          <w:highlight w:val="none"/>
        </w:rPr>
      </w:r>
      <w:r/>
    </w:p>
    <w:p>
      <w:pPr>
        <w:pStyle w:val="91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（2）供应商需按照采购文件的要求提供相应的《小微企业声明函》。</w:t>
      </w:r>
      <w:r>
        <w:rPr>
          <w:rFonts w:hint="eastAsia" w:ascii="仿宋" w:hAnsi="仿宋" w:eastAsia="仿宋"/>
          <w:color w:val="000000"/>
          <w:sz w:val="28"/>
          <w:szCs w:val="28"/>
          <w:highlight w:val="none"/>
        </w:rPr>
      </w:r>
      <w:r/>
    </w:p>
    <w:p>
      <w:pPr>
        <w:pStyle w:val="91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（3）企业标准请参照《关于印发中小企业划型标准规定的通知》（工信部联企业</w:t>
      </w:r>
      <w:r>
        <w:rPr>
          <w:rFonts w:hint="eastAsia" w:ascii="仿宋" w:hAnsi="仿宋" w:eastAsia="仿宋"/>
          <w:color w:val="000000"/>
          <w:sz w:val="28"/>
          <w:szCs w:val="28"/>
          <w:highlight w:val="none"/>
          <w:lang w:eastAsia="zh-CN"/>
        </w:rPr>
        <w:t xml:space="preserve">〔2011〕</w:t>
      </w:r>
      <w:r>
        <w:rPr>
          <w:rFonts w:hint="eastAsia" w:ascii="仿宋" w:hAnsi="仿宋" w:eastAsia="仿宋"/>
          <w:color w:val="000000"/>
          <w:sz w:val="28"/>
          <w:szCs w:val="28"/>
          <w:highlight w:val="none"/>
        </w:rPr>
        <w:t xml:space="preserve">300号）文件规定自行填写。</w:t>
      </w:r>
      <w:r>
        <w:rPr>
          <w:rFonts w:hint="eastAsia" w:ascii="仿宋" w:hAnsi="仿宋" w:eastAsia="仿宋"/>
          <w:color w:val="000000"/>
          <w:sz w:val="28"/>
          <w:szCs w:val="28"/>
          <w:highlight w:val="none"/>
        </w:rPr>
      </w:r>
      <w:r/>
    </w:p>
    <w:p>
      <w:pPr>
        <w:pStyle w:val="91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2、残疾人福利单位价格扣除</w:t>
      </w:r>
      <w:r>
        <w:rPr>
          <w:rFonts w:hint="eastAsia" w:ascii="仿宋" w:hAnsi="仿宋" w:eastAsia="仿宋"/>
          <w:color w:val="000000"/>
          <w:sz w:val="28"/>
          <w:szCs w:val="28"/>
          <w:highlight w:val="none"/>
        </w:rPr>
      </w:r>
      <w:r/>
    </w:p>
    <w:p>
      <w:pPr>
        <w:pStyle w:val="91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91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（2）残疾人福利单位需按照采购文件的要求提供《残疾人福利性单位声明函》。</w:t>
      </w:r>
      <w:r>
        <w:rPr>
          <w:rFonts w:hint="eastAsia" w:ascii="仿宋" w:hAnsi="仿宋" w:eastAsia="仿宋"/>
          <w:color w:val="000000"/>
          <w:sz w:val="28"/>
          <w:szCs w:val="28"/>
          <w:highlight w:val="none"/>
        </w:rPr>
      </w:r>
      <w:r/>
    </w:p>
    <w:p>
      <w:pPr>
        <w:pStyle w:val="91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（3）残疾人福利单位标准请参照《关于促进残疾人就业政府采购政策的通知》（财库〔2017〕141号）。</w:t>
      </w:r>
      <w:r>
        <w:rPr>
          <w:rFonts w:hint="eastAsia" w:ascii="仿宋" w:hAnsi="仿宋" w:eastAsia="仿宋"/>
          <w:color w:val="000000"/>
          <w:sz w:val="28"/>
          <w:szCs w:val="28"/>
          <w:highlight w:val="none"/>
        </w:rPr>
      </w:r>
      <w:r/>
    </w:p>
    <w:p>
      <w:pPr>
        <w:pStyle w:val="91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3、监狱和戒毒企业价格扣除</w:t>
      </w:r>
      <w:r>
        <w:rPr>
          <w:rFonts w:hint="eastAsia" w:ascii="仿宋" w:hAnsi="仿宋" w:eastAsia="仿宋"/>
          <w:color w:val="000000"/>
          <w:sz w:val="28"/>
          <w:szCs w:val="28"/>
          <w:highlight w:val="none"/>
        </w:rPr>
      </w:r>
      <w:r/>
    </w:p>
    <w:p>
      <w:pPr>
        <w:pStyle w:val="91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91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highlight w:val="none"/>
        </w:rPr>
        <w:t xml:space="preserve">供应商如不提供上述证明文件，价格将不做相应扣除</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91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4、残疾人福利单位、监狱企业属于小型、微型企业的，不重复享受</w:t>
      </w:r>
      <w:r>
        <w:rPr>
          <w:rFonts w:hint="eastAsia" w:ascii="仿宋" w:hAnsi="仿宋" w:eastAsia="仿宋"/>
          <w:color w:val="000000"/>
          <w:sz w:val="28"/>
          <w:szCs w:val="28"/>
          <w:highlight w:val="none"/>
        </w:rPr>
        <w:t xml:space="preserve">政策。</w:t>
      </w:r>
      <w:r>
        <w:rPr>
          <w:rFonts w:hint="eastAsia" w:ascii="仿宋" w:hAnsi="仿宋" w:eastAsia="仿宋"/>
          <w:color w:val="000000"/>
          <w:sz w:val="28"/>
          <w:szCs w:val="28"/>
          <w:highlight w:val="none"/>
        </w:rPr>
      </w:r>
      <w:r/>
    </w:p>
    <w:p>
      <w:pPr>
        <w:pStyle w:val="98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5、采购本国产品的支持政策</w:t>
      </w:r>
      <w:r>
        <w:rPr>
          <w:rFonts w:hint="eastAsia" w:ascii="仿宋" w:hAnsi="仿宋" w:eastAsia="仿宋" w:cs="Times New Roman"/>
          <w:color w:val="000000"/>
          <w:sz w:val="28"/>
          <w:szCs w:val="28"/>
          <w:highlight w:val="none"/>
          <w:lang w:val="en-US" w:eastAsia="zh-CN" w:bidi="ar-SA"/>
        </w:rPr>
      </w:r>
      <w:r/>
    </w:p>
    <w:p>
      <w:pPr>
        <w:pStyle w:val="98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5.1 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s="Times New Roman"/>
          <w:color w:val="000000"/>
          <w:sz w:val="28"/>
          <w:szCs w:val="28"/>
          <w:highlight w:val="none"/>
          <w:lang w:val="en-US" w:eastAsia="zh-CN" w:bidi="ar-SA"/>
        </w:rPr>
      </w:r>
      <w:r/>
    </w:p>
    <w:p>
      <w:pPr>
        <w:pStyle w:val="98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color w:val="000000"/>
          <w:sz w:val="28"/>
          <w:szCs w:val="28"/>
          <w:highlight w:val="none"/>
          <w:lang w:val="en-US" w:eastAsia="zh-CN" w:bidi="ar-SA"/>
        </w:rPr>
      </w:r>
      <w:r/>
    </w:p>
    <w:p>
      <w:pPr>
        <w:pStyle w:val="98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5.3 供应商需按照招标文件的要求提供《关于符合本国产品标准的声明函》（以下简称《声明函》），如不提供将不享受本国产品价格评审优惠。</w:t>
      </w:r>
      <w:r>
        <w:rPr>
          <w:rFonts w:hint="eastAsia" w:ascii="仿宋" w:hAnsi="仿宋" w:eastAsia="仿宋" w:cs="Times New Roman"/>
          <w:color w:val="000000"/>
          <w:sz w:val="28"/>
          <w:szCs w:val="28"/>
          <w:highlight w:val="none"/>
          <w:lang w:val="en-US" w:eastAsia="zh-CN" w:bidi="ar-SA"/>
        </w:rPr>
      </w:r>
      <w:r/>
    </w:p>
    <w:p>
      <w:pPr>
        <w:pStyle w:val="98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highlight w:val="none"/>
          <w:lang w:val="en-US" w:eastAsia="zh-CN" w:bidi="ar-SA"/>
        </w:rPr>
      </w:r>
      <w:r/>
    </w:p>
    <w:p>
      <w:pPr>
        <w:pStyle w:val="98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Times New Roman"/>
          <w:color w:val="000000"/>
          <w:sz w:val="28"/>
          <w:szCs w:val="28"/>
          <w:highlight w:val="none"/>
          <w:lang w:val="en-US" w:eastAsia="zh-CN" w:bidi="ar-SA"/>
        </w:rPr>
      </w:r>
      <w:r/>
    </w:p>
    <w:p>
      <w:pPr>
        <w:pStyle w:val="911"/>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1001"/>
        <w:numPr>
          <w:ilvl w:val="0"/>
          <w:numId w:val="24"/>
        </w:numPr>
        <w:ind w:firstLine="562"/>
        <w:spacing w:line="480" w:lineRule="exact"/>
        <w:tabs>
          <w:tab w:val="left" w:pos="312" w:leader="none"/>
        </w:tabs>
        <w:rPr>
          <w:rFonts w:hint="eastAsia" w:ascii="仿宋" w:hAnsi="仿宋" w:eastAsia="仿宋"/>
          <w:b/>
          <w:sz w:val="28"/>
          <w:szCs w:val="28"/>
          <w:highlight w:val="none"/>
        </w:rPr>
      </w:pP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11"/>
        <w:ind w:firstLine="562"/>
        <w:spacing w:line="500" w:lineRule="exact"/>
        <w:rPr>
          <w:rFonts w:eastAsia="方正仿宋_GBK"/>
          <w:sz w:val="28"/>
          <w:szCs w:val="28"/>
        </w:rPr>
      </w:pPr>
      <w:r>
        <w:rPr>
          <w:rFonts w:hint="eastAsia" w:ascii="仿宋" w:hAnsi="仿宋" w:eastAsia="仿宋"/>
          <w:b/>
          <w:sz w:val="28"/>
          <w:szCs w:val="28"/>
          <w:highlight w:val="none"/>
          <w:lang w:val="en-US" w:eastAsia="zh-CN"/>
        </w:rPr>
        <w:t xml:space="preserve"> </w:t>
      </w:r>
      <w:r>
        <w:rPr>
          <w:rFonts w:hint="eastAsia" w:ascii="仿宋" w:hAnsi="仿宋" w:eastAsia="仿宋"/>
          <w:b/>
          <w:sz w:val="28"/>
          <w:szCs w:val="28"/>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11"/>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1001"/>
        <w:numPr>
          <w:ilvl w:val="0"/>
          <w:numId w:val="0"/>
        </w:numPr>
        <w:spacing w:line="480" w:lineRule="exact"/>
        <w:rPr>
          <w:rFonts w:ascii="仿宋" w:hAnsi="仿宋" w:eastAsia="仿宋"/>
          <w:b/>
          <w:sz w:val="28"/>
          <w:szCs w:val="28"/>
          <w:highlight w:val="none"/>
          <w:lang w:val="en-US" w:eastAsia="zh-CN"/>
        </w:rPr>
      </w:pPr>
      <w:r>
        <w:rPr>
          <w:rFonts w:ascii="仿宋" w:hAnsi="仿宋" w:eastAsia="仿宋"/>
          <w:b/>
          <w:sz w:val="28"/>
          <w:szCs w:val="28"/>
          <w:highlight w:val="none"/>
          <w:lang w:val="en-US" w:eastAsia="zh-CN"/>
        </w:rPr>
      </w:r>
      <w:r/>
    </w:p>
    <w:p>
      <w:pPr>
        <w:pStyle w:val="911"/>
        <w:numPr>
          <w:ilvl w:val="0"/>
          <w:numId w:val="24"/>
        </w:numPr>
        <w:ind w:firstLine="562"/>
        <w:jc w:val="left"/>
        <w:spacing w:before="120" w:after="120" w:line="480" w:lineRule="exact"/>
        <w:tabs>
          <w:tab w:val="left" w:pos="312" w:leader="none"/>
        </w:tabs>
        <w:rPr>
          <w:rFonts w:ascii="仿宋" w:hAnsi="仿宋" w:eastAsia="仿宋"/>
          <w:b/>
          <w:sz w:val="28"/>
          <w:szCs w:val="28"/>
          <w:highlight w:val="none"/>
        </w:rPr>
      </w:pP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5</w:t>
      </w:r>
      <w:r>
        <w:rPr>
          <w:rFonts w:hint="eastAsia" w:ascii="仿宋" w:hAnsi="仿宋" w:eastAsia="仿宋"/>
          <w:b/>
          <w:sz w:val="28"/>
          <w:szCs w:val="28"/>
          <w:highlight w:val="none"/>
          <w:lang w:val="en-US" w:eastAsia="zh-CN"/>
        </w:rPr>
        <w:t xml:space="preserve">6</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432"/>
        <w:gridCol w:w="4425"/>
        <w:gridCol w:w="908"/>
        <w:gridCol w:w="885"/>
        <w:gridCol w:w="1142"/>
      </w:tblGrid>
      <w:tr>
        <w:trPr/>
        <w:tc>
          <w:tcPr>
            <w:tcW w:w="672"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序号</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评分点名称</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评审标准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最高分</w:t>
            </w:r>
            <w:r>
              <w:rPr>
                <w:rFonts w:hint="eastAsia" w:ascii="方正仿宋_GBK" w:hAnsi="方正仿宋_GBK" w:eastAsia="方正仿宋_GBK" w:cs="方正仿宋_GBK"/>
                <w:b/>
                <w:sz w:val="20"/>
                <w:szCs w:val="20"/>
              </w:rPr>
            </w:r>
            <w:r/>
          </w:p>
        </w:tc>
        <w:tc>
          <w:tcPr>
            <w:tcW w:w="885"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最低分</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主/客观分</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技术参数响应</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1、标★号指标为核心技术参数，如有负偏离将作为无效投标；</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2、标▲号指标为重要技术参数，每有一个完全响应的，得1分。标▲号指标共28项，最高得28分； </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3、“采购需求”中“技术要求”章节内除标★号和▲号之外</w:t>
            </w:r>
            <w:r>
              <w:rPr>
                <w:rFonts w:hint="eastAsia" w:ascii="方正仿宋_GBK" w:hAnsi="方正仿宋_GBK" w:eastAsia="方正仿宋_GBK" w:cs="方正仿宋_GBK"/>
                <w:color w:val="000000"/>
                <w:sz w:val="20"/>
                <w:szCs w:val="20"/>
                <w:highlight w:val="none"/>
                <w:lang w:bidi="ar"/>
              </w:rPr>
              <w:t xml:space="preserve">的其他技术参数为一般技术参数，提供逐条响应的《技术要求响应及偏离表》并加盖投标人公章。一般技术参数完全响应无负偏离的得</w:t>
            </w:r>
            <w:r>
              <w:rPr>
                <w:rFonts w:hint="eastAsia" w:ascii="方正仿宋_GBK" w:hAnsi="方正仿宋_GBK" w:eastAsia="方正仿宋_GBK" w:cs="方正仿宋_GBK"/>
                <w:color w:val="000000"/>
                <w:sz w:val="20"/>
                <w:szCs w:val="20"/>
                <w:highlight w:val="none"/>
                <w:lang w:val="en-US" w:eastAsia="zh-CN" w:bidi="ar"/>
              </w:rPr>
              <w:t xml:space="preserve">12</w:t>
            </w:r>
            <w:r>
              <w:rPr>
                <w:rFonts w:hint="eastAsia" w:ascii="方正仿宋_GBK" w:hAnsi="方正仿宋_GBK" w:eastAsia="方正仿宋_GBK" w:cs="方正仿宋_GBK"/>
                <w:color w:val="000000"/>
                <w:sz w:val="20"/>
                <w:szCs w:val="20"/>
                <w:highlight w:val="none"/>
                <w:lang w:bidi="ar"/>
              </w:rPr>
              <w:t xml:space="preserve">分，有一项负偏离的得</w:t>
            </w:r>
            <w:r>
              <w:rPr>
                <w:rFonts w:hint="eastAsia" w:ascii="方正仿宋_GBK" w:hAnsi="方正仿宋_GBK" w:eastAsia="方正仿宋_GBK" w:cs="方正仿宋_GBK"/>
                <w:color w:val="000000"/>
                <w:sz w:val="20"/>
                <w:szCs w:val="20"/>
                <w:highlight w:val="none"/>
                <w:lang w:val="en-US" w:eastAsia="zh-CN" w:bidi="ar"/>
              </w:rPr>
              <w:t xml:space="preserve">8</w:t>
            </w:r>
            <w:r>
              <w:rPr>
                <w:rFonts w:hint="eastAsia" w:ascii="方正仿宋_GBK" w:hAnsi="方正仿宋_GBK" w:eastAsia="方正仿宋_GBK" w:cs="方正仿宋_GBK"/>
                <w:color w:val="000000"/>
                <w:sz w:val="20"/>
                <w:szCs w:val="20"/>
                <w:highlight w:val="none"/>
                <w:lang w:bidi="ar"/>
              </w:rPr>
              <w:t xml:space="preserve">分，有两项负偏离的得</w:t>
            </w:r>
            <w:r>
              <w:rPr>
                <w:rFonts w:hint="eastAsia" w:ascii="方正仿宋_GBK" w:hAnsi="方正仿宋_GBK" w:eastAsia="方正仿宋_GBK" w:cs="方正仿宋_GBK"/>
                <w:color w:val="000000"/>
                <w:sz w:val="20"/>
                <w:szCs w:val="20"/>
                <w:highlight w:val="none"/>
                <w:lang w:val="en-US" w:eastAsia="zh-CN" w:bidi="ar"/>
              </w:rPr>
              <w:t xml:space="preserve">5</w:t>
            </w:r>
            <w:r>
              <w:rPr>
                <w:rFonts w:hint="eastAsia" w:ascii="方正仿宋_GBK" w:hAnsi="方正仿宋_GBK" w:eastAsia="方正仿宋_GBK" w:cs="方正仿宋_GBK"/>
                <w:color w:val="000000"/>
                <w:sz w:val="20"/>
                <w:szCs w:val="20"/>
                <w:highlight w:val="none"/>
                <w:lang w:bidi="ar"/>
              </w:rPr>
              <w:t xml:space="preserve">分，有三项负偏离及以上的不得分。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11"/>
              <w:jc w:val="center"/>
              <w:spacing w:before="120" w:after="120" w:line="480" w:lineRule="exact"/>
              <w:rPr>
                <w:rFonts w:ascii="方正仿宋_GBK" w:hAnsi="方正仿宋_GBK" w:eastAsia="方正仿宋_GBK" w:cs="方正仿宋_GBK"/>
                <w:b/>
                <w:sz w:val="20"/>
                <w:szCs w:val="20"/>
                <w:lang w:val="en-US" w:eastAsia="zh-CN"/>
              </w:rPr>
            </w:pPr>
            <w:r>
              <w:rPr>
                <w:rFonts w:hint="eastAsia" w:ascii="方正仿宋_GBK" w:hAnsi="方正仿宋_GBK" w:eastAsia="方正仿宋_GBK" w:cs="方正仿宋_GBK"/>
                <w:b/>
                <w:sz w:val="20"/>
                <w:szCs w:val="20"/>
                <w:lang w:val="en-US" w:eastAsia="zh-CN"/>
              </w:rPr>
              <w:t xml:space="preserve">40</w:t>
            </w:r>
            <w:r>
              <w:rPr>
                <w:rFonts w:ascii="方正仿宋_GBK" w:hAnsi="方正仿宋_GBK" w:eastAsia="方正仿宋_GBK" w:cs="方正仿宋_GBK"/>
                <w:b/>
                <w:sz w:val="20"/>
                <w:szCs w:val="20"/>
                <w:lang w:val="en-US" w:eastAsia="zh-CN"/>
              </w:rPr>
            </w:r>
            <w:r/>
          </w:p>
        </w:tc>
        <w:tc>
          <w:tcPr>
            <w:tcW w:w="885"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客观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实施方案</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根据投标人提供的总体方案进行评分。总体方案应包括系统施工进度保障、施工质量保障措施、项目售后维护及培训等子方案，根据各子方案完整详细程度和可操作性打分：</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1）施工进度保障方案，结合项目实际说明进度目标、人员配备、风险及应对措施等内容</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方案完整，涵盖全部要点，并</w:t>
            </w:r>
            <w:r>
              <w:rPr>
                <w:rFonts w:hint="eastAsia" w:ascii="方正仿宋_GBK" w:hAnsi="方正仿宋_GBK" w:eastAsia="方正仿宋_GBK" w:cs="方正仿宋_GBK"/>
                <w:color w:val="000000"/>
                <w:sz w:val="20"/>
                <w:szCs w:val="20"/>
                <w:lang w:val="en-US" w:eastAsia="zh-CN" w:bidi="ar"/>
              </w:rPr>
              <w:t xml:space="preserve">提供</w:t>
            </w:r>
            <w:r>
              <w:rPr>
                <w:rFonts w:hint="eastAsia" w:ascii="方正仿宋_GBK" w:hAnsi="方正仿宋_GBK" w:eastAsia="方正仿宋_GBK" w:cs="方正仿宋_GBK"/>
                <w:color w:val="000000"/>
                <w:sz w:val="20"/>
                <w:szCs w:val="20"/>
                <w:lang w:bidi="ar"/>
              </w:rPr>
              <w:t xml:space="preserve">针对性措施</w:t>
            </w:r>
            <w:r>
              <w:rPr>
                <w:rFonts w:hint="eastAsia" w:ascii="方正仿宋_GBK" w:hAnsi="方正仿宋_GBK" w:eastAsia="方正仿宋_GBK" w:cs="方正仿宋_GBK"/>
                <w:color w:val="000000"/>
                <w:sz w:val="20"/>
                <w:szCs w:val="20"/>
                <w:lang w:val="en-US" w:eastAsia="zh-CN" w:bidi="ar"/>
              </w:rPr>
              <w:t xml:space="preserve">的</w:t>
            </w:r>
            <w:r>
              <w:rPr>
                <w:rFonts w:hint="eastAsia" w:ascii="方正仿宋_GBK" w:hAnsi="方正仿宋_GBK" w:eastAsia="方正仿宋_GBK" w:cs="方正仿宋_GBK"/>
                <w:color w:val="000000"/>
                <w:sz w:val="20"/>
                <w:szCs w:val="20"/>
                <w:lang w:bidi="ar"/>
              </w:rPr>
              <w:t xml:space="preserve">得2分，方案有缺失（缺任</w:t>
            </w:r>
            <w:r>
              <w:rPr>
                <w:rFonts w:hint="eastAsia" w:ascii="方正仿宋_GBK" w:hAnsi="方正仿宋_GBK" w:eastAsia="方正仿宋_GBK" w:cs="方正仿宋_GBK"/>
                <w:color w:val="000000"/>
                <w:sz w:val="20"/>
                <w:szCs w:val="20"/>
                <w:lang w:val="en-US" w:eastAsia="zh-CN" w:bidi="ar"/>
              </w:rPr>
              <w:t xml:space="preserve">1</w:t>
            </w:r>
            <w:r>
              <w:rPr>
                <w:rFonts w:hint="eastAsia" w:ascii="方正仿宋_GBK" w:hAnsi="方正仿宋_GBK" w:eastAsia="方正仿宋_GBK" w:cs="方正仿宋_GBK"/>
                <w:color w:val="000000"/>
                <w:sz w:val="20"/>
                <w:szCs w:val="20"/>
                <w:lang w:bidi="ar"/>
              </w:rPr>
              <w:t xml:space="preserve">个要点），或内容笼统，未结合本项目实际，可操作性差的得1分，不提供方案的不得分；</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2）施工质量保障措施方案，结合项目实际明确管理体系、技术难点、事前事中事后控制措施等内容</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方案完整，涵盖全部要点，并</w:t>
            </w:r>
            <w:r>
              <w:rPr>
                <w:rFonts w:hint="eastAsia" w:ascii="方正仿宋_GBK" w:hAnsi="方正仿宋_GBK" w:eastAsia="方正仿宋_GBK" w:cs="方正仿宋_GBK"/>
                <w:color w:val="000000"/>
                <w:sz w:val="20"/>
                <w:szCs w:val="20"/>
                <w:lang w:val="en-US" w:eastAsia="zh-CN" w:bidi="ar"/>
              </w:rPr>
              <w:t xml:space="preserve">提供</w:t>
            </w:r>
            <w:r>
              <w:rPr>
                <w:rFonts w:hint="eastAsia" w:ascii="方正仿宋_GBK" w:hAnsi="方正仿宋_GBK" w:eastAsia="方正仿宋_GBK" w:cs="方正仿宋_GBK"/>
                <w:color w:val="000000"/>
                <w:sz w:val="20"/>
                <w:szCs w:val="20"/>
                <w:lang w:bidi="ar"/>
              </w:rPr>
              <w:t xml:space="preserve">针对性措施</w:t>
            </w:r>
            <w:r>
              <w:rPr>
                <w:rFonts w:hint="eastAsia" w:ascii="方正仿宋_GBK" w:hAnsi="方正仿宋_GBK" w:eastAsia="方正仿宋_GBK" w:cs="方正仿宋_GBK"/>
                <w:color w:val="000000"/>
                <w:sz w:val="20"/>
                <w:szCs w:val="20"/>
                <w:lang w:val="en-US" w:eastAsia="zh-CN" w:bidi="ar"/>
              </w:rPr>
              <w:t xml:space="preserve">的</w:t>
            </w:r>
            <w:r>
              <w:rPr>
                <w:rFonts w:hint="eastAsia" w:ascii="方正仿宋_GBK" w:hAnsi="方正仿宋_GBK" w:eastAsia="方正仿宋_GBK" w:cs="方正仿宋_GBK"/>
                <w:color w:val="000000"/>
                <w:sz w:val="20"/>
                <w:szCs w:val="20"/>
                <w:lang w:bidi="ar"/>
              </w:rPr>
              <w:t xml:space="preserve">得2分，方案有缺失（缺任</w:t>
            </w:r>
            <w:r>
              <w:rPr>
                <w:rFonts w:hint="eastAsia" w:ascii="方正仿宋_GBK" w:hAnsi="方正仿宋_GBK" w:eastAsia="方正仿宋_GBK" w:cs="方正仿宋_GBK"/>
                <w:color w:val="000000"/>
                <w:sz w:val="20"/>
                <w:szCs w:val="20"/>
                <w:lang w:val="en-US" w:eastAsia="zh-CN" w:bidi="ar"/>
              </w:rPr>
              <w:t xml:space="preserve">1</w:t>
            </w:r>
            <w:r>
              <w:rPr>
                <w:rFonts w:hint="eastAsia" w:ascii="方正仿宋_GBK" w:hAnsi="方正仿宋_GBK" w:eastAsia="方正仿宋_GBK" w:cs="方正仿宋_GBK"/>
                <w:color w:val="000000"/>
                <w:sz w:val="20"/>
                <w:szCs w:val="20"/>
                <w:lang w:bidi="ar"/>
              </w:rPr>
              <w:t xml:space="preserve">个要点），或内容笼统，未结合本项目实际，可操作性差的得1分，不提供方案的不得分；</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3）售后维护方案，结合项目实际说明维护服务内容、维护计划等内容</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方案完整，涵盖全部要点，并</w:t>
            </w:r>
            <w:r>
              <w:rPr>
                <w:rFonts w:hint="eastAsia" w:ascii="方正仿宋_GBK" w:hAnsi="方正仿宋_GBK" w:eastAsia="方正仿宋_GBK" w:cs="方正仿宋_GBK"/>
                <w:color w:val="000000"/>
                <w:sz w:val="20"/>
                <w:szCs w:val="20"/>
                <w:lang w:val="en-US" w:eastAsia="zh-CN" w:bidi="ar"/>
              </w:rPr>
              <w:t xml:space="preserve">提供</w:t>
            </w:r>
            <w:r>
              <w:rPr>
                <w:rFonts w:hint="eastAsia" w:ascii="方正仿宋_GBK" w:hAnsi="方正仿宋_GBK" w:eastAsia="方正仿宋_GBK" w:cs="方正仿宋_GBK"/>
                <w:color w:val="000000"/>
                <w:sz w:val="20"/>
                <w:szCs w:val="20"/>
                <w:lang w:bidi="ar"/>
              </w:rPr>
              <w:t xml:space="preserve">针对性措施</w:t>
            </w:r>
            <w:r>
              <w:rPr>
                <w:rFonts w:hint="eastAsia" w:ascii="方正仿宋_GBK" w:hAnsi="方正仿宋_GBK" w:eastAsia="方正仿宋_GBK" w:cs="方正仿宋_GBK"/>
                <w:color w:val="000000"/>
                <w:sz w:val="20"/>
                <w:szCs w:val="20"/>
                <w:lang w:val="en-US" w:eastAsia="zh-CN" w:bidi="ar"/>
              </w:rPr>
              <w:t xml:space="preserve">的</w:t>
            </w:r>
            <w:r>
              <w:rPr>
                <w:rFonts w:hint="eastAsia" w:ascii="方正仿宋_GBK" w:hAnsi="方正仿宋_GBK" w:eastAsia="方正仿宋_GBK" w:cs="方正仿宋_GBK"/>
                <w:color w:val="000000"/>
                <w:sz w:val="20"/>
                <w:szCs w:val="20"/>
                <w:lang w:bidi="ar"/>
              </w:rPr>
              <w:t xml:space="preserve">得2分，方案有缺失（缺任</w:t>
            </w:r>
            <w:r>
              <w:rPr>
                <w:rFonts w:hint="eastAsia" w:ascii="方正仿宋_GBK" w:hAnsi="方正仿宋_GBK" w:eastAsia="方正仿宋_GBK" w:cs="方正仿宋_GBK"/>
                <w:color w:val="000000"/>
                <w:sz w:val="20"/>
                <w:szCs w:val="20"/>
                <w:lang w:val="en-US" w:eastAsia="zh-CN" w:bidi="ar"/>
              </w:rPr>
              <w:t xml:space="preserve">1</w:t>
            </w:r>
            <w:r>
              <w:rPr>
                <w:rFonts w:hint="eastAsia" w:ascii="方正仿宋_GBK" w:hAnsi="方正仿宋_GBK" w:eastAsia="方正仿宋_GBK" w:cs="方正仿宋_GBK"/>
                <w:color w:val="000000"/>
                <w:sz w:val="20"/>
                <w:szCs w:val="20"/>
                <w:lang w:bidi="ar"/>
              </w:rPr>
              <w:t xml:space="preserve">个要点），或内容笼统，未结合本项目实际，可操作性差的得1分，不提供方案的不得分。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6</w:t>
            </w:r>
            <w:r>
              <w:rPr>
                <w:rFonts w:hint="eastAsia" w:ascii="方正仿宋_GBK" w:hAnsi="方正仿宋_GBK" w:eastAsia="方正仿宋_GBK" w:cs="方正仿宋_GBK"/>
                <w:b/>
                <w:sz w:val="20"/>
                <w:szCs w:val="20"/>
              </w:rPr>
            </w:r>
            <w:r/>
          </w:p>
        </w:tc>
        <w:tc>
          <w:tcPr>
            <w:tcW w:w="885"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主观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系统对接方案</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11"/>
              <w:jc w:val="left"/>
              <w:widowControl/>
              <w:rPr>
                <w:rFonts w:hint="eastAsia" w:ascii="方正仿宋_GBK" w:hAnsi="方正仿宋_GBK" w:eastAsia="方正仿宋_GBK" w:cs="方正仿宋_GBK"/>
                <w:color w:val="000000"/>
                <w:sz w:val="20"/>
                <w:szCs w:val="20"/>
                <w:highlight w:val="none"/>
                <w:lang w:bidi="ar"/>
              </w:rPr>
            </w:pPr>
            <w:r>
              <w:rPr>
                <w:rFonts w:hint="eastAsia" w:ascii="方正仿宋_GBK" w:hAnsi="方正仿宋_GBK" w:eastAsia="方正仿宋_GBK" w:cs="方正仿宋_GBK"/>
                <w:color w:val="000000"/>
                <w:sz w:val="20"/>
                <w:szCs w:val="20"/>
                <w:lang w:bidi="ar"/>
              </w:rPr>
              <w:t xml:space="preserve">投标人根据本项目需求，提供安防平台、数字法</w:t>
            </w:r>
            <w:r>
              <w:rPr>
                <w:rFonts w:hint="eastAsia" w:ascii="方正仿宋_GBK" w:hAnsi="方正仿宋_GBK" w:eastAsia="方正仿宋_GBK" w:cs="方正仿宋_GBK"/>
                <w:color w:val="000000"/>
                <w:sz w:val="20"/>
                <w:szCs w:val="20"/>
                <w:highlight w:val="none"/>
                <w:lang w:bidi="ar"/>
              </w:rPr>
              <w:t xml:space="preserve">庭、语音转写系统对接方案。</w:t>
            </w:r>
            <w:r>
              <w:rPr>
                <w:rFonts w:hint="eastAsia" w:ascii="方正仿宋_GBK" w:hAnsi="方正仿宋_GBK" w:eastAsia="方正仿宋_GBK" w:cs="方正仿宋_GBK"/>
                <w:color w:val="000000"/>
                <w:sz w:val="20"/>
                <w:szCs w:val="20"/>
                <w:highlight w:val="none"/>
                <w:lang w:bidi="ar"/>
              </w:rPr>
            </w:r>
            <w:r/>
          </w:p>
          <w:p>
            <w:pPr>
              <w:pStyle w:val="911"/>
              <w:numPr>
                <w:ilvl w:val="0"/>
                <w:numId w:val="25"/>
              </w:numPr>
              <w:jc w:val="left"/>
              <w:widowControl/>
              <w:rPr>
                <w:rFonts w:hint="eastAsia" w:ascii="方正仿宋_GBK" w:hAnsi="方正仿宋_GBK" w:eastAsia="方正仿宋_GBK" w:cs="方正仿宋_GBK"/>
                <w:color w:val="000000"/>
                <w:sz w:val="20"/>
                <w:szCs w:val="20"/>
                <w:highlight w:val="none"/>
                <w:lang w:bidi="ar"/>
              </w:rPr>
            </w:pPr>
            <w:r>
              <w:rPr>
                <w:rFonts w:hint="eastAsia" w:ascii="方正仿宋_GBK" w:hAnsi="方正仿宋_GBK" w:eastAsia="方正仿宋_GBK" w:cs="方正仿宋_GBK"/>
                <w:color w:val="000000"/>
                <w:sz w:val="20"/>
                <w:szCs w:val="20"/>
                <w:highlight w:val="none"/>
                <w:lang w:bidi="ar"/>
              </w:rPr>
              <w:t xml:space="preserve">安防平台对接方案，包含但不限于对接范围、接口清单、数据流向及功能对应关系，内容完整、无缺项漏项、切实可行、具备实施条件的得1分；内容完整、无缺项漏项、方案基本可行但个别环节可行性不足的得0.5分；内容缺失的或未提供的不得分；</w:t>
            </w:r>
            <w:r>
              <w:rPr>
                <w:rFonts w:hint="eastAsia" w:ascii="方正仿宋_GBK" w:hAnsi="方正仿宋_GBK" w:eastAsia="方正仿宋_GBK" w:cs="方正仿宋_GBK"/>
                <w:color w:val="000000"/>
                <w:sz w:val="20"/>
                <w:szCs w:val="20"/>
                <w:highlight w:val="none"/>
                <w:lang w:bidi="ar"/>
              </w:rPr>
              <w:br w:type="textWrapping" w:clear="all"/>
            </w:r>
            <w:r>
              <w:rPr>
                <w:rFonts w:hint="eastAsia" w:ascii="方正仿宋_GBK" w:hAnsi="方正仿宋_GBK" w:eastAsia="方正仿宋_GBK" w:cs="方正仿宋_GBK"/>
                <w:color w:val="000000"/>
                <w:sz w:val="20"/>
                <w:szCs w:val="20"/>
                <w:highlight w:val="none"/>
                <w:lang w:bidi="ar"/>
              </w:rPr>
              <w:t xml:space="preserve">2）数字法庭对接方案，包含但不限于对接范围、接口清单、数据流向及功能对应关系，内容完整、无缺项漏项、切实可行、具备实施条件的得1分；内容完整、无缺项漏项、方案基本可行但个别环节可行性不足的得0.5分；内容缺失的或未提供的不得分；</w:t>
            </w:r>
            <w:r>
              <w:rPr>
                <w:rFonts w:hint="eastAsia" w:ascii="方正仿宋_GBK" w:hAnsi="方正仿宋_GBK" w:eastAsia="方正仿宋_GBK" w:cs="方正仿宋_GBK"/>
                <w:color w:val="000000"/>
                <w:sz w:val="20"/>
                <w:szCs w:val="20"/>
                <w:highlight w:val="none"/>
                <w:lang w:bidi="ar"/>
              </w:rPr>
            </w:r>
            <w:r/>
          </w:p>
          <w:p>
            <w:pPr>
              <w:pStyle w:val="91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highlight w:val="none"/>
                <w:lang w:bidi="ar"/>
              </w:rPr>
              <w:t xml:space="preserve">3）语音转写系统对接方案，包含但不限于对接范围、接口清单、数据流向及功能对应关系，内容完整、无缺项漏项、切实可行、具备实施条件的得1分；内容完整、无缺项漏项、方案基本可行但个别环节可行性不足的得0.5分；内容缺失的或未提供的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3</w:t>
            </w:r>
            <w:r>
              <w:rPr>
                <w:rFonts w:hint="eastAsia" w:ascii="方正仿宋_GBK" w:hAnsi="方正仿宋_GBK" w:eastAsia="方正仿宋_GBK" w:cs="方正仿宋_GBK"/>
                <w:b/>
                <w:sz w:val="20"/>
                <w:szCs w:val="20"/>
              </w:rPr>
            </w:r>
            <w:r/>
          </w:p>
        </w:tc>
        <w:tc>
          <w:tcPr>
            <w:tcW w:w="885"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主观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售后承诺</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1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响应时间：1小时内响应、一般故障24小时内修复，重大故障48小时内修复，若48小时内无法修复则48小时内提供相应备件服务。提供承诺书的得</w:t>
            </w:r>
            <w:r>
              <w:rPr>
                <w:rFonts w:hint="eastAsia" w:ascii="方正仿宋_GBK" w:hAnsi="方正仿宋_GBK" w:eastAsia="方正仿宋_GBK" w:cs="方正仿宋_GBK"/>
                <w:color w:val="000000"/>
                <w:sz w:val="20"/>
                <w:szCs w:val="20"/>
                <w:lang w:val="en-US" w:eastAsia="zh-CN" w:bidi="ar"/>
              </w:rPr>
              <w:t xml:space="preserve">2</w:t>
            </w:r>
            <w:r>
              <w:rPr>
                <w:rFonts w:hint="eastAsia" w:ascii="方正仿宋_GBK" w:hAnsi="方正仿宋_GBK" w:eastAsia="方正仿宋_GBK" w:cs="方正仿宋_GBK"/>
                <w:color w:val="000000"/>
                <w:sz w:val="20"/>
                <w:szCs w:val="20"/>
                <w:lang w:bidi="ar"/>
              </w:rPr>
              <w:t xml:space="preserve">分，不提供不得分。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lang w:eastAsia="zh-CN"/>
              </w:rPr>
            </w:pPr>
            <w:r>
              <w:rPr>
                <w:rFonts w:hint="eastAsia" w:ascii="方正仿宋_GBK" w:hAnsi="方正仿宋_GBK" w:eastAsia="方正仿宋_GBK" w:cs="方正仿宋_GBK"/>
                <w:b/>
                <w:sz w:val="20"/>
                <w:szCs w:val="20"/>
                <w:lang w:val="en-US" w:eastAsia="zh-CN"/>
              </w:rPr>
              <w:t xml:space="preserve">2</w:t>
            </w:r>
            <w:r>
              <w:rPr>
                <w:rFonts w:hint="eastAsia" w:ascii="方正仿宋_GBK" w:hAnsi="方正仿宋_GBK" w:eastAsia="方正仿宋_GBK" w:cs="方正仿宋_GBK"/>
                <w:b/>
                <w:sz w:val="20"/>
                <w:szCs w:val="20"/>
                <w:lang w:eastAsia="zh-CN"/>
              </w:rPr>
            </w:r>
            <w:r/>
          </w:p>
        </w:tc>
        <w:tc>
          <w:tcPr>
            <w:tcW w:w="885"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客观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培训方案</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1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投标人根据本项目的需求，提供详细的项目培训方案。方案内容以系统操作为主，包括但不限于①培训方式及培训内容，②培训对象、课时安排、师资力量安排，③培训方案</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设计合理、培训内容全面、培训方式灵活</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在质保期内提供每年培训一次</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方案完整，可行性高，涵盖所有要点的得</w:t>
            </w:r>
            <w:r>
              <w:rPr>
                <w:rFonts w:hint="eastAsia" w:ascii="方正仿宋_GBK" w:hAnsi="方正仿宋_GBK" w:eastAsia="方正仿宋_GBK" w:cs="方正仿宋_GBK"/>
                <w:color w:val="000000"/>
                <w:sz w:val="20"/>
                <w:szCs w:val="20"/>
                <w:lang w:val="en-US" w:eastAsia="zh-CN" w:bidi="ar"/>
              </w:rPr>
              <w:t xml:space="preserve">3</w:t>
            </w:r>
            <w:r>
              <w:rPr>
                <w:rFonts w:hint="eastAsia" w:ascii="方正仿宋_GBK" w:hAnsi="方正仿宋_GBK" w:eastAsia="方正仿宋_GBK" w:cs="方正仿宋_GBK"/>
                <w:color w:val="000000"/>
                <w:sz w:val="20"/>
                <w:szCs w:val="20"/>
                <w:lang w:bidi="ar"/>
              </w:rPr>
              <w:t xml:space="preserve">分</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方案有</w:t>
            </w:r>
            <w:r>
              <w:rPr>
                <w:rFonts w:hint="eastAsia" w:ascii="方正仿宋_GBK" w:hAnsi="方正仿宋_GBK" w:eastAsia="方正仿宋_GBK" w:cs="方正仿宋_GBK"/>
                <w:color w:val="000000"/>
                <w:sz w:val="20"/>
                <w:szCs w:val="20"/>
                <w:lang w:val="en-US" w:eastAsia="zh-CN" w:bidi="ar"/>
              </w:rPr>
              <w:t xml:space="preserve">少量</w:t>
            </w:r>
            <w:r>
              <w:rPr>
                <w:rFonts w:hint="eastAsia" w:ascii="方正仿宋_GBK" w:hAnsi="方正仿宋_GBK" w:eastAsia="方正仿宋_GBK" w:cs="方正仿宋_GBK"/>
                <w:color w:val="000000"/>
                <w:sz w:val="20"/>
                <w:szCs w:val="20"/>
                <w:lang w:bidi="ar"/>
              </w:rPr>
              <w:t xml:space="preserve">缺失，或内容</w:t>
            </w:r>
            <w:r>
              <w:rPr>
                <w:rFonts w:hint="eastAsia" w:ascii="方正仿宋_GBK" w:hAnsi="方正仿宋_GBK" w:eastAsia="方正仿宋_GBK" w:cs="方正仿宋_GBK"/>
                <w:color w:val="000000"/>
                <w:sz w:val="20"/>
                <w:szCs w:val="20"/>
                <w:lang w:val="en-US" w:eastAsia="zh-CN" w:bidi="ar"/>
              </w:rPr>
              <w:t xml:space="preserve">较为</w:t>
            </w:r>
            <w:r>
              <w:rPr>
                <w:rFonts w:hint="eastAsia" w:ascii="方正仿宋_GBK" w:hAnsi="方正仿宋_GBK" w:eastAsia="方正仿宋_GBK" w:cs="方正仿宋_GBK"/>
                <w:color w:val="000000"/>
                <w:sz w:val="20"/>
                <w:szCs w:val="20"/>
                <w:lang w:bidi="ar"/>
              </w:rPr>
              <w:t xml:space="preserve">笼统，</w:t>
            </w:r>
            <w:r>
              <w:rPr>
                <w:rFonts w:hint="eastAsia" w:ascii="方正仿宋_GBK" w:hAnsi="方正仿宋_GBK" w:eastAsia="方正仿宋_GBK" w:cs="方正仿宋_GBK"/>
                <w:color w:val="000000"/>
                <w:sz w:val="20"/>
                <w:szCs w:val="20"/>
                <w:lang w:val="en-US" w:eastAsia="zh-CN" w:bidi="ar"/>
              </w:rPr>
              <w:t xml:space="preserve">与本项目关联性较低</w:t>
            </w:r>
            <w:r>
              <w:rPr>
                <w:rFonts w:hint="eastAsia" w:ascii="方正仿宋_GBK" w:hAnsi="方正仿宋_GBK" w:eastAsia="方正仿宋_GBK" w:cs="方正仿宋_GBK"/>
                <w:color w:val="000000"/>
                <w:sz w:val="20"/>
                <w:szCs w:val="20"/>
                <w:lang w:bidi="ar"/>
              </w:rPr>
              <w:t xml:space="preserve">的得</w:t>
            </w:r>
            <w:r>
              <w:rPr>
                <w:rFonts w:hint="eastAsia" w:ascii="方正仿宋_GBK" w:hAnsi="方正仿宋_GBK" w:eastAsia="方正仿宋_GBK" w:cs="方正仿宋_GBK"/>
                <w:color w:val="000000"/>
                <w:sz w:val="20"/>
                <w:szCs w:val="20"/>
                <w:lang w:val="en-US" w:eastAsia="zh-CN" w:bidi="ar"/>
              </w:rPr>
              <w:t xml:space="preserve">2</w:t>
            </w:r>
            <w:r>
              <w:rPr>
                <w:rFonts w:hint="eastAsia" w:ascii="方正仿宋_GBK" w:hAnsi="方正仿宋_GBK" w:eastAsia="方正仿宋_GBK" w:cs="方正仿宋_GBK"/>
                <w:color w:val="000000"/>
                <w:sz w:val="20"/>
                <w:szCs w:val="20"/>
                <w:lang w:bidi="ar"/>
              </w:rPr>
              <w:t xml:space="preserve">分</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方案有</w:t>
            </w:r>
            <w:r>
              <w:rPr>
                <w:rFonts w:hint="eastAsia" w:ascii="方正仿宋_GBK" w:hAnsi="方正仿宋_GBK" w:eastAsia="方正仿宋_GBK" w:cs="方正仿宋_GBK"/>
                <w:color w:val="000000"/>
                <w:sz w:val="20"/>
                <w:szCs w:val="20"/>
                <w:lang w:val="en-US" w:eastAsia="zh-CN" w:bidi="ar"/>
              </w:rPr>
              <w:t xml:space="preserve">大量</w:t>
            </w:r>
            <w:r>
              <w:rPr>
                <w:rFonts w:hint="eastAsia" w:ascii="方正仿宋_GBK" w:hAnsi="方正仿宋_GBK" w:eastAsia="方正仿宋_GBK" w:cs="方正仿宋_GBK"/>
                <w:color w:val="000000"/>
                <w:sz w:val="20"/>
                <w:szCs w:val="20"/>
                <w:lang w:bidi="ar"/>
              </w:rPr>
              <w:t xml:space="preserve">缺失，或内容笼统，</w:t>
            </w:r>
            <w:r>
              <w:rPr>
                <w:rFonts w:hint="eastAsia" w:ascii="方正仿宋_GBK" w:hAnsi="方正仿宋_GBK" w:eastAsia="方正仿宋_GBK" w:cs="方正仿宋_GBK"/>
                <w:color w:val="000000"/>
                <w:sz w:val="20"/>
                <w:szCs w:val="20"/>
                <w:lang w:val="en-US" w:eastAsia="zh-CN" w:bidi="ar"/>
              </w:rPr>
              <w:t xml:space="preserve">与本项目关联性低，不具备可行性的</w:t>
            </w:r>
            <w:r>
              <w:rPr>
                <w:rFonts w:hint="eastAsia" w:ascii="方正仿宋_GBK" w:hAnsi="方正仿宋_GBK" w:eastAsia="方正仿宋_GBK" w:cs="方正仿宋_GBK"/>
                <w:color w:val="000000"/>
                <w:sz w:val="20"/>
                <w:szCs w:val="20"/>
                <w:lang w:bidi="ar"/>
              </w:rPr>
              <w:t xml:space="preserve">得</w:t>
            </w:r>
            <w:r>
              <w:rPr>
                <w:rFonts w:hint="eastAsia" w:ascii="方正仿宋_GBK" w:hAnsi="方正仿宋_GBK" w:eastAsia="方正仿宋_GBK" w:cs="方正仿宋_GBK"/>
                <w:color w:val="000000"/>
                <w:sz w:val="20"/>
                <w:szCs w:val="20"/>
                <w:lang w:val="en-US" w:eastAsia="zh-CN" w:bidi="ar"/>
              </w:rPr>
              <w:t xml:space="preserve">1分</w:t>
            </w:r>
            <w:r>
              <w:rPr>
                <w:rFonts w:hint="eastAsia" w:ascii="方正仿宋_GBK" w:hAnsi="方正仿宋_GBK" w:eastAsia="方正仿宋_GBK" w:cs="方正仿宋_GBK"/>
                <w:color w:val="000000"/>
                <w:sz w:val="20"/>
                <w:szCs w:val="20"/>
                <w:lang w:bidi="ar"/>
              </w:rPr>
              <w:t xml:space="preserve">，不提供方案的不得分。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lang w:eastAsia="zh-CN"/>
              </w:rPr>
            </w:pPr>
            <w:r>
              <w:rPr>
                <w:rFonts w:hint="eastAsia" w:ascii="方正仿宋_GBK" w:hAnsi="方正仿宋_GBK" w:eastAsia="方正仿宋_GBK" w:cs="方正仿宋_GBK"/>
                <w:b/>
                <w:sz w:val="20"/>
                <w:szCs w:val="20"/>
                <w:lang w:val="en-US" w:eastAsia="zh-CN"/>
              </w:rPr>
              <w:t xml:space="preserve">3</w:t>
            </w:r>
            <w:r>
              <w:rPr>
                <w:rFonts w:hint="eastAsia" w:ascii="方正仿宋_GBK" w:hAnsi="方正仿宋_GBK" w:eastAsia="方正仿宋_GBK" w:cs="方正仿宋_GBK"/>
                <w:b/>
                <w:sz w:val="20"/>
                <w:szCs w:val="20"/>
                <w:lang w:eastAsia="zh-CN"/>
              </w:rPr>
            </w:r>
            <w:r/>
          </w:p>
        </w:tc>
        <w:tc>
          <w:tcPr>
            <w:tcW w:w="885"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主观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1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节能环保</w:t>
            </w:r>
            <w:r>
              <w:rPr>
                <w:rFonts w:hint="eastAsia" w:ascii="方正仿宋_GBK" w:hAnsi="方正仿宋_GBK" w:eastAsia="方正仿宋_GBK" w:cs="方正仿宋_GBK"/>
                <w:b/>
                <w:sz w:val="20"/>
                <w:szCs w:val="20"/>
              </w:rPr>
            </w:r>
            <w:r/>
          </w:p>
        </w:tc>
        <w:tc>
          <w:tcPr>
            <w:tcW w:w="4425" w:type="dxa"/>
            <w:vAlign w:val="top"/>
            <w:textDirection w:val="lrTb"/>
            <w:noWrap w:val="false"/>
          </w:tcPr>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方正仿宋_GBK" w:hAnsi="方正仿宋_GBK" w:eastAsia="方正仿宋_GBK" w:cs="方正仿宋_GBK"/>
                <w:color w:val="000000"/>
                <w:sz w:val="20"/>
                <w:szCs w:val="20"/>
                <w:lang w:bidi="ar"/>
              </w:rPr>
            </w:r>
            <w:r/>
          </w:p>
          <w:p>
            <w:pPr>
              <w:pStyle w:val="91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2</w:t>
            </w:r>
            <w:r>
              <w:rPr>
                <w:rFonts w:hint="eastAsia" w:ascii="方正仿宋_GBK" w:hAnsi="方正仿宋_GBK" w:eastAsia="方正仿宋_GBK" w:cs="方正仿宋_GBK"/>
                <w:b/>
                <w:sz w:val="20"/>
                <w:szCs w:val="20"/>
              </w:rPr>
            </w:r>
            <w:r/>
          </w:p>
        </w:tc>
        <w:tc>
          <w:tcPr>
            <w:tcW w:w="885"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客观</w:t>
            </w:r>
            <w:r>
              <w:rPr>
                <w:rFonts w:hint="eastAsia" w:ascii="方正仿宋_GBK" w:hAnsi="方正仿宋_GBK" w:eastAsia="方正仿宋_GBK" w:cs="方正仿宋_GBK"/>
                <w:b/>
                <w:sz w:val="20"/>
                <w:szCs w:val="20"/>
              </w:rPr>
            </w:r>
            <w:r/>
          </w:p>
        </w:tc>
      </w:tr>
    </w:tbl>
    <w:p>
      <w:pPr>
        <w:pStyle w:val="911"/>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911"/>
        <w:numPr>
          <w:ilvl w:val="0"/>
          <w:numId w:val="24"/>
        </w:numPr>
        <w:ind w:firstLine="562"/>
        <w:jc w:val="left"/>
        <w:spacing w:before="120" w:after="120" w:line="480" w:lineRule="exact"/>
        <w:tabs>
          <w:tab w:val="left" w:pos="312" w:leader="none"/>
        </w:tabs>
        <w:rPr>
          <w:rFonts w:hint="eastAsia" w:ascii="仿宋" w:hAnsi="仿宋" w:eastAsia="仿宋"/>
          <w:sz w:val="28"/>
          <w:szCs w:val="28"/>
          <w:highlight w:val="none"/>
        </w:rPr>
      </w:pP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3"/>
        <w:gridCol w:w="4013"/>
        <w:gridCol w:w="966"/>
        <w:gridCol w:w="1050"/>
        <w:gridCol w:w="1173"/>
      </w:tblGrid>
      <w:tr>
        <w:trPr/>
        <w:tc>
          <w:tcPr>
            <w:tcW w:w="959"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序号</w:t>
            </w:r>
            <w:r>
              <w:rPr>
                <w:rFonts w:hint="eastAsia" w:ascii="方正仿宋_GBK" w:hAnsi="方正仿宋_GBK" w:eastAsia="方正仿宋_GBK" w:cs="方正仿宋_GBK"/>
                <w:b/>
                <w:sz w:val="20"/>
                <w:szCs w:val="20"/>
                <w:highlight w:val="none"/>
              </w:rPr>
            </w:r>
            <w:r/>
          </w:p>
        </w:tc>
        <w:tc>
          <w:tcPr>
            <w:tcW w:w="1303"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评分点名称</w:t>
            </w:r>
            <w:r>
              <w:rPr>
                <w:rFonts w:hint="eastAsia" w:ascii="方正仿宋_GBK" w:hAnsi="方正仿宋_GBK" w:eastAsia="方正仿宋_GBK" w:cs="方正仿宋_GBK"/>
                <w:b/>
                <w:sz w:val="20"/>
                <w:szCs w:val="20"/>
                <w:highlight w:val="none"/>
              </w:rPr>
            </w:r>
            <w:r/>
          </w:p>
        </w:tc>
        <w:tc>
          <w:tcPr>
            <w:tcW w:w="4013"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评审标准</w:t>
            </w:r>
            <w:r>
              <w:rPr>
                <w:rFonts w:hint="eastAsia" w:ascii="方正仿宋_GBK" w:hAnsi="方正仿宋_GBK" w:eastAsia="方正仿宋_GBK" w:cs="方正仿宋_GBK"/>
                <w:b/>
                <w:sz w:val="20"/>
                <w:szCs w:val="20"/>
                <w:highlight w:val="none"/>
              </w:rPr>
            </w:r>
            <w:r/>
          </w:p>
        </w:tc>
        <w:tc>
          <w:tcPr>
            <w:tcW w:w="966"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最高分</w:t>
            </w:r>
            <w:r>
              <w:rPr>
                <w:rFonts w:hint="eastAsia" w:ascii="方正仿宋_GBK" w:hAnsi="方正仿宋_GBK" w:eastAsia="方正仿宋_GBK" w:cs="方正仿宋_GBK"/>
                <w:b/>
                <w:sz w:val="20"/>
                <w:szCs w:val="20"/>
                <w:highlight w:val="none"/>
              </w:rPr>
            </w:r>
            <w:r/>
          </w:p>
        </w:tc>
        <w:tc>
          <w:tcPr>
            <w:tcW w:w="1050"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最低分</w:t>
            </w:r>
            <w:r>
              <w:rPr>
                <w:rFonts w:hint="eastAsia" w:ascii="方正仿宋_GBK" w:hAnsi="方正仿宋_GBK" w:eastAsia="方正仿宋_GBK" w:cs="方正仿宋_GBK"/>
                <w:b/>
                <w:sz w:val="20"/>
                <w:szCs w:val="20"/>
                <w:highlight w:val="none"/>
              </w:rPr>
            </w:r>
            <w:r/>
          </w:p>
        </w:tc>
        <w:tc>
          <w:tcPr>
            <w:tcW w:w="1173"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主/客观分</w:t>
            </w:r>
            <w:r>
              <w:rPr>
                <w:rFonts w:hint="eastAsia" w:ascii="方正仿宋_GBK" w:hAnsi="方正仿宋_GBK" w:eastAsia="方正仿宋_GBK" w:cs="方正仿宋_GBK"/>
                <w:b/>
                <w:sz w:val="20"/>
                <w:szCs w:val="20"/>
                <w:highlight w:val="none"/>
              </w:rPr>
            </w:r>
            <w:r/>
          </w:p>
        </w:tc>
      </w:tr>
      <w:tr>
        <w:trPr/>
        <w:tc>
          <w:tcPr>
            <w:tcW w:w="959" w:type="dxa"/>
            <w:vAlign w:val="center"/>
            <w:textDirection w:val="lrTb"/>
            <w:noWrap w:val="false"/>
          </w:tcPr>
          <w:p>
            <w:pPr>
              <w:pStyle w:val="911"/>
              <w:jc w:val="center"/>
              <w:keepLines w:val="0"/>
              <w:keepNext w:val="0"/>
              <w:widowControl/>
              <w:rPr>
                <w:rFonts w:hint="eastAsia" w:ascii="方正仿宋_GBK" w:hAnsi="方正仿宋_GBK" w:eastAsia="方正仿宋_GBK" w:cs="方正仿宋_GBK"/>
                <w:b w:val="0"/>
                <w:bCs w:val="0"/>
                <w:sz w:val="20"/>
                <w:szCs w:val="20"/>
                <w:highlight w:val="none"/>
              </w:rPr>
              <w:suppressLineNumbers w:val="0"/>
            </w:pPr>
            <w:r>
              <w:rPr>
                <w:rFonts w:hint="eastAsia" w:ascii="方正仿宋_GBK" w:hAnsi="方正仿宋_GBK" w:eastAsia="方正仿宋_GBK" w:cs="方正仿宋_GBK"/>
                <w:b w:val="0"/>
                <w:bCs w:val="0"/>
                <w:i w:val="0"/>
                <w:iCs w:val="0"/>
                <w:color w:val="000000"/>
                <w:sz w:val="20"/>
                <w:szCs w:val="20"/>
                <w:u w:val="none"/>
                <w:lang w:val="en-US" w:eastAsia="zh-CN" w:bidi="ar"/>
              </w:rPr>
              <w:t xml:space="preserve">1</w:t>
            </w:r>
            <w:r>
              <w:rPr>
                <w:rFonts w:hint="eastAsia" w:ascii="方正仿宋_GBK" w:hAnsi="方正仿宋_GBK" w:eastAsia="方正仿宋_GBK" w:cs="方正仿宋_GBK"/>
                <w:b w:val="0"/>
                <w:bCs w:val="0"/>
                <w:sz w:val="20"/>
                <w:szCs w:val="20"/>
                <w:highlight w:val="none"/>
              </w:rPr>
            </w:r>
            <w:r/>
          </w:p>
        </w:tc>
        <w:tc>
          <w:tcPr>
            <w:tcW w:w="1303" w:type="dxa"/>
            <w:vAlign w:val="center"/>
            <w:textDirection w:val="lrTb"/>
            <w:noWrap w:val="false"/>
          </w:tcPr>
          <w:p>
            <w:pPr>
              <w:pStyle w:val="911"/>
              <w:jc w:val="center"/>
              <w:keepLines w:val="0"/>
              <w:keepNext w:val="0"/>
              <w:widowControl/>
              <w:rPr>
                <w:rFonts w:hint="eastAsia" w:ascii="方正仿宋_GBK" w:hAnsi="方正仿宋_GBK" w:eastAsia="方正仿宋_GBK" w:cs="方正仿宋_GBK"/>
                <w:b w:val="0"/>
                <w:bCs w:val="0"/>
                <w:sz w:val="20"/>
                <w:szCs w:val="20"/>
                <w:highlight w:val="none"/>
              </w:rPr>
              <w:suppressLineNumbers w:val="0"/>
            </w:pPr>
            <w:r>
              <w:rPr>
                <w:rFonts w:hint="eastAsia" w:ascii="方正仿宋_GBK" w:hAnsi="方正仿宋_GBK" w:eastAsia="方正仿宋_GBK" w:cs="方正仿宋_GBK"/>
                <w:b w:val="0"/>
                <w:bCs w:val="0"/>
                <w:i w:val="0"/>
                <w:iCs w:val="0"/>
                <w:color w:val="000000"/>
                <w:sz w:val="20"/>
                <w:szCs w:val="20"/>
                <w:u w:val="none"/>
                <w:lang w:val="en-US" w:eastAsia="zh-CN" w:bidi="ar"/>
              </w:rPr>
              <w:t xml:space="preserve">项目团队</w:t>
            </w:r>
            <w:r>
              <w:rPr>
                <w:rFonts w:hint="eastAsia" w:ascii="方正仿宋_GBK" w:hAnsi="方正仿宋_GBK" w:eastAsia="方正仿宋_GBK" w:cs="方正仿宋_GBK"/>
                <w:b w:val="0"/>
                <w:bCs w:val="0"/>
                <w:sz w:val="20"/>
                <w:szCs w:val="20"/>
                <w:highlight w:val="none"/>
              </w:rPr>
            </w:r>
            <w:r/>
          </w:p>
        </w:tc>
        <w:tc>
          <w:tcPr>
            <w:tcW w:w="4013" w:type="dxa"/>
            <w:vAlign w:val="center"/>
            <w:textDirection w:val="lrTb"/>
            <w:noWrap w:val="false"/>
          </w:tcPr>
          <w:p>
            <w:pPr>
              <w:pStyle w:val="911"/>
              <w:jc w:val="left"/>
              <w:keepLines w:val="0"/>
              <w:keepNext w:val="0"/>
              <w:spacing w:line="240" w:lineRule="auto"/>
              <w:widowControl/>
              <w:rPr>
                <w:rFonts w:hint="eastAsia" w:ascii="方正仿宋_GBK" w:hAnsi="方正仿宋_GBK" w:eastAsia="方正仿宋_GBK" w:cs="方正仿宋_GBK"/>
                <w:b/>
                <w:sz w:val="20"/>
                <w:szCs w:val="20"/>
                <w:highlight w:val="none"/>
              </w:rPr>
              <w:suppressLineNumbers w:val="0"/>
            </w:pPr>
            <w:r>
              <w:rPr>
                <w:rFonts w:hint="eastAsia" w:ascii="方正仿宋_GBK" w:hAnsi="方正仿宋_GBK" w:eastAsia="方正仿宋_GBK" w:cs="方正仿宋_GBK"/>
                <w:i w:val="0"/>
                <w:iCs w:val="0"/>
                <w:color w:val="000000"/>
                <w:sz w:val="20"/>
                <w:szCs w:val="20"/>
                <w:highlight w:val="none"/>
                <w:u w:val="none"/>
                <w:lang w:val="en-US" w:eastAsia="zh-CN" w:bidi="ar"/>
              </w:rPr>
              <w:t xml:space="preserve">投标人拟投入本项目的团队成员，具有信息系统项目管理师、网络工程师、系统集成项目管理工程师、信息安全工程师证书的，每提供一个得2分，最高得8分，每类证书提供多份的不重复计分，未提供不得分。</w:t>
            </w:r>
            <w:r>
              <w:rPr>
                <w:rFonts w:hint="eastAsia" w:ascii="方正仿宋_GBK" w:hAnsi="方正仿宋_GBK" w:eastAsia="方正仿宋_GBK" w:cs="方正仿宋_GBK"/>
                <w:i w:val="0"/>
                <w:iCs w:val="0"/>
                <w:color w:val="000000"/>
                <w:sz w:val="20"/>
                <w:szCs w:val="20"/>
                <w:highlight w:val="none"/>
                <w:u w:val="none"/>
                <w:lang w:val="en-US" w:eastAsia="zh-CN" w:bidi="ar"/>
              </w:rPr>
              <w:br w:type="textWrapping" w:clear="all"/>
            </w:r>
            <w:r>
              <w:rPr>
                <w:rFonts w:hint="eastAsia" w:ascii="方正仿宋_GBK" w:hAnsi="方正仿宋_GBK" w:eastAsia="方正仿宋_GBK" w:cs="方正仿宋_GBK"/>
                <w:i w:val="0"/>
                <w:iCs w:val="0"/>
                <w:color w:val="000000"/>
                <w:sz w:val="20"/>
                <w:szCs w:val="20"/>
                <w:highlight w:val="none"/>
                <w:u w:val="none"/>
                <w:lang w:val="en-US" w:eastAsia="zh-CN" w:bidi="ar"/>
              </w:rPr>
              <w:t xml:space="preserve">（须提供投标人为其缴纳的近6个月中至少1个月社保证明复印件）</w:t>
            </w:r>
            <w:r>
              <w:rPr>
                <w:rFonts w:hint="eastAsia" w:ascii="方正仿宋_GBK" w:hAnsi="方正仿宋_GBK" w:eastAsia="方正仿宋_GBK" w:cs="方正仿宋_GBK"/>
                <w:b/>
                <w:sz w:val="20"/>
                <w:szCs w:val="20"/>
                <w:highlight w:val="none"/>
              </w:rPr>
            </w:r>
            <w:r/>
          </w:p>
        </w:tc>
        <w:tc>
          <w:tcPr>
            <w:tcW w:w="966"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8</w:t>
            </w:r>
            <w:r>
              <w:rPr>
                <w:rFonts w:hint="eastAsia" w:ascii="方正仿宋_GBK" w:hAnsi="方正仿宋_GBK" w:eastAsia="方正仿宋_GBK" w:cs="方正仿宋_GBK"/>
                <w:b/>
                <w:sz w:val="20"/>
                <w:szCs w:val="20"/>
                <w:highlight w:val="none"/>
                <w:lang w:val="en-US" w:eastAsia="zh-CN"/>
              </w:rPr>
            </w:r>
            <w:r/>
          </w:p>
        </w:tc>
        <w:tc>
          <w:tcPr>
            <w:tcW w:w="1050"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0</w:t>
            </w:r>
            <w:r>
              <w:rPr>
                <w:rFonts w:hint="eastAsia" w:ascii="方正仿宋_GBK" w:hAnsi="方正仿宋_GBK" w:eastAsia="方正仿宋_GBK" w:cs="方正仿宋_GBK"/>
                <w:b/>
                <w:sz w:val="20"/>
                <w:szCs w:val="20"/>
                <w:highlight w:val="none"/>
                <w:lang w:val="en-US" w:eastAsia="zh-CN"/>
              </w:rPr>
            </w:r>
            <w:r/>
          </w:p>
        </w:tc>
        <w:tc>
          <w:tcPr>
            <w:tcW w:w="1173"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客观</w:t>
            </w:r>
            <w:r>
              <w:rPr>
                <w:rFonts w:hint="eastAsia" w:ascii="方正仿宋_GBK" w:hAnsi="方正仿宋_GBK" w:eastAsia="方正仿宋_GBK" w:cs="方正仿宋_GBK"/>
                <w:b/>
                <w:sz w:val="20"/>
                <w:szCs w:val="20"/>
                <w:highlight w:val="none"/>
                <w:lang w:val="en-US" w:eastAsia="zh-CN"/>
              </w:rPr>
            </w:r>
            <w:r/>
          </w:p>
        </w:tc>
      </w:tr>
      <w:tr>
        <w:trPr/>
        <w:tc>
          <w:tcPr>
            <w:tcW w:w="959"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val="0"/>
                <w:bCs w:val="0"/>
                <w:sz w:val="20"/>
                <w:szCs w:val="20"/>
                <w:highlight w:val="none"/>
                <w:lang w:val="en-US" w:eastAsia="zh-CN"/>
              </w:rPr>
            </w:pPr>
            <w:r>
              <w:rPr>
                <w:rFonts w:hint="eastAsia" w:ascii="方正仿宋_GBK" w:hAnsi="方正仿宋_GBK" w:eastAsia="方正仿宋_GBK" w:cs="方正仿宋_GBK"/>
                <w:b w:val="0"/>
                <w:bCs w:val="0"/>
                <w:sz w:val="20"/>
                <w:szCs w:val="20"/>
                <w:highlight w:val="none"/>
                <w:lang w:val="en-US" w:eastAsia="zh-CN"/>
              </w:rPr>
              <w:t xml:space="preserve">2</w:t>
            </w:r>
            <w:r>
              <w:rPr>
                <w:rFonts w:hint="eastAsia" w:ascii="方正仿宋_GBK" w:hAnsi="方正仿宋_GBK" w:eastAsia="方正仿宋_GBK" w:cs="方正仿宋_GBK"/>
                <w:b w:val="0"/>
                <w:bCs w:val="0"/>
                <w:sz w:val="20"/>
                <w:szCs w:val="20"/>
                <w:highlight w:val="none"/>
                <w:lang w:val="en-US" w:eastAsia="zh-CN"/>
              </w:rPr>
            </w:r>
            <w:r/>
          </w:p>
        </w:tc>
        <w:tc>
          <w:tcPr>
            <w:tcW w:w="1303"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val="0"/>
                <w:bCs w:val="0"/>
                <w:sz w:val="20"/>
                <w:szCs w:val="20"/>
                <w:highlight w:val="none"/>
                <w:lang w:val="en-US" w:eastAsia="zh-CN"/>
              </w:rPr>
            </w:pPr>
            <w:r>
              <w:rPr>
                <w:rFonts w:hint="eastAsia" w:ascii="方正仿宋_GBK" w:hAnsi="方正仿宋_GBK" w:eastAsia="方正仿宋_GBK" w:cs="方正仿宋_GBK"/>
                <w:b w:val="0"/>
                <w:bCs w:val="0"/>
                <w:sz w:val="20"/>
                <w:szCs w:val="20"/>
                <w:highlight w:val="none"/>
                <w:lang w:val="en-US" w:eastAsia="zh-CN"/>
              </w:rPr>
              <w:t xml:space="preserve">企业业绩</w:t>
            </w:r>
            <w:r>
              <w:rPr>
                <w:rFonts w:hint="eastAsia" w:ascii="方正仿宋_GBK" w:hAnsi="方正仿宋_GBK" w:eastAsia="方正仿宋_GBK" w:cs="方正仿宋_GBK"/>
                <w:b w:val="0"/>
                <w:bCs w:val="0"/>
                <w:sz w:val="20"/>
                <w:szCs w:val="20"/>
                <w:highlight w:val="none"/>
                <w:lang w:val="en-US" w:eastAsia="zh-CN"/>
              </w:rPr>
            </w:r>
            <w:r/>
          </w:p>
        </w:tc>
        <w:tc>
          <w:tcPr>
            <w:tcW w:w="4013" w:type="dxa"/>
            <w:vAlign w:val="top"/>
            <w:textDirection w:val="lrTb"/>
            <w:noWrap w:val="false"/>
          </w:tcPr>
          <w:p>
            <w:pPr>
              <w:pStyle w:val="911"/>
              <w:jc w:val="left"/>
              <w:spacing w:before="120" w:after="120" w:line="240" w:lineRule="auto"/>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i w:val="0"/>
                <w:iCs w:val="0"/>
                <w:color w:val="000000"/>
                <w:sz w:val="20"/>
                <w:szCs w:val="20"/>
                <w:highlight w:val="none"/>
                <w:u w:val="none"/>
                <w:lang w:val="en-US" w:eastAsia="zh-CN" w:bidi="ar"/>
              </w:rPr>
              <w:t xml:space="preserve">投标人提供自2023年01月01日（含2023年01月01日，以合同签订时间为准）以来的</w:t>
            </w:r>
            <w:r>
              <w:rPr>
                <w:rFonts w:hint="eastAsia" w:ascii="方正仿宋_GBK" w:hAnsi="方正仿宋_GBK" w:eastAsia="方正仿宋_GBK" w:cs="方正仿宋_GBK"/>
                <w:color w:val="000000"/>
                <w:sz w:val="20"/>
                <w:szCs w:val="20"/>
                <w:highlight w:val="none"/>
                <w:lang w:bidi="ar"/>
              </w:rPr>
              <w:t xml:space="preserve">智能化设备采购</w:t>
            </w:r>
            <w:r>
              <w:rPr>
                <w:rFonts w:hint="eastAsia" w:ascii="方正仿宋_GBK" w:hAnsi="方正仿宋_GBK" w:eastAsia="方正仿宋_GBK" w:cs="方正仿宋_GBK"/>
                <w:i w:val="0"/>
                <w:iCs w:val="0"/>
                <w:color w:val="000000"/>
                <w:sz w:val="20"/>
                <w:szCs w:val="20"/>
                <w:highlight w:val="none"/>
                <w:u w:val="none"/>
                <w:lang w:val="en-US" w:eastAsia="zh-CN" w:bidi="ar"/>
              </w:rPr>
              <w:t xml:space="preserve">项目业绩（含安防监控、多媒体会议、数字法庭、网络交换等任意两类及以上设备），每提供一个得2分，满分6分，未提供的或不符合要求的不得分。</w:t>
            </w:r>
            <w:r>
              <w:rPr>
                <w:rFonts w:hint="eastAsia" w:ascii="方正仿宋_GBK" w:hAnsi="方正仿宋_GBK" w:eastAsia="方正仿宋_GBK" w:cs="方正仿宋_GBK"/>
                <w:i w:val="0"/>
                <w:iCs w:val="0"/>
                <w:color w:val="000000"/>
                <w:sz w:val="20"/>
                <w:szCs w:val="20"/>
                <w:highlight w:val="none"/>
                <w:u w:val="none"/>
                <w:lang w:val="en-US" w:eastAsia="zh-CN" w:bidi="ar"/>
              </w:rPr>
              <w:br w:type="textWrapping" w:clear="all"/>
            </w:r>
            <w:r>
              <w:rPr>
                <w:rFonts w:hint="eastAsia" w:ascii="方正仿宋_GBK" w:hAnsi="方正仿宋_GBK" w:eastAsia="方正仿宋_GBK" w:cs="方正仿宋_GBK"/>
                <w:i w:val="0"/>
                <w:iCs w:val="0"/>
                <w:color w:val="000000"/>
                <w:sz w:val="20"/>
                <w:szCs w:val="20"/>
                <w:highlight w:val="none"/>
                <w:u w:val="none"/>
                <w:lang w:val="en-US" w:eastAsia="zh-CN" w:bidi="ar"/>
              </w:rPr>
              <w:t xml:space="preserve">（须提供合同扫描件，并加盖公章，合同须能反映项目名称、主要标的物，签订时间和签章清晰可见）</w:t>
            </w:r>
            <w:r>
              <w:rPr>
                <w:rFonts w:hint="eastAsia" w:ascii="方正仿宋_GBK" w:hAnsi="方正仿宋_GBK" w:eastAsia="方正仿宋_GBK" w:cs="方正仿宋_GBK"/>
                <w:b/>
                <w:sz w:val="20"/>
                <w:szCs w:val="20"/>
                <w:highlight w:val="none"/>
              </w:rPr>
            </w:r>
            <w:r/>
          </w:p>
        </w:tc>
        <w:tc>
          <w:tcPr>
            <w:tcW w:w="966"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6</w:t>
            </w:r>
            <w:r>
              <w:rPr>
                <w:rFonts w:hint="eastAsia" w:ascii="方正仿宋_GBK" w:hAnsi="方正仿宋_GBK" w:eastAsia="方正仿宋_GBK" w:cs="方正仿宋_GBK"/>
                <w:b/>
                <w:sz w:val="20"/>
                <w:szCs w:val="20"/>
                <w:highlight w:val="none"/>
                <w:lang w:val="en-US" w:eastAsia="zh-CN"/>
              </w:rPr>
            </w:r>
            <w:r/>
          </w:p>
        </w:tc>
        <w:tc>
          <w:tcPr>
            <w:tcW w:w="1050"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0</w:t>
            </w:r>
            <w:r>
              <w:rPr>
                <w:rFonts w:hint="eastAsia" w:ascii="方正仿宋_GBK" w:hAnsi="方正仿宋_GBK" w:eastAsia="方正仿宋_GBK" w:cs="方正仿宋_GBK"/>
                <w:b/>
                <w:sz w:val="20"/>
                <w:szCs w:val="20"/>
                <w:highlight w:val="none"/>
                <w:lang w:val="en-US" w:eastAsia="zh-CN"/>
              </w:rPr>
            </w:r>
            <w:r/>
          </w:p>
        </w:tc>
        <w:tc>
          <w:tcPr>
            <w:tcW w:w="1173" w:type="dxa"/>
            <w:vAlign w:val="center"/>
            <w:textDirection w:val="lrTb"/>
            <w:noWrap w:val="false"/>
          </w:tcPr>
          <w:p>
            <w:pPr>
              <w:pStyle w:val="91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客观</w:t>
            </w:r>
            <w:r>
              <w:rPr>
                <w:rFonts w:hint="eastAsia" w:ascii="方正仿宋_GBK" w:hAnsi="方正仿宋_GBK" w:eastAsia="方正仿宋_GBK" w:cs="方正仿宋_GBK"/>
                <w:b/>
                <w:sz w:val="20"/>
                <w:szCs w:val="20"/>
                <w:highlight w:val="none"/>
                <w:lang w:val="en-US" w:eastAsia="zh-CN"/>
              </w:rPr>
            </w:r>
            <w:r/>
          </w:p>
        </w:tc>
      </w:tr>
    </w:tbl>
    <w:p>
      <w:pPr>
        <w:pStyle w:val="911"/>
        <w:ind w:firstLine="1806"/>
        <w:jc w:val="left"/>
        <w:spacing w:before="120" w:after="120" w:line="480" w:lineRule="exact"/>
        <w:rPr>
          <w:rFonts w:hint="eastAsia" w:ascii="仿宋" w:hAnsi="仿宋" w:eastAsia="仿宋"/>
          <w:sz w:val="28"/>
          <w:szCs w:val="28"/>
          <w:highlight w:val="green"/>
        </w:rPr>
      </w:pPr>
      <w:r>
        <w:rPr>
          <w:rFonts w:hint="eastAsia" w:ascii="仿宋" w:hAnsi="仿宋" w:eastAsia="仿宋"/>
          <w:sz w:val="28"/>
          <w:szCs w:val="28"/>
          <w:highlight w:val="green"/>
        </w:rPr>
      </w:r>
      <w:r/>
    </w:p>
    <w:p>
      <w:pPr>
        <w:pStyle w:val="91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90"/>
      <w:r/>
      <w:bookmarkEnd w:id="191"/>
      <w:r/>
      <w:bookmarkEnd w:id="217"/>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11"/>
        <w:jc w:val="center"/>
        <w:rPr>
          <w:rFonts w:hint="eastAsia" w:ascii="宋体" w:hAnsi="宋体"/>
          <w:b/>
          <w:color w:val="000000"/>
          <w:sz w:val="72"/>
          <w:szCs w:val="21"/>
        </w:rPr>
      </w:pPr>
      <w:r/>
      <w:bookmarkStart w:id="218" w:name="_Hlt26955039"/>
      <w:r/>
      <w:bookmarkEnd w:id="218"/>
      <w:r/>
      <w:bookmarkStart w:id="219" w:name="_Hlt26671244"/>
      <w:r/>
      <w:bookmarkEnd w:id="219"/>
      <w:r/>
      <w:bookmarkStart w:id="220" w:name="_Toc26554094"/>
      <w:r/>
      <w:bookmarkStart w:id="221" w:name="_Toc120614282"/>
      <w:r/>
      <w:bookmarkStart w:id="222" w:name="_Toc49090576"/>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1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1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1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spacing w:line="440" w:lineRule="exact"/>
        <w:rPr>
          <w:rFonts w:ascii="宋体" w:hAnsi="宋体"/>
          <w:color w:val="000000"/>
          <w:szCs w:val="21"/>
        </w:rPr>
      </w:pPr>
      <w:r>
        <w:rPr>
          <w:rFonts w:ascii="宋体" w:hAnsi="宋体"/>
          <w:color w:val="000000"/>
          <w:szCs w:val="21"/>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91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91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条投标人必须在投标文件中提供相关材料，否则作无效投标处理；</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91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911"/>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91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91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3.关于符合本国产品标准的声明函（格式见附件10）</w:t>
      </w:r>
      <w:r>
        <w:rPr>
          <w:rFonts w:hint="eastAsia" w:ascii="仿宋" w:hAnsi="仿宋" w:eastAsia="仿宋" w:cs="Times New Roman"/>
          <w:color w:val="000000"/>
          <w:sz w:val="28"/>
          <w:szCs w:val="28"/>
          <w:highlight w:val="none"/>
          <w:lang w:val="en-US" w:eastAsia="zh-CN" w:bidi="ar-SA"/>
        </w:rPr>
      </w:r>
      <w:r/>
    </w:p>
    <w:p>
      <w:pPr>
        <w:pStyle w:val="91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91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91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91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91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1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91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91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91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911"/>
        <w:spacing w:line="480" w:lineRule="exact"/>
        <w:rPr>
          <w:rFonts w:ascii="仿宋" w:hAnsi="仿宋" w:eastAsia="仿宋"/>
          <w:color w:val="000000"/>
          <w:sz w:val="28"/>
          <w:szCs w:val="28"/>
        </w:rPr>
      </w:pPr>
      <w:r>
        <w:rPr>
          <w:rFonts w:ascii="仿宋" w:hAnsi="仿宋" w:eastAsia="仿宋"/>
          <w:color w:val="000000"/>
          <w:sz w:val="28"/>
          <w:szCs w:val="28"/>
        </w:rPr>
      </w:r>
      <w:r/>
    </w:p>
    <w:p>
      <w:pPr>
        <w:pStyle w:val="911"/>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11"/>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11"/>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911"/>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r>
      <w:tr>
        <w:trPr>
          <w:cantSplit/>
          <w:trHeight w:val="249"/>
        </w:trPr>
        <w:tc>
          <w:tcPr>
            <w:gridSpan w:val="10"/>
            <w:tcW w:w="9263" w:type="dxa"/>
            <w:vAlign w:val="center"/>
            <w:textDirection w:val="lrTb"/>
            <w:noWrap w:val="false"/>
          </w:tcPr>
          <w:p>
            <w:pPr>
              <w:pStyle w:val="911"/>
              <w:spacing w:line="480" w:lineRule="exact"/>
              <w:rPr>
                <w:rFonts w:hint="eastAsia" w:ascii="仿宋" w:hAnsi="仿宋" w:eastAsia="仿宋"/>
                <w:color w:val="000000"/>
                <w:sz w:val="28"/>
                <w:szCs w:val="28"/>
                <w:highlight w:val="none"/>
                <w:lang w:val="en-US" w:eastAsia="zh-CN" w:bidi="ar-SA"/>
              </w:rPr>
            </w:pPr>
            <w:r>
              <w:rPr>
                <w:rFonts w:hint="eastAsia" w:ascii="仿宋" w:hAnsi="仿宋" w:eastAsia="仿宋" w:cs="Times New Roman"/>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color w:val="000000"/>
                <w:sz w:val="28"/>
                <w:szCs w:val="28"/>
                <w:highlight w:val="none"/>
                <w:u w:val="single"/>
              </w:rPr>
              <w:t xml:space="preserve">***</w:t>
            </w:r>
            <w:r>
              <w:rPr>
                <w:rFonts w:hint="eastAsia" w:ascii="仿宋" w:hAnsi="仿宋" w:eastAsia="仿宋" w:cs="Times New Roman"/>
                <w:color w:val="000000"/>
                <w:sz w:val="28"/>
                <w:szCs w:val="28"/>
                <w:highlight w:val="none"/>
              </w:rPr>
              <w:t xml:space="preserve">%。</w:t>
            </w:r>
            <w:r>
              <w:rPr>
                <w:rFonts w:hint="eastAsia" w:ascii="仿宋" w:hAnsi="仿宋" w:eastAsia="仿宋"/>
                <w:color w:val="000000"/>
                <w:sz w:val="28"/>
                <w:szCs w:val="28"/>
                <w:highlight w:val="none"/>
                <w:lang w:val="en-US" w:eastAsia="zh-CN" w:bidi="ar-SA"/>
              </w:rPr>
            </w:r>
            <w:r/>
          </w:p>
        </w:tc>
      </w:tr>
    </w:tbl>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91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rFonts w:hint="eastAsia" w:ascii="仿宋" w:hAnsi="仿宋" w:eastAsia="仿宋"/>
          <w:color w:val="000000"/>
          <w:sz w:val="28"/>
          <w:szCs w:val="28"/>
          <w:highlight w:val="none"/>
        </w:rPr>
      </w:r>
      <w:r/>
    </w:p>
    <w:p>
      <w:pPr>
        <w:pStyle w:val="91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4.投标人需认真填写本报价表，尤其注意规格型号的准确填写。</w:t>
      </w:r>
      <w:r>
        <w:rPr>
          <w:rFonts w:hint="eastAsia" w:ascii="仿宋" w:hAnsi="仿宋" w:eastAsia="仿宋"/>
          <w:color w:val="000000"/>
          <w:sz w:val="28"/>
          <w:szCs w:val="28"/>
          <w:highlight w:val="none"/>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ind w:left="482"/>
        <w:keepLines w:val="0"/>
        <w:keepNext w:val="0"/>
        <w:pageBreakBefore/>
        <w:spacing w:line="480" w:lineRule="exact"/>
        <w:widowControl w:val="off"/>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91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91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1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91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11"/>
        <w:ind w:firstLine="482"/>
        <w:spacing w:line="500" w:lineRule="exact"/>
        <w:rPr>
          <w:rFonts w:hint="eastAsia" w:ascii="宋体" w:hAnsi="宋体"/>
          <w:color w:val="000000"/>
          <w:sz w:val="24"/>
        </w:rPr>
      </w:pPr>
      <w:r>
        <w:rPr>
          <w:rFonts w:hint="eastAsia" w:ascii="宋体" w:hAnsi="宋体"/>
          <w:color w:val="000000"/>
          <w:sz w:val="24"/>
        </w:rPr>
      </w:r>
      <w:r/>
    </w:p>
    <w:p>
      <w:pPr>
        <w:pStyle w:val="911"/>
        <w:spacing w:line="500" w:lineRule="exact"/>
        <w:rPr>
          <w:rFonts w:hint="eastAsia" w:ascii="宋体" w:hAnsi="宋体"/>
          <w:color w:val="000000"/>
          <w:sz w:val="24"/>
        </w:rPr>
      </w:pPr>
      <w:r>
        <w:rPr>
          <w:rFonts w:hint="eastAsia" w:ascii="宋体" w:hAnsi="宋体"/>
          <w:color w:val="000000"/>
          <w:sz w:val="24"/>
        </w:rPr>
      </w:r>
      <w:r/>
    </w:p>
    <w:p>
      <w:pPr>
        <w:pStyle w:val="91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1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1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1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1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1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1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ind w:firstLine="482"/>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1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91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91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91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1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1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91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1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11"/>
        <w:keepLines/>
        <w:keepNext/>
        <w:pageBreakBefore/>
        <w:spacing w:before="260" w:after="260" w:line="480" w:lineRule="exact"/>
        <w:widowControl w:val="off"/>
        <w:rPr>
          <w:rFonts w:ascii="仿宋" w:hAnsi="仿宋" w:eastAsia="仿宋"/>
          <w:b/>
          <w:i/>
          <w:color w:val="000000"/>
          <w:sz w:val="28"/>
          <w:szCs w:val="28"/>
          <w:u w:val="single"/>
        </w:rPr>
        <w:outlineLvl w:val="1"/>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911"/>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91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91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ind w:firstLine="281"/>
        <w:jc w:val="left"/>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1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w:t>
      </w:r>
      <w:r>
        <w:rPr>
          <w:rFonts w:hint="eastAsia" w:ascii="宋体" w:hAnsi="宋体"/>
          <w:sz w:val="24"/>
          <w:szCs w:val="24"/>
        </w:rPr>
        <w:t xml:space="preserve">〔</w:t>
      </w:r>
      <w:r>
        <w:rPr>
          <w:rFonts w:hint="eastAsia" w:ascii="仿宋" w:hAnsi="仿宋" w:eastAsia="仿宋"/>
          <w:color w:val="000000"/>
          <w:sz w:val="28"/>
          <w:szCs w:val="28"/>
        </w:rPr>
        <w:t xml:space="preserve">2020</w:t>
      </w:r>
      <w:r>
        <w:rPr>
          <w:rFonts w:hint="eastAsia" w:ascii="宋体" w:hAnsi="宋体"/>
          <w:sz w:val="24"/>
          <w:szCs w:val="24"/>
        </w:rPr>
        <w:t xml:space="preserve">〕</w:t>
      </w:r>
      <w:r>
        <w:rPr>
          <w:rFonts w:hint="eastAsia" w:ascii="仿宋" w:hAnsi="仿宋" w:eastAsia="仿宋"/>
          <w:color w:val="000000"/>
          <w:sz w:val="28"/>
          <w:szCs w:val="28"/>
        </w:rPr>
        <w:t xml:space="preserve">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w:t>
      </w:r>
      <w:r>
        <w:rPr>
          <w:rFonts w:hint="eastAsia" w:ascii="仿宋" w:hAnsi="仿宋" w:eastAsia="仿宋"/>
          <w:color w:val="000000"/>
          <w:sz w:val="28"/>
          <w:szCs w:val="28"/>
          <w:u w:val="single"/>
        </w:rPr>
        <w:t xml:space="preserve">JSZC</w:t>
      </w:r>
      <w:r>
        <w:rPr>
          <w:rFonts w:ascii="仿宋" w:hAnsi="仿宋" w:eastAsia="仿宋"/>
          <w:color w:val="000000"/>
          <w:sz w:val="28"/>
          <w:szCs w:val="28"/>
          <w:u w:val="single"/>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sz w:val="24"/>
          <w:szCs w:val="24"/>
        </w:rPr>
        <w:t xml:space="preserve">〔</w:t>
      </w:r>
      <w:r>
        <w:rPr>
          <w:rFonts w:hint="eastAsia" w:ascii="仿宋" w:hAnsi="仿宋" w:eastAsia="仿宋"/>
          <w:color w:val="000000"/>
          <w:sz w:val="28"/>
          <w:szCs w:val="28"/>
        </w:rPr>
        <w:t xml:space="preserve">2011</w:t>
      </w:r>
      <w:r>
        <w:rPr>
          <w:rFonts w:hint="eastAsia" w:ascii="宋体" w:hAnsi="宋体"/>
          <w:sz w:val="24"/>
          <w:szCs w:val="24"/>
        </w:rPr>
        <w:t xml:space="preserve">〕</w:t>
      </w:r>
      <w:r>
        <w:rPr>
          <w:rFonts w:hint="eastAsia" w:ascii="仿宋" w:hAnsi="仿宋" w:eastAsia="仿宋"/>
          <w:color w:val="000000"/>
          <w:sz w:val="28"/>
          <w:szCs w:val="28"/>
        </w:rPr>
        <w:t xml:space="preserve">300号)的规定，相关企业（含联合体中的中小微企业、签订分包意向协议的中小微企业）的具体情况如下：</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1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91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91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附：中小企业划型标准规定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（十四）物业管理。从业人员1000人以下或营业收入5000万元以下的为中小微型企业。其中，从业人员</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color w:val="000000"/>
          <w:sz w:val="28"/>
          <w:szCs w:val="28"/>
        </w:rPr>
      </w:r>
      <w:r/>
    </w:p>
    <w:p>
      <w:pPr>
        <w:pStyle w:val="91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911"/>
        <w:keepLines w:val="0"/>
        <w:keepNext w:val="0"/>
        <w:pageBreakBefore/>
        <w:spacing w:line="480" w:lineRule="exact"/>
        <w:widowControl w:val="off"/>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91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1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91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1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91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000000"/>
          <w:spacing w:val="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0</w:t>
      </w:r>
      <w:r>
        <w:rPr>
          <w:rFonts w:hint="eastAsia" w:ascii="仿宋" w:hAnsi="仿宋" w:eastAsia="仿宋" w:cs="仿宋"/>
          <w:b/>
          <w:color w:val="000000"/>
          <w:sz w:val="28"/>
          <w:szCs w:val="28"/>
          <w:highlight w:val="none"/>
        </w:rPr>
        <w:t xml:space="preserve"> </w:t>
      </w:r>
      <w:r>
        <w:rPr>
          <w:rStyle w:val="983"/>
          <w:rFonts w:hint="eastAsia" w:ascii="宋体" w:hAnsi="宋体" w:eastAsia="宋体" w:cs="宋体"/>
          <w:i w:val="0"/>
          <w:iCs w:val="0"/>
          <w:caps w:val="0"/>
          <w:color w:val="000000"/>
          <w:spacing w:val="0"/>
          <w:sz w:val="30"/>
          <w:szCs w:val="30"/>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30"/>
          <w:szCs w:val="30"/>
          <w:highlight w:val="none"/>
        </w:rPr>
      </w:r>
      <w:r/>
    </w:p>
    <w:p>
      <w:pPr>
        <w:pStyle w:val="974"/>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p>
    <w:p>
      <w:pPr>
        <w:pStyle w:val="974"/>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8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7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4"/>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4"/>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shd w:val="clear" w:color="auto" w:fill="ffffff"/>
        </w:rPr>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仿宋" w:hAnsi="仿宋" w:eastAsia="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仿宋" w:hAnsi="仿宋" w:eastAsia="仿宋"/>
          <w:color w:val="000000"/>
          <w:sz w:val="28"/>
          <w:szCs w:val="28"/>
        </w:rPr>
      </w:r>
      <w:r/>
    </w:p>
    <w:p>
      <w:pPr>
        <w:pStyle w:val="911"/>
        <w:jc w:val="center"/>
        <w:keepLines w:val="0"/>
        <w:keepNext w:val="0"/>
        <w:pageBreakBefore/>
        <w:spacing w:line="480" w:lineRule="exact"/>
        <w:widowControl w:val="off"/>
        <w:rPr>
          <w:rFonts w:ascii="仿宋" w:hAnsi="仿宋" w:eastAsia="仿宋" w:cs="仿宋"/>
          <w:b/>
          <w:bCs/>
          <w:color w:val="000000"/>
          <w:sz w:val="28"/>
          <w:szCs w:val="28"/>
        </w:rPr>
      </w:pPr>
      <w:r/>
      <w:bookmarkEnd w:id="176"/>
      <w:r/>
      <w:bookmarkEnd w:id="177"/>
      <w:r/>
      <w:bookmarkEnd w:id="220"/>
      <w:r/>
      <w:bookmarkEnd w:id="221"/>
      <w:r/>
      <w:bookmarkEnd w:id="222"/>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91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91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91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91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11"/>
        <w:ind w:firstLine="420"/>
        <w:rPr>
          <w:rFonts w:ascii="Times New Roman" w:hAnsi="Times New Roman"/>
          <w:color w:val="000000"/>
          <w:sz w:val="24"/>
          <w:szCs w:val="24"/>
        </w:rPr>
      </w:pPr>
      <w:r>
        <w:rPr>
          <w:rFonts w:ascii="Times New Roman" w:hAnsi="Times New Roman"/>
          <w:color w:val="000000"/>
          <w:sz w:val="24"/>
          <w:szCs w:val="24"/>
        </w:rPr>
      </w:r>
      <w:r/>
    </w:p>
    <w:p>
      <w:pPr>
        <w:pStyle w:val="911"/>
        <w:rPr>
          <w:color w:val="000000"/>
        </w:rPr>
      </w:pPr>
      <w:r>
        <w:rPr>
          <w:color w:val="000000"/>
        </w:rPr>
      </w:r>
      <w:r/>
    </w:p>
    <w:p>
      <w:pPr>
        <w:pStyle w:val="1028"/>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91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1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1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1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footerReference w:type="default" r:id="rId10"/>
      <w:footerReference w:type="even" r:id="rId11"/>
      <w:footnotePr/>
      <w:endnotePr/>
      <w:type w:val="nextPage"/>
      <w:pgSz w:w="11906" w:h="16838" w:orient="portrait"/>
      <w:pgMar w:top="1417" w:right="1587" w:bottom="1417"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Cambria">
    <w:panose1 w:val="02040503050406030204"/>
  </w:font>
  <w:font w:name="等线">
    <w:panose1 w:val="02010600030101010101"/>
  </w:font>
  <w:font w:name="仿宋">
    <w:panose1 w:val="02010609060101010101"/>
  </w:font>
  <w:font w:name="方正楷体_GB2312">
    <w:panose1 w:val="020B050302020202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１７</w:t>
    </w:r>
    <w:r>
      <w:rPr>
        <w:rFonts w:ascii="宋体" w:hAnsi="宋体"/>
      </w:rPr>
      <w:fldChar w:fldCharType="end"/>
    </w:r>
    <w:r>
      <w:rPr>
        <w:rStyle w:val="984"/>
        <w:rFonts w:ascii="宋体" w:hAnsi="宋体"/>
      </w:rPr>
    </w:r>
    <w:r/>
  </w:p>
  <w:p>
    <w:pPr>
      <w:pStyle w:val="95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93"/>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10"/>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6">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8"/>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21">
    <w:multiLevelType w:val="hybridMultilevel"/>
    <w:lvl w:ilvl="0">
      <w:start w:val="1"/>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9"/>
  </w:num>
  <w:num w:numId="3">
    <w:abstractNumId w:val="15"/>
  </w:num>
  <w:num w:numId="4">
    <w:abstractNumId w:val="23"/>
  </w:num>
  <w:num w:numId="5">
    <w:abstractNumId w:val="7"/>
  </w:num>
  <w:num w:numId="6">
    <w:abstractNumId w:val="8"/>
  </w:num>
  <w:num w:numId="7">
    <w:abstractNumId w:val="0"/>
  </w:num>
  <w:num w:numId="8">
    <w:abstractNumId w:val="16"/>
  </w:num>
  <w:num w:numId="9">
    <w:abstractNumId w:val="2"/>
  </w:num>
  <w:num w:numId="10">
    <w:abstractNumId w:val="13"/>
  </w:num>
  <w:num w:numId="11">
    <w:abstractNumId w:val="22"/>
  </w:num>
  <w:num w:numId="12">
    <w:abstractNumId w:val="4"/>
  </w:num>
  <w:num w:numId="13">
    <w:abstractNumId w:val="11"/>
  </w:num>
  <w:num w:numId="14">
    <w:abstractNumId w:val="18"/>
  </w:num>
  <w:num w:numId="15">
    <w:abstractNumId w:val="19"/>
  </w:num>
  <w:num w:numId="16">
    <w:abstractNumId w:val="24"/>
  </w:num>
  <w:num w:numId="17">
    <w:abstractNumId w:val="14"/>
  </w:num>
  <w:num w:numId="18">
    <w:abstractNumId w:val="5"/>
  </w:num>
  <w:num w:numId="19">
    <w:abstractNumId w:val="17"/>
  </w:num>
  <w:num w:numId="20">
    <w:abstractNumId w:val="10"/>
  </w:num>
  <w:num w:numId="21">
    <w:abstractNumId w:val="21"/>
  </w:num>
  <w:num w:numId="22">
    <w:abstractNumId w:val="12"/>
  </w:num>
  <w:num w:numId="23">
    <w:abstractNumId w:val="6"/>
  </w:num>
  <w:num w:numId="24">
    <w:abstractNumId w:val="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2"/>
      <w:lang w:val="en-US" w:eastAsia="zh-CN" w:bidi="ar-SA"/>
    </w:rPr>
  </w:style>
  <w:style w:type="paragraph" w:styleId="912">
    <w:name w:val="标题 1"/>
    <w:basedOn w:val="911"/>
    <w:next w:val="911"/>
    <w:link w:val="923"/>
    <w:qFormat/>
    <w:pPr>
      <w:jc w:val="center"/>
      <w:keepNext/>
      <w:outlineLvl w:val="0"/>
    </w:pPr>
    <w:rPr>
      <w:rFonts w:ascii="楷体_GB2312" w:hAnsi="Times New Roman" w:eastAsia="楷体_GB2312"/>
      <w:sz w:val="28"/>
      <w:szCs w:val="28"/>
    </w:rPr>
  </w:style>
  <w:style w:type="paragraph" w:styleId="913">
    <w:name w:val="标题 2"/>
    <w:basedOn w:val="911"/>
    <w:next w:val="911"/>
    <w:link w:val="924"/>
    <w:qFormat/>
    <w:pPr>
      <w:jc w:val="center"/>
      <w:keepLines/>
      <w:keepNext/>
      <w:spacing w:before="260" w:after="260" w:line="416" w:lineRule="auto"/>
      <w:outlineLvl w:val="1"/>
    </w:pPr>
    <w:rPr>
      <w:rFonts w:ascii="Arial" w:hAnsi="Arial" w:eastAsia="幼圆"/>
      <w:b/>
      <w:bCs/>
      <w:sz w:val="44"/>
      <w:szCs w:val="44"/>
    </w:rPr>
  </w:style>
  <w:style w:type="paragraph" w:styleId="914">
    <w:name w:val="标题 3"/>
    <w:basedOn w:val="911"/>
    <w:next w:val="926"/>
    <w:link w:val="925"/>
    <w:qFormat/>
    <w:pPr>
      <w:keepLines/>
      <w:keepNext/>
      <w:spacing w:before="260" w:after="260" w:line="416" w:lineRule="auto"/>
      <w:outlineLvl w:val="2"/>
    </w:pPr>
    <w:rPr>
      <w:rFonts w:ascii="Times New Roman" w:hAnsi="Times New Roman"/>
      <w:b/>
      <w:bCs/>
      <w:sz w:val="32"/>
      <w:szCs w:val="32"/>
    </w:rPr>
  </w:style>
  <w:style w:type="paragraph" w:styleId="915">
    <w:name w:val="标题 4"/>
    <w:basedOn w:val="911"/>
    <w:next w:val="926"/>
    <w:link w:val="928"/>
    <w:qFormat/>
    <w:pPr>
      <w:keepLines/>
      <w:keepNext/>
      <w:spacing w:before="280" w:after="290" w:line="376" w:lineRule="auto"/>
      <w:outlineLvl w:val="3"/>
    </w:pPr>
    <w:rPr>
      <w:rFonts w:ascii="Arial" w:hAnsi="Arial" w:eastAsia="黑体"/>
      <w:b/>
      <w:bCs/>
      <w:sz w:val="28"/>
      <w:szCs w:val="28"/>
    </w:rPr>
  </w:style>
  <w:style w:type="paragraph" w:styleId="916">
    <w:name w:val="标题 5"/>
    <w:basedOn w:val="911"/>
    <w:next w:val="926"/>
    <w:link w:val="929"/>
    <w:qFormat/>
    <w:pPr>
      <w:keepNext/>
      <w:outlineLvl w:val="4"/>
    </w:pPr>
    <w:rPr>
      <w:rFonts w:ascii="宋体" w:hAnsi="Times New Roman"/>
      <w:color w:val="000000"/>
      <w:sz w:val="28"/>
      <w:szCs w:val="28"/>
    </w:rPr>
  </w:style>
  <w:style w:type="paragraph" w:styleId="917">
    <w:name w:val="标题 6"/>
    <w:basedOn w:val="911"/>
    <w:next w:val="911"/>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3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9">
    <w:name w:val="标题 8"/>
    <w:basedOn w:val="911"/>
    <w:next w:val="911"/>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33"/>
    <w:qFormat/>
    <w:pPr>
      <w:numPr>
        <w:ilvl w:val="8"/>
        <w:numId w:val="1"/>
      </w:numPr>
      <w:keepLines/>
      <w:keepNext/>
      <w:spacing w:before="240" w:after="64" w:line="320" w:lineRule="auto"/>
      <w:outlineLvl w:val="8"/>
    </w:pPr>
    <w:rPr>
      <w:rFonts w:ascii="Arial" w:hAnsi="Arial" w:eastAsia="黑体"/>
      <w:sz w:val="20"/>
      <w:szCs w:val="21"/>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character" w:styleId="923">
    <w:name w:val="标题 1 Char"/>
    <w:next w:val="923"/>
    <w:link w:val="912"/>
    <w:rPr>
      <w:rFonts w:ascii="楷体_GB2312" w:hAnsi="Times New Roman" w:eastAsia="楷体_GB2312" w:cs="Times New Roman"/>
      <w:sz w:val="28"/>
      <w:szCs w:val="28"/>
    </w:rPr>
  </w:style>
  <w:style w:type="character" w:styleId="924">
    <w:name w:val="标题 2 Char"/>
    <w:next w:val="924"/>
    <w:link w:val="913"/>
    <w:rPr>
      <w:rFonts w:ascii="Arial" w:hAnsi="Arial" w:eastAsia="幼圆" w:cs="Arial"/>
      <w:b/>
      <w:bCs/>
      <w:sz w:val="44"/>
      <w:szCs w:val="44"/>
    </w:rPr>
  </w:style>
  <w:style w:type="character" w:styleId="925">
    <w:name w:val="标题 3 Char"/>
    <w:next w:val="925"/>
    <w:link w:val="914"/>
    <w:rPr>
      <w:rFonts w:ascii="Times New Roman" w:hAnsi="Times New Roman" w:eastAsia="宋体" w:cs="Times New Roman"/>
      <w:b/>
      <w:bCs/>
      <w:sz w:val="32"/>
      <w:szCs w:val="32"/>
    </w:rPr>
  </w:style>
  <w:style w:type="paragraph" w:styleId="926">
    <w:name w:val="正文缩进"/>
    <w:basedOn w:val="911"/>
    <w:next w:val="926"/>
    <w:link w:val="927"/>
    <w:pPr>
      <w:ind w:firstLine="420"/>
    </w:pPr>
    <w:rPr>
      <w:sz w:val="20"/>
      <w:szCs w:val="21"/>
    </w:rPr>
  </w:style>
  <w:style w:type="character" w:styleId="927">
    <w:name w:val="正文缩进 Char"/>
    <w:next w:val="927"/>
    <w:link w:val="926"/>
    <w:rPr>
      <w:szCs w:val="21"/>
    </w:rPr>
  </w:style>
  <w:style w:type="character" w:styleId="928">
    <w:name w:val="标题 4 Char"/>
    <w:next w:val="928"/>
    <w:link w:val="915"/>
    <w:rPr>
      <w:rFonts w:ascii="Arial" w:hAnsi="Arial" w:eastAsia="黑体" w:cs="Arial"/>
      <w:b/>
      <w:bCs/>
      <w:sz w:val="28"/>
      <w:szCs w:val="28"/>
    </w:rPr>
  </w:style>
  <w:style w:type="character" w:styleId="929">
    <w:name w:val="标题 5 Char"/>
    <w:next w:val="929"/>
    <w:link w:val="916"/>
    <w:rPr>
      <w:rFonts w:ascii="宋体" w:hAnsi="Times New Roman" w:eastAsia="宋体" w:cs="Times New Roman"/>
      <w:color w:val="000000"/>
      <w:sz w:val="28"/>
      <w:szCs w:val="28"/>
    </w:rPr>
  </w:style>
  <w:style w:type="character" w:styleId="930">
    <w:name w:val="标题 6 Char"/>
    <w:next w:val="930"/>
    <w:link w:val="917"/>
    <w:rPr>
      <w:rFonts w:ascii="Arial" w:hAnsi="Arial" w:eastAsia="黑体" w:cs="Times New Roman"/>
      <w:b/>
      <w:bCs/>
      <w:sz w:val="24"/>
      <w:szCs w:val="24"/>
    </w:rPr>
  </w:style>
  <w:style w:type="character" w:styleId="931">
    <w:name w:val="标题 7 Char"/>
    <w:next w:val="931"/>
    <w:link w:val="918"/>
    <w:rPr>
      <w:rFonts w:ascii="Times New Roman" w:hAnsi="Times New Roman" w:eastAsia="宋体" w:cs="Times New Roman"/>
      <w:b/>
      <w:bCs/>
      <w:sz w:val="24"/>
      <w:szCs w:val="24"/>
    </w:rPr>
  </w:style>
  <w:style w:type="character" w:styleId="932">
    <w:name w:val="标题 8 Char"/>
    <w:next w:val="932"/>
    <w:link w:val="919"/>
    <w:rPr>
      <w:rFonts w:ascii="Arial" w:hAnsi="Arial" w:eastAsia="黑体" w:cs="Times New Roman"/>
      <w:sz w:val="24"/>
      <w:szCs w:val="24"/>
    </w:rPr>
  </w:style>
  <w:style w:type="character" w:styleId="933">
    <w:name w:val="标题 9 Char"/>
    <w:next w:val="933"/>
    <w:link w:val="920"/>
    <w:rPr>
      <w:rFonts w:ascii="Arial" w:hAnsi="Arial" w:eastAsia="黑体" w:cs="Times New Roman"/>
      <w:szCs w:val="21"/>
    </w:rPr>
  </w:style>
  <w:style w:type="paragraph" w:styleId="934">
    <w:name w:val="列表 3"/>
    <w:basedOn w:val="911"/>
    <w:next w:val="934"/>
    <w:link w:val="911"/>
    <w:pPr>
      <w:ind w:left="100" w:hanging="200"/>
    </w:pPr>
    <w:rPr>
      <w:rFonts w:ascii="Times New Roman" w:hAnsi="Times New Roman" w:eastAsia="宋体" w:cs="Times New Roman"/>
      <w:szCs w:val="21"/>
    </w:rPr>
  </w:style>
  <w:style w:type="paragraph" w:styleId="935">
    <w:name w:val="目录 7"/>
    <w:basedOn w:val="911"/>
    <w:next w:val="911"/>
    <w:link w:val="911"/>
    <w:semiHidden/>
    <w:pPr>
      <w:ind w:left="1260"/>
      <w:jc w:val="left"/>
    </w:pPr>
    <w:rPr>
      <w:rFonts w:ascii="Times New Roman" w:hAnsi="Times New Roman" w:eastAsia="宋体" w:cs="Times New Roman"/>
      <w:szCs w:val="21"/>
    </w:rPr>
  </w:style>
  <w:style w:type="paragraph" w:styleId="936">
    <w:name w:val="文档结构图"/>
    <w:basedOn w:val="911"/>
    <w:next w:val="936"/>
    <w:link w:val="937"/>
    <w:semiHidden/>
    <w:pPr>
      <w:shd w:val="clear" w:color="auto" w:fill="000080"/>
    </w:pPr>
    <w:rPr>
      <w:rFonts w:ascii="Times New Roman" w:hAnsi="Times New Roman"/>
      <w:sz w:val="20"/>
      <w:szCs w:val="21"/>
    </w:rPr>
  </w:style>
  <w:style w:type="character" w:styleId="937">
    <w:name w:val="文档结构图 Char"/>
    <w:next w:val="937"/>
    <w:link w:val="936"/>
    <w:semiHidden/>
    <w:rPr>
      <w:rFonts w:ascii="Times New Roman" w:hAnsi="Times New Roman" w:eastAsia="宋体" w:cs="Times New Roman"/>
      <w:szCs w:val="21"/>
      <w:shd w:val="clear" w:color="auto" w:fill="000080"/>
    </w:rPr>
  </w:style>
  <w:style w:type="paragraph" w:styleId="938">
    <w:name w:val="批注文字"/>
    <w:basedOn w:val="911"/>
    <w:next w:val="938"/>
    <w:link w:val="939"/>
    <w:unhideWhenUsed/>
    <w:pPr>
      <w:jc w:val="left"/>
    </w:pPr>
  </w:style>
  <w:style w:type="character" w:styleId="939">
    <w:name w:val="批注文字 Char"/>
    <w:basedOn w:val="921"/>
    <w:next w:val="939"/>
    <w:link w:val="938"/>
    <w:uiPriority w:val="99"/>
    <w:semiHidden/>
  </w:style>
  <w:style w:type="paragraph" w:styleId="940">
    <w:name w:val="正文文本 3"/>
    <w:basedOn w:val="911"/>
    <w:next w:val="940"/>
    <w:link w:val="941"/>
    <w:rPr>
      <w:rFonts w:ascii="仿宋_GB2312" w:hAnsi="Arial" w:eastAsia="仿宋_GB2312"/>
      <w:sz w:val="32"/>
      <w:szCs w:val="32"/>
    </w:rPr>
  </w:style>
  <w:style w:type="character" w:styleId="941">
    <w:name w:val="正文文本 3 Char"/>
    <w:next w:val="941"/>
    <w:link w:val="940"/>
    <w:rPr>
      <w:rFonts w:ascii="仿宋_GB2312" w:hAnsi="Arial" w:eastAsia="仿宋_GB2312" w:cs="Times New Roman"/>
      <w:sz w:val="32"/>
      <w:szCs w:val="32"/>
    </w:rPr>
  </w:style>
  <w:style w:type="paragraph" w:styleId="942">
    <w:name w:val="正文文本"/>
    <w:basedOn w:val="911"/>
    <w:next w:val="911"/>
    <w:link w:val="943"/>
    <w:rPr>
      <w:rFonts w:ascii="楷体_GB2312" w:hAnsi="Arial" w:eastAsia="楷体_GB2312"/>
      <w:sz w:val="28"/>
      <w:szCs w:val="28"/>
    </w:rPr>
  </w:style>
  <w:style w:type="character" w:styleId="943">
    <w:name w:val="正文文本 Char"/>
    <w:next w:val="943"/>
    <w:link w:val="942"/>
    <w:rPr>
      <w:rFonts w:ascii="楷体_GB2312" w:hAnsi="Arial" w:eastAsia="楷体_GB2312" w:cs="Times New Roman"/>
      <w:sz w:val="28"/>
      <w:szCs w:val="28"/>
    </w:rPr>
  </w:style>
  <w:style w:type="paragraph" w:styleId="944">
    <w:name w:val="正文文本缩进"/>
    <w:basedOn w:val="911"/>
    <w:next w:val="944"/>
    <w:link w:val="945"/>
    <w:unhideWhenUsed/>
    <w:pPr>
      <w:ind w:left="420"/>
      <w:spacing w:after="120"/>
    </w:pPr>
  </w:style>
  <w:style w:type="character" w:styleId="945">
    <w:name w:val="正文文本缩进 Char"/>
    <w:basedOn w:val="921"/>
    <w:next w:val="945"/>
    <w:link w:val="944"/>
    <w:uiPriority w:val="99"/>
    <w:semiHidden/>
  </w:style>
  <w:style w:type="paragraph" w:styleId="946">
    <w:name w:val="列表 2"/>
    <w:basedOn w:val="911"/>
    <w:next w:val="946"/>
    <w:link w:val="911"/>
    <w:pPr>
      <w:ind w:left="100" w:hanging="200"/>
    </w:pPr>
    <w:rPr>
      <w:rFonts w:ascii="Times New Roman" w:hAnsi="Times New Roman" w:eastAsia="宋体" w:cs="Times New Roman"/>
      <w:szCs w:val="21"/>
    </w:rPr>
  </w:style>
  <w:style w:type="paragraph" w:styleId="947">
    <w:name w:val="目录 5"/>
    <w:basedOn w:val="911"/>
    <w:next w:val="911"/>
    <w:link w:val="911"/>
    <w:semiHidden/>
    <w:pPr>
      <w:ind w:left="840"/>
      <w:jc w:val="left"/>
    </w:pPr>
    <w:rPr>
      <w:rFonts w:ascii="Times New Roman" w:hAnsi="Times New Roman" w:eastAsia="宋体" w:cs="Times New Roman"/>
      <w:szCs w:val="21"/>
    </w:rPr>
  </w:style>
  <w:style w:type="paragraph" w:styleId="948">
    <w:name w:val="目录 3"/>
    <w:basedOn w:val="911"/>
    <w:next w:val="911"/>
    <w:link w:val="911"/>
    <w:semiHidden/>
    <w:pPr>
      <w:ind w:left="420"/>
      <w:jc w:val="left"/>
    </w:pPr>
    <w:rPr>
      <w:rFonts w:ascii="Times New Roman" w:hAnsi="Times New Roman" w:eastAsia="宋体" w:cs="Times New Roman"/>
      <w:i/>
      <w:iCs/>
      <w:szCs w:val="24"/>
    </w:rPr>
  </w:style>
  <w:style w:type="paragraph" w:styleId="949">
    <w:name w:val="纯文本"/>
    <w:basedOn w:val="911"/>
    <w:next w:val="949"/>
    <w:link w:val="950"/>
    <w:rPr>
      <w:rFonts w:ascii="宋体" w:hAnsi="Courier New"/>
      <w:sz w:val="20"/>
      <w:szCs w:val="21"/>
    </w:rPr>
  </w:style>
  <w:style w:type="character" w:styleId="950">
    <w:name w:val="纯文本 Char"/>
    <w:next w:val="950"/>
    <w:link w:val="949"/>
    <w:rPr>
      <w:rFonts w:ascii="宋体" w:hAnsi="Courier New" w:eastAsia="宋体" w:cs="Courier New"/>
      <w:szCs w:val="21"/>
    </w:rPr>
  </w:style>
  <w:style w:type="paragraph" w:styleId="951">
    <w:name w:val="目录 8"/>
    <w:basedOn w:val="911"/>
    <w:next w:val="911"/>
    <w:link w:val="911"/>
    <w:semiHidden/>
    <w:pPr>
      <w:ind w:left="1470"/>
      <w:jc w:val="left"/>
    </w:pPr>
    <w:rPr>
      <w:rFonts w:ascii="Times New Roman" w:hAnsi="Times New Roman" w:eastAsia="宋体" w:cs="Times New Roman"/>
      <w:szCs w:val="21"/>
    </w:rPr>
  </w:style>
  <w:style w:type="paragraph" w:styleId="952">
    <w:name w:val="日期"/>
    <w:basedOn w:val="911"/>
    <w:next w:val="911"/>
    <w:link w:val="953"/>
    <w:rPr>
      <w:rFonts w:ascii="Times New Roman" w:hAnsi="Times New Roman"/>
      <w:sz w:val="24"/>
      <w:szCs w:val="24"/>
    </w:rPr>
  </w:style>
  <w:style w:type="character" w:styleId="953">
    <w:name w:val="日期 Char"/>
    <w:next w:val="953"/>
    <w:link w:val="952"/>
    <w:rPr>
      <w:rFonts w:ascii="Times New Roman" w:hAnsi="Times New Roman" w:eastAsia="宋体" w:cs="Times New Roman"/>
      <w:sz w:val="24"/>
      <w:szCs w:val="24"/>
    </w:rPr>
  </w:style>
  <w:style w:type="paragraph" w:styleId="954">
    <w:name w:val="正文文本缩进 2"/>
    <w:basedOn w:val="911"/>
    <w:next w:val="954"/>
    <w:link w:val="955"/>
    <w:pPr>
      <w:ind w:left="630" w:firstLine="645"/>
    </w:pPr>
    <w:rPr>
      <w:rFonts w:ascii="Arial" w:hAnsi="Arial" w:eastAsia="仿宋_GB2312"/>
      <w:sz w:val="32"/>
      <w:szCs w:val="32"/>
    </w:rPr>
  </w:style>
  <w:style w:type="character" w:styleId="955">
    <w:name w:val="正文文本缩进 2 Char"/>
    <w:next w:val="955"/>
    <w:link w:val="954"/>
    <w:rPr>
      <w:rFonts w:ascii="Arial" w:hAnsi="Arial" w:eastAsia="仿宋_GB2312" w:cs="Arial"/>
      <w:sz w:val="32"/>
      <w:szCs w:val="32"/>
    </w:rPr>
  </w:style>
  <w:style w:type="paragraph" w:styleId="956">
    <w:name w:val="批注框文本"/>
    <w:basedOn w:val="911"/>
    <w:next w:val="956"/>
    <w:link w:val="957"/>
    <w:semiHidden/>
    <w:rPr>
      <w:rFonts w:ascii="Times New Roman" w:hAnsi="Times New Roman"/>
      <w:sz w:val="18"/>
      <w:szCs w:val="18"/>
    </w:rPr>
  </w:style>
  <w:style w:type="character" w:styleId="957">
    <w:name w:val="批注框文本 Char"/>
    <w:next w:val="957"/>
    <w:link w:val="956"/>
    <w:semiHidden/>
    <w:rPr>
      <w:rFonts w:ascii="Times New Roman" w:hAnsi="Times New Roman" w:eastAsia="宋体" w:cs="Times New Roman"/>
      <w:sz w:val="18"/>
      <w:szCs w:val="18"/>
    </w:rPr>
  </w:style>
  <w:style w:type="paragraph" w:styleId="958">
    <w:name w:val="页脚"/>
    <w:basedOn w:val="911"/>
    <w:next w:val="958"/>
    <w:link w:val="959"/>
    <w:pPr>
      <w:jc w:val="left"/>
      <w:tabs>
        <w:tab w:val="center" w:pos="4153" w:leader="none"/>
        <w:tab w:val="right" w:pos="8306" w:leader="none"/>
      </w:tabs>
    </w:pPr>
    <w:rPr>
      <w:rFonts w:ascii="Times New Roman" w:hAnsi="Times New Roman"/>
      <w:sz w:val="18"/>
      <w:szCs w:val="18"/>
    </w:rPr>
  </w:style>
  <w:style w:type="character" w:styleId="959">
    <w:name w:val="页脚 Char"/>
    <w:next w:val="959"/>
    <w:link w:val="958"/>
    <w:rPr>
      <w:rFonts w:ascii="Times New Roman" w:hAnsi="Times New Roman" w:eastAsia="宋体" w:cs="Times New Roman"/>
      <w:sz w:val="18"/>
      <w:szCs w:val="18"/>
    </w:rPr>
  </w:style>
  <w:style w:type="paragraph" w:styleId="960">
    <w:name w:val="寄信人地址"/>
    <w:basedOn w:val="911"/>
    <w:next w:val="960"/>
    <w:link w:val="911"/>
    <w:qFormat/>
    <w:rPr>
      <w:rFonts w:ascii="Arial" w:hAnsi="Arial"/>
    </w:rPr>
  </w:style>
  <w:style w:type="paragraph" w:styleId="961">
    <w:name w:val="页眉"/>
    <w:basedOn w:val="911"/>
    <w:next w:val="961"/>
    <w:link w:val="96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2">
    <w:name w:val="页眉 Char"/>
    <w:next w:val="962"/>
    <w:link w:val="961"/>
    <w:rPr>
      <w:rFonts w:ascii="Times New Roman" w:hAnsi="Times New Roman" w:eastAsia="宋体" w:cs="Times New Roman"/>
      <w:sz w:val="18"/>
      <w:szCs w:val="18"/>
    </w:rPr>
  </w:style>
  <w:style w:type="paragraph" w:styleId="963">
    <w:name w:val="目录 1"/>
    <w:basedOn w:val="911"/>
    <w:next w:val="911"/>
    <w:link w:val="91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4">
    <w:name w:val="目录 4"/>
    <w:basedOn w:val="911"/>
    <w:next w:val="911"/>
    <w:link w:val="911"/>
    <w:semiHidden/>
    <w:pPr>
      <w:ind w:left="630"/>
      <w:jc w:val="left"/>
    </w:pPr>
    <w:rPr>
      <w:rFonts w:ascii="Times New Roman" w:hAnsi="Times New Roman" w:eastAsia="宋体" w:cs="Times New Roman"/>
      <w:szCs w:val="21"/>
    </w:rPr>
  </w:style>
  <w:style w:type="paragraph" w:styleId="965">
    <w:name w:val="列表"/>
    <w:basedOn w:val="911"/>
    <w:next w:val="965"/>
    <w:link w:val="911"/>
    <w:pPr>
      <w:ind w:left="200" w:hanging="200"/>
    </w:pPr>
    <w:rPr>
      <w:rFonts w:ascii="Times New Roman" w:hAnsi="Times New Roman" w:eastAsia="宋体" w:cs="Times New Roman"/>
      <w:szCs w:val="21"/>
    </w:rPr>
  </w:style>
  <w:style w:type="paragraph" w:styleId="966">
    <w:name w:val="目录 6"/>
    <w:basedOn w:val="911"/>
    <w:next w:val="911"/>
    <w:link w:val="911"/>
    <w:semiHidden/>
    <w:pPr>
      <w:ind w:left="1050"/>
      <w:jc w:val="left"/>
    </w:pPr>
    <w:rPr>
      <w:rFonts w:ascii="Times New Roman" w:hAnsi="Times New Roman" w:eastAsia="宋体" w:cs="Times New Roman"/>
      <w:szCs w:val="21"/>
    </w:rPr>
  </w:style>
  <w:style w:type="paragraph" w:styleId="967">
    <w:name w:val="正文文本缩进 3"/>
    <w:basedOn w:val="911"/>
    <w:next w:val="967"/>
    <w:link w:val="968"/>
    <w:pPr>
      <w:ind w:left="645" w:firstLine="645"/>
    </w:pPr>
    <w:rPr>
      <w:rFonts w:ascii="Arial" w:hAnsi="Arial" w:eastAsia="仿宋_GB2312"/>
      <w:color w:val="ffff00"/>
      <w:sz w:val="32"/>
      <w:szCs w:val="32"/>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11"/>
    <w:next w:val="911"/>
    <w:link w:val="911"/>
    <w:semiHidden/>
    <w:pPr>
      <w:ind w:left="840" w:hanging="420"/>
    </w:pPr>
    <w:rPr>
      <w:rFonts w:ascii="Times New Roman" w:hAnsi="Times New Roman" w:eastAsia="宋体" w:cs="Times New Roman"/>
      <w:szCs w:val="21"/>
    </w:rPr>
  </w:style>
  <w:style w:type="paragraph" w:styleId="970">
    <w:name w:val="目录 2"/>
    <w:basedOn w:val="911"/>
    <w:next w:val="911"/>
    <w:link w:val="911"/>
    <w:semiHidden/>
    <w:pPr>
      <w:ind w:left="210"/>
      <w:jc w:val="left"/>
    </w:pPr>
    <w:rPr>
      <w:rFonts w:ascii="Times New Roman" w:hAnsi="Times New Roman" w:eastAsia="宋体" w:cs="Times New Roman"/>
      <w:smallCaps/>
      <w:szCs w:val="24"/>
    </w:rPr>
  </w:style>
  <w:style w:type="paragraph" w:styleId="971">
    <w:name w:val="目录 9"/>
    <w:basedOn w:val="911"/>
    <w:next w:val="911"/>
    <w:link w:val="911"/>
    <w:semiHidden/>
    <w:pPr>
      <w:ind w:left="1680"/>
      <w:jc w:val="left"/>
    </w:pPr>
    <w:rPr>
      <w:rFonts w:ascii="Times New Roman" w:hAnsi="Times New Roman" w:eastAsia="宋体" w:cs="Times New Roman"/>
      <w:szCs w:val="21"/>
    </w:rPr>
  </w:style>
  <w:style w:type="paragraph" w:styleId="972">
    <w:name w:val="正文文本 2"/>
    <w:basedOn w:val="911"/>
    <w:next w:val="972"/>
    <w:link w:val="973"/>
    <w:pPr>
      <w:jc w:val="center"/>
      <w:widowControl/>
    </w:pPr>
    <w:rPr>
      <w:rFonts w:ascii="楷体_GB2312" w:hAnsi="Times New Roman" w:eastAsia="楷体_GB2312"/>
      <w:sz w:val="28"/>
      <w:szCs w:val="28"/>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11"/>
    <w:next w:val="974"/>
    <w:link w:val="911"/>
    <w:uiPriority w:val="99"/>
    <w:pPr>
      <w:jc w:val="left"/>
      <w:spacing w:before="100" w:beforeAutospacing="1" w:after="100" w:afterAutospacing="1"/>
      <w:widowControl/>
    </w:pPr>
    <w:rPr>
      <w:rFonts w:ascii="宋体" w:hAnsi="宋体" w:eastAsia="宋体" w:cs="宋体"/>
      <w:sz w:val="24"/>
      <w:szCs w:val="24"/>
    </w:rPr>
  </w:style>
  <w:style w:type="paragraph" w:styleId="975">
    <w:name w:val="索引 1"/>
    <w:basedOn w:val="911"/>
    <w:next w:val="911"/>
    <w:link w:val="911"/>
    <w:semiHidden/>
    <w:pPr>
      <w:spacing w:line="240" w:lineRule="atLeast"/>
    </w:pPr>
    <w:rPr>
      <w:rFonts w:ascii="Times New Roman" w:hAnsi="Times New Roman" w:eastAsia="宋体" w:cs="Times New Roman"/>
      <w:b/>
      <w:bCs/>
      <w:szCs w:val="21"/>
    </w:rPr>
  </w:style>
  <w:style w:type="paragraph" w:styleId="976">
    <w:name w:val="批注主题"/>
    <w:basedOn w:val="938"/>
    <w:next w:val="938"/>
    <w:link w:val="977"/>
    <w:semiHidden/>
    <w:rPr>
      <w:rFonts w:ascii="Times New Roman" w:hAnsi="Times New Roman"/>
      <w:b/>
      <w:bCs/>
      <w:sz w:val="20"/>
      <w:szCs w:val="21"/>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42"/>
    <w:next w:val="978"/>
    <w:link w:val="979"/>
    <w:pPr>
      <w:ind w:firstLine="200"/>
      <w:spacing w:line="360" w:lineRule="auto"/>
    </w:pPr>
    <w:rPr>
      <w:rFonts w:ascii="仿宋_GB2312" w:hAnsi="Times New Roman" w:eastAsia="仿宋_GB2312"/>
      <w:sz w:val="30"/>
      <w:szCs w:val="30"/>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4"/>
    <w:next w:val="967"/>
    <w:link w:val="981"/>
    <w:pPr>
      <w:ind w:left="0" w:firstLine="420"/>
      <w:spacing w:after="0" w:line="360" w:lineRule="auto"/>
    </w:pPr>
    <w:rPr>
      <w:rFonts w:ascii="宋体" w:hAnsi="宋体"/>
      <w:sz w:val="20"/>
      <w:szCs w:val="20"/>
    </w:rPr>
  </w:style>
  <w:style w:type="character" w:styleId="981">
    <w:name w:val="正文首行缩进 2 Char"/>
    <w:next w:val="981"/>
    <w:link w:val="980"/>
    <w:rPr>
      <w:rFonts w:ascii="宋体" w:hAnsi="宋体" w:eastAsia="宋体" w:cs="Times New Roman"/>
      <w:szCs w:val="20"/>
    </w:rPr>
  </w:style>
  <w:style w:type="table" w:styleId="982">
    <w:name w:val="网格型"/>
    <w:basedOn w:val="922"/>
    <w:next w:val="982"/>
    <w:link w:val="911"/>
    <w:pPr>
      <w:jc w:val="both"/>
      <w:widowControl w:val="off"/>
    </w:pPr>
    <w:rPr>
      <w:rFonts w:ascii="Times New Roman" w:hAnsi="Times New Roman" w:eastAsia="宋体" w:cs="Times New Roman"/>
      <w:sz w:val="20"/>
      <w:szCs w:val="20"/>
    </w:rPr>
    <w:tblPr/>
  </w:style>
  <w:style w:type="character" w:styleId="983">
    <w:name w:val="要点"/>
    <w:basedOn w:val="921"/>
    <w:next w:val="983"/>
    <w:link w:val="911"/>
    <w:qFormat/>
    <w:rPr>
      <w:b/>
      <w:bCs/>
    </w:rPr>
  </w:style>
  <w:style w:type="character" w:styleId="984">
    <w:name w:val="页码"/>
    <w:next w:val="984"/>
    <w:link w:val="911"/>
  </w:style>
  <w:style w:type="character" w:styleId="985">
    <w:name w:val="已访问的超链接"/>
    <w:next w:val="985"/>
    <w:link w:val="911"/>
    <w:rPr>
      <w:color w:val="800080"/>
      <w:u w:val="single"/>
    </w:rPr>
  </w:style>
  <w:style w:type="character" w:styleId="986">
    <w:name w:val="强调"/>
    <w:basedOn w:val="921"/>
    <w:next w:val="986"/>
    <w:link w:val="911"/>
    <w:qFormat/>
    <w:rPr>
      <w:i/>
    </w:rPr>
  </w:style>
  <w:style w:type="character" w:styleId="987">
    <w:name w:val="超链接"/>
    <w:next w:val="987"/>
    <w:link w:val="911"/>
    <w:rPr>
      <w:color w:val="0000ff"/>
      <w:u w:val="single"/>
    </w:rPr>
  </w:style>
  <w:style w:type="character" w:styleId="988">
    <w:name w:val="批注引用"/>
    <w:next w:val="988"/>
    <w:link w:val="911"/>
    <w:semiHidden/>
    <w:rPr>
      <w:sz w:val="21"/>
      <w:szCs w:val="21"/>
    </w:rPr>
  </w:style>
  <w:style w:type="paragraph" w:styleId="989">
    <w:name w:val="正文首行缩进 21"/>
    <w:basedOn w:val="990"/>
    <w:next w:val="989"/>
    <w:link w:val="911"/>
    <w:qFormat/>
    <w:pPr>
      <w:ind w:left="0" w:firstLine="420"/>
      <w:spacing w:after="0" w:line="360" w:lineRule="auto"/>
    </w:pPr>
    <w:rPr>
      <w:rFonts w:ascii="宋体" w:hAnsi="宋体"/>
      <w:sz w:val="20"/>
      <w:szCs w:val="20"/>
      <w:lang w:val="en-US" w:eastAsia="en-US"/>
    </w:rPr>
  </w:style>
  <w:style w:type="paragraph" w:styleId="990">
    <w:name w:val="正文文本缩进1"/>
    <w:basedOn w:val="911"/>
    <w:next w:val="989"/>
    <w:link w:val="911"/>
    <w:unhideWhenUsed/>
    <w:qFormat/>
    <w:pPr>
      <w:ind w:left="420"/>
      <w:spacing w:after="120"/>
    </w:pPr>
  </w:style>
  <w:style w:type="character" w:styleId="991">
    <w:name w:val="font5 Char"/>
    <w:next w:val="991"/>
    <w:link w:val="911"/>
    <w:rPr>
      <w:rFonts w:ascii="宋体" w:hAnsi="宋体" w:eastAsia="宋体"/>
      <w:sz w:val="28"/>
      <w:szCs w:val="28"/>
      <w:lang w:val="en-US" w:eastAsia="zh-CN" w:bidi="ar-SA"/>
    </w:rPr>
  </w:style>
  <w:style w:type="character" w:styleId="992">
    <w:name w:val="二级目录 Char"/>
    <w:next w:val="992"/>
    <w:link w:val="993"/>
    <w:rPr>
      <w:b/>
      <w:sz w:val="30"/>
      <w:szCs w:val="28"/>
      <w:lang w:val="en-US" w:eastAsia="zh-CN" w:bidi="ar-SA"/>
    </w:rPr>
  </w:style>
  <w:style w:type="paragraph" w:styleId="993">
    <w:name w:val="二级目录"/>
    <w:next w:val="911"/>
    <w:link w:val="992"/>
    <w:pPr>
      <w:numPr>
        <w:ilvl w:val="0"/>
        <w:numId w:val="2"/>
      </w:numPr>
      <w:tabs>
        <w:tab w:val="left" w:pos="907" w:leader="none"/>
        <w:tab w:val="left" w:pos="1145" w:leader="none"/>
      </w:tabs>
      <w:outlineLvl w:val="1"/>
    </w:pPr>
    <w:rPr>
      <w:b/>
      <w:sz w:val="30"/>
      <w:szCs w:val="28"/>
      <w:lang w:val="en-US" w:eastAsia="zh-CN" w:bidi="ar-SA"/>
    </w:rPr>
  </w:style>
  <w:style w:type="character" w:styleId="994">
    <w:name w:val="列出段落 Char,Bullet List Char,numbered Char,FooterText Char,List Paragraph1 Char,Paragraphe de liste1 Char"/>
    <w:next w:val="994"/>
    <w:link w:val="995"/>
    <w:rPr>
      <w:rFonts w:ascii="Calibri" w:hAnsi="Calibri"/>
      <w:sz w:val="24"/>
      <w:szCs w:val="24"/>
      <w:lang w:eastAsia="en-US" w:bidi="en-US"/>
    </w:rPr>
  </w:style>
  <w:style w:type="paragraph" w:styleId="995">
    <w:name w:val="列出段落1"/>
    <w:basedOn w:val="911"/>
    <w:next w:val="995"/>
    <w:link w:val="994"/>
    <w:qFormat/>
    <w:pPr>
      <w:contextualSpacing/>
      <w:ind w:left="720"/>
      <w:jc w:val="left"/>
      <w:widowControl/>
    </w:pPr>
    <w:rPr>
      <w:sz w:val="24"/>
      <w:szCs w:val="24"/>
      <w:lang w:eastAsia="en-US" w:bidi="en-US"/>
    </w:rPr>
  </w:style>
  <w:style w:type="paragraph" w:styleId="996">
    <w:name w:val="Body Text(ch)"/>
    <w:basedOn w:val="911"/>
    <w:next w:val="942"/>
    <w:link w:val="911"/>
    <w:pPr>
      <w:spacing w:after="120"/>
    </w:pPr>
    <w:rPr>
      <w:rFonts w:ascii="宋体" w:hAnsi="Arial" w:eastAsia="宋体" w:cs="Times New Roman"/>
      <w:bCs/>
      <w:iCs/>
      <w:szCs w:val="24"/>
    </w:rPr>
  </w:style>
  <w:style w:type="paragraph" w:styleId="997">
    <w:name w:val="xl27"/>
    <w:basedOn w:val="911"/>
    <w:next w:val="997"/>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name w:val="xl26"/>
    <w:basedOn w:val="911"/>
    <w:next w:val="998"/>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name w:val="Char"/>
    <w:basedOn w:val="911"/>
    <w:next w:val="999"/>
    <w:link w:val="911"/>
    <w:pPr>
      <w:ind w:firstLine="200"/>
      <w:tabs>
        <w:tab w:val="left" w:pos="360" w:leader="none"/>
      </w:tabs>
    </w:pPr>
    <w:rPr>
      <w:rFonts w:ascii="Times New Roman" w:hAnsi="Times New Roman" w:eastAsia="宋体" w:cs="Times New Roman"/>
      <w:sz w:val="28"/>
      <w:szCs w:val="30"/>
    </w:rPr>
  </w:style>
  <w:style w:type="paragraph" w:styleId="1000">
    <w:name w:val=" Char"/>
    <w:basedOn w:val="936"/>
    <w:next w:val="1000"/>
    <w:link w:val="911"/>
    <w:rPr>
      <w:rFonts w:ascii="Tahoma" w:hAnsi="Tahoma"/>
      <w:sz w:val="24"/>
      <w:szCs w:val="24"/>
    </w:rPr>
  </w:style>
  <w:style w:type="paragraph" w:styleId="1001">
    <w:name w:val="普通正文"/>
    <w:basedOn w:val="911"/>
    <w:next w:val="1001"/>
    <w:link w:val="911"/>
    <w:pPr>
      <w:ind w:firstLine="480"/>
      <w:jc w:val="left"/>
      <w:spacing w:before="120" w:after="120" w:line="360" w:lineRule="auto"/>
    </w:pPr>
    <w:rPr>
      <w:rFonts w:ascii="Arial" w:hAnsi="Arial" w:eastAsia="宋体" w:cs="Times New Roman"/>
      <w:sz w:val="24"/>
      <w:szCs w:val="24"/>
    </w:rPr>
  </w:style>
  <w:style w:type="paragraph" w:styleId="1002">
    <w:name w:val="table_lines"/>
    <w:basedOn w:val="911"/>
    <w:next w:val="1002"/>
    <w:link w:val="911"/>
    <w:pPr>
      <w:jc w:val="left"/>
      <w:widowControl/>
    </w:pPr>
    <w:rPr>
      <w:rFonts w:ascii="Times New Roman" w:hAnsi="Times New Roman" w:eastAsia="宋体" w:cs="Times New Roman"/>
      <w:sz w:val="20"/>
      <w:szCs w:val="20"/>
      <w:lang w:val="de-DE" w:eastAsia="de-DE"/>
    </w:rPr>
  </w:style>
  <w:style w:type="paragraph" w:styleId="1003">
    <w:name w:val="附录1"/>
    <w:next w:val="1003"/>
    <w:link w:val="91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04">
    <w:name w:val="font7"/>
    <w:basedOn w:val="911"/>
    <w:next w:val="1004"/>
    <w:link w:val="911"/>
    <w:pPr>
      <w:jc w:val="left"/>
      <w:spacing w:before="100" w:beforeAutospacing="1" w:after="100" w:afterAutospacing="1"/>
      <w:widowControl/>
    </w:pPr>
    <w:rPr>
      <w:rFonts w:hint="eastAsia" w:ascii="宋体" w:hAnsi="宋体" w:eastAsia="宋体" w:cs="Times New Roman"/>
      <w:sz w:val="18"/>
      <w:szCs w:val="18"/>
    </w:rPr>
  </w:style>
  <w:style w:type="paragraph" w:styleId="1005">
    <w:name w:val=" Char Char Char Char"/>
    <w:basedOn w:val="936"/>
    <w:next w:val="1005"/>
    <w:link w:val="911"/>
    <w:pPr>
      <w:spacing w:line="360" w:lineRule="auto"/>
    </w:pPr>
    <w:rPr>
      <w:rFonts w:ascii="Tahoma" w:hAnsi="Tahoma"/>
      <w:sz w:val="24"/>
      <w:szCs w:val="24"/>
    </w:rPr>
  </w:style>
  <w:style w:type="paragraph" w:styleId="1006">
    <w:name w:val="列出段落"/>
    <w:basedOn w:val="911"/>
    <w:next w:val="1006"/>
    <w:link w:val="911"/>
    <w:qFormat/>
    <w:pPr>
      <w:contextualSpacing/>
      <w:ind w:left="720"/>
      <w:jc w:val="left"/>
      <w:widowControl/>
    </w:pPr>
    <w:rPr>
      <w:rFonts w:ascii="Calibri" w:hAnsi="Calibri" w:eastAsia="宋体" w:cs="Times New Roman"/>
      <w:sz w:val="24"/>
      <w:szCs w:val="24"/>
      <w:lang w:eastAsia="en-US" w:bidi="en-US"/>
    </w:rPr>
  </w:style>
  <w:style w:type="paragraph" w:styleId="1007">
    <w:name w:val="4"/>
    <w:basedOn w:val="911"/>
    <w:next w:val="967"/>
    <w:link w:val="911"/>
    <w:pPr>
      <w:ind w:firstLine="420"/>
      <w:spacing w:line="360" w:lineRule="auto"/>
    </w:pPr>
    <w:rPr>
      <w:rFonts w:ascii="Times New Roman" w:hAnsi="Times New Roman" w:eastAsia="宋体" w:cs="Times New Roman"/>
      <w:color w:val="ff0000"/>
      <w:sz w:val="24"/>
      <w:szCs w:val="24"/>
    </w:rPr>
  </w:style>
  <w:style w:type="paragraph" w:styleId="1008">
    <w:name w:val="普通 (Web)"/>
    <w:basedOn w:val="911"/>
    <w:next w:val="1008"/>
    <w:link w:val="911"/>
    <w:pPr>
      <w:jc w:val="left"/>
      <w:spacing w:before="100" w:beforeAutospacing="1" w:after="100" w:afterAutospacing="1"/>
      <w:widowControl/>
    </w:pPr>
    <w:rPr>
      <w:rFonts w:ascii="宋体" w:hAnsi="宋体" w:eastAsia="宋体" w:cs="Times New Roman"/>
      <w:sz w:val="24"/>
      <w:szCs w:val="24"/>
    </w:rPr>
  </w:style>
  <w:style w:type="paragraph" w:styleId="1009">
    <w:name w:val=" Char Char Char Char Char Char Char Char Char Char"/>
    <w:basedOn w:val="911"/>
    <w:next w:val="1009"/>
    <w:link w:val="911"/>
    <w:pPr>
      <w:spacing w:line="360" w:lineRule="auto"/>
    </w:pPr>
    <w:rPr>
      <w:rFonts w:ascii="Times New Roman" w:hAnsi="Times New Roman" w:eastAsia="宋体" w:cs="Times New Roman"/>
      <w:sz w:val="24"/>
      <w:szCs w:val="20"/>
    </w:rPr>
  </w:style>
  <w:style w:type="paragraph" w:styleId="1010">
    <w:name w:val="样式1"/>
    <w:basedOn w:val="911"/>
    <w:next w:val="1010"/>
    <w:link w:val="911"/>
    <w:pPr>
      <w:numPr>
        <w:ilvl w:val="0"/>
        <w:numId w:val="3"/>
      </w:numPr>
      <w:tabs>
        <w:tab w:val="left" w:pos="709" w:leader="none"/>
      </w:tabs>
    </w:pPr>
    <w:rPr>
      <w:rFonts w:ascii="宋体" w:hAnsi="宋体" w:eastAsia="宋体" w:cs="Times New Roman"/>
      <w:szCs w:val="21"/>
    </w:rPr>
  </w:style>
  <w:style w:type="paragraph" w:styleId="1011">
    <w:name w:val="font6"/>
    <w:basedOn w:val="911"/>
    <w:next w:val="1011"/>
    <w:link w:val="911"/>
    <w:pPr>
      <w:jc w:val="left"/>
      <w:spacing w:before="100" w:beforeAutospacing="1" w:after="100" w:afterAutospacing="1"/>
      <w:widowControl/>
    </w:pPr>
    <w:rPr>
      <w:rFonts w:hint="eastAsia" w:ascii="宋体" w:hAnsi="宋体" w:eastAsia="宋体" w:cs="Times New Roman"/>
      <w:sz w:val="28"/>
      <w:szCs w:val="28"/>
      <w:u w:val="single"/>
    </w:rPr>
  </w:style>
  <w:style w:type="paragraph" w:styleId="1012">
    <w:name w:val="xl25"/>
    <w:basedOn w:val="911"/>
    <w:next w:val="1012"/>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4">
    <w:name w:val="标题3"/>
    <w:basedOn w:val="911"/>
    <w:next w:val="911"/>
    <w:link w:val="911"/>
    <w:pPr>
      <w:ind w:firstLine="624"/>
      <w:spacing w:line="590" w:lineRule="atLeast"/>
    </w:pPr>
    <w:rPr>
      <w:rFonts w:ascii="方正黑体_GBK" w:hAnsi="Times New Roman" w:eastAsia="方正黑体_GBK" w:cs="Times New Roman"/>
      <w:sz w:val="32"/>
      <w:szCs w:val="32"/>
    </w:rPr>
  </w:style>
  <w:style w:type="paragraph" w:styleId="1015">
    <w:name w:val="xl24"/>
    <w:basedOn w:val="911"/>
    <w:next w:val="101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9"/>
    <w:basedOn w:val="911"/>
    <w:next w:val="1016"/>
    <w:link w:val="91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7">
    <w:name w:val="Char Char Char Char Char Char Char Char"/>
    <w:basedOn w:val="911"/>
    <w:next w:val="1017"/>
    <w:link w:val="911"/>
    <w:pPr>
      <w:jc w:val="left"/>
      <w:spacing w:after="160" w:line="240" w:lineRule="exact"/>
      <w:widowControl/>
    </w:pPr>
    <w:rPr>
      <w:rFonts w:ascii="Verdana" w:hAnsi="Verdana" w:eastAsia="宋体" w:cs="Times New Roman"/>
      <w:sz w:val="20"/>
      <w:szCs w:val="20"/>
      <w:lang w:eastAsia="en-US"/>
    </w:rPr>
  </w:style>
  <w:style w:type="paragraph" w:styleId="1018">
    <w:name w:val="xl28"/>
    <w:basedOn w:val="911"/>
    <w:next w:val="1018"/>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9">
    <w:name w:val=" Char Char Char Char Char Char Char Char"/>
    <w:basedOn w:val="911"/>
    <w:next w:val="1019"/>
    <w:link w:val="911"/>
    <w:pPr>
      <w:jc w:val="left"/>
      <w:spacing w:after="160" w:line="240" w:lineRule="exact"/>
      <w:widowControl/>
    </w:pPr>
    <w:rPr>
      <w:rFonts w:ascii="Verdana" w:hAnsi="Verdana" w:eastAsia="宋体" w:cs="Times New Roman"/>
      <w:sz w:val="20"/>
      <w:szCs w:val="20"/>
      <w:lang w:eastAsia="en-US"/>
    </w:rPr>
  </w:style>
  <w:style w:type="paragraph" w:styleId="1020">
    <w:name w:val="xl30"/>
    <w:basedOn w:val="911"/>
    <w:next w:val="1020"/>
    <w:link w:val="911"/>
    <w:pPr>
      <w:jc w:val="center"/>
      <w:spacing w:before="100" w:beforeAutospacing="1" w:after="100" w:afterAutospacing="1"/>
      <w:widowControl/>
    </w:pPr>
    <w:rPr>
      <w:rFonts w:ascii="宋体" w:hAnsi="宋体" w:eastAsia="宋体" w:cs="Times New Roman"/>
      <w:b/>
      <w:bCs/>
      <w:sz w:val="36"/>
      <w:szCs w:val="36"/>
    </w:rPr>
  </w:style>
  <w:style w:type="paragraph" w:styleId="1021">
    <w:name w:val="Char Char Char Char"/>
    <w:basedOn w:val="936"/>
    <w:next w:val="1021"/>
    <w:link w:val="911"/>
    <w:pPr>
      <w:spacing w:line="360" w:lineRule="auto"/>
    </w:pPr>
    <w:rPr>
      <w:rFonts w:ascii="Tahoma" w:hAnsi="Tahoma"/>
      <w:sz w:val="24"/>
      <w:szCs w:val="24"/>
    </w:rPr>
  </w:style>
  <w:style w:type="paragraph" w:styleId="1022">
    <w:name w:val="table_1stline"/>
    <w:basedOn w:val="911"/>
    <w:next w:val="1022"/>
    <w:link w:val="911"/>
    <w:pPr>
      <w:jc w:val="left"/>
      <w:spacing w:before="120"/>
      <w:widowControl/>
    </w:pPr>
    <w:rPr>
      <w:rFonts w:ascii="Times New Roman" w:hAnsi="Times New Roman" w:eastAsia="宋体" w:cs="Times New Roman"/>
      <w:bCs/>
      <w:sz w:val="20"/>
      <w:szCs w:val="20"/>
      <w:lang w:val="de-DE" w:eastAsia="de-DE"/>
    </w:rPr>
  </w:style>
  <w:style w:type="paragraph" w:styleId="1023">
    <w:name w:val="font5"/>
    <w:basedOn w:val="911"/>
    <w:next w:val="1023"/>
    <w:link w:val="911"/>
    <w:pPr>
      <w:jc w:val="left"/>
      <w:spacing w:before="100" w:beforeAutospacing="1" w:after="100" w:afterAutospacing="1"/>
      <w:widowControl/>
    </w:pPr>
    <w:rPr>
      <w:rFonts w:hint="eastAsia" w:ascii="宋体" w:hAnsi="宋体" w:eastAsia="宋体" w:cs="Times New Roman"/>
      <w:sz w:val="28"/>
      <w:szCs w:val="28"/>
    </w:rPr>
  </w:style>
  <w:style w:type="paragraph" w:styleId="1024">
    <w:name w:val="标题1"/>
    <w:basedOn w:val="911"/>
    <w:next w:val="911"/>
    <w:link w:val="91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5">
    <w:name w:val="修订"/>
    <w:next w:val="1025"/>
    <w:link w:val="911"/>
    <w:uiPriority w:val="99"/>
    <w:semiHidden/>
    <w:rPr>
      <w:rFonts w:ascii="Times New Roman" w:hAnsi="Times New Roman"/>
      <w:sz w:val="21"/>
      <w:szCs w:val="21"/>
      <w:lang w:val="en-US" w:eastAsia="zh-CN" w:bidi="ar-SA"/>
    </w:rPr>
  </w:style>
  <w:style w:type="paragraph" w:styleId="1026">
    <w:name w:val="无间隔"/>
    <w:next w:val="1026"/>
    <w:link w:val="911"/>
    <w:uiPriority w:val="99"/>
    <w:qFormat/>
    <w:pPr>
      <w:jc w:val="both"/>
      <w:widowControl w:val="off"/>
    </w:pPr>
    <w:rPr>
      <w:rFonts w:ascii="Times New Roman" w:hAnsi="Times New Roman"/>
      <w:sz w:val="21"/>
      <w:szCs w:val="21"/>
      <w:lang w:val="en-US" w:eastAsia="zh-CN" w:bidi="ar-SA"/>
    </w:rPr>
  </w:style>
  <w:style w:type="paragraph" w:styleId="1027">
    <w:name w:val="引文目录标题1"/>
    <w:basedOn w:val="911"/>
    <w:next w:val="911"/>
    <w:link w:val="911"/>
    <w:qFormat/>
    <w:pPr>
      <w:spacing w:before="120"/>
    </w:pPr>
    <w:rPr>
      <w:rFonts w:ascii="Arial" w:hAnsi="Arial"/>
      <w:sz w:val="24"/>
    </w:rPr>
  </w:style>
  <w:style w:type="paragraph" w:styleId="1028">
    <w:name w:val="AONormal"/>
    <w:next w:val="1028"/>
    <w:link w:val="911"/>
    <w:qFormat/>
    <w:pPr>
      <w:ind w:firstLine="440"/>
      <w:spacing w:line="400" w:lineRule="exact"/>
    </w:pPr>
    <w:rPr>
      <w:rFonts w:ascii="华文楷体" w:hAnsi="华文楷体" w:eastAsia="华文楷体" w:cs="华文楷体"/>
      <w:sz w:val="22"/>
      <w:szCs w:val="21"/>
      <w:lang w:val="en-US" w:eastAsia="zh-CN" w:bidi="ar-SA"/>
    </w:rPr>
  </w:style>
  <w:style w:type="paragraph" w:styleId="1029">
    <w:name w:val="文本块1"/>
    <w:basedOn w:val="911"/>
    <w:next w:val="1029"/>
    <w:link w:val="911"/>
    <w:uiPriority w:val="99"/>
    <w:unhideWhenUsed/>
    <w:qFormat/>
    <w:pPr>
      <w:ind w:left="1440" w:right="700"/>
      <w:spacing w:after="120"/>
    </w:pPr>
  </w:style>
  <w:style w:type="paragraph" w:styleId="1030">
    <w:name w:val="正文文本11"/>
    <w:basedOn w:val="911"/>
    <w:next w:val="911"/>
    <w:link w:val="911"/>
    <w:qFormat/>
    <w:rPr>
      <w:rFonts w:ascii="楷体_GB2312" w:hAnsi="Arial" w:eastAsia="楷体_GB2312"/>
      <w:sz w:val="28"/>
      <w:szCs w:val="28"/>
    </w:rPr>
  </w:style>
  <w:style w:type="paragraph" w:styleId="1031">
    <w:name w:val="正文首行缩进1"/>
    <w:basedOn w:val="1032"/>
    <w:next w:val="1031"/>
    <w:link w:val="911"/>
    <w:qFormat/>
    <w:pPr>
      <w:ind w:firstLine="200"/>
      <w:spacing w:line="360" w:lineRule="auto"/>
    </w:pPr>
    <w:rPr>
      <w:rFonts w:ascii="方正仿宋_GB2312" w:hAnsi="Times New Roman" w:eastAsia="方正仿宋_GB2312"/>
      <w:sz w:val="30"/>
      <w:szCs w:val="30"/>
    </w:rPr>
  </w:style>
  <w:style w:type="paragraph" w:styleId="1032">
    <w:name w:val="正文文本1"/>
    <w:basedOn w:val="911"/>
    <w:next w:val="911"/>
    <w:link w:val="911"/>
    <w:qFormat/>
    <w:rPr>
      <w:rFonts w:ascii="方正楷体_GB2312" w:hAnsi="Arial" w:eastAsia="方正楷体_GB2312"/>
      <w:sz w:val="28"/>
      <w:szCs w:val="28"/>
    </w:rPr>
  </w:style>
  <w:style w:type="paragraph" w:styleId="1033">
    <w:name w:val="TOC 标题11"/>
    <w:next w:val="911"/>
    <w:link w:val="911"/>
    <w:uiPriority w:val="39"/>
    <w:qFormat/>
    <w:pPr>
      <w:keepLines/>
      <w:keepNext/>
      <w:spacing w:before="480" w:line="276" w:lineRule="auto"/>
    </w:pPr>
    <w:rPr>
      <w:rFonts w:ascii="Cambria" w:hAnsi="Cambria" w:eastAsia="宋体" w:cs="Times New Roman"/>
      <w:b/>
      <w:bCs/>
      <w:color w:val="365f91"/>
      <w:sz w:val="28"/>
      <w:szCs w:val="28"/>
      <w:lang w:val="en-US" w:eastAsia="zh-CN" w:bidi="ar-SA"/>
    </w:rPr>
  </w:style>
  <w:style w:type="character" w:styleId="1034">
    <w:name w:val="font21"/>
    <w:next w:val="1034"/>
    <w:link w:val="911"/>
    <w:qFormat/>
    <w:rPr>
      <w:rFonts w:hint="eastAsia" w:ascii="宋体" w:hAnsi="宋体" w:eastAsia="宋体" w:cs="宋体"/>
      <w:color w:val="000000"/>
      <w:sz w:val="20"/>
      <w:szCs w:val="20"/>
      <w:u w:val="none"/>
    </w:rPr>
  </w:style>
  <w:style w:type="character" w:styleId="1035" w:default="1">
    <w:name w:val="Default Paragraph Font"/>
    <w:uiPriority w:val="1"/>
    <w:semiHidden/>
    <w:unhideWhenUsed/>
  </w:style>
  <w:style w:type="numbering" w:styleId="1036" w:default="1">
    <w:name w:val="No List"/>
    <w:uiPriority w:val="99"/>
    <w:semiHidden/>
    <w:unhideWhenUsed/>
  </w:style>
  <w:style w:type="table" w:styleId="10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7</cp:revision>
  <dcterms:created xsi:type="dcterms:W3CDTF">2023-12-25T07:48:00Z</dcterms:created>
  <dcterms:modified xsi:type="dcterms:W3CDTF">2026-09-30T05:38:02Z</dcterms:modified>
</cp:coreProperties>
</file>