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13" w:lineRule="atLeast"/>
        <w:rPr>
          <w:rFonts w:ascii="宋体" w:hAnsi="宋体" w:cs="宋体"/>
          <w:b/>
          <w:sz w:val="48"/>
        </w:rPr>
        <w:pBdr>
          <w:top w:val="none" w:color="000000" w:sz="0" w:space="0"/>
          <w:left w:val="none" w:color="000000" w:sz="0" w:space="0"/>
          <w:bottom w:val="none" w:color="000000" w:sz="0" w:space="0"/>
          <w:right w:val="none" w:color="000000" w:sz="0" w:space="0"/>
        </w:pBdr>
      </w:pPr>
      <w:r>
        <w:rPr>
          <w:rFonts w:ascii="宋体" w:hAnsi="宋体" w:cs="宋体"/>
          <w:b/>
          <w:sz w:val="48"/>
        </w:rPr>
      </w:r>
      <w:r/>
    </w:p>
    <w:p>
      <w:pPr>
        <w:jc w:val="center"/>
        <w:spacing w:line="113" w:lineRule="atLeast"/>
        <w:rPr>
          <w:rFonts w:ascii="宋体" w:hAnsi="宋体" w:cs="宋体"/>
          <w:b/>
          <w:sz w:val="48"/>
        </w:rPr>
        <w:pBdr>
          <w:top w:val="none" w:color="000000" w:sz="0" w:space="0"/>
          <w:left w:val="none" w:color="000000" w:sz="0" w:space="0"/>
          <w:bottom w:val="none" w:color="000000" w:sz="0" w:space="0"/>
          <w:right w:val="none" w:color="000000" w:sz="0" w:space="0"/>
        </w:pBdr>
      </w:pPr>
      <w:r>
        <w:rPr>
          <w:rFonts w:ascii="宋体" w:hAnsi="宋体" w:cs="宋体"/>
          <w:b/>
          <w:sz w:val="48"/>
        </w:rPr>
      </w:r>
      <w:r/>
    </w:p>
    <w:p>
      <w:pPr>
        <w:jc w:val="center"/>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48"/>
        </w:rPr>
        <w:t xml:space="preserve">大丰区村卫生室心电检查设备采购项目</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b/>
          <w:sz w:val="4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8"/>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7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20"/>
        <w:spacing w:line="31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84"/>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5"/>
      </w:pPr>
      <w:r/>
      <w:r/>
    </w:p>
    <w:p>
      <w:pPr>
        <w:jc w:val="center"/>
        <w:spacing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sz w:val="32"/>
        </w:rPr>
        <w:t xml:space="preserve">项目编号：</w:t>
      </w:r>
      <w:r>
        <w:rPr>
          <w:rFonts w:hint="eastAsia" w:ascii="宋体" w:hAnsi="宋体" w:cs="宋体"/>
          <w:b/>
          <w:sz w:val="32"/>
          <w:lang w:eastAsia="zh-CN"/>
        </w:rPr>
        <w:t xml:space="preserve">JSZC-320904-JSYF-G2026-0016</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jc w:val="center"/>
        <w:spacing w:line="85"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jc w:val="center"/>
        <w:spacing w:line="85"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jc w:val="center"/>
        <w:spacing w:line="85"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jc w:val="center"/>
        <w:spacing w:line="85"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jc w:val="center"/>
        <w:spacing w:line="85"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jc w:val="center"/>
        <w:spacing w:line="85"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招标人：</w:t>
      </w:r>
      <w:r>
        <w:rPr>
          <w:rFonts w:ascii="宋体" w:hAnsi="宋体" w:cs="宋体"/>
          <w:b/>
          <w:sz w:val="32"/>
          <w:u w:val="single"/>
        </w:rPr>
        <w:t xml:space="preserve">盐城市大丰区卫生健康委员会</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招标代理机构：</w:t>
      </w:r>
      <w:r>
        <w:rPr>
          <w:rFonts w:ascii="宋体" w:hAnsi="宋体" w:cs="宋体"/>
          <w:b/>
          <w:sz w:val="32"/>
          <w:u w:val="single"/>
        </w:rPr>
        <w:t xml:space="preserve">江苏昱丰华项目管理有限公司</w:t>
      </w:r>
      <w:r/>
    </w:p>
    <w:p>
      <w:pPr>
        <w:jc w:val="center"/>
        <w:spacing w:line="85"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日  期：202</w:t>
      </w:r>
      <w:r>
        <w:rPr>
          <w:rFonts w:hint="eastAsia" w:ascii="宋体" w:hAnsi="宋体" w:cs="宋体"/>
          <w:b/>
          <w:sz w:val="32"/>
        </w:rPr>
        <w:t xml:space="preserve">6</w:t>
      </w:r>
      <w:r>
        <w:rPr>
          <w:rFonts w:ascii="宋体" w:hAnsi="宋体" w:cs="宋体"/>
          <w:b/>
          <w:sz w:val="32"/>
        </w:rPr>
        <w:t xml:space="preserve">年</w:t>
      </w:r>
      <w:r>
        <w:rPr>
          <w:rFonts w:hint="eastAsia" w:ascii="宋体" w:hAnsi="宋体" w:cs="宋体"/>
          <w:b/>
          <w:sz w:val="32"/>
          <w:lang w:val="en-US" w:eastAsia="zh-CN"/>
        </w:rPr>
        <w:t xml:space="preserve">9</w:t>
      </w:r>
      <w:r>
        <w:rPr>
          <w:rFonts w:ascii="宋体" w:hAnsi="宋体" w:cs="宋体"/>
          <w:b/>
          <w:sz w:val="32"/>
        </w:rPr>
        <w:t xml:space="preserve">月</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6"/>
        </w:rPr>
        <w:t xml:space="preserve">总目录</w:t>
      </w:r>
      <w:r/>
    </w:p>
    <w:p>
      <w:pPr>
        <w:numPr>
          <w:ilvl w:val="0"/>
          <w:numId w:val="5"/>
        </w:num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招标公告……………………………………………3 </w:t>
      </w:r>
      <w:r/>
    </w:p>
    <w:p>
      <w:pPr>
        <w:numPr>
          <w:ilvl w:val="0"/>
          <w:numId w:val="5"/>
        </w:num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投标人须知………………………………………6  </w:t>
      </w:r>
      <w:r/>
    </w:p>
    <w:p>
      <w:pPr>
        <w:numPr>
          <w:ilvl w:val="0"/>
          <w:numId w:val="5"/>
        </w:num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合同条款及格式……………………………………19</w:t>
      </w:r>
      <w:r/>
    </w:p>
    <w:p>
      <w:pPr>
        <w:numPr>
          <w:ilvl w:val="0"/>
          <w:numId w:val="5"/>
        </w:num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采购需求……………………………………………24</w:t>
      </w:r>
      <w:r/>
    </w:p>
    <w:p>
      <w:pPr>
        <w:numPr>
          <w:ilvl w:val="0"/>
          <w:numId w:val="5"/>
        </w:num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定标原则与评标标准………………………………30</w:t>
      </w:r>
      <w:r/>
    </w:p>
    <w:p>
      <w:pPr>
        <w:numPr>
          <w:ilvl w:val="0"/>
          <w:numId w:val="5"/>
        </w:num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投标文件格式………………………………………33</w:t>
      </w:r>
      <w:r/>
    </w:p>
    <w:p>
      <w:pPr>
        <w:pStyle w:val="667"/>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sz w:val="44"/>
        </w:rPr>
        <w:t xml:space="preserve"> </w:t>
      </w:r>
      <w:r/>
    </w:p>
    <w:p>
      <w:pPr>
        <w:pStyle w:val="667"/>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sz w:val="4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40"/>
        </w:rPr>
        <w:t xml:space="preserve">第一章  招标公告 </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0"/>
      </w:tblGrid>
      <w:tr>
        <w:trPr>
          <w:trHeight w:val="1423"/>
        </w:trPr>
        <w:tc>
          <w:tcPr>
            <w:tcBorders>
              <w:top w:val="single" w:color="999999" w:sz="8" w:space="0"/>
              <w:left w:val="single" w:color="999999" w:sz="8" w:space="0"/>
              <w:bottom w:val="single" w:color="000000" w:sz="8" w:space="0"/>
              <w:right w:val="single" w:color="000000" w:sz="8" w:space="0"/>
            </w:tcBorders>
            <w:tcMar>
              <w:left w:w="24" w:type="dxa"/>
              <w:top w:w="0" w:type="dxa"/>
              <w:right w:w="24" w:type="dxa"/>
              <w:bottom w:w="0" w:type="dxa"/>
            </w:tcMar>
            <w:tcW w:w="935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项目概况</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rPr>
              <w:t xml:space="preserve">大丰区村卫生室心电检查设备采购项目</w:t>
            </w:r>
            <w:r>
              <w:rPr>
                <w:rFonts w:hint="eastAsia"/>
                <w:lang w:eastAsia="zh-CN"/>
              </w:rPr>
              <w:t xml:space="preserve">JSZC-320904-JSYF-G2026-0016</w:t>
            </w:r>
            <w:r>
              <w:t xml:space="preserve">招标项目的潜在投标</w:t>
            </w:r>
            <w:r>
              <w:rPr>
                <w:rFonts w:hint="eastAsia"/>
              </w:rPr>
              <w:t xml:space="preserve">人应在“苏采云”系统内免费下载(投标人必须在苏采云系统中获取采购文件，方能参与政府采购项目);获取招标文件，并于</w:t>
            </w:r>
            <w:r>
              <w:rPr>
                <w:rFonts w:ascii="宋体" w:hAnsi="宋体" w:cs="宋体"/>
              </w:rPr>
              <w:t xml:space="preserve">202</w:t>
            </w:r>
            <w:r>
              <w:rPr>
                <w:rFonts w:hint="eastAsia" w:ascii="宋体" w:hAnsi="宋体" w:cs="宋体"/>
              </w:rPr>
              <w:t xml:space="preserve">6</w:t>
            </w:r>
            <w:r>
              <w:rPr>
                <w:rFonts w:ascii="宋体" w:hAnsi="宋体" w:cs="宋体"/>
              </w:rPr>
              <w:t xml:space="preserve">-</w:t>
            </w:r>
            <w:r>
              <w:rPr>
                <w:rFonts w:hint="eastAsia" w:ascii="宋体" w:hAnsi="宋体" w:cs="宋体"/>
                <w:lang w:val="en-US" w:eastAsia="zh-CN"/>
              </w:rPr>
              <w:t xml:space="preserve">10</w:t>
            </w:r>
            <w:r>
              <w:rPr>
                <w:rFonts w:ascii="宋体" w:hAnsi="宋体" w:cs="宋体"/>
              </w:rPr>
              <w:t xml:space="preserve">-</w:t>
            </w:r>
            <w:r>
              <w:rPr>
                <w:rFonts w:hint="eastAsia" w:ascii="宋体" w:hAnsi="宋体" w:cs="宋体"/>
                <w:lang w:val="en-US" w:eastAsia="zh-CN"/>
              </w:rPr>
              <w:t xml:space="preserve">09</w:t>
            </w:r>
            <w:r>
              <w:rPr>
                <w:rFonts w:ascii="宋体" w:hAnsi="宋体" w:cs="宋体"/>
              </w:rPr>
              <w:t xml:space="preserve"> 09:</w:t>
            </w:r>
            <w:r>
              <w:rPr>
                <w:rFonts w:hint="eastAsia" w:ascii="宋体" w:hAnsi="宋体" w:cs="宋体"/>
              </w:rPr>
              <w:t xml:space="preserve">3</w:t>
            </w:r>
            <w:r>
              <w:rPr>
                <w:rFonts w:ascii="宋体" w:hAnsi="宋体" w:cs="宋体"/>
              </w:rPr>
              <w:t xml:space="preserve">0</w:t>
            </w:r>
            <w:r>
              <w:rPr>
                <w:rFonts w:hint="eastAsia"/>
              </w:rPr>
              <w:t xml:space="preserve">(北京时间)前递交投标文件。</w:t>
            </w:r>
            <w:r/>
          </w:p>
        </w:tc>
      </w:tr>
    </w:tbl>
    <w:p>
      <w:pPr>
        <w:pStyle w:val="669"/>
        <w:ind w:firstLine="422"/>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一、项目基本情况</w:t>
      </w:r>
      <w:r/>
    </w:p>
    <w:p>
      <w:pPr>
        <w:ind w:firstLine="420"/>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rPr>
        <w:t xml:space="preserve">项目编号：</w:t>
      </w:r>
      <w:r>
        <w:rPr>
          <w:rFonts w:hint="eastAsia" w:ascii="宋体" w:hAnsi="宋体" w:cs="宋体"/>
          <w:lang w:eastAsia="zh-CN"/>
        </w:rPr>
        <w:t xml:space="preserve">JSZC-320904-JSYF-G2026-0016</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rPr>
          <w:rFonts w:hint="eastAsia" w:ascii="宋体" w:hAnsi="宋体" w:cs="宋体"/>
        </w:rPr>
        <w:t xml:space="preserve">大丰区村卫生室心电检查设备采购项目</w:t>
      </w:r>
      <w:r>
        <w:rPr>
          <w:rFonts w:ascii="宋体" w:hAnsi="宋体" w:cs="宋体"/>
        </w:rPr>
        <w:t xml:space="preserve"> </w:t>
      </w:r>
      <w:r/>
    </w:p>
    <w:p>
      <w:pPr>
        <w:ind w:firstLine="420"/>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预算金额：</w:t>
      </w:r>
      <w:r>
        <w:rPr>
          <w:rFonts w:hint="eastAsia" w:ascii="宋体" w:hAnsi="宋体" w:cs="宋体"/>
          <w:color w:val="auto"/>
          <w:lang w:val="en-US" w:eastAsia="zh-CN"/>
        </w:rPr>
        <w:t xml:space="preserve">2297000</w:t>
      </w:r>
      <w:r>
        <w:rPr>
          <w:rFonts w:ascii="宋体" w:hAnsi="宋体" w:cs="宋体"/>
          <w:color w:val="auto"/>
        </w:rPr>
        <w:t xml:space="preserve">元 </w:t>
      </w:r>
      <w:r/>
    </w:p>
    <w:p>
      <w:pPr>
        <w:ind w:firstLine="420"/>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最高限价（如有）：</w:t>
      </w:r>
      <w:r>
        <w:rPr>
          <w:rFonts w:hint="eastAsia" w:ascii="宋体" w:hAnsi="宋体" w:cs="宋体"/>
          <w:color w:val="auto"/>
          <w:lang w:val="en-US" w:eastAsia="zh-CN"/>
        </w:rPr>
        <w:t xml:space="preserve">2297000元，(便携式心电检查设备7000元/台、数字式心电检查设备16000元/台、动态心电检查设备13000元/台)</w:t>
      </w:r>
      <w:r>
        <w:rPr>
          <w:rFonts w:ascii="宋体" w:hAnsi="宋体" w:cs="宋体"/>
          <w:color w:val="auto"/>
        </w:rPr>
        <w:t xml:space="preserve">投标报价高于最高限价的作无效标处理；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采购需求：</w:t>
      </w:r>
      <w:r>
        <w:rPr>
          <w:rFonts w:hint="eastAsia" w:ascii="宋体" w:hAnsi="宋体" w:cs="宋体"/>
        </w:rPr>
        <w:t xml:space="preserve">便携式心电检查设备、数字式心电检查设备以及动态心电检查设备</w:t>
      </w:r>
      <w:r>
        <w:rPr>
          <w:rFonts w:ascii="宋体" w:hAnsi="宋体" w:cs="宋体"/>
        </w:rPr>
        <w:t xml:space="preserve">采购以及相关</w:t>
      </w:r>
      <w:r>
        <w:rPr>
          <w:rFonts w:hint="eastAsia" w:ascii="宋体" w:hAnsi="宋体" w:cs="宋体"/>
        </w:rPr>
        <w:t xml:space="preserve">伴随</w:t>
      </w:r>
      <w:r>
        <w:rPr>
          <w:rFonts w:ascii="宋体" w:hAnsi="宋体" w:cs="宋体"/>
        </w:rPr>
        <w:t xml:space="preserve">服务，具体内容及要求详见招标文件第五章采购需求；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合同履行期限：签订合同后</w:t>
      </w:r>
      <w:r>
        <w:rPr>
          <w:rFonts w:hint="eastAsia" w:ascii="宋体" w:hAnsi="宋体" w:cs="宋体"/>
        </w:rPr>
        <w:t xml:space="preserve">30</w:t>
      </w:r>
      <w:r>
        <w:rPr>
          <w:rFonts w:ascii="宋体" w:hAnsi="宋体" w:cs="宋体"/>
        </w:rPr>
        <w:t xml:space="preserve">日历天内完成所需设备的采购、供应、运输、安装、调试等相关伴随服务，并通过采购人的验收。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本项目（是/否）接受联合体投标：</w:t>
      </w:r>
      <w:r>
        <w:rPr>
          <w:rFonts w:ascii="宋体" w:hAnsi="宋体" w:cs="宋体"/>
        </w:rPr>
        <w:t xml:space="preserve">否</w:t>
      </w:r>
      <w:r/>
    </w:p>
    <w:p>
      <w:pPr>
        <w:pStyle w:val="669"/>
        <w:ind w:firstLine="422"/>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二、申请人的资格要求：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（一）满足《中华人民共和国政府采购法》第二十二条规定：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1.法人或者其他组织的营业执照等证明文件，自然人的身份证明。</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2.上一年度的财务状况报告（成立不满一年不需提供）。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3.依法缴纳税收和社会保障资金的相关材料。</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4.具备履行合同所必需的设备和专业技术能力的书面声明。</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5.参加政府采购活动前3年内在经营活动中没有重大违法记录的书面声明。</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6.法律、行政法规规定的其他条件。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（二）落实政府采购政策需满足的资格要求：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无</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（三）本项目的特定资格要求：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1.投标人须提供有效的医疗器械产品注册证或产品备案凭证，投标时需提供</w:t>
      </w:r>
      <w:r>
        <w:rPr>
          <w:rFonts w:hint="eastAsia" w:ascii="宋体" w:hAnsi="宋体" w:cs="宋体"/>
        </w:rPr>
        <w:t xml:space="preserve">扫描件</w:t>
      </w:r>
      <w:r>
        <w:rPr>
          <w:rFonts w:ascii="宋体" w:hAnsi="宋体" w:cs="宋体"/>
        </w:rPr>
        <w:t xml:space="preserve">加盖投标单位公章；</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2.若投标供应商为代理商，须具有有效的《医疗器械经营许可证》或医疗器械经营备案凭证，投标时需提供</w:t>
      </w:r>
      <w:r>
        <w:rPr>
          <w:rFonts w:hint="eastAsia" w:ascii="宋体" w:hAnsi="宋体" w:cs="宋体"/>
        </w:rPr>
        <w:t xml:space="preserve">扫描件</w:t>
      </w:r>
      <w:r>
        <w:rPr>
          <w:rFonts w:ascii="宋体" w:hAnsi="宋体" w:cs="宋体"/>
        </w:rPr>
        <w:t xml:space="preserve">加盖投标单位公章；</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cs="宋体"/>
        </w:rPr>
        <w:t xml:space="preserve">扫描件</w:t>
      </w:r>
      <w:r>
        <w:rPr>
          <w:rFonts w:ascii="宋体" w:hAnsi="宋体" w:cs="宋体"/>
        </w:rPr>
        <w:t xml:space="preserve">加盖投标单位公章；</w:t>
      </w:r>
      <w:r/>
    </w:p>
    <w:p>
      <w:pPr>
        <w:pStyle w:val="669"/>
        <w:ind w:firstLine="422"/>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三、获取招标文件</w:t>
      </w:r>
      <w:r/>
    </w:p>
    <w:p>
      <w:pPr>
        <w:ind w:firstLine="420"/>
        <w:spacing w:line="360" w:lineRule="auto"/>
        <w:rPr>
          <w:rFonts w:hint="eastAsia" w:ascii="宋体" w:hAnsi="宋体" w:cs="宋体"/>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Cs w:val="24"/>
          <w:shd w:val="clear" w:color="auto" w:fill="ffffff"/>
        </w:rPr>
        <w:t xml:space="preserve">时间：自招标文件公告发布之日起5个工作日。  </w:t>
      </w:r>
      <w:r/>
    </w:p>
    <w:p>
      <w:pPr>
        <w:ind w:firstLine="420"/>
        <w:spacing w:line="360" w:lineRule="auto"/>
        <w:rPr>
          <w:rFonts w:hint="eastAsia" w:ascii="宋体" w:hAnsi="宋体" w:cs="宋体"/>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Cs w:val="24"/>
          <w:shd w:val="clear" w:color="auto" w:fill="ffffff"/>
        </w:rPr>
        <w:t xml:space="preserve">地点：“苏采云”系统内免费下载（投标人必须在苏采云系统中获取采购文件，方能参与政府采购项目）； </w:t>
      </w:r>
      <w:r/>
    </w:p>
    <w:p>
      <w:pPr>
        <w:ind w:firstLine="420"/>
        <w:spacing w:line="360" w:lineRule="auto"/>
        <w:rPr>
          <w:rFonts w:hint="eastAsia" w:ascii="宋体" w:hAnsi="宋体" w:cs="宋体"/>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shd w:val="clear" w:color="auto" w:fill="ffffff"/>
        </w:rPr>
        <w:t xml:space="preserve">方式：本项目采用网上注册登记方式，网址:https://jszfcg.jsczt.cn/jszc/login</w:t>
      </w:r>
      <w:r>
        <w:rPr>
          <w:rFonts w:hint="eastAsia" w:ascii="宋体" w:hAnsi="宋体" w:cs="宋体"/>
          <w:szCs w:val="24"/>
          <w:shd w:val="clear" w:color="auto" w:fill="ffffff"/>
          <w:lang w:eastAsia="zh-CN"/>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Cs w:val="24"/>
          <w:shd w:val="clear" w:color="auto" w:fill="ffffff"/>
        </w:rPr>
        <w:t xml:space="preserve">售价:0.00元。</w:t>
      </w:r>
      <w:r>
        <w:rPr>
          <w:rFonts w:ascii="宋体" w:hAnsi="宋体" w:cs="宋体"/>
        </w:rPr>
        <w:t xml:space="preserve"> </w:t>
      </w:r>
      <w:r/>
    </w:p>
    <w:p>
      <w:pPr>
        <w:pStyle w:val="669"/>
        <w:ind w:firstLine="422"/>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四、提交投标文件截止时间、开标时间和地点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202</w:t>
      </w:r>
      <w:r>
        <w:rPr>
          <w:rFonts w:hint="eastAsia" w:ascii="宋体" w:hAnsi="宋体" w:cs="宋体"/>
        </w:rPr>
        <w:t xml:space="preserve">6</w:t>
      </w:r>
      <w:r>
        <w:rPr>
          <w:rFonts w:ascii="宋体" w:hAnsi="宋体" w:cs="宋体"/>
        </w:rPr>
        <w:t xml:space="preserve">-</w:t>
      </w:r>
      <w:r>
        <w:rPr>
          <w:rFonts w:hint="eastAsia" w:ascii="宋体" w:hAnsi="宋体" w:cs="宋体"/>
          <w:lang w:val="en-US" w:eastAsia="zh-CN"/>
        </w:rPr>
        <w:t xml:space="preserve">10</w:t>
      </w:r>
      <w:r>
        <w:rPr>
          <w:rFonts w:ascii="宋体" w:hAnsi="宋体" w:cs="宋体"/>
        </w:rPr>
        <w:t xml:space="preserve">-</w:t>
      </w:r>
      <w:r>
        <w:rPr>
          <w:rFonts w:hint="eastAsia" w:ascii="宋体" w:hAnsi="宋体" w:cs="宋体"/>
          <w:lang w:val="en-US" w:eastAsia="zh-CN"/>
        </w:rPr>
        <w:t xml:space="preserve">09 </w:t>
      </w:r>
      <w:r>
        <w:rPr>
          <w:rFonts w:ascii="宋体" w:hAnsi="宋体" w:cs="宋体"/>
        </w:rPr>
        <w:t xml:space="preserve"> 09:</w:t>
      </w:r>
      <w:r>
        <w:rPr>
          <w:rFonts w:hint="eastAsia" w:ascii="宋体" w:hAnsi="宋体" w:cs="宋体"/>
        </w:rPr>
        <w:t xml:space="preserve">3</w:t>
      </w:r>
      <w:r>
        <w:rPr>
          <w:rFonts w:ascii="宋体" w:hAnsi="宋体" w:cs="宋体"/>
        </w:rPr>
        <w:t xml:space="preserve">0（北京时间）</w:t>
      </w:r>
      <w:r/>
    </w:p>
    <w:p>
      <w:pPr>
        <w:ind w:firstLine="420"/>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地点:“苏采云”政府采购交易系统网上开标大厅(网址:https://jszfcg.jsczt.cn/jszc/login)</w:t>
      </w:r>
      <w:r>
        <w:rPr>
          <w:rFonts w:hint="eastAsia" w:ascii="宋体" w:hAnsi="宋体"/>
          <w:bCs/>
        </w:rPr>
        <w:t xml:space="preserve">。</w:t>
      </w:r>
      <w:r/>
    </w:p>
    <w:p>
      <w:pPr>
        <w:pStyle w:val="669"/>
        <w:ind w:firstLine="422"/>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五、公告期限</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自本公告发布之日起5个工作日。</w:t>
      </w:r>
      <w:r/>
    </w:p>
    <w:p>
      <w:pPr>
        <w:pStyle w:val="669"/>
        <w:ind w:firstLine="422"/>
        <w:spacing w:before="145" w:after="145"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六、其他补充事宜</w:t>
      </w:r>
      <w:r/>
    </w:p>
    <w:p>
      <w:pPr>
        <w:ind w:firstLine="480"/>
        <w:jc w:val="left"/>
        <w:spacing w:line="44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1、电子投标文件一份(通过系统提交)；纸质投标文件正本一份，副本四份（评审结束后由中标候选人邮寄至采购人，未中标单位不需要提供）。</w:t>
      </w:r>
      <w:r/>
    </w:p>
    <w:p>
      <w:pPr>
        <w:ind w:firstLine="480"/>
        <w:jc w:val="left"/>
        <w:spacing w:line="44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ind w:firstLine="480"/>
        <w:jc w:val="left"/>
        <w:spacing w:line="44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0"/>
        <w:jc w:val="left"/>
        <w:spacing w:line="44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3、有关本次招标的事项若存在变动或修改，敬请及时关注采购人在“中国政府采购网”“江苏政府采购网”、“盐城市政府采购网”发布的更正公告。</w:t>
      </w:r>
      <w:r/>
    </w:p>
    <w:p>
      <w:pPr>
        <w:ind w:firstLine="480"/>
        <w:jc w:val="left"/>
        <w:spacing w:line="44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4、本项目不收取投标保证金，不收取质量保证金。</w:t>
      </w:r>
      <w:r/>
    </w:p>
    <w:p>
      <w:pPr>
        <w:pStyle w:val="669"/>
        <w:ind w:firstLine="422"/>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七、对本次招标提出询问，请按以下方式联系。</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1.采购人信息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采购包1</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单位名称：盐城市大丰区卫生健康委员会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单位地址：盐城市大丰区幸福西大街68号</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联系人：</w:t>
      </w:r>
      <w:r>
        <w:rPr>
          <w:rFonts w:hint="eastAsia" w:ascii="宋体" w:hAnsi="宋体" w:cs="宋体"/>
        </w:rPr>
        <w:t xml:space="preserve">沈杨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联系电话：</w:t>
      </w:r>
      <w:r>
        <w:rPr>
          <w:rFonts w:hint="eastAsia" w:ascii="宋体" w:hAnsi="宋体" w:cs="宋体"/>
        </w:rPr>
        <w:t xml:space="preserve">13914699466</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2.采购代理机构信息</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单位名称：江苏昱丰华项目管理有限公司</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单位地址：盐城市大丰区丰尚国际（人民北路与通港大道交汇处）十七楼</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联系人：丁亚祥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联系电话：15358280315</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3.项目联系方式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项目联系人：丁亚祥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电话：15358280315</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ind w:firstLine="56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0"/>
        </w:rPr>
        <w:t xml:space="preserve">第二章  投标人须知</w:t>
      </w:r>
      <w:r/>
    </w:p>
    <w:p>
      <w:pPr>
        <w:pStyle w:val="669"/>
        <w:ind w:firstLine="422"/>
        <w:spacing w:before="145" w:after="145"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一、总则</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1、招标方式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1.1 本次招标采取公开招标方式，本招标文件仅适用于招标公告中所述项目。</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2、合格的投标人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2.1满足招标公告中供应商的资格要求的规定。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2.2 满足本文件实质性条款的规定。</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3、适用法律</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 本次招标及由此产生的合同受中华人民共和国有关的法律法规制约和保护。</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4、投标费用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4.1 投标人应自行承担所有与参加投标有关的费用，无论投标过程中的做法和结果如何，盐城大丰区卫生健康委员会在任何情况下均无义务和责任承担这些费用。</w:t>
      </w:r>
      <w:r/>
    </w:p>
    <w:p>
      <w:pPr>
        <w:pStyle w:val="670"/>
        <w:ind w:firstLine="422"/>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5、招标文件的约束力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5.1 投标人一旦参加本项目采购活动，即被认为接受了本招标文件的规定和约束，并且视为自招标公告期限届满之日起知道或应当知道自身权益是否受到了损害。</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6、招标文件的解释</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6.1 本招标文件由采购人和代理公司负责解释。</w:t>
      </w:r>
      <w:r/>
    </w:p>
    <w:p>
      <w:pPr>
        <w:pStyle w:val="669"/>
        <w:ind w:firstLine="422"/>
        <w:spacing w:before="145" w:after="145"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二、招标文件</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7、招标文件构成</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7.1 招标文件</w:t>
      </w:r>
      <w:r>
        <w:rPr>
          <w:rFonts w:hint="eastAsia" w:ascii="宋体" w:hAnsi="宋体" w:cs="宋体"/>
        </w:rPr>
        <w:t xml:space="preserve">由</w:t>
      </w:r>
      <w:r>
        <w:rPr>
          <w:rFonts w:ascii="宋体" w:hAnsi="宋体" w:cs="宋体"/>
        </w:rPr>
        <w:t xml:space="preserve">以下部分组成：</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（1）招标公告</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（2）投标人须知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（3）合同条款及格式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（4）采购需求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（5）评标方法与评标标准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（6）投标文件格式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请仔细检查招标文件是否齐全，如有缺漏请立即与采购人联系解决。</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7.2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 xml:space="preserve">做出</w:t>
      </w:r>
      <w:r>
        <w:rPr>
          <w:rFonts w:ascii="宋体" w:hAnsi="宋体" w:cs="宋体"/>
        </w:rPr>
        <w:t xml:space="preserve">实质性响应，否则其风险由投标人自行承担。</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8、招标文件的询问</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8.1 任何要求对招标文件进行询问的投标人，应在投标截止日期</w:t>
      </w:r>
      <w:r>
        <w:rPr>
          <w:rFonts w:ascii="宋体" w:hAnsi="宋体" w:cs="宋体"/>
          <w:b/>
        </w:rPr>
        <w:t xml:space="preserve">十日</w:t>
      </w:r>
      <w:r>
        <w:rPr>
          <w:rFonts w:ascii="宋体" w:hAnsi="宋体" w:cs="宋体"/>
        </w:rPr>
        <w:t xml:space="preserve">前按招标公告中的通讯地址，向代理公司或采购人提出。</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9、招标文件的修改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9.1在投标截止时间前，采购人可以对招标文件进行修改。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9.2采购人和代理公司有权依法推迟投标截止日期和开标日期。</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9.3招标文件的修改、补充文件将作为招标文件的组成部分，并对投标人具有约束力。</w:t>
      </w:r>
      <w:r/>
    </w:p>
    <w:p>
      <w:pPr>
        <w:pStyle w:val="669"/>
        <w:ind w:firstLine="422"/>
        <w:spacing w:before="145" w:after="145"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三、投标文件的编制</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10、投标文件的语言及度量衡单位</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10.1 投标人提交的投标文件以及投标人与采购人、代理公司就有关投标的所有来往通知、函件和文件均应使用</w:t>
      </w:r>
      <w:r>
        <w:rPr>
          <w:rFonts w:ascii="宋体" w:hAnsi="宋体" w:cs="宋体"/>
          <w:b/>
        </w:rPr>
        <w:t xml:space="preserve">简体中文</w:t>
      </w:r>
      <w:r>
        <w:rPr>
          <w:rFonts w:ascii="宋体" w:hAnsi="宋体" w:cs="宋体"/>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10.2 除技术性能另有规定外，投标文件所使用的度量衡单位，均须采用国家法定计量单位。</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11、投标文件构成</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11.1 投标人编写的投标文件应包括资信证明文件、资格性审查响应对照表、符合性检查响应对照表、投标函、开标一览表、投标产品配置及分项报价表、技术参数响应及偏离表、商务条款响应及偏离表、服务承诺等。</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11.2</w:t>
      </w:r>
      <w:r>
        <w:rPr>
          <w:rFonts w:ascii="宋体" w:hAnsi="宋体" w:cs="宋体"/>
          <w:b/>
        </w:rPr>
        <w:t xml:space="preserve"> </w:t>
      </w:r>
      <w:r>
        <w:rPr>
          <w:rFonts w:ascii="宋体" w:hAnsi="宋体" w:cs="宋体"/>
        </w:rPr>
        <w:t xml:space="preserve">投标人应将投标文件按顺序编制成册，并编制投标文件资料目录。</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12、证明投标人资格及符合招标文件规定的文件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12.1投标人应按要求提交资格证明文件及符合招标文件规定的文件。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12.2投标人应提交证明其有资格参加投标和中标后有能力独立履行合同的文件。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12.3投标人除必须具有履行合同所需提供的货物以及服务的能力外，还必须具备相应的财务、技术方面的能力。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12.4投标人应提交根据合同要求提供的证明产品质量合格以及符合招标文件规定的证明文件。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12.5证明投标人所提供货物与招标文件的要求相一致的文件可以是手册、图纸、文字资料和数据。</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13、投标产品配置及分项报价表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13.1 投标人应按照招标文件规定格式填报投标产品配置及分项报价表。每项货物和服务等只允许有一个报价，任何有选择的报价将不予接受(如有备选配件，备选配件的报价不属于选择的报价)。</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13.2 标的物</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采购人需求的货物供应、安装，调试及有关技术服务等</w:t>
      </w:r>
      <w:r>
        <w:rPr>
          <w:rFonts w:ascii="宋体" w:hAnsi="宋体" w:cs="宋体"/>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13.3计价方式</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投标报价是履行合同的最终价格（如采购需求发生变化，采购数量按实计算，中标全费用综合单价不变），投标所报单价为全费用综合单价,</w:t>
      </w:r>
      <w:r>
        <w:rPr>
          <w:rFonts w:hint="eastAsia" w:ascii="宋体" w:hAnsi="宋体" w:cs="宋体"/>
        </w:rPr>
        <w:t xml:space="preserve">包</w:t>
      </w:r>
      <w:r>
        <w:rPr>
          <w:rFonts w:ascii="宋体" w:hAnsi="宋体" w:cs="宋体"/>
        </w:rPr>
        <w:t xml:space="preserve">含</w:t>
      </w:r>
      <w:r>
        <w:rPr>
          <w:rFonts w:hint="eastAsia" w:ascii="宋体" w:hAnsi="宋体" w:cs="宋体"/>
          <w:b/>
          <w:bCs/>
        </w:rPr>
        <w:t xml:space="preserve">设备及配套软件的</w:t>
      </w:r>
      <w:r>
        <w:rPr>
          <w:rFonts w:ascii="宋体" w:hAnsi="宋体" w:cs="宋体"/>
          <w:b/>
          <w:bCs/>
        </w:rPr>
        <w:t xml:space="preserve">采购</w:t>
      </w:r>
      <w:r>
        <w:rPr>
          <w:rFonts w:ascii="宋体" w:hAnsi="宋体" w:cs="宋体"/>
        </w:rPr>
        <w:t xml:space="preserve">、运输及保险、装卸、不符合招标人要求的等免费更换、包装、检测、缺陷维修、材料、机械、劳务、质保期内免费更换、调试、培训、管理、利润、税金、招标代理费</w:t>
      </w:r>
      <w:r>
        <w:rPr>
          <w:rFonts w:hint="eastAsia" w:ascii="宋体" w:hAnsi="宋体" w:cs="宋体"/>
        </w:rPr>
        <w:t xml:space="preserve">(</w:t>
      </w:r>
      <w:r>
        <w:rPr>
          <w:rFonts w:ascii="宋体" w:hAnsi="宋体" w:cs="宋体"/>
        </w:rPr>
        <w:t xml:space="preserve">参照苏招协【2022】002号文件相关规定收取</w:t>
      </w:r>
      <w:r>
        <w:rPr>
          <w:rFonts w:hint="eastAsia" w:ascii="宋体" w:hAnsi="宋体" w:cs="宋体"/>
        </w:rPr>
        <w:t xml:space="preserve">)</w:t>
      </w:r>
      <w:r>
        <w:rPr>
          <w:rFonts w:ascii="宋体" w:hAnsi="宋体" w:cs="宋体"/>
        </w:rPr>
        <w:t xml:space="preserve">，</w:t>
      </w:r>
      <w:r>
        <w:rPr>
          <w:rFonts w:hint="eastAsia" w:ascii="宋体" w:hAnsi="宋体" w:cs="宋体"/>
        </w:rPr>
        <w:t xml:space="preserve">与本项目相关的</w:t>
      </w:r>
      <w:r>
        <w:rPr>
          <w:rFonts w:ascii="宋体" w:hAnsi="宋体" w:cs="宋体"/>
        </w:rPr>
        <w:t xml:space="preserve">专家评审费等以及合同履行过程中包含的所有风险、责任、政策性文件规定以及不可竞争费等所需的全部费用，投标预算书中若有漏项、缺项、少算部分，视同分摊至其余综合单价中，结算时不予增加。</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13.4其它费用处理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招标文件未列明，而投标人认为必需的费用也需列入报价。</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13.5投标货币</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投标文件中的货物单价和总价无特殊规定的采用人民币报价，以元为单位标注。招标文件中另有规定的按规定执行。</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13.6 投标产品配置及分项报价表上的价格应按下列方式分开填写：</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13.6.1 项目总价：包括买方需求的货物价格、质量保证费用、培训费用及售后服务费用，项目在指定地点、环境交付、安装、调试、验收所需费用和所有相关税金费用及为完成整个项目所产生的其它所有费用。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13.6.2项目单价按投标配置及分项报价表中要求填报。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w:t>
      </w:r>
      <w:r>
        <w:rPr>
          <w:rFonts w:ascii="宋体" w:hAnsi="宋体" w:cs="宋体"/>
          <w:b/>
        </w:rPr>
        <w:t xml:space="preserve">、</w:t>
      </w:r>
      <w:r>
        <w:rPr>
          <w:rFonts w:ascii="宋体" w:hAnsi="宋体" w:cs="宋体"/>
        </w:rPr>
        <w:t xml:space="preserve">技术参数响应及偏离表、商务条款响应及偏离表及投标货物说明</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14.1 对招标文件中的技术与商务条款要求逐项作出响应或偏离，并说明原因；</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14.2 提供参加本项目类似案例简介；</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14.3 培训计划；</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14.4 详细阐述所投货物的主要组成部分、功能设计、实现思路及关键技术；</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14.5 投标人认为需要的其他技术文件或说明。</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15、服务承诺及售后服务机构、人员的情况介绍</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15.1投标人的服务承诺应按不低于招标文件中商务要求的标准。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15.2提供投标人有关售后服务的管理制度、售后服务机构的分布情况、售后服务人员的数量、素质、技术水平及售后服务的反应能力。</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16、投标函和开标一览表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16.1 投标人应按照招标文件中提供的格式完整、正确填写投标函、开标一览表。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16.2 开标一览表中的价格应与投标文件中投标产品配置及分项报价表中的价格一致，如不一致，不作为无效投标处理，但评标时按开标一览表中价格为准</w:t>
      </w:r>
      <w:r>
        <w:rPr>
          <w:rFonts w:ascii="宋体" w:hAnsi="宋体" w:cs="宋体"/>
          <w:b/>
        </w:rPr>
        <w:t xml:space="preserve">。</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17、投标有效期</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18.1 投标有效期为开标之日后</w:t>
      </w:r>
      <w:r>
        <w:rPr>
          <w:rFonts w:ascii="宋体" w:hAnsi="宋体" w:cs="宋体"/>
          <w:b/>
          <w:u w:val="single"/>
        </w:rPr>
        <w:t xml:space="preserve">六十（60）天</w:t>
      </w:r>
      <w:r>
        <w:rPr>
          <w:rFonts w:ascii="宋体" w:hAnsi="宋体" w:cs="宋体"/>
        </w:rPr>
        <w:t xml:space="preserve">。投标有效期比规定短的将被视为非响应性投标而予以拒绝。</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18、投标文件份数和签署</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18.1</w:t>
      </w:r>
      <w:r>
        <w:rPr>
          <w:rFonts w:ascii="宋体" w:hAnsi="宋体" w:cs="宋体"/>
          <w:b/>
        </w:rPr>
        <w:t xml:space="preserve"> </w:t>
      </w:r>
      <w:r>
        <w:rPr>
          <w:rFonts w:ascii="宋体" w:hAnsi="宋体" w:cs="宋体"/>
        </w:rPr>
        <w:t xml:space="preserve">投标人应严格按照招标公告和招标文件要求的份数准备投标文件，每份投标文件须清楚地标明“正本”或“副本”字样。一旦正本和副本不符，以正本为准。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18.2</w:t>
      </w:r>
      <w:r>
        <w:rPr>
          <w:rFonts w:ascii="宋体" w:hAnsi="宋体" w:cs="宋体"/>
          <w:b/>
        </w:rPr>
        <w:t xml:space="preserve"> </w:t>
      </w:r>
      <w:r>
        <w:rPr>
          <w:rFonts w:ascii="宋体" w:hAnsi="宋体" w:cs="宋体"/>
        </w:rPr>
        <w:t xml:space="preserve">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18.3 除投标人对错处做必要修改外，投标文件不得行间插字、涂改或增删。如有修改错漏处，必须由投标文件签署人签字或盖章。</w:t>
      </w:r>
      <w:r/>
    </w:p>
    <w:p>
      <w:pPr>
        <w:pStyle w:val="669"/>
        <w:ind w:firstLine="422"/>
        <w:spacing w:before="145" w:after="145"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四、投标文件的递交</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19、投标文件的密封和标记</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19.1投标人应将投标文件正本和所有副本密封，不论投标人中标与否，投标文件均不退回。</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19.2密封的投标文件应：</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19.2.1注明投标人名称，如因标注不清而产生的后果由投标人自负。按招标公告中注明的地址送达；</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19.2.2 注明投标项目名称、标书编号及包号。</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19.2.3未按要求密封和加写标记，采购人对误投或过早启封概不负责。对由此造成提前开封的投标文件，采购人将予以拒绝。</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20、投标截止日期</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20.1采购人收到投标文件的时间不得迟于招标公告中规定的截止时间。</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20.2采购人有权通过修改招标文件酌情延长投标截止日期，在此情况下，投标人的所有权利和义务以及投标人受制的截止日期均应以延长后新的截止日期为准。</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21、迟交的投标文件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21.1采购人拒绝接收在其规定的投标截止时间后递交的任何投标文件。</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22、投标文件的修改和撤回</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22.1投标人在递交投标文件后，可以修改或撤回其投标文件，但这种修改和撤回，必须在规定的投标截止时间前，以书面形式通知采购人，修改或撤回其投标文件。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22.3在投标截止时间之后，投标人不得对其投标文件作任何修改。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22.4在投标截止时间至招标文件中规定的投标有效期满之间的这段时间内，投标人不得撤回其投标。</w:t>
      </w:r>
      <w:r/>
    </w:p>
    <w:p>
      <w:pPr>
        <w:ind w:firstLine="321"/>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五、开标与评标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23、开标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23.1采购人将在招标公告中规定的时间和地点组织公开开标。投标人应当按照《操作手册》规定，参加开标活动和在苏采云系统规定的时间内对投标文件进行解密。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23.2开标仪式由采购人组织。苏采云系统将自动对项目进行开标，并宣布各投标人名称和投标价格。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23.3投标人在开标过程中涉及到的投标文件解密、开标结果确认等工作，应按照《操作手册》规定执行。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23.4投标人如果对开标过程和开标记录有疑义，应当根据《操作手册》规定提出，如苏采云系统中《开标记录表》宣布后5分钟内未提出的，视同认可开标结果。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24、资格审查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合格投标人不足3家的，不得评标。</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25、评标委员会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25.1资格审查通过后，采购人将组织评标委员会（以下简称评委会）进行评标。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25.2 评委会由采购人代表和有关技术、经济等方面的专家组成，且人员构成符合政府采购有关规定。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25.3评委会独立工作，负责评审所有投标文件并确定中标侯选人。</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26、评标过程的保密与公正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26.1公开开标后，直至签订合同之日止，凡是与审查、澄清、评价和比较投标的有关资料以及授标建议等，采购人、评委、采购人均不得向投标人或与评标无关的其他人员透露。</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26.2在评标过程中，投标人不得以任何行为影响评标过程，否则其投标文件将被作为无效投标文件。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26.3在评标期间，采购人将设专门人员与投标人联系。</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26.4 采购人和评标委员会不向落标的投标人解释未中标原因，也不公布评标过程中的相关细节。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26.5 采用综合评分法的项目，未中标的投标人如需了解自己的评审得分及排序情况，可向采购人提出申请。</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27、投标的澄清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27.1评标期间，为有助于对投标文件的审查、评价和比较，评委会有权以书面形式要求投标人对其投标文件进行澄清，但并非对每个投标人都作澄清要求。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27.3 接到评委会澄清要求的投标人如未按规定做出澄清，其风险由投标人自行承担。</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28、对投标文件的评审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28.1符合性检查：依据招标文件的规定，从投标文件的有效性、完整性和对招标文件的响应程度进行审查，以确定是否对招标文件的实质性要求作出响应。</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28.3如果投标文件实质上没有响应招标文件的要求，评委会将按无效投标处理，投标人不得通过修改或撤销不合要求的偏离或保留而使其投标成为实质性响应的投标。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28.4评委会将对确定为实质性响应的投标进行进一步审核，看其是否有计算上或累加上的算术错误，修正错误的原则如下：</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（1）投标文件中开标一览表内容与投标文件中相应内容不一致的，以开标一览表为准。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（2）大写金额和小写金额不一致的，以大写金额为准。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（3）单价金额小数点或者百分比有明显错位的，以开标一览表的总价为准，并修改单价。</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（4）总价金额与按单价汇总金额不一致的，以单价金额计算结果为准。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同时出现两种以上错误的，按照前款规定的顺序修正。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28.5评委会将按上述修正错误的方法调整投标文件中的投标报价，调整后的价格应对投标人具有约束力。如果投标人不接受修正后的价格，则其投标将被拒绝。</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28.6评委会将允许修正投标文件中不构成重大偏离的、微小的、非正规的、不一致的或不规则的地方，但这些修改不能影响任何投标人相应的名次排列。</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非单一产品采购项目，采购人应当根据采购项目技术构成、产品价格比重等合理确定核心产品，并在招标文件中载明。多家投标人提供的核心产品品牌相同的，按前两款规定处理。(87号令第31条)</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29、无效投标条款和废标条款</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29.1无效投标条款</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29.1.1未按照招标文件规定格式要求密封、签署、盖章的；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29.1.2投标人在报价时采用选择性报价；</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29.1.3投标人不具备招标文件中规定资格要求的；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29.1.4投标人的报价超过了采购预算或最高限价的；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29.1.5未通过符合性检查的；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29.1.6不符合招标文件中规定的其他实质性要求和条件的；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29.1.7投标人串通投标；</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29.1.8投标文件含有采购人不能接受的附加条件的。</w:t>
      </w:r>
      <w:r/>
    </w:p>
    <w:p>
      <w:pPr>
        <w:ind w:firstLine="420"/>
        <w:spacing w:line="360" w:lineRule="auto"/>
        <w:rPr>
          <w:rFonts w:ascii="宋体" w:hAnsi="宋体" w:cs="宋体"/>
          <w:lang w:val="zh-C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29.1.9</w:t>
      </w:r>
      <w:r>
        <w:rPr>
          <w:rFonts w:hint="eastAsia" w:ascii="宋体" w:hAnsi="宋体" w:cs="宋体"/>
          <w:lang w:val="zh-CN"/>
        </w:rPr>
        <w:t xml:space="preserve">供应商不能证明其报价合理性的，评标委员会应当将其作为无效投标处理。</w:t>
      </w:r>
      <w:r/>
    </w:p>
    <w:p>
      <w:pPr>
        <w:ind w:firstLine="420"/>
        <w:spacing w:line="360" w:lineRule="auto"/>
        <w:rPr>
          <w:rFonts w:ascii="宋体" w:hAnsi="宋体" w:cs="宋体"/>
          <w:lang w:val="zh-CN"/>
        </w:rPr>
        <w:pBdr>
          <w:top w:val="none" w:color="000000" w:sz="0" w:space="0"/>
          <w:left w:val="none" w:color="000000" w:sz="0" w:space="0"/>
          <w:bottom w:val="none" w:color="000000" w:sz="0" w:space="0"/>
          <w:right w:val="none" w:color="000000" w:sz="0" w:space="0"/>
        </w:pBdr>
      </w:pPr>
      <w:r>
        <w:rPr>
          <w:rFonts w:hint="eastAsia" w:ascii="宋体" w:hAnsi="宋体" w:cs="宋体"/>
          <w:lang w:val="zh-CN"/>
        </w:rPr>
        <w:t xml:space="preserve">（一）评审过程中出现下列情形之一的，评标委员会应当启动异常低价投标审查程序：</w:t>
      </w:r>
      <w:r/>
    </w:p>
    <w:p>
      <w:pPr>
        <w:ind w:firstLine="420"/>
        <w:spacing w:line="360" w:lineRule="auto"/>
        <w:rPr>
          <w:rFonts w:ascii="宋体" w:hAnsi="宋体" w:cs="宋体"/>
          <w:lang w:val="zh-CN"/>
        </w:rPr>
        <w:pBdr>
          <w:top w:val="none" w:color="000000" w:sz="0" w:space="0"/>
          <w:left w:val="none" w:color="000000" w:sz="0" w:space="0"/>
          <w:bottom w:val="none" w:color="000000" w:sz="0" w:space="0"/>
          <w:right w:val="none" w:color="000000" w:sz="0" w:space="0"/>
        </w:pBdr>
      </w:pPr>
      <w:r>
        <w:rPr>
          <w:rFonts w:hint="eastAsia" w:ascii="宋体" w:hAnsi="宋体" w:cs="宋体"/>
          <w:lang w:val="zh-CN"/>
        </w:rPr>
        <w:t xml:space="preserve">1.投标报价低于采购项目预算50%的，即投标报价&lt;采购项目预算×50%；</w:t>
      </w:r>
      <w:r/>
    </w:p>
    <w:p>
      <w:pPr>
        <w:ind w:firstLine="420"/>
        <w:spacing w:line="360" w:lineRule="auto"/>
        <w:rPr>
          <w:rFonts w:ascii="宋体" w:hAnsi="宋体" w:cs="宋体"/>
          <w:lang w:val="zh-CN"/>
        </w:rPr>
        <w:pBdr>
          <w:top w:val="none" w:color="000000" w:sz="0" w:space="0"/>
          <w:left w:val="none" w:color="000000" w:sz="0" w:space="0"/>
          <w:bottom w:val="none" w:color="000000" w:sz="0" w:space="0"/>
          <w:right w:val="none" w:color="000000" w:sz="0" w:space="0"/>
        </w:pBdr>
      </w:pPr>
      <w:r>
        <w:rPr>
          <w:rFonts w:hint="eastAsia" w:ascii="宋体" w:hAnsi="宋体" w:cs="宋体"/>
          <w:lang w:val="zh-CN"/>
        </w:rPr>
        <w:t xml:space="preserve">2.投标报价低于采购项目最高限价45%的，即投标报价&lt;采购项目最高限价×45%；</w:t>
      </w:r>
      <w:r/>
    </w:p>
    <w:p>
      <w:pPr>
        <w:ind w:firstLine="420"/>
        <w:spacing w:line="360" w:lineRule="auto"/>
        <w:rPr>
          <w:rFonts w:ascii="宋体" w:hAnsi="宋体" w:cs="宋体"/>
          <w:lang w:val="zh-CN"/>
        </w:rPr>
        <w:pBdr>
          <w:top w:val="none" w:color="000000" w:sz="0" w:space="0"/>
          <w:left w:val="none" w:color="000000" w:sz="0" w:space="0"/>
          <w:bottom w:val="none" w:color="000000" w:sz="0" w:space="0"/>
          <w:right w:val="none" w:color="000000" w:sz="0" w:space="0"/>
        </w:pBdr>
      </w:pPr>
      <w:r>
        <w:rPr>
          <w:rFonts w:hint="eastAsia" w:ascii="宋体" w:hAnsi="宋体" w:cs="宋体"/>
          <w:lang w:val="zh-CN"/>
        </w:rPr>
        <w:t xml:space="preserve">3.评标委员会认定的供应商报价过低、有可能影响产品质量或者不能诚信履约的其他情形。</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lang w:val="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rPr>
        <w:t xml:space="preserve">。</w:t>
      </w:r>
      <w:r/>
    </w:p>
    <w:p>
      <w:pPr>
        <w:ind w:firstLine="420"/>
        <w:spacing w:line="360" w:lineRule="auto"/>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rPr>
        <w:t xml:space="preserve">29.1.10其他法律、法规及本招标文件规定的属无效投标的情形。</w:t>
      </w:r>
      <w:r/>
    </w:p>
    <w:p>
      <w:pPr>
        <w:ind w:firstLine="422"/>
        <w:jc w:val="left"/>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rPr>
        <w:t xml:space="preserve">29.2废标条款：</w:t>
      </w:r>
      <w:r>
        <w:rPr>
          <w:rFonts w:ascii="宋体" w:hAnsi="宋体" w:cs="宋体"/>
        </w:rPr>
        <w:t xml:space="preserve"> </w:t>
      </w:r>
      <w:r/>
    </w:p>
    <w:p>
      <w:pPr>
        <w:ind w:firstLine="422"/>
        <w:jc w:val="left"/>
        <w:spacing w:line="360" w:lineRule="auto"/>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rPr>
        <w:t xml:space="preserve">29.2.1符合专业条件的供应商或者对招标文件作实质响应的供应商不足三家的；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29.2.2出现影响采购公正的违法、违规行为的；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29.2.3因重大变故，采购任务取消的；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29.2.4评标委员会认定招标文件存在歧义、 重大缺陷导致评审工作无法进行。</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29.3 投标截止时间结束后参加投标的供应商不足三家的处理：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29.3.1如出现投标截止时间结束后参加投标的供应商或者在评标期间对招标文件做出实质响应的供应商不足三家情况，按财政部第八十七号令第四十三条的规定执行。</w:t>
      </w:r>
      <w:r/>
    </w:p>
    <w:p>
      <w:pPr>
        <w:pStyle w:val="669"/>
        <w:ind w:firstLine="422"/>
        <w:spacing w:before="145" w:after="145"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六、定标</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30、确定中标单位</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30.1评委会根据本招标文件规定评标方法与评标标准向采购人推荐出中标候选人。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30.2 采购人应根据评委会推荐的中标候选人确定中标供应商。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30.3采购人将在“中国政府采购网”、 “江苏政府采购网”、“盐城市政府采购网”发布中标公告，公告期限为1个工作日。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30.4若有充分证据证明，中标供应商出现下列情况之一的，一经查实，将被取消中标资格：</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30.4.1提供虚假材料谋取中标的；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30.4.2向采购人、代理公司行贿或者提供其他不正当利益的；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30.4.3恶意竞争，投标总报价明显低于其自身合理成本且又无法提供证明的；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30.4.4属于本文件规定的无效条件，但在评标过程中又未被评委会发现的；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30.4.5与采购人或者其他供应商恶意串通的；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30.4.6采取不正当手段诋毁、排挤其他供应商的；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30.4.7不符合</w:t>
      </w:r>
      <w:r>
        <w:rPr>
          <w:rFonts w:hint="eastAsia" w:ascii="宋体" w:hAnsi="宋体" w:cs="宋体"/>
        </w:rPr>
        <w:t xml:space="preserve">法律法规</w:t>
      </w:r>
      <w:r>
        <w:rPr>
          <w:rFonts w:ascii="宋体" w:hAnsi="宋体" w:cs="宋体"/>
        </w:rPr>
        <w:t xml:space="preserve">的规定的。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30.5. 有下列情形之一的，视为投标人串通投标，投标无效：</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30.5.1不同投标人的投标文件由同一单位或者个人编制。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30.5.2不同投标人委托同一单位或者个人办理投标事宜。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30.5.3 不同投标人的投标文件载明的项目管理成员或者联系人员为同一人。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30.5.4不同投标人的投标文件异常一致或者投标报价呈规律性差异。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30.5.5不同投标人的投标文件相互混装。</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31、质疑处理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31.1供应商认为采购文件、采购过程、中标或者成交结果使自己的权益</w:t>
      </w:r>
      <w:r>
        <w:rPr>
          <w:rFonts w:hint="eastAsia" w:ascii="宋体" w:hAnsi="宋体" w:cs="宋体"/>
        </w:rPr>
        <w:t xml:space="preserve">受到</w:t>
      </w:r>
      <w:r>
        <w:rPr>
          <w:rFonts w:ascii="宋体" w:hAnsi="宋体" w:cs="宋体"/>
        </w:rPr>
        <w:t xml:space="preserve">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31.1.1对可以质疑的招标文件提出质疑的，为收到招标文件之日或者招标文件公告期限届满之日；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31.1.2对采购过程提出质疑的，为各采购程序环节结束之日；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31.1.3对中标结果提出质疑的，为中标结果公告期限届满之日。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31.2质疑必须按《政府采购法》、《政府采购法实施条例》及《江苏省政府采购供应商监督管理暂行办法》的相关规定提交，未按上述要求提交的质疑函（含传真、电子邮件等）采购人有权不予受理。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31.3未参加投标活动的供应商或在投标活动中自身权益未受到损害的供应商所提出的质疑不予受理。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31.4质疑函应当包括下列内容：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31.4.1质疑投标人的名称、地址、邮编、联系人、联系电话；</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31.4.2具体的质疑事项及明确的请求；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31.4.3认为自己合法权益受到损害或可能受到损害的相关证据材料；</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31.4.4提起质疑的日期；</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31.5采购人收到质疑函后，将对质疑的形式和内容进行审查，如质疑函内容、格式不符合规定，采购人将告知质疑人进行补正。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31.6质疑人应当在法定质疑期限内进行补正并重新提交质疑函，拒不补正或者在法定期限内未重新提交质疑函的，为无效质疑，采购人将不予受理。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32、投诉</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r/>
    </w:p>
    <w:p>
      <w:pPr>
        <w:pStyle w:val="670"/>
        <w:ind w:firstLine="42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33、中标通知书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33.l中标结果确定后，采购人将向中标供应商发出中标通知书。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33.2中标通知书将是合同的一个组成部分。对采购人和中标供应商均具有法律效力。中标通知书发出后，采购人改变中标结果的，或者中标供应商放弃中标项目的，应当依法承担法律责任。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80" w:lineRule="exact"/>
        <w:rPr>
          <w:rFonts w:ascii="宋体" w:hAnsi="宋体"/>
          <w:b/>
          <w:bCs/>
          <w:sz w:val="24"/>
          <w:szCs w:val="24"/>
        </w:rPr>
        <w:outlineLvl w:val="2"/>
      </w:pPr>
      <w:r>
        <w:rPr>
          <w:rFonts w:hint="eastAsia" w:ascii="宋体" w:hAnsi="宋体"/>
          <w:b/>
          <w:bCs/>
          <w:sz w:val="24"/>
          <w:szCs w:val="24"/>
        </w:rPr>
        <w:t xml:space="preserve">七、合同签订相关事项</w:t>
      </w:r>
      <w:r/>
    </w:p>
    <w:p>
      <w:pPr>
        <w:ind w:firstLine="480"/>
        <w:keepLines/>
        <w:keepNext/>
        <w:spacing w:line="480" w:lineRule="exact"/>
        <w:rPr>
          <w:rFonts w:ascii="宋体" w:hAnsi="宋体"/>
          <w:bCs/>
        </w:rPr>
        <w:outlineLvl w:val="3"/>
      </w:pPr>
      <w:r>
        <w:rPr>
          <w:rFonts w:hint="eastAsia" w:ascii="宋体" w:hAnsi="宋体"/>
          <w:bCs/>
        </w:rPr>
        <w:t xml:space="preserve">33、签订合同</w:t>
      </w:r>
      <w:r/>
    </w:p>
    <w:p>
      <w:pPr>
        <w:ind w:firstLine="480"/>
        <w:spacing w:line="480" w:lineRule="exact"/>
        <w:rPr>
          <w:rFonts w:ascii="宋体" w:hAnsi="宋体"/>
        </w:rPr>
      </w:pPr>
      <w:r>
        <w:rPr>
          <w:rFonts w:hint="eastAsia" w:ascii="宋体" w:hAnsi="宋体"/>
          <w:bCs/>
        </w:rPr>
        <w:t xml:space="preserve">33.l</w:t>
      </w:r>
      <w:r>
        <w:rPr>
          <w:rFonts w:hint="eastAsia" w:ascii="宋体" w:hAnsi="宋体"/>
        </w:rPr>
        <w:t xml:space="preserve">中标人应按中标通知书规定的时间、地点,按照招标文件确定的事项与采购人签订政府采购合同，且不得迟于中标通知书发出之日起三十日，由此给采购人造成损失的，中标人还应承担赔偿责任。</w:t>
      </w:r>
      <w:r/>
    </w:p>
    <w:p>
      <w:pPr>
        <w:ind w:firstLine="480"/>
        <w:spacing w:line="480" w:lineRule="exact"/>
        <w:rPr>
          <w:rFonts w:ascii="宋体" w:hAnsi="宋体"/>
        </w:rPr>
      </w:pPr>
      <w:r>
        <w:rPr>
          <w:rFonts w:hint="eastAsia" w:ascii="宋体" w:hAnsi="宋体"/>
        </w:rPr>
        <w:t xml:space="preserve">33.2招标文件、中标人的投标文件及招标过程中有关澄清、承诺文件均应作为合同附件。</w:t>
      </w:r>
      <w:r/>
    </w:p>
    <w:p>
      <w:pPr>
        <w:ind w:firstLine="480"/>
        <w:spacing w:line="480" w:lineRule="exact"/>
        <w:rPr>
          <w:rFonts w:ascii="宋体" w:hAnsi="宋体"/>
        </w:rPr>
      </w:pPr>
      <w:r>
        <w:rPr>
          <w:rFonts w:hint="eastAsia" w:ascii="宋体" w:hAnsi="宋体"/>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480" w:lineRule="exact"/>
        <w:rPr>
          <w:rFonts w:ascii="宋体" w:hAnsi="宋体"/>
        </w:rPr>
      </w:pPr>
      <w:r>
        <w:rPr>
          <w:rFonts w:hint="eastAsia" w:ascii="宋体" w:hAnsi="宋体"/>
          <w:b/>
          <w:bCs/>
        </w:rPr>
        <w:t xml:space="preserve">33.4中标或者成交后无正当理由拒不与采购人签订政府采购合同的，将被列入不良行为记录名单，在一至三年内禁止参加政府采购活动。</w:t>
      </w:r>
      <w:r/>
    </w:p>
    <w:p>
      <w:pPr>
        <w:ind w:firstLine="480"/>
        <w:keepLines/>
        <w:keepNext/>
        <w:spacing w:line="480" w:lineRule="exact"/>
        <w:rPr>
          <w:rFonts w:ascii="宋体" w:hAnsi="宋体"/>
        </w:rPr>
        <w:outlineLvl w:val="3"/>
      </w:pPr>
      <w:r>
        <w:rPr>
          <w:rFonts w:hint="eastAsia" w:ascii="宋体" w:hAnsi="宋体"/>
        </w:rPr>
        <w:t xml:space="preserve">34、货物（包含与货物相关的服务）的追加</w:t>
      </w:r>
      <w:r/>
    </w:p>
    <w:p>
      <w:pPr>
        <w:ind w:firstLine="480"/>
        <w:keepLines/>
        <w:keepNext/>
        <w:spacing w:line="480" w:lineRule="exact"/>
        <w:rPr>
          <w:rFonts w:ascii="宋体" w:hAnsi="宋体"/>
        </w:rPr>
        <w:outlineLvl w:val="3"/>
      </w:pPr>
      <w:r>
        <w:rPr>
          <w:rFonts w:hint="eastAsia" w:ascii="宋体" w:hAnsi="宋体"/>
        </w:rPr>
        <w:t xml:space="preserve">3</w:t>
      </w:r>
      <w:r>
        <w:rPr>
          <w:rFonts w:ascii="宋体" w:hAnsi="宋体"/>
        </w:rPr>
        <w:t xml:space="preserve">4</w:t>
      </w:r>
      <w:r>
        <w:rPr>
          <w:rFonts w:hint="eastAsia" w:ascii="宋体" w:hAnsi="宋体"/>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460" w:lineRule="exact"/>
        <w:tabs>
          <w:tab w:val="left" w:pos="920" w:leader="none"/>
        </w:tabs>
        <w:rPr>
          <w:rFonts w:ascii="宋体" w:hAnsi="宋体"/>
          <w:bCs/>
        </w:rPr>
      </w:pPr>
      <w:r>
        <w:rPr>
          <w:rFonts w:ascii="宋体" w:hAnsi="宋体"/>
          <w:bCs/>
        </w:rPr>
        <w:t xml:space="preserve">35</w:t>
      </w:r>
      <w:r>
        <w:rPr>
          <w:rFonts w:hint="eastAsia" w:ascii="宋体" w:hAnsi="宋体"/>
          <w:bCs/>
        </w:rPr>
        <w:t xml:space="preserve">、政府采购政策功能落实</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.1政府采购线上合同信用融资政策</w:t>
      </w:r>
      <w:r/>
    </w:p>
    <w:p>
      <w:pPr>
        <w:ind w:firstLine="482"/>
        <w:jc w:val="left"/>
        <w:spacing w:line="460" w:lineRule="exact"/>
        <w:tabs>
          <w:tab w:val="left" w:pos="920" w:leader="none"/>
        </w:tabs>
        <w:rPr>
          <w:rFonts w:ascii="宋体" w:hAnsi="宋体"/>
          <w:b/>
          <w:bCs/>
        </w:rPr>
      </w:pPr>
      <w:r>
        <w:rPr>
          <w:rFonts w:hint="eastAsia" w:ascii="宋体" w:hAnsi="宋体"/>
          <w:b/>
          <w:bCs/>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.2进口产品</w:t>
      </w:r>
      <w:r/>
    </w:p>
    <w:p>
      <w:pPr>
        <w:ind w:firstLine="480"/>
        <w:jc w:val="left"/>
        <w:spacing w:line="460" w:lineRule="exact"/>
        <w:tabs>
          <w:tab w:val="left" w:pos="920" w:leader="none"/>
        </w:tabs>
        <w:rPr>
          <w:rFonts w:ascii="宋体" w:hAnsi="宋体"/>
          <w:bCs/>
        </w:rPr>
      </w:pPr>
      <w:r>
        <w:rPr>
          <w:rFonts w:hint="eastAsia" w:ascii="宋体" w:hAnsi="宋体"/>
          <w:bCs/>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.3中小企业、监狱企业及残疾人福利性单位</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.3.1中小企业定义：</w:t>
      </w:r>
      <w:r/>
    </w:p>
    <w:p>
      <w:pPr>
        <w:ind w:firstLine="480"/>
        <w:jc w:val="left"/>
        <w:spacing w:line="460" w:lineRule="exact"/>
        <w:tabs>
          <w:tab w:val="left" w:pos="920" w:leader="none"/>
        </w:tabs>
        <w:rPr>
          <w:rFonts w:ascii="宋体" w:hAnsi="宋体"/>
          <w:bCs/>
        </w:rPr>
      </w:pPr>
      <w:r>
        <w:rPr>
          <w:rFonts w:hint="eastAsia" w:ascii="宋体" w:hAnsi="宋体"/>
          <w:bCs/>
        </w:rPr>
        <w:t xml:space="preserve">中小企业是</w:t>
      </w:r>
      <w:r>
        <w:rPr>
          <w:rFonts w:hint="eastAsia" w:ascii="宋体" w:hAnsi="宋体"/>
          <w:bCs/>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.3.2供应商提供的货物、工程或者服务符合下列情形的，享受中小企业扶持政策：</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.3.2.1在货物采购项目中，货物由中小企业制造，即货物由中小企业生产且使用该中小企业商号或者注册商标；</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.3.2.2在工程采购项目中，工程由中小企业承建，即工程施工单位为中小企业；</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.3.2.3在服务采购项目中，服务由中小企业承接，即提供服务的人员为中小企业依照《中华人民共和国劳动合同法》订立劳动合同的从业人员。</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.3.3在货物采购项目中，供应商提供的货物既有中小企业制造货物，也有大型企业制造货物的，不享受中小企业扶持政策。</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.3.4以联合体形式参加政府采购活动，联合体各方均为中小企业的，联合体视同中小企业。其中，联合体各方均为小微企业的，联合体视同小微企业。</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.3.6残疾人福利单位定义：享受政府采购支持政策的残疾人福利性单位应当同时满足以下条件：</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.3.6.1安置的残疾人占本单位在职职工人数的比例不低于25%（含25%），并且安置的残疾人人数不少于10 人（含10 人）；</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.3.6.2依法与安置的每位残疾人签订了一年以上（含一年）的劳动合同或服务协议；</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.3.6.3为安置的每位残疾人按月足额缴纳了基本养老保险、基本医疗保险、失业保险、工伤保险和生育保险等社会保险费；</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.3.6.4通过银行等金融机构向安置的每位残疾人，按月支付了不低于单位所在区县适用的经省级人民政府批准的月最低工资标准的工资；</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.3.6.5提供本单位制造的货物、承担的工程或者服务（以下简称产品），或者提供其他残疾人福利性单位制造的货物（不包括使用非残疾人福利性单位注册商标的货物）；</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.3.7本项目是否专门面向中小企业预留采购份额见《招标公告》。</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.3.8采购标的对应的中小企业划分标准所属行业见《采购需求》。</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.3.9小微企业价格评审优惠的政策：见《评标方法及评分标准》。</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.4政府采购节能产品、环境标志产品</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.4.1严格执行政府采购关于支持</w:t>
      </w:r>
      <w:r>
        <w:rPr>
          <w:rFonts w:hint="eastAsia" w:ascii="宋体" w:hAnsi="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.5绿色包装</w:t>
      </w:r>
      <w:r/>
    </w:p>
    <w:p>
      <w:pPr>
        <w:ind w:firstLine="480"/>
        <w:jc w:val="left"/>
        <w:spacing w:line="460" w:lineRule="exact"/>
        <w:tabs>
          <w:tab w:val="left" w:pos="920" w:leader="none"/>
        </w:tabs>
        <w:rPr>
          <w:rFonts w:ascii="宋体" w:hAnsi="宋体"/>
          <w:bCs/>
        </w:rPr>
      </w:pPr>
      <w:r>
        <w:rPr>
          <w:rFonts w:hint="eastAsia" w:ascii="宋体" w:hAnsi="宋体"/>
          <w:bCs/>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.6政府采购创新产品</w:t>
      </w:r>
      <w:r/>
    </w:p>
    <w:p>
      <w:pPr>
        <w:ind w:firstLine="480"/>
        <w:jc w:val="left"/>
        <w:spacing w:line="460" w:lineRule="exact"/>
        <w:tabs>
          <w:tab w:val="left" w:pos="920" w:leader="none"/>
        </w:tabs>
        <w:rPr>
          <w:rFonts w:ascii="宋体" w:hAnsi="宋体"/>
          <w:bCs/>
        </w:rPr>
      </w:pPr>
      <w:r>
        <w:rPr>
          <w:rFonts w:hint="eastAsia" w:ascii="宋体" w:hAnsi="宋体"/>
          <w:bCs/>
        </w:rPr>
        <w:t xml:space="preserve">采购人优先采购各级政府部门公开发布的有效期内的创新产品、创新服务、首台套、首购首用等《目录》的创新产品。</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.7绿色数据中心政策 </w:t>
      </w:r>
      <w:r/>
    </w:p>
    <w:p>
      <w:pPr>
        <w:ind w:firstLine="480"/>
        <w:jc w:val="left"/>
        <w:spacing w:line="460" w:lineRule="exact"/>
        <w:tabs>
          <w:tab w:val="left" w:pos="920" w:leader="none"/>
        </w:tabs>
        <w:rPr>
          <w:rFonts w:ascii="宋体" w:hAnsi="宋体"/>
          <w:bCs/>
        </w:rPr>
      </w:pPr>
      <w:r>
        <w:rPr>
          <w:rFonts w:hint="eastAsia" w:ascii="宋体" w:hAnsi="宋体"/>
          <w:bCs/>
        </w:rPr>
        <w:t xml:space="preserve">本文件中若涉及到数据中心采购，采购人应依据《绿色数据中心政府采购需求标准（试行）》（财办库〔2023〕7号）文件精神</w:t>
      </w:r>
      <w:r>
        <w:rPr>
          <w:rFonts w:hint="eastAsia" w:ascii="宋体" w:hAnsi="宋体"/>
          <w:bCs/>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5</w:t>
      </w:r>
      <w:r>
        <w:rPr>
          <w:rFonts w:hint="eastAsia" w:ascii="宋体" w:hAnsi="宋体"/>
          <w:bCs/>
        </w:rPr>
        <w:t xml:space="preserve">.8履约保证金政策</w:t>
      </w:r>
      <w:r/>
    </w:p>
    <w:p>
      <w:pPr>
        <w:ind w:firstLine="480"/>
        <w:jc w:val="left"/>
        <w:spacing w:line="460" w:lineRule="exact"/>
        <w:tabs>
          <w:tab w:val="left" w:pos="920" w:leader="none"/>
        </w:tabs>
        <w:rPr>
          <w:rFonts w:ascii="宋体" w:hAnsi="宋体"/>
          <w:bCs/>
        </w:rPr>
      </w:pPr>
      <w:r>
        <w:rPr>
          <w:rFonts w:hint="eastAsia" w:ascii="宋体" w:hAnsi="宋体"/>
          <w:bCs/>
        </w:rPr>
        <w:t xml:space="preserve">确需收取履约保证金的，履约保证金的缴纳形式：</w:t>
      </w:r>
      <w:r/>
    </w:p>
    <w:p>
      <w:pPr>
        <w:ind w:firstLine="480"/>
        <w:jc w:val="left"/>
        <w:spacing w:line="460" w:lineRule="exact"/>
        <w:tabs>
          <w:tab w:val="left" w:pos="920" w:leader="none"/>
        </w:tabs>
        <w:rPr>
          <w:rFonts w:ascii="宋体" w:hAnsi="宋体"/>
          <w:bCs/>
        </w:rPr>
      </w:pPr>
      <w:r>
        <w:rPr>
          <w:rFonts w:hint="eastAsia" w:ascii="宋体" w:hAnsi="宋体"/>
          <w:bCs/>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460" w:lineRule="exact"/>
        <w:tabs>
          <w:tab w:val="left" w:pos="920" w:leader="none"/>
        </w:tabs>
        <w:rPr>
          <w:rFonts w:ascii="宋体" w:hAnsi="宋体"/>
          <w:bCs/>
        </w:rPr>
      </w:pPr>
      <w:r>
        <w:rPr>
          <w:rFonts w:hint="eastAsia" w:ascii="宋体" w:hAnsi="宋体"/>
          <w:bCs/>
        </w:rPr>
        <w:t xml:space="preserve"> 如以履约保函（保险）形式缴纳履约保证金，供应商可通过政府采购电子履约保函（保险）平台（www.jsdzbh.com）在线申请履约保函（保险）。</w:t>
      </w:r>
      <w:r/>
    </w:p>
    <w:p>
      <w:pPr>
        <w:ind w:firstLine="480"/>
        <w:jc w:val="left"/>
        <w:spacing w:line="460" w:lineRule="exact"/>
        <w:tabs>
          <w:tab w:val="left" w:pos="920" w:leader="none"/>
        </w:tabs>
        <w:rPr>
          <w:rFonts w:ascii="宋体" w:hAnsi="宋体"/>
          <w:bCs/>
        </w:rPr>
      </w:pPr>
      <w:r>
        <w:rPr>
          <w:rFonts w:hint="eastAsia" w:ascii="宋体" w:hAnsi="宋体"/>
          <w:bCs/>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jc w:val="left"/>
        <w:spacing w:line="460" w:lineRule="exact"/>
        <w:tabs>
          <w:tab w:val="left" w:pos="920" w:leader="none"/>
        </w:tabs>
        <w:rPr>
          <w:rFonts w:ascii="宋体" w:hAnsi="宋体"/>
          <w:bCs/>
        </w:rPr>
      </w:pPr>
      <w:r>
        <w:rPr>
          <w:rFonts w:hint="eastAsia" w:ascii="宋体" w:hAnsi="宋体"/>
          <w:bCs/>
        </w:rPr>
        <w:t xml:space="preserve">3</w:t>
      </w:r>
      <w:r>
        <w:rPr>
          <w:rFonts w:ascii="宋体" w:hAnsi="宋体"/>
          <w:bCs/>
        </w:rPr>
        <w:t xml:space="preserve">6</w:t>
      </w:r>
      <w:r>
        <w:rPr>
          <w:rFonts w:hint="eastAsia" w:ascii="宋体" w:hAnsi="宋体"/>
          <w:bCs/>
        </w:rPr>
        <w:t xml:space="preserve">、预付款制度</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bCs/>
        </w:rPr>
        <w:t xml:space="preserve">本项目落实预付款制度，</w:t>
      </w:r>
      <w:r>
        <w:rPr>
          <w:rFonts w:ascii="宋体" w:hAnsi="宋体" w:cs="宋体"/>
        </w:rPr>
        <w:t xml:space="preserve">本项目预付款为30%，货物安装调试完成并经甲方验收合格付至合同价款的90%（同时扣回预付款），余款在验收合格</w:t>
      </w:r>
      <w:r>
        <w:rPr>
          <w:rFonts w:hint="eastAsia" w:ascii="宋体" w:hAnsi="宋体" w:cs="宋体"/>
        </w:rPr>
        <w:t xml:space="preserve">且质保期满</w:t>
      </w:r>
      <w:r>
        <w:rPr>
          <w:rFonts w:ascii="宋体" w:hAnsi="宋体" w:cs="宋体"/>
        </w:rPr>
        <w:t xml:space="preserve">使用无质量问题后付清。付款时乙方须提供正规发票。合同款一律通过银行非现金结算，结算方式：转账。 （按以上进度付款无任何利息补偿）</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40"/>
        </w:rPr>
        <w:t xml:space="preserve">第三章  合同条款及格式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以下为中标后签定本项目合同的通用条款，中标供应商不得提出实质性的修改，关于专用条款将由采购人与中标供应商结合本项目具体情况协商后签订。此合同为货物类版本，其他如服务类项目采购人可参照此格式拟定。</w:t>
      </w:r>
      <w:r/>
    </w:p>
    <w:p>
      <w:pPr>
        <w:jc w:val="cente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政府采购合同（货物格式）</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项目名称：项目编号：</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甲方：（买方）</w:t>
      </w:r>
      <w:r>
        <w:rPr>
          <w:rFonts w:ascii="宋体" w:hAnsi="宋体" w:cs="宋体"/>
          <w:u w:val="single"/>
        </w:rPr>
        <w:t xml:space="preserve">                        </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乙方：（卖方）</w:t>
      </w:r>
      <w:r>
        <w:rPr>
          <w:rFonts w:ascii="宋体" w:hAnsi="宋体" w:cs="宋体"/>
          <w:u w:val="single"/>
        </w:rPr>
        <w:t xml:space="preserve">                        </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甲、乙双方根据 </w:t>
      </w:r>
      <w:r>
        <w:rPr>
          <w:rFonts w:ascii="宋体" w:hAnsi="宋体" w:cs="宋体"/>
          <w:u w:val="single"/>
        </w:rPr>
        <w:t xml:space="preserve">              </w:t>
      </w:r>
      <w:r>
        <w:rPr>
          <w:rFonts w:ascii="宋体" w:hAnsi="宋体" w:cs="宋体"/>
        </w:rPr>
        <w:t xml:space="preserve">公开招标的结果，签署本合同。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一、货物内容</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1.1 货物名称：</w:t>
      </w:r>
      <w:r>
        <w:rPr>
          <w:rFonts w:ascii="宋体" w:hAnsi="宋体" w:cs="宋体"/>
          <w:u w:val="single"/>
        </w:rPr>
        <w:t xml:space="preserve">                 </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 型号规格：详见采购清单</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 数量（单位）：</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二、合同金额</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 本合同金额为（大写）：</w:t>
      </w:r>
      <w:r>
        <w:rPr>
          <w:rFonts w:ascii="宋体" w:hAnsi="宋体" w:cs="宋体"/>
          <w:u w:val="single"/>
        </w:rPr>
        <w:t xml:space="preserve">        </w:t>
      </w:r>
      <w:r>
        <w:rPr>
          <w:rFonts w:ascii="宋体" w:hAnsi="宋体" w:cs="宋体"/>
        </w:rPr>
        <w:t xml:space="preserve">元（____________元）人民币或其他币种。</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三、技术资料</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3.1乙方应按招标文件规定的时间向甲方提供使用货物的有关技术资料。</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四、知识产权</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4.1乙方应保证甲方在使用、接受本合同货物和服务或其任何一部分时不受第三方提出侵犯其专利权、版权、商标权和工业设计权等知识产权的起诉。一旦出现侵权，由乙方负全部责任。</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五、产权担保</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5.1 乙方保证所交付的货物的所有权完全属于乙方且无任何抵押、查封等产权瑕疵。</w:t>
      </w:r>
      <w:r/>
    </w:p>
    <w:p>
      <w:pPr>
        <w:ind w:left="358" w:hanging="358"/>
        <w:spacing w:before="231" w:after="231" w:line="360" w:lineRule="auto"/>
        <w:rPr>
          <w:rFonts w:ascii="宋体" w:hAnsi="宋体" w:cs="宋体"/>
          <w:b/>
          <w:bCs/>
        </w:rPr>
        <w:pBdr>
          <w:top w:val="none" w:color="000000" w:sz="0" w:space="0"/>
          <w:left w:val="none" w:color="000000" w:sz="0" w:space="0"/>
          <w:bottom w:val="none" w:color="000000" w:sz="0" w:space="0"/>
          <w:right w:val="none" w:color="000000" w:sz="0" w:space="0"/>
        </w:pBdr>
      </w:pPr>
      <w:r>
        <w:rPr>
          <w:rFonts w:ascii="宋体" w:hAnsi="宋体" w:cs="宋体"/>
          <w:b/>
        </w:rPr>
        <w:t xml:space="preserve">六、履约保证金</w:t>
      </w:r>
      <w:r/>
    </w:p>
    <w:p>
      <w:pPr>
        <w:ind w:firstLine="357"/>
        <w:spacing w:before="231" w:after="231"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6.1中标单位在签订合同前，须向采购人交纳（中标价10%）</w:t>
      </w:r>
      <w:r>
        <w:rPr>
          <w:rFonts w:ascii="宋体" w:hAnsi="宋体" w:cs="宋体"/>
          <w:u w:val="single"/>
        </w:rPr>
        <w:t xml:space="preserve">        </w:t>
      </w:r>
      <w:r>
        <w:rPr>
          <w:rFonts w:ascii="宋体" w:hAnsi="宋体" w:cs="宋体"/>
        </w:rPr>
        <w:t xml:space="preserve">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rPr>
        <w:t xml:space="preserve">免收履约保证金或降低履约保证金缴纳比例。</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6.2履约保证金形式：投标人应当以支票、汇票、本票或者金融机构、担保机构出具的保函等非现金形式提交。</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6.3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七、转包或分包</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7.1本合同范围的货物，应由乙方直接供应，不得转让他人供应；</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7.2 除非得到甲方的书面同意，乙方不得部分分包给他人供应。</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7.3如有转让和未经甲方同意的分包行为，甲方有权给予终止合同。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八、质保期</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8.1 质保期年。（自交货验收合格之日起计）</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九、交货期、交货方式及交货地点</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9.1 交货期：</w:t>
      </w:r>
      <w:r>
        <w:rPr>
          <w:rFonts w:ascii="宋体" w:hAnsi="宋体" w:cs="宋体"/>
          <w:u w:val="single"/>
        </w:rPr>
        <w:t xml:space="preserve">签订合同后</w:t>
      </w:r>
      <w:r>
        <w:rPr>
          <w:rFonts w:hint="eastAsia" w:ascii="宋体" w:hAnsi="宋体" w:cs="宋体"/>
          <w:u w:val="single"/>
        </w:rPr>
        <w:t xml:space="preserve">30</w:t>
      </w:r>
      <w:r>
        <w:rPr>
          <w:rFonts w:ascii="宋体" w:hAnsi="宋体" w:cs="宋体"/>
          <w:u w:val="single"/>
        </w:rPr>
        <w:t xml:space="preserve">日历天内完成所需设备的采购、供应、运输、安装、调试等相关伴随服务，并通过采购人的验收</w:t>
      </w:r>
      <w:r>
        <w:rPr>
          <w:rFonts w:ascii="宋体" w:hAnsi="宋体" w:cs="宋体"/>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9.2 交货方式：</w:t>
      </w:r>
      <w:r>
        <w:rPr>
          <w:rFonts w:hint="eastAsia" w:ascii="宋体" w:hAnsi="宋体" w:cs="宋体"/>
          <w:u w:val="single"/>
        </w:rPr>
        <w:t xml:space="preserve">甲方</w:t>
      </w:r>
      <w:r>
        <w:rPr>
          <w:rFonts w:ascii="宋体" w:hAnsi="宋体" w:cs="宋体"/>
          <w:u w:val="single"/>
        </w:rPr>
        <w:t xml:space="preserve">指定地点并安装调试</w:t>
      </w:r>
      <w:r>
        <w:rPr>
          <w:rFonts w:ascii="宋体" w:hAnsi="宋体" w:cs="宋体"/>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9.3 交货地点：</w:t>
      </w:r>
      <w:r>
        <w:rPr>
          <w:rFonts w:hint="eastAsia" w:ascii="宋体" w:hAnsi="宋体" w:cs="宋体"/>
          <w:u w:val="single"/>
        </w:rPr>
        <w:t xml:space="preserve">甲方</w:t>
      </w:r>
      <w:r>
        <w:rPr>
          <w:rFonts w:ascii="宋体" w:hAnsi="宋体" w:cs="宋体"/>
          <w:u w:val="single"/>
        </w:rPr>
        <w:t xml:space="preserve">指定地点</w:t>
      </w:r>
      <w:r>
        <w:rPr>
          <w:rFonts w:ascii="宋体" w:hAnsi="宋体" w:cs="宋体"/>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十、货款支付</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10.1付款方式：本项目预付款为30%，货物安装调试完成并经甲方验收合格付至合同价款的90%（同时扣回预付款），余款在验收合格</w:t>
      </w:r>
      <w:r>
        <w:rPr>
          <w:rFonts w:hint="eastAsia" w:ascii="宋体" w:hAnsi="宋体" w:cs="宋体"/>
        </w:rPr>
        <w:t xml:space="preserve">且质保期满</w:t>
      </w:r>
      <w:r>
        <w:rPr>
          <w:rFonts w:ascii="宋体" w:hAnsi="宋体" w:cs="宋体"/>
        </w:rPr>
        <w:t xml:space="preserve">使用无质量问题后付清。付款时乙方须提供正规发票。合同款一律通过银行非现金结算，结算方式：转账。 （按以上进度付款无任何利息补偿）</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10.2当采购数量与实际使用数量不一致时，乙方应根据实际使用量供货，合同的最终结算金额按实际使用量乘以成交单价进行计算。</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十一.税费</w:t>
      </w:r>
      <w:r/>
    </w:p>
    <w:p>
      <w:pPr>
        <w:spacing w:before="145" w:after="145"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11.1本合同执行中相关的一切税费均由乙方负担。</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十二、质量保证及售后服务</w:t>
      </w:r>
      <w:r/>
    </w:p>
    <w:p>
      <w:pPr>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12.1乙方应按招标文件规定的货物性能、技术要求、质量标准向甲方提供未经使用的全新产品。</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12.2乙方提供的货物在质保期内因货物本身的质量问题发生故障，乙方应负责免费更换。对达不到技术要求者，根据实际情况，经双方协商，可按以下办法处理：</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⑴更换：由乙方承担所发生的全部费用。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⑵贬值处理：由甲乙双方合议定价。</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⑶退货处理：乙方应退还甲方支付的合同款，同时应承担该货物的直接费用（运输、保险、检验、货款利息及银行手续费等）。</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12.3 如在使用过程中发生质量问题，乙方在接到甲方通知后在</w:t>
      </w:r>
      <w:r>
        <w:rPr>
          <w:rFonts w:ascii="宋体" w:hAnsi="宋体" w:cs="宋体"/>
          <w:u w:val="single"/>
        </w:rPr>
        <w:t xml:space="preserve">       </w:t>
      </w:r>
      <w:r>
        <w:rPr>
          <w:rFonts w:ascii="宋体" w:hAnsi="宋体" w:cs="宋体"/>
        </w:rPr>
        <w:t xml:space="preserve">小时内到达甲方现场。</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12.4 在质保期内，乙方应对货物出现的质量及安全问题负责处理解决并承担一切费用。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12.5上述的</w:t>
      </w:r>
      <w:r>
        <w:rPr>
          <w:rFonts w:hint="eastAsia" w:ascii="宋体" w:hAnsi="宋体" w:cs="宋体"/>
        </w:rPr>
        <w:t xml:space="preserve">设备及信息系统</w:t>
      </w:r>
      <w:r>
        <w:rPr>
          <w:rFonts w:ascii="宋体" w:hAnsi="宋体" w:cs="宋体"/>
        </w:rPr>
        <w:t xml:space="preserve">免费保修期为</w:t>
      </w:r>
      <w:r>
        <w:rPr>
          <w:rFonts w:ascii="宋体" w:hAnsi="宋体" w:cs="宋体"/>
          <w:u w:val="single"/>
        </w:rPr>
        <w:t xml:space="preserve">  </w:t>
      </w:r>
      <w:r>
        <w:rPr>
          <w:rFonts w:ascii="宋体" w:hAnsi="宋体" w:cs="宋体"/>
        </w:rPr>
        <w:t xml:space="preserve">年，因人为因素出现的故障不在免费保修范围内。超过保修期的机器设备，终生维修，维修时只收部件成本费。</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十三、调试和验收</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13.1 甲方对乙方提交的货物依据招标文件上的技术规格要求和国家有关质量标准进行现场初步验收，外观、说明书符合招标文件技术要求的，甲方需在五个工作日内验收。货到后，初步验收不合格的不予签收。</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13.2 乙方交货前应对产品作出全面检查和对验收文件进行整理，并列出清单，作为甲方收货验收和使用的技术条件依据，检验的结果应随货物交甲方。</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13.3甲方对乙方提供的货物在使用前进行调试时，乙方需负责安装并培训甲方的使用操作人员，并协助甲方一起调试，直到符合技术要求，甲方才做最终验收。</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13.4 对技术复杂的货物，甲方可请国家认可的专业检测机构参与初步验收及最终验收，并由其出具质量检测报告。</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13.5 验收时乙方必须在现场，验收完毕后作出验收结果报告；验收费用由甲乙双方协商解决。</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十四、货物包装、发运及运输</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14.1乙方应在货物发运前对其进行满足运输距离、防潮、防震、防锈和防破损装卸等要求包装，以保证货物安全运达甲方指定地点。</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14.2 使用说明书、质量检验证明书、随配附件和工具以及清单一并附于货物内。</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14.3 乙方在货物发运手续办理完毕后24小时内或货到甲方48小时前通知甲方，以准备接货。</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十五、违约责任</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15.1 甲方无正当理由拒收货物的，甲方向乙方偿付拒收货款总值的百分之五违约金。</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15.2甲方无故逾期验收和办理货款支付手续的,甲方应按逾期付款总额每日按LPR4倍向乙方支付违约金。</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交付、交货是指合同约定的15天完成最终验收）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十六、不可抗力事件处理</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16.1 在合同有效期内，任何一方因不可抗力事件导致不能履行合同，则合同履行期可延长，其延长期与不可抗力影响期相同。</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16.2 不可抗力事件发生后，应立即通知对方，并寄送有关权威机构出具的证明。</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16.3 不可抗力事件延续120天以上，双方应通过友好协商，确定是否继续履行合同。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十七、诉讼</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17.1 双方在执行合同中所发生的一切争议，应通过协商解决。如协商不成，可向合同签订地法院起诉，合同签订地在此约定为盐城市大丰区。</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十八、合同生效及其它</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18.1 合同经双方法定代表人或授权委托代表人签字并加盖单位公章后生效。</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18.2本合同未尽事宜，遵照《民法典》有关条文执行。</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18.3 本合同一式肆份，具有同等法律效力，甲方、乙方各执两份。</w:t>
      </w:r>
      <w:r/>
    </w:p>
    <w:p>
      <w:pPr>
        <w:ind w:firstLine="480"/>
        <w:jc w:val="center"/>
        <w:spacing w:line="499" w:lineRule="atLeast"/>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br w:type="page" w:clear="all"/>
      </w:r>
      <w:r>
        <w:rPr>
          <w:rFonts w:ascii="宋体" w:hAnsi="宋体" w:cs="宋体"/>
          <w:szCs w:val="22"/>
        </w:rPr>
        <w:t xml:space="preserve"> </w:t>
      </w:r>
      <w:r>
        <w:rPr>
          <w:rFonts w:ascii="宋体" w:hAnsi="宋体" w:cs="宋体"/>
          <w:sz w:val="30"/>
          <w:szCs w:val="22"/>
        </w:rPr>
        <w:t xml:space="preserve">政府采购合同履约验收书（参考格式）</w:t>
      </w:r>
      <w:r/>
    </w:p>
    <w:p>
      <w:pPr>
        <w:ind w:firstLine="420"/>
        <w:spacing w:line="499" w:lineRule="atLeast"/>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根据政府采购合同（编号：</w:t>
      </w:r>
      <w:r>
        <w:rPr>
          <w:rFonts w:ascii="Calibri" w:hAnsi="Calibri" w:eastAsia="Calibri" w:cs="Calibri"/>
          <w:szCs w:val="22"/>
          <w:u w:val="single"/>
        </w:rPr>
        <w:t xml:space="preserve">             </w:t>
      </w:r>
      <w:r>
        <w:rPr>
          <w:rFonts w:ascii="宋体" w:hAnsi="宋体" w:cs="宋体"/>
          <w:szCs w:val="22"/>
        </w:rPr>
        <w:t xml:space="preserve">）的约定，我单位组织对</w:t>
      </w:r>
      <w:r>
        <w:rPr>
          <w:rFonts w:ascii="宋体" w:hAnsi="宋体" w:cs="宋体"/>
          <w:szCs w:val="22"/>
          <w:u w:val="single"/>
        </w:rPr>
        <w:t xml:space="preserve">（项目名称）</w:t>
      </w:r>
      <w:r>
        <w:rPr>
          <w:rFonts w:ascii="宋体" w:hAnsi="宋体" w:cs="宋体"/>
          <w:szCs w:val="22"/>
        </w:rPr>
        <w:t xml:space="preserve">项目中标（成交）供应商</w:t>
      </w:r>
      <w:r>
        <w:rPr>
          <w:rFonts w:ascii="宋体" w:hAnsi="宋体" w:cs="宋体"/>
          <w:szCs w:val="22"/>
          <w:u w:val="single"/>
        </w:rPr>
        <w:t xml:space="preserve">（公司名称）</w:t>
      </w:r>
      <w:r>
        <w:rPr>
          <w:rFonts w:ascii="宋体" w:hAnsi="宋体" w:cs="宋体"/>
          <w:szCs w:val="22"/>
        </w:rPr>
        <w:t xml:space="preserve">提供的货物（工程、服务）进行了履约验收，验收情况如下：</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3"/>
        <w:gridCol w:w="2529"/>
        <w:gridCol w:w="1479"/>
        <w:gridCol w:w="3257"/>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验收情况和验收意见</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（可另附）</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验收小组（签字）：</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szCs w:val="22"/>
              </w:rPr>
              <w:br/>
            </w:r>
            <w:r>
              <w:rPr>
                <w:rFonts w:ascii="Calibri" w:hAnsi="Calibri" w:eastAsia="Calibri" w:cs="Calibri"/>
                <w:szCs w:val="22"/>
              </w:rPr>
              <w:t xml:space="preserve">                              </w:t>
            </w:r>
            <w:r>
              <w:rPr>
                <w:rFonts w:ascii="宋体" w:hAnsi="宋体" w:cs="宋体"/>
                <w:szCs w:val="22"/>
              </w:rPr>
              <w:t xml:space="preserve">年</w:t>
            </w:r>
            <w:r>
              <w:rPr>
                <w:rFonts w:ascii="Calibri" w:hAnsi="Calibri" w:eastAsia="Calibri" w:cs="Calibri"/>
                <w:szCs w:val="22"/>
              </w:rPr>
              <w:t xml:space="preserve">    </w:t>
            </w:r>
            <w:r>
              <w:rPr>
                <w:rFonts w:ascii="宋体" w:hAnsi="宋体" w:cs="宋体"/>
                <w:szCs w:val="22"/>
              </w:rPr>
              <w:t xml:space="preserve">月</w:t>
            </w:r>
            <w:r>
              <w:rPr>
                <w:rFonts w:ascii="Calibri" w:hAnsi="Calibri" w:eastAsia="Calibri" w:cs="Calibri"/>
                <w:szCs w:val="22"/>
              </w:rPr>
              <w:t xml:space="preserve">    </w:t>
            </w:r>
            <w:r>
              <w:rPr>
                <w:rFonts w:ascii="宋体" w:hAnsi="宋体" w:cs="宋体"/>
                <w:szCs w:val="22"/>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供应商确认意见（签章）：</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szCs w:val="22"/>
              </w:rPr>
              <w:br/>
            </w:r>
            <w:r>
              <w:rPr>
                <w:rFonts w:ascii="Calibri" w:hAnsi="Calibri" w:eastAsia="Calibri" w:cs="Calibri"/>
                <w:szCs w:val="22"/>
              </w:rPr>
              <w:t xml:space="preserve">                              </w:t>
            </w:r>
            <w:r>
              <w:rPr>
                <w:rFonts w:ascii="宋体" w:hAnsi="宋体" w:cs="宋体"/>
                <w:szCs w:val="22"/>
              </w:rPr>
              <w:t xml:space="preserve">年</w:t>
            </w:r>
            <w:r>
              <w:rPr>
                <w:rFonts w:ascii="Calibri" w:hAnsi="Calibri" w:eastAsia="Calibri" w:cs="Calibri"/>
                <w:szCs w:val="22"/>
              </w:rPr>
              <w:t xml:space="preserve">    </w:t>
            </w:r>
            <w:r>
              <w:rPr>
                <w:rFonts w:ascii="宋体" w:hAnsi="宋体" w:cs="宋体"/>
                <w:szCs w:val="22"/>
              </w:rPr>
              <w:t xml:space="preserve">月</w:t>
            </w:r>
            <w:r>
              <w:rPr>
                <w:rFonts w:ascii="Calibri" w:hAnsi="Calibri" w:eastAsia="Calibri" w:cs="Calibri"/>
                <w:szCs w:val="22"/>
              </w:rPr>
              <w:t xml:space="preserve">    </w:t>
            </w:r>
            <w:r>
              <w:rPr>
                <w:rFonts w:ascii="宋体" w:hAnsi="宋体" w:cs="宋体"/>
                <w:szCs w:val="22"/>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textDirection w:val="lrTb"/>
            <w:noWrap/>
          </w:tcPr>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采购人确认意见（签章）：</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Calibri" w:hAnsi="Calibri" w:eastAsia="Calibri" w:cs="Calibri"/>
                <w:szCs w:val="22"/>
              </w:rPr>
              <w:t xml:space="preserve"> </w:t>
            </w:r>
            <w:r/>
          </w:p>
          <w:p>
            <w:pPr>
              <w:widowControl/>
              <w:rPr>
                <w:rFonts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szCs w:val="22"/>
              </w:rPr>
              <w:br/>
            </w:r>
            <w:r>
              <w:rPr>
                <w:rFonts w:ascii="Calibri" w:hAnsi="Calibri" w:eastAsia="Calibri" w:cs="Calibri"/>
                <w:szCs w:val="22"/>
              </w:rPr>
              <w:t xml:space="preserve">                              </w:t>
            </w:r>
            <w:r>
              <w:rPr>
                <w:rFonts w:ascii="宋体" w:hAnsi="宋体" w:cs="宋体"/>
                <w:szCs w:val="22"/>
              </w:rPr>
              <w:t xml:space="preserve">年</w:t>
            </w:r>
            <w:r>
              <w:rPr>
                <w:rFonts w:ascii="Calibri" w:hAnsi="Calibri" w:eastAsia="Calibri" w:cs="Calibri"/>
                <w:szCs w:val="22"/>
              </w:rPr>
              <w:t xml:space="preserve">    </w:t>
            </w:r>
            <w:r>
              <w:rPr>
                <w:rFonts w:ascii="宋体" w:hAnsi="宋体" w:cs="宋体"/>
                <w:szCs w:val="22"/>
              </w:rPr>
              <w:t xml:space="preserve">月</w:t>
            </w:r>
            <w:r>
              <w:rPr>
                <w:rFonts w:ascii="Calibri" w:hAnsi="Calibri" w:eastAsia="Calibri" w:cs="Calibri"/>
                <w:szCs w:val="22"/>
              </w:rPr>
              <w:t xml:space="preserve">    </w:t>
            </w:r>
            <w:r>
              <w:rPr>
                <w:rFonts w:ascii="宋体" w:hAnsi="宋体" w:cs="宋体"/>
                <w:szCs w:val="22"/>
              </w:rPr>
              <w:t xml:space="preserve">日</w:t>
            </w:r>
            <w:r/>
          </w:p>
        </w:tc>
      </w:tr>
    </w:tbl>
    <w:p>
      <w:pPr>
        <w:ind w:left="120" w:right="120"/>
        <w:spacing w:before="120" w:after="120"/>
        <w:pBdr>
          <w:top w:val="none" w:color="000000" w:sz="0" w:space="0"/>
          <w:left w:val="none" w:color="000000" w:sz="0" w:space="0"/>
          <w:bottom w:val="none" w:color="000000" w:sz="0" w:space="0"/>
          <w:right w:val="none" w:color="000000" w:sz="0" w:space="0"/>
        </w:pBdr>
      </w:pPr>
      <w:r/>
      <w:r/>
    </w:p>
    <w:p>
      <w:pPr>
        <w:numPr>
          <w:ilvl w:val="0"/>
          <w:numId w:val="6"/>
        </w:numPr>
        <w:jc w:val="center"/>
        <w:pageBreakBefore/>
        <w:spacing w:line="360" w:lineRule="auto"/>
        <w:rPr>
          <w:rFonts w:ascii="宋体" w:hAnsi="宋体" w:cs="宋体"/>
          <w:b/>
          <w:sz w:val="40"/>
        </w:rPr>
        <w:pBdr>
          <w:top w:val="none" w:color="000000" w:sz="0" w:space="0"/>
          <w:left w:val="none" w:color="000000" w:sz="0" w:space="0"/>
          <w:bottom w:val="none" w:color="000000" w:sz="0" w:space="0"/>
          <w:right w:val="none" w:color="000000" w:sz="0" w:space="0"/>
        </w:pBdr>
      </w:pPr>
      <w:r>
        <w:rPr>
          <w:rFonts w:ascii="宋体" w:hAnsi="宋体" w:cs="宋体"/>
          <w:b/>
          <w:sz w:val="40"/>
        </w:rPr>
        <w:t xml:space="preserve">采购需求</w:t>
      </w:r>
      <w:r>
        <w:rPr>
          <w:rFonts w:hint="eastAsia" w:ascii="宋体" w:hAnsi="宋体" w:cs="宋体"/>
          <w:b/>
          <w:sz w:val="40"/>
        </w:rPr>
        <w:t xml:space="preserve">（参数）</w:t>
      </w:r>
      <w:r/>
    </w:p>
    <w:p>
      <w:pPr>
        <w:ind w:firstLine="482"/>
        <w:spacing w:line="360" w:lineRule="auto"/>
        <w:outlineLvl w:val="0"/>
      </w:pPr>
      <w:r>
        <w:rPr>
          <w:rFonts w:hint="eastAsia"/>
        </w:rPr>
        <w:t xml:space="preserve">本次采购核心设备为心电检查设备，</w:t>
      </w:r>
      <w:bookmarkStart w:id="0" w:name="_Toc28202"/>
      <w:r>
        <w:rPr>
          <w:rFonts w:hint="eastAsia"/>
        </w:rPr>
        <w:t xml:space="preserve">采购标的所属行业：工业。</w:t>
      </w:r>
      <w:bookmarkEnd w:id="0"/>
      <w:r>
        <w:rPr>
          <w:rFonts w:hint="eastAsia"/>
        </w:rPr>
        <w:t xml:space="preserve">数量为：</w:t>
      </w:r>
      <w:r>
        <w:rPr>
          <w:rFonts w:hint="eastAsia" w:ascii="Calibri" w:hAnsi="Calibri"/>
        </w:rPr>
        <w:t xml:space="preserve">便携式心电检查设备215台、数字式心电检查设备17台、动态心电检查设备40台。具体参数如下：</w:t>
      </w:r>
      <w:r/>
    </w:p>
    <w:p>
      <w:pPr>
        <w:numPr>
          <w:ilvl w:val="0"/>
          <w:numId w:val="7"/>
        </w:numPr>
        <w:ind w:left="0" w:firstLine="420"/>
        <w:spacing w:line="360" w:lineRule="auto"/>
        <w:rPr>
          <w:rFonts w:ascii="Calibri" w:hAnsi="Calibri"/>
          <w:b/>
          <w:bCs/>
        </w:rPr>
      </w:pPr>
      <w:r>
        <w:rPr>
          <w:rFonts w:hint="eastAsia" w:ascii="Calibri" w:hAnsi="Calibri"/>
          <w:b/>
          <w:bCs/>
        </w:rPr>
        <w:t xml:space="preserve">便携式心电检查设备：</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w:t>
      </w:r>
      <w:r>
        <w:rPr>
          <w:color w:val="auto"/>
          <w:highlight w:val="none"/>
        </w:rPr>
        <w:t xml:space="preserve">ECG输入：≥12</w:t>
      </w:r>
      <w:r>
        <w:rPr>
          <w:rFonts w:hint="eastAsia"/>
          <w:color w:val="auto"/>
          <w:highlight w:val="none"/>
        </w:rPr>
        <w:t xml:space="preserve">通道</w:t>
      </w:r>
      <w:r>
        <w:rPr>
          <w:color w:val="auto"/>
          <w:highlight w:val="none"/>
        </w:rPr>
        <w:t xml:space="preserve">同步采集</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屏幕：</w:t>
      </w:r>
      <w:r>
        <w:rPr>
          <w:color w:val="auto"/>
          <w:highlight w:val="none"/>
        </w:rPr>
        <w:t xml:space="preserve">≥</w:t>
      </w:r>
      <w:r>
        <w:rPr>
          <w:rFonts w:hint="eastAsia"/>
          <w:color w:val="auto"/>
          <w:highlight w:val="none"/>
        </w:rPr>
        <w:t xml:space="preserve">5英寸触控屏，分辨率≥720*1280，要求同屏显示</w:t>
      </w:r>
      <w:r>
        <w:rPr>
          <w:color w:val="auto"/>
          <w:highlight w:val="none"/>
        </w:rPr>
        <w:t xml:space="preserve">≥</w:t>
      </w:r>
      <w:r>
        <w:rPr>
          <w:rFonts w:hint="eastAsia"/>
          <w:color w:val="auto"/>
          <w:highlight w:val="none"/>
        </w:rPr>
        <w:t xml:space="preserve">12导联波形；</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w:t>
      </w:r>
      <w:r>
        <w:rPr>
          <w:color w:val="auto"/>
          <w:highlight w:val="none"/>
        </w:rPr>
        <w:t xml:space="preserve">输入阻抗：≥</w:t>
      </w:r>
      <w:r>
        <w:rPr>
          <w:rFonts w:hint="eastAsia"/>
          <w:color w:val="auto"/>
          <w:highlight w:val="none"/>
        </w:rPr>
        <w:t xml:space="preserve">50</w:t>
      </w:r>
      <w:r>
        <w:rPr>
          <w:color w:val="auto"/>
          <w:highlight w:val="none"/>
        </w:rPr>
        <w:t xml:space="preserve">MΩ</w:t>
      </w:r>
      <w:r>
        <w:rPr>
          <w:rFonts w:hint="eastAsia"/>
          <w:color w:val="auto"/>
          <w:highlight w:val="none"/>
        </w:rPr>
        <w:t xml:space="preserve">；</w:t>
      </w:r>
      <w:r>
        <w:rPr>
          <w:rFonts w:hint="eastAsia"/>
          <w:b/>
          <w:bCs/>
          <w:color w:val="auto"/>
          <w:highlight w:val="none"/>
        </w:rPr>
        <w:t xml:space="preserve">提供产品注册证明或检测报告相关页扫描件加盖投标单位公章</w:t>
      </w:r>
      <w:r>
        <w:rPr>
          <w:rFonts w:hint="eastAsia"/>
          <w:b/>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输入回路电流：≤0.1μA</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噪声</w:t>
      </w:r>
      <w:r>
        <w:rPr>
          <w:rFonts w:hint="eastAsia"/>
          <w:color w:val="auto"/>
          <w:highlight w:val="none"/>
        </w:rPr>
        <w:t xml:space="preserve">电平</w:t>
      </w:r>
      <w:r>
        <w:rPr>
          <w:color w:val="auto"/>
          <w:highlight w:val="none"/>
        </w:rPr>
        <w:t xml:space="preserve">：</w:t>
      </w:r>
      <w:r>
        <w:rPr>
          <w:rFonts w:hint="eastAsia"/>
          <w:color w:val="auto"/>
          <w:highlight w:val="none"/>
        </w:rPr>
        <w:t xml:space="preserve">≤</w:t>
      </w:r>
      <w:r>
        <w:rPr>
          <w:color w:val="auto"/>
          <w:highlight w:val="none"/>
        </w:rPr>
        <w:t xml:space="preserve">15μVp-p</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共模抑制比：≥100dB</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yellow"/>
        </w:rPr>
      </w:pPr>
      <w:r>
        <w:rPr>
          <w:color w:val="auto"/>
          <w:highlight w:val="yellow"/>
        </w:rPr>
        <w:t xml:space="preserve">时间常数：≥</w:t>
      </w:r>
      <w:r>
        <w:rPr>
          <w:rFonts w:hint="eastAsia"/>
          <w:color w:val="auto"/>
          <w:highlight w:val="yellow"/>
          <w:lang w:val="en-US" w:eastAsia="zh-CN"/>
        </w:rPr>
        <w:t xml:space="preserve">5</w:t>
      </w:r>
      <w:r>
        <w:rPr>
          <w:color w:val="auto"/>
          <w:highlight w:val="yellow"/>
        </w:rPr>
        <w:t xml:space="preserve">s</w:t>
      </w:r>
      <w:r>
        <w:rPr>
          <w:rFonts w:hint="eastAsia"/>
          <w:color w:val="auto"/>
          <w:highlight w:val="yellow"/>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w:t>
      </w:r>
      <w:r>
        <w:rPr>
          <w:color w:val="auto"/>
          <w:highlight w:val="none"/>
        </w:rPr>
        <w:t xml:space="preserve">耐极化电压：≥±9</w:t>
      </w:r>
      <w:r>
        <w:rPr>
          <w:rFonts w:hint="eastAsia"/>
          <w:color w:val="auto"/>
          <w:highlight w:val="none"/>
        </w:rPr>
        <w:t xml:space="preserve">6</w:t>
      </w:r>
      <w:r>
        <w:rPr>
          <w:color w:val="auto"/>
          <w:highlight w:val="none"/>
        </w:rPr>
        <w:t xml:space="preserve">0mV</w:t>
      </w:r>
      <w:r>
        <w:rPr>
          <w:rFonts w:hint="eastAsia"/>
          <w:color w:val="auto"/>
          <w:highlight w:val="none"/>
        </w:rPr>
        <w:t xml:space="preserve">；</w:t>
      </w:r>
      <w:r>
        <w:rPr>
          <w:rFonts w:hint="eastAsia"/>
          <w:b/>
          <w:bCs/>
          <w:color w:val="auto"/>
          <w:highlight w:val="none"/>
        </w:rPr>
        <w:t xml:space="preserve">提供产品检测报告相关页证明扫描件加盖投标单位公章</w:t>
      </w:r>
      <w:r>
        <w:rPr>
          <w:rFonts w:hint="eastAsia"/>
          <w:b/>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rFonts w:hint="eastAsia" w:ascii="宋体" w:hAnsi="宋体" w:eastAsia="宋体" w:cs="宋体"/>
          <w:b w:val="0"/>
          <w:bCs w:val="0"/>
          <w:color w:val="auto"/>
          <w:sz w:val="21"/>
          <w:szCs w:val="21"/>
          <w:highlight w:val="none"/>
          <w:lang w:val="en-US" w:eastAsia="zh-CN" w:bidi="ar-SA"/>
        </w:rPr>
        <w:t xml:space="preserve">▲频响范围:0.05~350Hz；提供产品检测报告相关页证明扫描件加盖投标单位公章。</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模数（A/D）</w:t>
      </w:r>
      <w:r>
        <w:rPr>
          <w:color w:val="auto"/>
          <w:highlight w:val="none"/>
        </w:rPr>
        <w:t xml:space="preserve">转换：≥</w:t>
      </w:r>
      <w:r>
        <w:rPr>
          <w:rFonts w:hint="eastAsia"/>
          <w:color w:val="auto"/>
          <w:highlight w:val="none"/>
        </w:rPr>
        <w:t xml:space="preserve">24位（</w:t>
      </w:r>
      <w:r>
        <w:rPr>
          <w:color w:val="auto"/>
          <w:highlight w:val="none"/>
        </w:rPr>
        <w:t xml:space="preserve">bit</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w:t>
      </w:r>
      <w:r>
        <w:rPr>
          <w:color w:val="auto"/>
          <w:highlight w:val="none"/>
        </w:rPr>
        <w:t xml:space="preserve">灵敏度（增益）：</w:t>
      </w:r>
      <w:r>
        <w:rPr>
          <w:rFonts w:hint="eastAsia"/>
          <w:color w:val="auto"/>
          <w:highlight w:val="none"/>
        </w:rPr>
        <w:t xml:space="preserve">至少包括</w:t>
      </w:r>
      <w:r>
        <w:rPr>
          <w:color w:val="auto"/>
          <w:highlight w:val="none"/>
        </w:rPr>
        <w:t xml:space="preserve">5mm/mV、10mm/mV、20mm/mV</w:t>
      </w:r>
      <w:r>
        <w:rPr>
          <w:rFonts w:hint="eastAsia"/>
          <w:color w:val="auto"/>
          <w:highlight w:val="none"/>
        </w:rPr>
        <w:t xml:space="preserve">，</w:t>
      </w:r>
      <w:r>
        <w:rPr>
          <w:color w:val="auto"/>
          <w:highlight w:val="none"/>
        </w:rPr>
        <w:t xml:space="preserve">误差不超过±5%</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走纸速度：</w:t>
      </w:r>
      <w:r>
        <w:rPr>
          <w:rFonts w:hint="eastAsia"/>
          <w:color w:val="auto"/>
          <w:highlight w:val="none"/>
        </w:rPr>
        <w:t xml:space="preserve">至少包括</w:t>
      </w:r>
      <w:r>
        <w:rPr>
          <w:color w:val="auto"/>
          <w:highlight w:val="none"/>
        </w:rPr>
        <w:t xml:space="preserve">12.5mm</w:t>
      </w:r>
      <w:r>
        <w:rPr>
          <w:rFonts w:hint="eastAsia"/>
          <w:color w:val="auto"/>
          <w:highlight w:val="none"/>
        </w:rPr>
        <w:t xml:space="preserve">/</w:t>
      </w:r>
      <w:r>
        <w:rPr>
          <w:color w:val="auto"/>
          <w:highlight w:val="none"/>
        </w:rPr>
        <w:t xml:space="preserve">s、25mm/s、50mm/s</w:t>
      </w:r>
      <w:r>
        <w:rPr>
          <w:rFonts w:hint="eastAsia"/>
          <w:color w:val="auto"/>
          <w:highlight w:val="none"/>
        </w:rPr>
        <w:t xml:space="preserve">和100mm</w:t>
      </w:r>
      <w:r>
        <w:rPr>
          <w:color w:val="auto"/>
          <w:highlight w:val="none"/>
        </w:rPr>
        <w:t xml:space="preserve">/s</w:t>
      </w:r>
      <w:r>
        <w:rPr>
          <w:rFonts w:hint="eastAsia"/>
          <w:color w:val="auto"/>
          <w:highlight w:val="none"/>
        </w:rPr>
        <w:t xml:space="preserve">四档选择</w:t>
      </w:r>
      <w:r>
        <w:rPr>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具备波形预采功能，可用于捕捉偶发、一过性的心律失常事件，预采集时间可设置</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具备自动记录功能，自动记录菜单中包括：10秒、15秒、20秒、30秒、1分钟、3分钟、5分钟；</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具备心电加做模式，在完成标准12导心电采集后，适合基层可加做右胸与后壁心电采集；</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支持起搏心电采集功能</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rPr>
      </w:pPr>
      <w:r>
        <w:rPr>
          <w:rFonts w:hint="eastAsia"/>
          <w:color w:val="auto"/>
        </w:rPr>
        <w:t xml:space="preserve">具备WORKLIST功能，可从HIS一键提取待检查患者详细信息及病例信息，减少手工录入；</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心电采集时，具备智能波形识别提醒功能，包括：伪差识别提醒、左右手接反识别提醒、导联脱落提醒、异常波形识别及提醒，</w:t>
      </w:r>
      <w:r>
        <w:rPr>
          <w:rFonts w:hint="eastAsia"/>
          <w:bCs/>
          <w:color w:val="auto"/>
          <w:highlight w:val="none"/>
        </w:rPr>
        <w:t xml:space="preserve">提供包含以上功能的界面截图；</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支持诊断中心诊断后，基层医院可下载心电图报告至本机。</w:t>
      </w:r>
      <w:r>
        <w:rPr>
          <w:rFonts w:hint="eastAsia"/>
          <w:bCs/>
          <w:color w:val="auto"/>
          <w:highlight w:val="none"/>
        </w:rPr>
        <w:t xml:space="preserve">提供界面截图并支持打印；</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具备</w:t>
      </w:r>
      <w:r>
        <w:rPr>
          <w:rFonts w:hint="eastAsia"/>
          <w:color w:val="auto"/>
          <w:highlight w:val="none"/>
        </w:rPr>
        <w:t xml:space="preserve">一键</w:t>
      </w:r>
      <w:r>
        <w:rPr>
          <w:color w:val="auto"/>
          <w:highlight w:val="none"/>
        </w:rPr>
        <w:t xml:space="preserve">转胸痛功能，经心电图检查后，如诊断为胸痛患者，可在心电检查设备</w:t>
      </w:r>
      <w:r>
        <w:rPr>
          <w:rFonts w:hint="eastAsia"/>
          <w:color w:val="auto"/>
          <w:highlight w:val="none"/>
        </w:rPr>
        <w:t xml:space="preserve">端</w:t>
      </w:r>
      <w:r>
        <w:rPr>
          <w:color w:val="auto"/>
          <w:highlight w:val="none"/>
        </w:rPr>
        <w:t xml:space="preserve">直接对患者“转胸痛”，患者进入胸痛系统，建立胸痛档案</w:t>
      </w:r>
      <w:r>
        <w:rPr>
          <w:rFonts w:hint="eastAsia"/>
          <w:color w:val="auto"/>
          <w:highlight w:val="none"/>
        </w:rPr>
        <w:t xml:space="preserve">；</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▲数据传输：可通过有线和无线（配备内网物联网卡，支持4G或5G,质保期内满足使用需求）完成数据上传。</w:t>
      </w:r>
      <w:r/>
    </w:p>
    <w:p>
      <w:pPr>
        <w:numPr>
          <w:ilvl w:val="0"/>
          <w:numId w:val="8"/>
        </w:numPr>
        <w:ind w:left="0" w:firstLine="400"/>
        <w:keepLines w:val="0"/>
        <w:keepNext w:val="0"/>
        <w:pageBreakBefore w:val="0"/>
        <w:spacing w:line="360" w:lineRule="auto"/>
        <w:widowControl w:val="off"/>
        <w:rPr>
          <w:color w:val="auto"/>
          <w:highlight w:val="none"/>
        </w:rPr>
      </w:pPr>
      <w:r>
        <w:rPr>
          <w:rFonts w:hint="eastAsia" w:ascii="宋体" w:hAnsi="宋体" w:eastAsia="宋体" w:cs="宋体"/>
          <w:b w:val="0"/>
          <w:bCs w:val="0"/>
          <w:color w:val="auto"/>
          <w:sz w:val="21"/>
          <w:szCs w:val="21"/>
          <w:highlight w:val="none"/>
          <w:lang w:val="en-US" w:eastAsia="zh-CN" w:bidi="ar-SA"/>
        </w:rPr>
        <w:t xml:space="preserve">具备危急值管理功能，包括危急值识别、提示、记录及追溯功能；投标时提供技术白皮书或厂家技术证明文件或国家/省级药监部门认可的检验报告或用户手册中相关功能说明页，证明该产品具备上述功能。</w:t>
      </w:r>
      <w:r/>
    </w:p>
    <w:p>
      <w:pPr>
        <w:numPr>
          <w:ilvl w:val="0"/>
          <w:numId w:val="8"/>
        </w:numPr>
        <w:ind w:left="0" w:firstLine="400"/>
        <w:keepLines w:val="0"/>
        <w:keepNext w:val="0"/>
        <w:pageBreakBefore w:val="0"/>
        <w:spacing w:line="360" w:lineRule="auto"/>
        <w:widowControl w:val="off"/>
        <w:rPr>
          <w:color w:val="auto"/>
          <w:highlight w:val="none"/>
        </w:rPr>
      </w:pPr>
      <w:r>
        <w:rPr>
          <w:color w:val="auto"/>
          <w:highlight w:val="none"/>
        </w:rPr>
        <w:t xml:space="preserve">具备用户访问控制：系统可分为操作员、管理员两种角色</w:t>
      </w:r>
      <w:r>
        <w:rPr>
          <w:rFonts w:hint="eastAsia"/>
          <w:color w:val="auto"/>
          <w:highlight w:val="none"/>
        </w:rPr>
        <w:t xml:space="preserve">，</w:t>
      </w:r>
      <w:r>
        <w:rPr>
          <w:color w:val="auto"/>
          <w:highlight w:val="none"/>
        </w:rPr>
        <w:t xml:space="preserve">系统登录有密码访问验证，没有授权的操作用户无法使用系统</w:t>
      </w:r>
      <w:r>
        <w:rPr>
          <w:rFonts w:hint="eastAsia"/>
          <w:color w:val="auto"/>
          <w:highlight w:val="none"/>
        </w:rPr>
        <w:t xml:space="preserve">以保证安全；</w:t>
      </w:r>
      <w:r/>
    </w:p>
    <w:p>
      <w:pPr>
        <w:numPr>
          <w:ilvl w:val="0"/>
          <w:numId w:val="8"/>
        </w:numPr>
        <w:ind w:left="0" w:firstLine="400"/>
        <w:keepLines w:val="0"/>
        <w:keepNext w:val="0"/>
        <w:pageBreakBefore w:val="0"/>
        <w:spacing w:line="360" w:lineRule="auto"/>
        <w:widowControl w:val="off"/>
        <w:rPr>
          <w:color w:val="auto"/>
          <w:highlight w:val="none"/>
        </w:rPr>
      </w:pPr>
      <w:r>
        <w:rPr>
          <w:rFonts w:hint="eastAsia" w:ascii="宋体" w:hAnsi="宋体" w:eastAsia="宋体" w:cs="宋体"/>
          <w:b w:val="0"/>
          <w:bCs w:val="0"/>
          <w:color w:val="auto"/>
          <w:sz w:val="21"/>
          <w:szCs w:val="21"/>
          <w:highlight w:val="none"/>
          <w:lang w:val="en-US" w:eastAsia="zh-CN" w:bidi="ar-SA"/>
        </w:rPr>
        <w:t xml:space="preserve">内置大容量锂电池，电池充满电后连续工作时长≥8小时。</w:t>
      </w:r>
      <w:r/>
    </w:p>
    <w:p>
      <w:pPr>
        <w:numPr>
          <w:ilvl w:val="0"/>
          <w:numId w:val="8"/>
        </w:numPr>
        <w:ind w:left="0" w:firstLine="400"/>
        <w:keepLines w:val="0"/>
        <w:keepNext w:val="0"/>
        <w:pageBreakBefore w:val="0"/>
        <w:spacing w:line="360" w:lineRule="auto"/>
        <w:widowControl w:val="off"/>
        <w:rPr>
          <w:color w:val="auto"/>
          <w:highlight w:val="none"/>
        </w:rPr>
      </w:pPr>
      <w:r>
        <w:rPr>
          <w:rFonts w:hint="eastAsia"/>
          <w:color w:val="auto"/>
          <w:highlight w:val="none"/>
        </w:rPr>
        <w:t xml:space="preserve">▲设备有效期≥8年。</w:t>
      </w:r>
      <w:r/>
    </w:p>
    <w:p>
      <w:pPr>
        <w:numPr>
          <w:ilvl w:val="0"/>
          <w:numId w:val="7"/>
        </w:numPr>
        <w:ind w:left="0" w:firstLine="420"/>
        <w:spacing w:line="360" w:lineRule="auto"/>
        <w:rPr>
          <w:rFonts w:hint="eastAsia" w:ascii="Calibri" w:hAnsi="Calibri"/>
          <w:b/>
          <w:bCs/>
          <w:color w:val="auto"/>
          <w:highlight w:val="none"/>
        </w:rPr>
      </w:pPr>
      <w:r>
        <w:rPr>
          <w:rFonts w:hint="eastAsia" w:ascii="Calibri" w:hAnsi="Calibri"/>
          <w:b/>
          <w:bCs/>
          <w:color w:val="auto"/>
          <w:highlight w:val="none"/>
        </w:rPr>
        <w:t xml:space="preserve">数字式心电检查设备：</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屏幕：</w:t>
      </w:r>
      <w:r>
        <w:rPr>
          <w:color w:val="auto"/>
          <w:highlight w:val="none"/>
        </w:rPr>
        <w:t xml:space="preserve">≥</w:t>
      </w:r>
      <w:r>
        <w:rPr>
          <w:rFonts w:hint="eastAsia"/>
          <w:color w:val="auto"/>
          <w:highlight w:val="none"/>
        </w:rPr>
        <w:t xml:space="preserve">8英寸触控屏。</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▲输入阻抗：≥50MΩ</w:t>
      </w:r>
      <w:r>
        <w:rPr>
          <w:rFonts w:hint="eastAsia"/>
          <w:b/>
          <w:bCs/>
          <w:color w:val="auto"/>
          <w:highlight w:val="none"/>
        </w:rPr>
        <w:t xml:space="preserve">提供产品注册证明或检测报告相关页扫描件加盖投标单位公章</w:t>
      </w:r>
      <w:r>
        <w:rPr>
          <w:rFonts w:hint="eastAsia"/>
          <w:b/>
          <w:color w:val="auto"/>
          <w:highlight w:val="none"/>
        </w:rPr>
        <w:t xml:space="preserve">。</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▲1</w:t>
      </w:r>
      <w:r>
        <w:rPr>
          <w:color w:val="auto"/>
          <w:highlight w:val="none"/>
        </w:rPr>
        <w:t xml:space="preserve">2</w:t>
      </w:r>
      <w:r>
        <w:rPr>
          <w:rFonts w:hint="eastAsia"/>
          <w:color w:val="auto"/>
          <w:highlight w:val="none"/>
        </w:rPr>
        <w:t xml:space="preserve">导数字式心电图机，支持12通道同步采集。</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▲共模抑制比：≥</w:t>
      </w:r>
      <w:r>
        <w:rPr>
          <w:color w:val="auto"/>
          <w:highlight w:val="none"/>
        </w:rPr>
        <w:t xml:space="preserve">1</w:t>
      </w:r>
      <w:r>
        <w:rPr>
          <w:rFonts w:hint="eastAsia"/>
          <w:color w:val="auto"/>
          <w:highlight w:val="none"/>
        </w:rPr>
        <w:t xml:space="preserve">00dB。</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定标电压：各档位灵敏度最大允许误差为士1%。</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噪声电平：≤15μVP-P。</w:t>
      </w:r>
      <w:r/>
    </w:p>
    <w:p>
      <w:pPr>
        <w:numPr>
          <w:ilvl w:val="0"/>
          <w:numId w:val="9"/>
        </w:numPr>
        <w:ind w:left="0" w:firstLine="425"/>
        <w:keepLines w:val="0"/>
        <w:keepNext w:val="0"/>
        <w:pageBreakBefore w:val="0"/>
        <w:spacing w:line="360" w:lineRule="auto"/>
        <w:widowControl w:val="off"/>
        <w:rPr>
          <w:color w:val="auto"/>
          <w:highlight w:val="none"/>
        </w:rPr>
      </w:pPr>
      <w:r>
        <w:rPr>
          <w:rFonts w:hint="eastAsia" w:ascii="宋体" w:hAnsi="宋体" w:eastAsia="宋体" w:cs="宋体"/>
          <w:b w:val="0"/>
          <w:bCs w:val="0"/>
          <w:color w:val="auto"/>
          <w:sz w:val="21"/>
          <w:szCs w:val="21"/>
          <w:highlight w:val="none"/>
          <w:lang w:val="en-US" w:eastAsia="zh-CN" w:bidi="ar-SA"/>
        </w:rPr>
        <w:t xml:space="preserve">▲频响范围：0.05-350Hz。</w:t>
      </w:r>
      <w:r/>
    </w:p>
    <w:p>
      <w:pPr>
        <w:numPr>
          <w:ilvl w:val="0"/>
          <w:numId w:val="9"/>
        </w:numPr>
        <w:ind w:left="0" w:firstLine="425"/>
        <w:keepLines w:val="0"/>
        <w:keepNext w:val="0"/>
        <w:pageBreakBefore w:val="0"/>
        <w:spacing w:line="360" w:lineRule="auto"/>
        <w:widowControl w:val="off"/>
        <w:rPr>
          <w:color w:val="auto"/>
          <w:highlight w:val="yellow"/>
        </w:rPr>
      </w:pPr>
      <w:r>
        <w:rPr>
          <w:rFonts w:hint="eastAsia"/>
          <w:color w:val="auto"/>
          <w:highlight w:val="yellow"/>
        </w:rPr>
        <w:t xml:space="preserve">时间常数：≥</w:t>
      </w:r>
      <w:r>
        <w:rPr>
          <w:rFonts w:hint="eastAsia"/>
          <w:color w:val="auto"/>
          <w:highlight w:val="yellow"/>
          <w:lang w:val="en-US" w:eastAsia="zh-CN"/>
        </w:rPr>
        <w:t xml:space="preserve">5</w:t>
      </w:r>
      <w:r>
        <w:rPr>
          <w:rFonts w:hint="eastAsia"/>
          <w:color w:val="auto"/>
          <w:highlight w:val="yellow"/>
        </w:rPr>
        <w:t xml:space="preserve">s。</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▲心率测量范围：30bpm~300bpm。</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增益要求：2.5mm/mV、5mm/mV、10mm/mV、20mm/mV，增益准确度±1%。</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记录速度：支持50 mm/s、25mm/s和12.5mm/s三种记录速度，时间速度的精度应在土1%范围内。</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具有在有起搏器脉冲的情况下显示心电图的能力，具备全导联起搏检测，准确识别起搏信号。</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心电图机支持批量下载预约记录功能，支持从心电网络系统获取预约的受检查者信息下发至心电图机并支持待检查列表显示，列表应包含检查姓名、性别、年龄等信息。</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检查管理：具有加采新报告、上传数据、重新上传、加急、加采图谱、重采图谱、编辑删除查询、同步、批量上传心电图功能。</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▲心电图机支持导联脱落、伪差、左右手接反、无法识别、心律失常波形的自动检测和提示功能。</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支持消息实时提醒功能，如危急报告提醒、诊断退回提醒、导联纠错提醒、诊断完成提醒。</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QTc参数测量：内置5种以上测量算法，QTc计算方法可通过系统设置调阅并设置。</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图谱采集具备自动记录功能，设置菜单中可设置图谱最小采集时长为10秒、20秒、30秒、1分钟、5分钟。</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支持急性心肌梗塞等异常心电图的自动识别，并以弹窗或语音提醒方式提醒医患人员优先诊断。</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记录测值包括：心率、电轴、P波时限、QRS时限、Q-T间期、P-R间期、QTc、T波、Rv5、Sv1等。</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心电图机支持本地报告进行同屏对比。</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心电图机具备报告分享功能。</w:t>
      </w:r>
      <w:r/>
    </w:p>
    <w:p>
      <w:pPr>
        <w:numPr>
          <w:ilvl w:val="0"/>
          <w:numId w:val="9"/>
        </w:numPr>
        <w:ind w:left="0" w:firstLine="425"/>
        <w:keepLines w:val="0"/>
        <w:keepNext w:val="0"/>
        <w:pageBreakBefore w:val="0"/>
        <w:spacing w:line="360" w:lineRule="auto"/>
        <w:widowControl w:val="off"/>
        <w:rPr>
          <w:color w:val="auto"/>
          <w:highlight w:val="none"/>
        </w:rPr>
      </w:pPr>
      <w:r>
        <w:rPr>
          <w:rFonts w:hint="eastAsia" w:ascii="宋体" w:hAnsi="宋体" w:eastAsia="宋体" w:cs="宋体"/>
          <w:b w:val="0"/>
          <w:bCs w:val="0"/>
          <w:color w:val="auto"/>
          <w:sz w:val="21"/>
          <w:szCs w:val="21"/>
          <w:highlight w:val="none"/>
          <w:lang w:val="en-US" w:eastAsia="zh-CN" w:bidi="ar-SA"/>
        </w:rPr>
        <w:t xml:space="preserve">内置大容量锂电池，电池充满电后连续工作时长≥8小时。</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存储量：支持10000份心电数据存储。</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▲数据传输：可通过有线和无线（配备内网物联网卡，支持4G或5G,质保期内满足使用需求）完成数据上传。</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支持外接激光打印机和身份证读卡器。</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满足与医疗卫生机构信息系统之间的信息互联、互通、集成共享。</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▲具备心电加做模式，在完成标准12导心电采集后，适合基层可加做右胸与后壁心电采集；</w:t>
      </w:r>
      <w:r/>
    </w:p>
    <w:p>
      <w:pPr>
        <w:numPr>
          <w:ilvl w:val="0"/>
          <w:numId w:val="9"/>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▲设备有效期≥8年。</w:t>
      </w:r>
      <w:r/>
    </w:p>
    <w:p>
      <w:pPr>
        <w:numPr>
          <w:ilvl w:val="0"/>
          <w:numId w:val="7"/>
        </w:numPr>
        <w:ind w:left="0" w:firstLine="420"/>
        <w:spacing w:line="360" w:lineRule="auto"/>
        <w:rPr>
          <w:rFonts w:hint="eastAsia" w:ascii="Calibri" w:hAnsi="Calibri"/>
          <w:b/>
          <w:bCs/>
          <w:color w:val="auto"/>
          <w:highlight w:val="none"/>
        </w:rPr>
      </w:pPr>
      <w:r>
        <w:rPr>
          <w:rFonts w:hint="eastAsia" w:ascii="Calibri" w:hAnsi="Calibri"/>
          <w:b/>
          <w:bCs/>
          <w:color w:val="auto"/>
          <w:highlight w:val="none"/>
        </w:rPr>
        <w:t xml:space="preserve">动态心电检查设备：</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▲支持十二导心电数据采集，十二通道同步分析。</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支持72小时不间断采集和存储；配备液晶显示屏，支持心电波形实时预览。</w:t>
      </w:r>
      <w:r/>
    </w:p>
    <w:p>
      <w:pPr>
        <w:numPr>
          <w:ilvl w:val="0"/>
          <w:numId w:val="10"/>
        </w:numPr>
        <w:ind w:left="0" w:firstLine="425"/>
        <w:keepLines w:val="0"/>
        <w:keepNext w:val="0"/>
        <w:pageBreakBefore w:val="0"/>
        <w:spacing w:line="360" w:lineRule="auto"/>
        <w:widowControl w:val="off"/>
        <w:rPr>
          <w:color w:val="auto"/>
          <w:highlight w:val="yellow"/>
        </w:rPr>
      </w:pPr>
      <w:r>
        <w:rPr>
          <w:rFonts w:hint="eastAsia"/>
          <w:color w:val="auto"/>
          <w:highlight w:val="yellow"/>
        </w:rPr>
        <w:t xml:space="preserve">设备具有信息提示功能：支持低电量提示；支持导联未接入提醒；</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耐极化电压：≥士300mV。</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系统噪声：≤60μV。</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频率响应：0.1Hz-50Hz。</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▲输入阻抗：≥10M</w:t>
      </w:r>
      <w:r>
        <w:rPr>
          <w:rFonts w:ascii="Calibri" w:hAnsi="Calibri" w:cs="Calibri"/>
          <w:color w:val="auto"/>
          <w:highlight w:val="none"/>
        </w:rPr>
        <w:t xml:space="preserve">Ω</w:t>
      </w:r>
      <w:r>
        <w:rPr>
          <w:rFonts w:hint="eastAsia" w:ascii="Calibri" w:hAnsi="Calibri" w:cs="Calibri"/>
          <w:color w:val="auto"/>
          <w:highlight w:val="none"/>
        </w:rPr>
        <w:t xml:space="preserve">。</w:t>
      </w:r>
      <w:r>
        <w:rPr>
          <w:rFonts w:hint="eastAsia"/>
          <w:b/>
          <w:bCs/>
          <w:color w:val="auto"/>
          <w:highlight w:val="none"/>
        </w:rPr>
        <w:t xml:space="preserve">提供产品注册证明或检测报告相关页扫描件加盖投标单位公章</w:t>
      </w:r>
      <w:r>
        <w:rPr>
          <w:rFonts w:hint="eastAsia"/>
          <w:b/>
          <w:color w:val="auto"/>
          <w:highlight w:val="none"/>
        </w:rPr>
        <w:t xml:space="preserve">。</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共模抑制比：≥80dB。</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支持起搏脉冲显示能力。</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采样精度：</w:t>
      </w:r>
      <w:r>
        <w:rPr>
          <w:rFonts w:ascii="Arial" w:hAnsi="Arial" w:cs="Arial"/>
          <w:color w:val="auto"/>
          <w:highlight w:val="none"/>
        </w:rPr>
        <w:t xml:space="preserve">≥</w:t>
      </w:r>
      <w:r>
        <w:rPr>
          <w:rFonts w:hint="eastAsia"/>
          <w:color w:val="auto"/>
          <w:highlight w:val="none"/>
        </w:rPr>
        <w:t xml:space="preserve">24位。</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时间常数：</w:t>
      </w:r>
      <w:r>
        <w:rPr>
          <w:rFonts w:ascii="Arial" w:hAnsi="Arial" w:cs="Arial"/>
          <w:color w:val="auto"/>
          <w:highlight w:val="none"/>
        </w:rPr>
        <w:t xml:space="preserve">≥</w:t>
      </w:r>
      <w:r>
        <w:rPr>
          <w:rFonts w:hint="eastAsia"/>
          <w:color w:val="auto"/>
          <w:highlight w:val="none"/>
        </w:rPr>
        <w:t xml:space="preserve">3.2S。</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增益准确度：增益可选选择20mm/mV、10mm/mV和5mm/mV，在每种增益设置下，输入信号等效到输入的最大振幅误差在士1%以内。</w:t>
      </w:r>
      <w:r/>
    </w:p>
    <w:p>
      <w:pPr>
        <w:numPr>
          <w:ilvl w:val="0"/>
          <w:numId w:val="10"/>
        </w:numPr>
        <w:ind w:left="0" w:firstLine="425"/>
        <w:keepLines w:val="0"/>
        <w:keepNext w:val="0"/>
        <w:pageBreakBefore w:val="0"/>
        <w:spacing w:line="360" w:lineRule="auto"/>
        <w:widowControl w:val="off"/>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采用可充电电池供电</w:t>
      </w:r>
      <w:r>
        <w:rPr>
          <w:rFonts w:hint="eastAsia" w:ascii="Times New Roman" w:hAnsi="Times New Roman" w:eastAsia="宋体" w:cs="Times New Roman"/>
          <w:color w:val="auto"/>
          <w:highlight w:val="none"/>
          <w:lang w:val="en-US" w:eastAsia="zh-CN"/>
        </w:rPr>
        <w:t xml:space="preserve">，</w:t>
      </w:r>
      <w:r>
        <w:rPr>
          <w:rFonts w:hint="default" w:ascii="Times New Roman" w:hAnsi="Times New Roman" w:eastAsia="宋体" w:cs="Times New Roman"/>
          <w:color w:val="auto"/>
          <w:highlight w:val="none"/>
          <w:lang w:val="en-US" w:eastAsia="zh-CN"/>
        </w:rPr>
        <w:t xml:space="preserve">续航要求：完整记录时长≥24小时，可选配≥48小时/≥72小时记录模式</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w:t>
      </w:r>
      <w:r>
        <w:rPr>
          <w:rFonts w:hint="eastAsia" w:ascii="宋体" w:hAnsi="宋体" w:cs="宋体"/>
          <w:color w:val="auto"/>
          <w:highlight w:val="none"/>
        </w:rPr>
        <w:t xml:space="preserve">支持USB或SD卡传输动态心电图数据，SD卡≥16GB。</w:t>
      </w:r>
      <w:r/>
    </w:p>
    <w:p>
      <w:pPr>
        <w:numPr>
          <w:ilvl w:val="0"/>
          <w:numId w:val="10"/>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▲设备有效期≥8年。</w:t>
      </w:r>
      <w:r/>
    </w:p>
    <w:p>
      <w:pPr>
        <w:numPr>
          <w:ilvl w:val="0"/>
          <w:numId w:val="7"/>
        </w:numPr>
        <w:ind w:left="0" w:firstLine="420"/>
        <w:spacing w:line="360" w:lineRule="auto"/>
        <w:rPr>
          <w:rFonts w:hint="eastAsia" w:ascii="Calibri" w:hAnsi="Calibri"/>
          <w:b/>
          <w:bCs/>
          <w:color w:val="auto"/>
          <w:highlight w:val="none"/>
        </w:rPr>
      </w:pPr>
      <w:r>
        <w:rPr>
          <w:rFonts w:hint="eastAsia" w:ascii="Calibri" w:hAnsi="Calibri"/>
          <w:b/>
          <w:bCs/>
          <w:color w:val="auto"/>
          <w:highlight w:val="none"/>
        </w:rPr>
        <w:t xml:space="preserve">软件功能要求参数</w:t>
      </w:r>
      <w:r/>
    </w:p>
    <w:p>
      <w:pPr>
        <w:numPr>
          <w:ilvl w:val="0"/>
          <w:numId w:val="11"/>
        </w:numPr>
        <w:ind w:left="0" w:firstLine="425"/>
        <w:jc w:val="both"/>
        <w:keepLines w:val="0"/>
        <w:keepNext w:val="0"/>
        <w:pageBreakBefore w:val="0"/>
        <w:spacing w:line="360" w:lineRule="auto"/>
        <w:widowControl w:val="off"/>
        <w:rPr>
          <w:color w:val="auto"/>
          <w:highlight w:val="none"/>
        </w:rPr>
      </w:pPr>
      <w:r>
        <w:rPr>
          <w:rFonts w:hint="eastAsia" w:ascii="宋体" w:hAnsi="宋体" w:eastAsia="宋体" w:cs="宋体"/>
          <w:b w:val="0"/>
          <w:bCs w:val="0"/>
          <w:color w:val="auto"/>
          <w:sz w:val="21"/>
          <w:szCs w:val="21"/>
          <w:highlight w:val="none"/>
          <w:lang w:val="en-US" w:eastAsia="zh-CN" w:bidi="ar-SA"/>
        </w:rPr>
        <w:t xml:space="preserve">▲系统架构要求：系统支持BS架构或BS/CS混合架构，确保客户端可通过浏览器访问核心功能，同时支持必要的本地客户端部署以满足高性能操作或特殊外设对接需求，具体架构方案由投标方根据产品特性提供说明，需确保数据交互安全性与系统可扩展性</w:t>
      </w:r>
      <w:r>
        <w:rPr>
          <w:rFonts w:hint="eastAsia"/>
          <w:color w:val="auto"/>
          <w:highlight w:val="none"/>
        </w:rPr>
        <w:t xml:space="preserve">。</w:t>
      </w:r>
      <w:r/>
    </w:p>
    <w:p>
      <w:pPr>
        <w:numPr>
          <w:ilvl w:val="0"/>
          <w:numId w:val="11"/>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具备静息心电、动态心电、动态血压等多项业务，实现高度集约化建设。可以进行静息心电、动态心电、动态血压等检查的分析会诊。在全区范围内所有社区卫生服务中心、乡镇卫生院、村卫生室等基层医疗机构连接现有检查设备，具备数据远程传输能力，将患者心电图、动态心电数据远程传输至诊断中心诊断，医生在手机、平板端、办公电脑</w:t>
      </w:r>
      <w:r>
        <w:rPr>
          <w:rFonts w:hint="eastAsia"/>
          <w:color w:val="auto"/>
          <w:highlight w:val="none"/>
          <w:lang w:val="en-US" w:eastAsia="zh-CN"/>
        </w:rPr>
        <w:t xml:space="preserve">的</w:t>
      </w:r>
      <w:r>
        <w:rPr>
          <w:rFonts w:hint="eastAsia"/>
          <w:color w:val="auto"/>
          <w:highlight w:val="none"/>
        </w:rPr>
        <w:t xml:space="preserve">APP</w:t>
      </w:r>
      <w:r>
        <w:rPr>
          <w:rFonts w:hint="eastAsia" w:ascii="Times New Roman" w:eastAsia="宋体"/>
          <w:color w:val="auto"/>
          <w:highlight w:val="none"/>
          <w:lang w:val="en-US" w:eastAsia="zh-CN"/>
        </w:rPr>
        <w:t xml:space="preserve">或小程序</w:t>
      </w:r>
      <w:r>
        <w:rPr>
          <w:rFonts w:hint="eastAsia"/>
          <w:color w:val="auto"/>
          <w:highlight w:val="none"/>
        </w:rPr>
        <w:t xml:space="preserve">上均可登录。系统支持待诊断任务智能分配与手动领取相结合的工作模式，任务分配方式包括顺序分配、资质匹配分配、负载均衡分配等，确保诊断资源合理利用与诊断时效性。助力区域多类型检查业务开展，完善心血管和慢病患者的全周期管理。    </w:t>
      </w:r>
      <w:r/>
    </w:p>
    <w:p>
      <w:pPr>
        <w:numPr>
          <w:ilvl w:val="0"/>
          <w:numId w:val="11"/>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心电平台需与区域全民健康信息平台（医共体平台）、医院现有信息系统（包含不限于HIS、PACS、EMR、CA、体检、集成平台）等其它系统，进行对接和信息交互。系统对接方式支持：存储过程、视图、表、WebService、HISDLL、API、DICOM、HL7等方式。</w:t>
      </w:r>
      <w:r/>
    </w:p>
    <w:p>
      <w:pPr>
        <w:numPr>
          <w:ilvl w:val="0"/>
          <w:numId w:val="11"/>
        </w:numPr>
        <w:ind w:left="0" w:firstLine="425"/>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bidi="ar-SA"/>
        </w:rPr>
      </w:pPr>
      <w:r>
        <w:rPr>
          <w:rFonts w:hint="eastAsia"/>
          <w:color w:val="auto"/>
          <w:highlight w:val="none"/>
        </w:rPr>
        <w:t xml:space="preserve">具备记录用户登录和操作日志，保证数据的可追溯性。</w:t>
      </w:r>
      <w:r/>
    </w:p>
    <w:p>
      <w:pPr>
        <w:numPr>
          <w:ilvl w:val="0"/>
          <w:numId w:val="11"/>
        </w:numPr>
        <w:ind w:left="0" w:firstLine="425"/>
        <w:keepLines w:val="0"/>
        <w:keepNext w:val="0"/>
        <w:pageBreakBefore w:val="0"/>
        <w:spacing w:line="360" w:lineRule="auto"/>
        <w:widowControl w:val="off"/>
        <w:rPr>
          <w:rFonts w:hint="default" w:ascii="宋体" w:hAnsi="宋体" w:eastAsia="宋体" w:cs="宋体"/>
          <w:b w:val="0"/>
          <w:bCs w:val="0"/>
          <w:color w:val="auto"/>
          <w:sz w:val="21"/>
          <w:szCs w:val="21"/>
          <w:highlight w:val="yellow"/>
          <w:lang w:val="en-US" w:eastAsia="zh-CN" w:bidi="ar-SA"/>
        </w:rPr>
      </w:pPr>
      <w:r>
        <w:rPr>
          <w:rFonts w:hint="eastAsia" w:ascii="宋体" w:hAnsi="宋体" w:eastAsia="宋体" w:cs="宋体"/>
          <w:b w:val="0"/>
          <w:bCs w:val="0"/>
          <w:color w:val="auto"/>
          <w:sz w:val="21"/>
          <w:szCs w:val="21"/>
          <w:highlight w:val="yellow"/>
          <w:lang w:val="en-US" w:eastAsia="zh-CN" w:bidi="ar-SA"/>
        </w:rPr>
        <w:t xml:space="preserve">具备AI辅助诊断，并在图谱上显示，提醒医生关注，避免漏诊。心电 AI智能分析，支持成人心律失常、心肌梗塞、ST-T异常、房室肥大等四大类异常心电图的自动识别【投标时提供产品具备AI心电分析功能的技术说明材料（包括但不限于：产品说明书、技术白皮书、第三方检测报告</w:t>
      </w:r>
      <w:r>
        <w:rPr>
          <w:rFonts w:hint="eastAsia" w:ascii="宋体" w:hAnsi="宋体" w:eastAsia="宋体" w:cs="宋体"/>
          <w:b w:val="0"/>
          <w:bCs w:val="0"/>
          <w:color w:val="auto"/>
          <w:sz w:val="21"/>
          <w:szCs w:val="21"/>
          <w:highlight w:val="yellow"/>
          <w:lang w:val="en-US" w:eastAsia="zh-CN" w:bidi="ar-SA"/>
        </w:rPr>
        <w:t xml:space="preserve">），证明材料须能体现上述四大类异常识别功能】。支持包括但不限于以下心律失常类型的自动识别：窦性心律（正常）、房性心律失常（含房性心动过速、心房颤动、心房扑动等）、室上性心动过速、停搏、起搏心律、短PR间期、预激综合征、传导阻滞等，以及上述类型的组合与复杂心律失常。支持急性心肌梗塞和陈旧性心肌梗塞等心肌梗塞异常心电图的自动识别。支持ST段异常（含ST压低、ST抬高）、T波异常、ST-T改变、QT/QTc间期异常等心室复极相关异常的自动识别与分析，QTc校正公式应至少支持Bazett公式，鼓励支持多种校正公式。</w:t>
      </w:r>
      <w:r/>
    </w:p>
    <w:p>
      <w:pPr>
        <w:numPr>
          <w:ilvl w:val="0"/>
          <w:numId w:val="11"/>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AI可自动识别心电图的采集质量，如是否有左右手接反、伪差、导联脱落、起搏信号等情况;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p>
    <w:p>
      <w:pPr>
        <w:numPr>
          <w:ilvl w:val="0"/>
          <w:numId w:val="11"/>
        </w:numPr>
        <w:ind w:left="0" w:firstLine="425"/>
        <w:keepLines w:val="0"/>
        <w:keepNext w:val="0"/>
        <w:pageBreakBefore w:val="0"/>
        <w:spacing w:line="360" w:lineRule="auto"/>
        <w:widowControl w:val="off"/>
        <w:rPr>
          <w:color w:val="auto"/>
          <w:highlight w:val="none"/>
        </w:rPr>
      </w:pPr>
      <w:r>
        <w:rPr>
          <w:rFonts w:hint="eastAsia"/>
          <w:color w:val="auto"/>
          <w:highlight w:val="none"/>
        </w:rPr>
        <w:t xml:space="preserve">特征标记:AI诊断后，点击AI特征标记可跳转到对应波形位置，标记诊断依据。支持类型窦性心律不齐、房性早搏、室性心动过速、心动过缓、长RR间期、急性心梗等疾病类型心电波形特征的标记。起搏信号智能标识:通过AI帮助医生快速识别出微弱的起搏信号，避免漏诊误诊。</w:t>
      </w:r>
      <w:r/>
    </w:p>
    <w:p>
      <w:pPr>
        <w:numPr>
          <w:ilvl w:val="0"/>
          <w:numId w:val="11"/>
        </w:numPr>
        <w:ind w:left="0" w:firstLine="425"/>
        <w:keepLines w:val="0"/>
        <w:keepNext w:val="0"/>
        <w:pageBreakBefore w:val="0"/>
        <w:spacing w:line="360" w:lineRule="auto"/>
        <w:widowControl w:val="off"/>
        <w:rPr>
          <w:color w:val="auto"/>
        </w:rPr>
      </w:pPr>
      <w:r>
        <w:rPr>
          <w:rFonts w:hint="eastAsia"/>
          <w:color w:val="auto"/>
          <w:highlight w:val="none"/>
        </w:rPr>
        <w:t xml:space="preserve">区域大数据监管大屏可展示当前平台的运营状况，包括不限于检查量趋势、工作量、检查机构排名、异常类疾病排名、诊断分布统计、诊断分级，危急</w:t>
      </w:r>
      <w:r>
        <w:rPr>
          <w:rFonts w:hint="eastAsia"/>
          <w:color w:val="auto"/>
        </w:rPr>
        <w:t xml:space="preserve">值统计分析，对病种、医生、检查报告的统计分析，根据机构、诊断中心查看报告检查量、诊断量等丰富全面的图表，通过业务指标数据分析与可视化展示等。【提供功能说明材料，中标后提供现场演示验证】</w:t>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▲具备完整的报告质控流程，定期对报告质量进行回顾，支持根据病种、诊断医生、AI质控等多个维度对报告进行质控，支持抽取一定数量的报告按照时间定期开展质控工作。</w:t>
      </w:r>
      <w:r/>
    </w:p>
    <w:p>
      <w:pPr>
        <w:numPr>
          <w:ilvl w:val="0"/>
          <w:numId w:val="11"/>
        </w:numPr>
        <w:ind w:left="0" w:firstLine="425"/>
        <w:keepLines w:val="0"/>
        <w:keepNext w:val="0"/>
        <w:pageBreakBefore w:val="0"/>
        <w:spacing w:line="360" w:lineRule="auto"/>
        <w:widowControl w:val="off"/>
        <w:rPr>
          <w:rFonts w:hint="eastAsia"/>
          <w:color w:val="auto"/>
        </w:rPr>
      </w:pPr>
      <w:r>
        <w:rPr>
          <w:rFonts w:hint="eastAsia"/>
          <w:color w:val="auto"/>
        </w:rPr>
        <w:t xml:space="preserve">报告全生命周期管理，支持心电数据的采集、传输、诊断和数据归档的全流程跟踪管理，记录每一份心电报告的生成过程。【提供功能说明材料，中标后提供现场演示验证】</w:t>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具备管理医院向基层医疗机构开展常规心电、动态心电、动态血压等会诊服务。</w:t>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具备危急值参数自定义设置，危急值自动预警，紧急/危急申请单置顶并以红色标识等危急值管理功能。</w:t>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▲系统具备危急值闭环管理，经诊断医生确认的危急值，可推送危急信息至临床医生提醒关注。</w:t>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具备智能分析对危急值自动识别；采用弹窗、语音、置顶等不同方式提醒医生优先诊断。</w:t>
      </w:r>
      <w:r/>
    </w:p>
    <w:p>
      <w:pPr>
        <w:numPr>
          <w:ilvl w:val="0"/>
          <w:numId w:val="11"/>
        </w:numPr>
        <w:ind w:left="0" w:firstLine="425"/>
        <w:keepLines w:val="0"/>
        <w:keepNext w:val="0"/>
        <w:pageBreakBefore w:val="0"/>
        <w:spacing w:line="360" w:lineRule="auto"/>
        <w:widowControl w:val="off"/>
        <w:rPr>
          <w:color w:val="auto"/>
        </w:rPr>
      </w:pPr>
      <w:r/>
      <w:bookmarkStart w:id="1" w:name="OLE_LINK1"/>
      <w:r>
        <w:rPr>
          <w:rFonts w:hint="eastAsia"/>
          <w:color w:val="auto"/>
        </w:rPr>
        <w:t xml:space="preserve">▲可展示心电数据采集、传输、诊断（含AI辅助诊断）、危急值提醒、数据统计分析、生成质控报告（须提供证明材料，包括但不限于：系统功能截图或操作手册或用户报告样本或经公证的演示视频等，能佐证上述功能即可）。</w:t>
      </w:r>
      <w:bookmarkEnd w:id="1"/>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具备质控指标灵活配置；根据医院业务与规模灵活配置质控标准，指导持续改进。具备通过人工智能进行质控分析，评估诊断质量。</w:t>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具备自定义报告质控样板抽取标准，自动抽取报告样本；根据抽取报告自动生成质控报告。</w:t>
      </w:r>
      <w:r/>
    </w:p>
    <w:p>
      <w:pPr>
        <w:numPr>
          <w:ilvl w:val="0"/>
          <w:numId w:val="11"/>
        </w:numPr>
        <w:ind w:left="0" w:firstLine="425"/>
        <w:keepLines w:val="0"/>
        <w:keepNext w:val="0"/>
        <w:pageBreakBefore w:val="0"/>
        <w:spacing w:line="360" w:lineRule="auto"/>
        <w:widowControl w:val="off"/>
        <w:rPr>
          <w:color w:val="auto"/>
        </w:rPr>
      </w:pPr>
      <w:r>
        <w:rPr>
          <w:rFonts w:hint="eastAsia"/>
          <w:color w:val="auto"/>
        </w:rPr>
        <w:t xml:space="preserve">工作量统计：医疗机构工作量、检查医生工作量、科室工作量、审核医生工作量、报告医生工作量。</w:t>
      </w:r>
      <w:r/>
    </w:p>
    <w:p>
      <w:pPr>
        <w:numPr>
          <w:ilvl w:val="0"/>
          <w:numId w:val="11"/>
        </w:numPr>
        <w:ind w:left="0" w:firstLine="425"/>
        <w:keepLines w:val="0"/>
        <w:keepNext w:val="0"/>
        <w:pageBreakBefore w:val="0"/>
        <w:spacing w:line="360" w:lineRule="auto"/>
        <w:widowControl w:val="off"/>
      </w:pPr>
      <w:r>
        <w:rPr>
          <w:rFonts w:hint="eastAsia"/>
          <w:color w:val="auto"/>
        </w:rPr>
        <w:t xml:space="preserve">可自由定制的数据统计模块，所有的字段信息都可作为统计条件，并组合使用</w:t>
      </w:r>
      <w:r>
        <w:rPr>
          <w:rFonts w:hint="eastAsia"/>
        </w:rPr>
        <w:t xml:space="preserve">；根据需要可进行工作量、科研、教学统计。</w:t>
      </w:r>
      <w:r/>
    </w:p>
    <w:p>
      <w:pPr>
        <w:numPr>
          <w:ilvl w:val="0"/>
          <w:numId w:val="11"/>
        </w:numPr>
        <w:ind w:left="0" w:firstLine="425"/>
        <w:keepLines w:val="0"/>
        <w:keepNext w:val="0"/>
        <w:pageBreakBefore w:val="0"/>
        <w:spacing w:line="360" w:lineRule="auto"/>
        <w:widowControl w:val="off"/>
      </w:pPr>
      <w:r>
        <w:rPr>
          <w:rFonts w:hint="eastAsia"/>
        </w:rPr>
        <w:t xml:space="preserve">具备典型病例收藏功能。</w:t>
      </w:r>
      <w:r/>
    </w:p>
    <w:p>
      <w:pPr>
        <w:numPr>
          <w:ilvl w:val="0"/>
          <w:numId w:val="11"/>
        </w:numPr>
        <w:ind w:left="0" w:firstLine="425"/>
        <w:keepLines w:val="0"/>
        <w:keepNext w:val="0"/>
        <w:pageBreakBefore w:val="0"/>
        <w:spacing w:line="360" w:lineRule="auto"/>
        <w:widowControl w:val="off"/>
      </w:pPr>
      <w:r>
        <w:rPr>
          <w:rFonts w:hint="eastAsia"/>
        </w:rPr>
        <w:t xml:space="preserve">▲具备在智能终端设备（手机或平板）上移动诊断。支持iOS系统和安卓系统。</w:t>
      </w:r>
      <w:r/>
    </w:p>
    <w:p>
      <w:pPr>
        <w:numPr>
          <w:ilvl w:val="0"/>
          <w:numId w:val="11"/>
        </w:numPr>
        <w:ind w:left="0" w:firstLine="425"/>
        <w:keepLines w:val="0"/>
        <w:keepNext w:val="0"/>
        <w:pageBreakBefore w:val="0"/>
        <w:spacing w:line="360" w:lineRule="auto"/>
        <w:widowControl w:val="off"/>
      </w:pPr>
      <w:r>
        <w:rPr>
          <w:rFonts w:hint="eastAsia"/>
        </w:rPr>
        <w:t xml:space="preserve">动态心电分析软件与经验证的动态心电图设备联合使用，软件须支持第三方动态心电数据导入，适用于医疗机构对患者动态心电数据的导入、回放、测量与分析、编辑、报告和实时显示，供临床诊断。【提供功能截图或医疗器械注册相关证明</w:t>
      </w:r>
      <w:r>
        <w:rPr>
          <w:rFonts w:hint="eastAsia" w:ascii="宋体" w:hAnsi="宋体" w:cs="宋体"/>
        </w:rPr>
        <w:t xml:space="preserve">扫描件</w:t>
      </w:r>
      <w:r>
        <w:rPr>
          <w:rFonts w:hint="eastAsia"/>
        </w:rPr>
        <w:t xml:space="preserve">】</w:t>
      </w:r>
      <w:r/>
    </w:p>
    <w:p>
      <w:pPr>
        <w:numPr>
          <w:ilvl w:val="0"/>
          <w:numId w:val="11"/>
        </w:numPr>
        <w:ind w:left="0" w:firstLine="425"/>
        <w:keepLines w:val="0"/>
        <w:keepNext w:val="0"/>
        <w:pageBreakBefore w:val="0"/>
        <w:spacing w:line="360" w:lineRule="auto"/>
        <w:widowControl w:val="off"/>
      </w:pPr>
      <w:r>
        <w:rPr>
          <w:rFonts w:hint="eastAsia"/>
        </w:rPr>
        <w:t xml:space="preserve">动态心电分析软件具有自动分析功能；支持用户事件、房早事件、室早事件、心率事件的自动分析；支持伪差，房早未下传独立显示。【须提供演示视频，可显示上述所有要求】</w:t>
      </w:r>
      <w:r/>
    </w:p>
    <w:p>
      <w:pPr>
        <w:numPr>
          <w:ilvl w:val="0"/>
          <w:numId w:val="11"/>
        </w:numPr>
        <w:ind w:left="0" w:firstLine="425"/>
        <w:keepLines w:val="0"/>
        <w:keepNext w:val="0"/>
        <w:pageBreakBefore w:val="0"/>
        <w:spacing w:line="360" w:lineRule="auto"/>
        <w:widowControl w:val="off"/>
      </w:pPr>
      <w:r>
        <w:rPr>
          <w:rFonts w:hint="eastAsia"/>
        </w:rPr>
        <w:t xml:space="preserve">动态心电具有全导联起搏检测功能；起搏器分析模块可用于起搏钉分析，快速定位异常起搏钉；【提供功能截图或医疗器械注册相关证明</w:t>
      </w:r>
      <w:r>
        <w:rPr>
          <w:rFonts w:hint="eastAsia" w:ascii="宋体" w:hAnsi="宋体" w:cs="宋体"/>
        </w:rPr>
        <w:t xml:space="preserve">扫描件</w:t>
      </w:r>
      <w:r>
        <w:rPr>
          <w:rFonts w:hint="eastAsia"/>
        </w:rPr>
        <w:t xml:space="preserve">】</w:t>
      </w:r>
      <w:r/>
    </w:p>
    <w:p>
      <w:pPr>
        <w:numPr>
          <w:ilvl w:val="0"/>
          <w:numId w:val="11"/>
        </w:numPr>
        <w:ind w:left="0" w:firstLine="425"/>
        <w:keepLines w:val="0"/>
        <w:keepNext w:val="0"/>
        <w:pageBreakBefore w:val="0"/>
        <w:spacing w:line="360" w:lineRule="auto"/>
        <w:widowControl w:val="off"/>
      </w:pPr>
      <w:r>
        <w:rPr>
          <w:rFonts w:hint="eastAsia"/>
        </w:rPr>
        <w:t xml:space="preserve">动态心电诊断图界面支持自动识别心搏类型，可添加和修改心拍，支持往前或往后批量插入心搏;</w:t>
      </w:r>
      <w:r/>
    </w:p>
    <w:p>
      <w:pPr>
        <w:numPr>
          <w:ilvl w:val="0"/>
          <w:numId w:val="11"/>
        </w:numPr>
        <w:ind w:left="0" w:firstLine="425"/>
        <w:keepLines w:val="0"/>
        <w:keepNext w:val="0"/>
        <w:pageBreakBefore w:val="0"/>
        <w:spacing w:line="360" w:lineRule="auto"/>
        <w:widowControl w:val="off"/>
      </w:pPr>
      <w:r>
        <w:rPr>
          <w:rFonts w:hint="eastAsia"/>
        </w:rPr>
        <w:t xml:space="preserve">动态心电诊断图界面支持选择片段波形后进行重新解析，支持手动设置无效波形;</w:t>
      </w:r>
      <w:r/>
    </w:p>
    <w:p>
      <w:pPr>
        <w:numPr>
          <w:ilvl w:val="0"/>
          <w:numId w:val="11"/>
        </w:numPr>
        <w:ind w:left="0" w:firstLine="425"/>
        <w:keepLines w:val="0"/>
        <w:keepNext w:val="0"/>
        <w:pageBreakBefore w:val="0"/>
        <w:spacing w:line="360" w:lineRule="auto"/>
        <w:widowControl w:val="off"/>
      </w:pPr>
      <w:r>
        <w:rPr>
          <w:rFonts w:hint="eastAsia"/>
        </w:rPr>
        <w:t xml:space="preserve">动态心电支持导联纠错功能及分段导联纠错功能;</w:t>
      </w:r>
      <w:r/>
    </w:p>
    <w:p>
      <w:pPr>
        <w:numPr>
          <w:ilvl w:val="0"/>
          <w:numId w:val="11"/>
        </w:numPr>
        <w:ind w:left="0" w:firstLine="425"/>
        <w:keepLines w:val="0"/>
        <w:keepNext w:val="0"/>
        <w:pageBreakBefore w:val="0"/>
        <w:spacing w:line="360" w:lineRule="auto"/>
        <w:widowControl w:val="off"/>
      </w:pPr>
      <w:r>
        <w:rPr>
          <w:rFonts w:hint="eastAsia"/>
        </w:rPr>
        <w:t xml:space="preserve">动态心电全览图可通览整个采集期间的心电图谱，异常波形用颜色标记;支持心率、RR间期、RR间期比直方图;具备Lorenz散点图、差值散点图、</w:t>
      </w:r>
      <w:r>
        <w:rPr>
          <w:rFonts w:hint="eastAsia" w:ascii="宋体" w:hAnsi="宋体" w:cs="宋体"/>
        </w:rPr>
        <w:t xml:space="preserve">时间散点图、小时散点图、四象限散点图分析</w:t>
      </w:r>
      <w:r>
        <w:rPr>
          <w:rFonts w:hint="eastAsia"/>
        </w:rPr>
        <w:t xml:space="preserve">;K线图：支持以K线图的方式展示心搏间期变化;差分栅栏图：快速捕捉及定位偶发心率失常。【提供功能截图证明】</w:t>
      </w:r>
      <w:r/>
    </w:p>
    <w:p>
      <w:pPr>
        <w:numPr>
          <w:ilvl w:val="0"/>
          <w:numId w:val="11"/>
        </w:numPr>
        <w:ind w:left="0" w:firstLine="425"/>
        <w:keepLines w:val="0"/>
        <w:keepNext w:val="0"/>
        <w:pageBreakBefore w:val="0"/>
        <w:spacing w:line="360" w:lineRule="auto"/>
        <w:widowControl w:val="off"/>
      </w:pPr>
      <w:r>
        <w:rPr>
          <w:rFonts w:hint="eastAsia"/>
        </w:rPr>
        <w:t xml:space="preserve">动态心电支持快速筛查房颤和自动分析房颤功能，根据不同房颤识别强度识别阵发性房颤的功能，快速批量编辑阵发性房颤;【提供截图证明】</w:t>
      </w:r>
      <w:r/>
    </w:p>
    <w:p>
      <w:pPr>
        <w:numPr>
          <w:ilvl w:val="0"/>
          <w:numId w:val="11"/>
        </w:numPr>
        <w:ind w:left="0" w:firstLine="425"/>
        <w:keepLines w:val="0"/>
        <w:keepNext w:val="0"/>
        <w:pageBreakBefore w:val="0"/>
        <w:spacing w:line="360" w:lineRule="auto"/>
        <w:widowControl w:val="off"/>
        <w:rPr>
          <w:rFonts w:ascii="宋体" w:hAnsi="宋体" w:cs="宋体"/>
        </w:rPr>
      </w:pPr>
      <w:r>
        <w:rPr>
          <w:rFonts w:hint="eastAsia"/>
        </w:rPr>
        <w:t xml:space="preserve">动态心电</w:t>
      </w:r>
      <w:r>
        <w:rPr>
          <w:rFonts w:hint="eastAsia" w:ascii="宋体" w:hAnsi="宋体" w:cs="宋体"/>
        </w:rPr>
        <w:t xml:space="preserve">支持HRV分析、T波电交替、心率减速力、心率震荡、QTc间期散点图、睡眠呼吸暂停等高级分析功能。</w:t>
      </w:r>
      <w:r>
        <w:rPr>
          <w:rFonts w:hint="eastAsia"/>
        </w:rPr>
        <w:t xml:space="preserve">【提供功能截图或医疗器械注册相关证明</w:t>
      </w:r>
      <w:r>
        <w:rPr>
          <w:rFonts w:hint="eastAsia" w:ascii="宋体" w:hAnsi="宋体" w:cs="宋体"/>
        </w:rPr>
        <w:t xml:space="preserve">扫描件</w:t>
      </w:r>
      <w:r>
        <w:rPr>
          <w:rFonts w:hint="eastAsia"/>
        </w:rPr>
        <w:t xml:space="preserve">】</w:t>
      </w:r>
      <w:r/>
    </w:p>
    <w:p>
      <w:pPr>
        <w:numPr>
          <w:ilvl w:val="0"/>
          <w:numId w:val="11"/>
        </w:numPr>
        <w:ind w:left="0" w:firstLine="425"/>
        <w:keepLines w:val="0"/>
        <w:keepNext w:val="0"/>
        <w:pageBreakBefore w:val="0"/>
        <w:spacing w:line="360" w:lineRule="auto"/>
        <w:widowControl w:val="off"/>
      </w:pPr>
      <w:r>
        <w:rPr>
          <w:rFonts w:hint="eastAsia"/>
        </w:rPr>
        <w:t xml:space="preserve">动态心电支持ST段扫描和参数编辑，可调整任意导联抬高压低参数</w:t>
      </w:r>
      <w:r/>
    </w:p>
    <w:p>
      <w:pPr>
        <w:numPr>
          <w:ilvl w:val="0"/>
          <w:numId w:val="11"/>
        </w:numPr>
        <w:ind w:left="0" w:firstLine="425"/>
        <w:keepLines w:val="0"/>
        <w:keepNext w:val="0"/>
        <w:pageBreakBefore w:val="0"/>
        <w:spacing w:line="360" w:lineRule="auto"/>
        <w:widowControl w:val="off"/>
      </w:pPr>
      <w:r>
        <w:rPr>
          <w:rFonts w:hint="eastAsia"/>
        </w:rPr>
        <w:t xml:space="preserve">动态心电支持不同心搏分类模板整体叠加反混淆,快速定位异常心博；</w:t>
      </w:r>
      <w:r/>
    </w:p>
    <w:p>
      <w:pPr>
        <w:numPr>
          <w:ilvl w:val="0"/>
          <w:numId w:val="11"/>
        </w:numPr>
        <w:ind w:left="0" w:firstLine="425"/>
        <w:keepLines w:val="0"/>
        <w:keepNext w:val="0"/>
        <w:pageBreakBefore w:val="0"/>
        <w:spacing w:line="360" w:lineRule="auto"/>
        <w:widowControl w:val="off"/>
      </w:pPr>
      <w:r>
        <w:rPr>
          <w:rFonts w:hint="eastAsia"/>
        </w:rPr>
        <w:t xml:space="preserve">动态心电支持全局撤销，方便医生误操作后可快速恢复至上一步；支持事件删除和修改，可对事件进行统计和波形展示；</w:t>
      </w:r>
      <w:r/>
    </w:p>
    <w:p>
      <w:pPr>
        <w:numPr>
          <w:ilvl w:val="0"/>
          <w:numId w:val="11"/>
        </w:numPr>
        <w:ind w:left="0" w:firstLine="425"/>
        <w:keepLines w:val="0"/>
        <w:keepNext w:val="0"/>
        <w:pageBreakBefore w:val="0"/>
        <w:spacing w:line="360" w:lineRule="auto"/>
        <w:widowControl w:val="off"/>
      </w:pPr>
      <w:r>
        <w:rPr>
          <w:rFonts w:hint="eastAsia"/>
        </w:rPr>
        <w:t xml:space="preserve">动态心电支持添加典型图功能：支持统计表格、结论模板、预览打印报告功能；</w:t>
      </w:r>
      <w:r/>
    </w:p>
    <w:p>
      <w:pPr>
        <w:numPr>
          <w:ilvl w:val="0"/>
          <w:numId w:val="11"/>
        </w:numPr>
        <w:ind w:left="0" w:firstLine="425"/>
        <w:keepLines w:val="0"/>
        <w:keepNext w:val="0"/>
        <w:pageBreakBefore w:val="0"/>
        <w:spacing w:line="360" w:lineRule="auto"/>
        <w:widowControl w:val="off"/>
      </w:pPr>
      <w:r>
        <w:rPr>
          <w:rFonts w:hint="eastAsia"/>
        </w:rPr>
        <w:t xml:space="preserve">动态心电</w:t>
      </w:r>
      <w:r>
        <w:rPr>
          <w:rFonts w:hint="eastAsia" w:ascii="宋体" w:hAnsi="宋体" w:cs="宋体"/>
        </w:rPr>
        <w:t xml:space="preserve">报告编辑功能</w:t>
      </w:r>
      <w:r>
        <w:rPr>
          <w:rFonts w:hint="eastAsia"/>
        </w:rPr>
        <w:t xml:space="preserve">：可进行进行报告编与、保存、生成PDF及打比析汇总和报告助手提供丰富的报告诊断库和报告模板可以有效的提高编写检查结论的速度。【提供功能截图或医疗器械注册相关证明</w:t>
      </w:r>
      <w:r>
        <w:rPr>
          <w:rFonts w:hint="eastAsia" w:ascii="宋体" w:hAnsi="宋体" w:cs="宋体"/>
        </w:rPr>
        <w:t xml:space="preserve">扫描件</w:t>
      </w:r>
      <w:r>
        <w:rPr>
          <w:rFonts w:hint="eastAsia"/>
        </w:rPr>
        <w:t xml:space="preserve">】</w:t>
      </w:r>
      <w:r/>
    </w:p>
    <w:p>
      <w:pPr>
        <w:numPr>
          <w:ilvl w:val="0"/>
          <w:numId w:val="11"/>
        </w:numPr>
        <w:ind w:left="0" w:firstLine="425"/>
        <w:keepLines w:val="0"/>
        <w:keepNext w:val="0"/>
        <w:pageBreakBefore w:val="0"/>
        <w:spacing w:line="360" w:lineRule="auto"/>
        <w:widowControl w:val="off"/>
      </w:pPr>
      <w:r>
        <w:rPr>
          <w:rFonts w:hint="eastAsia"/>
        </w:rPr>
        <w:t xml:space="preserve">动态心电支持网络化功能，采用专业数据库管理原始数据和报告，支持科室分析终端、医院与分院、医院与社区医院之间进行原始数据的远程传输、管理和共享；动态心电分析软件可同时支持60台以上设备与服务器之间交互，支持同时在线查看、调用及诊断。每台设备与服务器之间的连接是独立的，通过TCP/IP协议传输心电数据文件，接收数据并展示心电波形。</w:t>
      </w:r>
      <w:r/>
    </w:p>
    <w:p>
      <w:pPr>
        <w:numPr>
          <w:ilvl w:val="0"/>
          <w:numId w:val="7"/>
        </w:numPr>
        <w:ind w:left="0" w:firstLine="420"/>
        <w:spacing w:line="360" w:lineRule="auto"/>
        <w:rPr>
          <w:rFonts w:hint="eastAsia" w:ascii="Calibri" w:hAnsi="Calibri"/>
          <w:b/>
          <w:bCs/>
        </w:rPr>
      </w:pPr>
      <w:r>
        <w:rPr>
          <w:rFonts w:hint="eastAsia" w:ascii="Calibri" w:hAnsi="Calibri"/>
          <w:b/>
          <w:bCs/>
        </w:rPr>
        <w:t xml:space="preserve">服务要求</w:t>
      </w:r>
      <w:r/>
    </w:p>
    <w:p>
      <w:pPr>
        <w:numPr>
          <w:ilvl w:val="0"/>
          <w:numId w:val="12"/>
        </w:numPr>
        <w:ind w:left="0" w:firstLine="400"/>
        <w:spacing w:line="360" w:lineRule="auto"/>
        <w:rPr>
          <w:rFonts w:ascii="宋体" w:hAnsi="宋体" w:cs="宋体"/>
          <w:color w:val="auto"/>
        </w:rPr>
      </w:pPr>
      <w:r>
        <w:rPr>
          <w:rFonts w:hint="eastAsia" w:ascii="宋体" w:hAnsi="宋体" w:cs="宋体"/>
        </w:rPr>
        <w:t xml:space="preserve">供应商</w:t>
      </w:r>
      <w:r>
        <w:rPr>
          <w:rFonts w:hint="eastAsia" w:ascii="宋体" w:hAnsi="宋体" w:cs="宋体"/>
          <w:color w:val="auto"/>
        </w:rPr>
        <w:t xml:space="preserve">根据招标要求及本项目特点，制定项目供货运输、平台构建、安装及维护方案，各节点时间进度方案应做到完整全面、科学可行，并有针对性，确保在规定的交付时限内完成。</w:t>
      </w:r>
      <w:r/>
    </w:p>
    <w:p>
      <w:pPr>
        <w:numPr>
          <w:ilvl w:val="0"/>
          <w:numId w:val="12"/>
        </w:numPr>
        <w:ind w:left="0" w:firstLine="400"/>
        <w:spacing w:line="360" w:lineRule="auto"/>
        <w:rPr>
          <w:rFonts w:ascii="宋体" w:hAnsi="宋体" w:cs="宋体"/>
          <w:color w:val="auto"/>
        </w:rPr>
      </w:pPr>
      <w:r>
        <w:rPr>
          <w:rFonts w:hint="eastAsia" w:ascii="宋体" w:hAnsi="宋体" w:cs="宋体"/>
          <w:color w:val="auto"/>
        </w:rPr>
        <w:t xml:space="preserve">投标供应商应针对本项目制定完整的售后保证措施，内容应包含质量监督管理措施、产品出厂生产的质量保障措施、运送过程中的产品保障措施、到货验收时的质量保障措施、服务质量保障措施以及售后服务管理措施（包含服务响应时间、服务内容、故障解决方案、专业技术人员保障及服务电话、配件和消耗品报价（附品目明细清单）。</w:t>
      </w:r>
      <w:r/>
    </w:p>
    <w:p>
      <w:pPr>
        <w:numPr>
          <w:ilvl w:val="0"/>
          <w:numId w:val="12"/>
        </w:numPr>
        <w:ind w:left="0" w:firstLine="400"/>
        <w:spacing w:line="360" w:lineRule="auto"/>
        <w:rPr>
          <w:rFonts w:ascii="宋体" w:hAnsi="宋体" w:cs="宋体"/>
          <w:color w:val="auto"/>
        </w:rPr>
      </w:pPr>
      <w:r>
        <w:rPr>
          <w:rFonts w:hint="eastAsia" w:ascii="宋体" w:hAnsi="宋体" w:eastAsia="宋体" w:cs="宋体"/>
          <w:b w:val="0"/>
          <w:bCs w:val="0"/>
          <w:color w:val="auto"/>
          <w:sz w:val="21"/>
          <w:szCs w:val="21"/>
          <w:highlight w:val="none"/>
          <w:lang w:val="en-US" w:eastAsia="zh-CN" w:bidi="ar-SA"/>
        </w:rPr>
        <w:t xml:space="preserve">验收通过之日起对货物及信息系统免费质保：三年。质保期自验收合格之日起计算，中标人可自行提供质保服务或委托具有相应资质的第三方服务机构履约，并对服务质量承担全部责任。所提供产品均应符合国家规定的有关质量及环保标准，为无瑕疵和缺陷的合格产品。质保期内出现质量问题，中标人负责包退、包换，因此发生的费用由中标人负责。</w:t>
      </w:r>
      <w:r/>
    </w:p>
    <w:p>
      <w:pPr>
        <w:numPr>
          <w:ilvl w:val="0"/>
          <w:numId w:val="12"/>
        </w:numPr>
        <w:ind w:left="0" w:firstLine="400"/>
        <w:spacing w:line="360" w:lineRule="auto"/>
        <w:rPr>
          <w:rFonts w:ascii="宋体" w:hAnsi="宋体" w:cs="宋体"/>
          <w:color w:val="auto"/>
        </w:rPr>
      </w:pPr>
      <w:r>
        <w:rPr>
          <w:rFonts w:hint="eastAsia" w:ascii="宋体" w:hAnsi="宋体" w:cs="宋体"/>
          <w:color w:val="auto"/>
        </w:rPr>
        <w:t xml:space="preserve">技术支持响应时间：硬件发生故障时，30分钟内响应，维修人员能够在24小时内赶到现场，72小时内解决故障；软件系统发生故障时，30分钟内响应，能够在24小时内解决故障。</w:t>
      </w:r>
      <w:r/>
    </w:p>
    <w:p>
      <w:pPr>
        <w:numPr>
          <w:ilvl w:val="0"/>
          <w:numId w:val="12"/>
        </w:numPr>
        <w:ind w:left="0" w:firstLine="40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软件部署及数据存储方案由供应商提供，须满足以下技术要求：2U机架式服务器3台；CPU：≥2颗×32核，主频≥2.6GHz，内存：≥128GB ，硬盘：≥2TB 硬盘（可护容）；网络接口：≥4×千兆电口+≥2×万兆光口（含光模块）≥4个USB 3.0接口，≥1个千兆网络管理端口，≥1个串口；≥1个VGA接口,</w:t>
      </w:r>
      <w:r>
        <w:rPr>
          <w:rFonts w:hint="eastAsia" w:ascii="宋体" w:hAnsi="宋体" w:cs="宋体"/>
          <w:b/>
          <w:color w:val="auto"/>
          <w:szCs w:val="30"/>
          <w:lang w:val="en-US" w:eastAsia="zh-CN"/>
        </w:rPr>
        <w:t xml:space="preserve">包含在本项目总价内，投标时不单列。</w:t>
      </w:r>
      <w:r/>
    </w:p>
    <w:p>
      <w:pPr>
        <w:numPr>
          <w:ilvl w:val="0"/>
          <w:numId w:val="12"/>
        </w:numPr>
        <w:ind w:left="0" w:firstLine="400"/>
        <w:spacing w:line="360" w:lineRule="auto"/>
        <w:rPr>
          <w:rFonts w:ascii="宋体" w:hAnsi="宋体" w:cs="宋体"/>
        </w:rPr>
      </w:pPr>
      <w:r>
        <w:rPr>
          <w:rFonts w:hint="eastAsia" w:ascii="宋体" w:hAnsi="宋体" w:cs="宋体"/>
          <w:color w:val="auto"/>
        </w:rPr>
        <w:t xml:space="preserve">构建“大丰区心电管理一张网”，须连接各乡镇卫生院原有</w:t>
      </w:r>
      <w:r>
        <w:rPr>
          <w:rFonts w:hint="eastAsia" w:ascii="宋体" w:hAnsi="宋体" w:cs="宋体"/>
        </w:rPr>
        <w:t xml:space="preserve">接入系统的不同品牌与型号的心电图设备，将现有设备及后续购入的设备接入系统内，且不收取任何费用。支持采集原始数据，不能以截屏、拷贝、拍照等方式获取数据，并以标准的数据格式存储，实现心电数据分析，支持接入心电图设备的数据归档和管理。对设备使用人员进行培训，确保医护人员可以熟练使用。</w:t>
      </w:r>
      <w:r/>
    </w:p>
    <w:p>
      <w:pPr>
        <w:numPr>
          <w:ilvl w:val="0"/>
          <w:numId w:val="12"/>
        </w:numPr>
        <w:ind w:left="0" w:firstLine="400"/>
        <w:spacing w:line="360" w:lineRule="auto"/>
        <w:rPr>
          <w:rFonts w:hint="eastAsia" w:ascii="宋体" w:hAnsi="宋体" w:cs="宋体"/>
          <w:color w:val="auto"/>
        </w:rPr>
      </w:pPr>
      <w:r>
        <w:rPr>
          <w:rFonts w:hint="eastAsia" w:ascii="宋体" w:hAnsi="宋体" w:cs="宋体"/>
          <w:color w:val="auto"/>
        </w:rPr>
        <w:t xml:space="preserve">与大丰区全民健康信息平台、公卫体检、基层HIS等系统无缝对接，实现患者心电图检查数据统一管理，上述对接所需的接口费由系统建设方各自承担。</w:t>
      </w:r>
      <w:r/>
    </w:p>
    <w:p>
      <w:pPr>
        <w:numPr>
          <w:ilvl w:val="0"/>
          <w:numId w:val="12"/>
        </w:numPr>
        <w:ind w:left="0" w:firstLine="400"/>
        <w:spacing w:line="360" w:lineRule="auto"/>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 xml:space="preserve">同步归集至心电一张网平台，贯通区、镇、村三级的县域</w:t>
      </w:r>
      <w:r>
        <w:rPr>
          <w:rFonts w:hint="default" w:ascii="宋体" w:hAnsi="宋体" w:eastAsia="宋体" w:cs="宋体"/>
          <w:b w:val="0"/>
          <w:bCs w:val="0"/>
          <w:color w:val="auto"/>
          <w:sz w:val="21"/>
          <w:szCs w:val="21"/>
          <w:highlight w:val="none"/>
          <w:lang w:val="en-US" w:eastAsia="zh-CN" w:bidi="ar-SA"/>
        </w:rPr>
        <w:t xml:space="preserve">心电一张网体系，实现心电检查、诊断报告全流程数据互通共享，并配备50台平板电脑，具体要求如下： （1）运行内存（RAM）不低于8GB，存储容量（ROM）不低于256GB；（2）屏幕对角线尺寸≥10.95英寸（约11英寸），分辨率不低于1920×1200；（3）操作系统：Android 10及以上版本，或iOS 14及以上版本，或Windows 10及以上版本，须兼容采购人心电信息系统客户端；（4）支持WiFi 5及以上、蓝牙5.0及以上连接方式；（5）配备与心电采集设备稳定连接的接口能力，支持数据实时传输。</w:t>
      </w:r>
      <w:r/>
    </w:p>
    <w:p>
      <w:pPr>
        <w:numPr>
          <w:ilvl w:val="0"/>
          <w:numId w:val="0"/>
        </w:numPr>
        <w:ind w:left="0" w:firstLine="420"/>
        <w:spacing w:line="360" w:lineRule="auto"/>
        <w:rPr>
          <w:rFonts w:hint="default"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 xml:space="preserve">本项目包含所有软硬件对接、安装调试、接口开发、部署实施、运维适配以及对接市级"心电AI场景"应用等全部相关费用，招标人无需另行支付任何额外费用。市级心电AI场景接口须符合国家或行业标准开放协议（如HL7 FHIR、RESTful API等），中标人负责完成适配对接；因市级平台采用非公开私有协议导致的额外费用由双方另行协商。</w:t>
      </w:r>
      <w:r/>
    </w:p>
    <w:p>
      <w:pPr>
        <w:ind w:firstLine="422"/>
        <w:spacing w:after="120"/>
        <w:rPr>
          <w:b/>
          <w:bCs/>
          <w:color w:val="auto"/>
          <w:szCs w:val="24"/>
        </w:rPr>
      </w:pPr>
      <w:r>
        <w:rPr>
          <w:rFonts w:hint="eastAsia" w:ascii="宋体" w:hAnsi="宋体" w:cs="宋体"/>
          <w:b/>
          <w:bCs/>
          <w:color w:val="auto"/>
        </w:rPr>
        <w:t xml:space="preserve">注：上述要求，投标时提供承诺书扫描件并加盖投标人公章，格式自拟。</w:t>
      </w:r>
      <w:r/>
    </w:p>
    <w:p>
      <w:pPr>
        <w:numPr>
          <w:ilvl w:val="0"/>
          <w:numId w:val="7"/>
        </w:numPr>
        <w:ind w:left="0" w:firstLine="420"/>
        <w:spacing w:line="360" w:lineRule="auto"/>
        <w:rPr>
          <w:rFonts w:hint="eastAsia" w:ascii="Calibri" w:hAnsi="Calibri"/>
          <w:b/>
          <w:bCs/>
          <w:color w:val="auto"/>
        </w:rPr>
      </w:pPr>
      <w:r>
        <w:rPr>
          <w:rFonts w:hint="eastAsia" w:ascii="Calibri" w:hAnsi="Calibri"/>
          <w:b/>
          <w:bCs/>
          <w:color w:val="auto"/>
        </w:rPr>
        <w:t xml:space="preserve">安全保障</w:t>
      </w:r>
      <w:r/>
    </w:p>
    <w:p>
      <w:pPr>
        <w:numPr>
          <w:ilvl w:val="0"/>
          <w:numId w:val="13"/>
        </w:numPr>
        <w:ind w:left="0" w:firstLine="400"/>
        <w:jc w:val="left"/>
        <w:spacing w:line="360" w:lineRule="auto"/>
        <w:rPr>
          <w:rFonts w:ascii="宋体" w:hAnsi="宋体" w:cs="宋体"/>
        </w:rPr>
      </w:pPr>
      <w:r>
        <w:rPr>
          <w:rFonts w:hint="eastAsia" w:ascii="宋体" w:hAnsi="宋体" w:cs="宋体"/>
        </w:rPr>
        <w:t xml:space="preserve">“大丰区心电管理一张网”软件开发、信息系统集成、运维相关过程应保障信息安全，具有中国质量认证中心颁发的“信息安全管理体系认证证书”【投标时提供证书扫描件并加盖投标人公章】；</w:t>
      </w:r>
      <w:r/>
    </w:p>
    <w:p>
      <w:pPr>
        <w:numPr>
          <w:ilvl w:val="0"/>
          <w:numId w:val="13"/>
        </w:numPr>
        <w:ind w:left="0" w:firstLine="400"/>
        <w:jc w:val="left"/>
        <w:spacing w:line="360" w:lineRule="auto"/>
        <w:rPr>
          <w:rFonts w:ascii="宋体" w:hAnsi="宋体" w:cs="宋体"/>
        </w:rPr>
      </w:pPr>
      <w:r>
        <w:rPr>
          <w:rFonts w:hint="eastAsia" w:ascii="宋体" w:hAnsi="宋体" w:cs="宋体"/>
        </w:rPr>
        <w:t xml:space="preserve">“大丰区心电管理一张网”需接入医疗系统，须做好信息安全保障，“大丰区心电管理一张网”应符合信息安全等级保护要求，具有公安机关颁发的“信息系统安全等级保护备案证明”【投标时提供证书扫描件并加盖投标人公章】。</w:t>
      </w:r>
      <w:r/>
    </w:p>
    <w:p>
      <w:pPr>
        <w:numPr>
          <w:ilvl w:val="0"/>
          <w:numId w:val="7"/>
        </w:numPr>
        <w:ind w:left="0" w:firstLine="420"/>
        <w:spacing w:line="360" w:lineRule="auto"/>
        <w:rPr>
          <w:rFonts w:hint="eastAsia" w:ascii="Calibri" w:hAnsi="Calibri"/>
          <w:b/>
          <w:bCs/>
        </w:rPr>
      </w:pPr>
      <w:r>
        <w:rPr>
          <w:rFonts w:hint="eastAsia" w:ascii="Calibri" w:hAnsi="Calibri"/>
          <w:b/>
          <w:bCs/>
        </w:rPr>
        <w:t xml:space="preserve">系统兼容性</w:t>
      </w:r>
      <w:r/>
    </w:p>
    <w:p>
      <w:pPr>
        <w:ind w:firstLine="420"/>
        <w:spacing w:line="360" w:lineRule="auto"/>
        <w:rPr>
          <w:rFonts w:ascii="宋体" w:hAnsi="宋体" w:cs="宋体"/>
        </w:rPr>
      </w:pPr>
      <w:r>
        <w:rPr>
          <w:rFonts w:hint="eastAsia" w:ascii="宋体" w:hAnsi="宋体" w:cs="宋体"/>
        </w:rPr>
        <w:t xml:space="preserve">为响应国家核心技术自主性，满足国家提出的重要信息系统要全面实现国产化代替的新要求，“大丰区心电管理一张网”厂家与国产主流CPU、操作系统、云存储、数据库等兼容“大丰区心电管理一张网”管理系统符合信创替代政策要求，免费升级替代为符合信创要求的产品。【投标时提供承诺书扫描件并加盖投标人公章，格式自拟】</w:t>
      </w:r>
      <w:r/>
    </w:p>
    <w:p>
      <w:pPr>
        <w:ind w:left="119" w:right="119"/>
        <w:jc w:val="center"/>
        <w:pageBreakBefore/>
        <w:spacing w:before="120" w:after="120"/>
        <w:pBdr>
          <w:top w:val="none" w:color="000000" w:sz="0" w:space="0"/>
          <w:left w:val="none" w:color="000000" w:sz="0" w:space="0"/>
          <w:bottom w:val="none" w:color="000000" w:sz="0" w:space="0"/>
          <w:right w:val="none" w:color="000000" w:sz="0" w:space="0"/>
        </w:pBdr>
      </w:pPr>
      <w:r>
        <w:rPr>
          <w:rFonts w:ascii="宋体" w:hAnsi="宋体" w:cs="宋体"/>
          <w:b/>
          <w:sz w:val="40"/>
        </w:rPr>
        <w:t xml:space="preserve">第五章</w:t>
      </w:r>
      <w:r>
        <w:rPr>
          <w:rFonts w:hint="eastAsia" w:ascii="宋体" w:hAnsi="宋体" w:cs="宋体"/>
          <w:b/>
          <w:sz w:val="40"/>
          <w:lang w:val="en-US" w:eastAsia="zh-CN"/>
        </w:rPr>
        <w:t xml:space="preserve">  </w:t>
      </w:r>
      <w:r>
        <w:rPr>
          <w:rFonts w:ascii="宋体" w:hAnsi="宋体" w:cs="宋体"/>
          <w:b/>
          <w:sz w:val="40"/>
        </w:rPr>
        <w:t xml:space="preserve">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一、定标原则</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本项目采用</w:t>
      </w:r>
      <w:r>
        <w:rPr>
          <w:rFonts w:ascii="宋体" w:hAnsi="宋体" w:cs="宋体"/>
          <w:u w:val="single"/>
        </w:rPr>
        <w:t xml:space="preserve">综合评分</w:t>
      </w:r>
      <w:r>
        <w:rPr>
          <w:rFonts w:ascii="宋体" w:hAnsi="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79"/>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政府采购政策功能落实</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1、小微型企业价格扣除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（1）本项目对小型和微型企业产品给予20%的扣除价格，用扣除后的价格参与评审。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（2）供应商需按照采购文件的要求提供相应的《小微企业声明函》。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（3）企业标准请参照《关于印发中小企业划型标准规定的通知》（工信部联企业[2011]300号）文件规定自行填写。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2、残疾人福利单位价格扣除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（1）本项目对残疾人福利性单位视同小型、微型企业，给予20%</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（2）残疾人福利单位需按照采购文件的要求提供《残疾人福利性单位声明函》。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（3）残疾人福利单位标准请参照《关于促进残疾人就业政府采购政策的通知》（财库〔2017〕141号）。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3、监狱和戒毒企业价格扣除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（1）本项目对监狱和戒毒企业（简称监狱企业）视同小型、微型企业，给予20%</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（3）监狱企业标准请参照《关于政府采购支持监狱企业发展有关问题的通知》（财库[2014]68号）。</w:t>
      </w:r>
      <w:r/>
    </w:p>
    <w:p>
      <w:pPr>
        <w:ind w:firstLine="480"/>
        <w:spacing w:line="360" w:lineRule="auto"/>
        <w:rPr>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注：</w:t>
      </w:r>
      <w:r>
        <w:rPr>
          <w:rFonts w:ascii="宋体" w:hAnsi="宋体" w:cs="宋体"/>
          <w:b/>
          <w:bCs/>
        </w:rPr>
        <w:t xml:space="preserve">残疾人福利单位、监狱企业属于小型、微型企业的，不重复享受政策。</w:t>
      </w:r>
      <w:r/>
    </w:p>
    <w:p>
      <w:pPr>
        <w:ind w:firstLine="480"/>
        <w:spacing w:line="440" w:lineRule="exact"/>
        <w:rPr>
          <w:rFonts w:ascii="宋体" w:hAnsi="宋体" w:cs="宋体"/>
        </w:rPr>
      </w:pPr>
      <w:r>
        <w:rPr>
          <w:rFonts w:hint="eastAsia" w:ascii="宋体" w:hAnsi="宋体" w:cs="宋体"/>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ascii="宋体" w:hAnsi="宋体" w:cs="宋体"/>
        </w:rPr>
      </w:pPr>
      <w:r>
        <w:rPr>
          <w:rFonts w:hint="eastAsia" w:ascii="宋体" w:hAnsi="宋体" w:cs="宋体"/>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ascii="宋体" w:hAnsi="宋体" w:cs="宋体"/>
        </w:rPr>
      </w:pPr>
      <w:r>
        <w:rPr>
          <w:rFonts w:hint="eastAsia" w:ascii="宋体" w:hAnsi="宋体" w:cs="宋体"/>
        </w:rPr>
        <w:t xml:space="preserve">4.3投标人需按照招标文件的要求提供《关于符合本国产品标准的声明函》（以下简称《声明函》），如不提供将不享受本国产品价格评审优惠。</w:t>
      </w:r>
      <w:r/>
    </w:p>
    <w:p>
      <w:pPr>
        <w:ind w:firstLine="480"/>
        <w:spacing w:line="440" w:lineRule="exact"/>
        <w:rPr>
          <w:rFonts w:ascii="宋体" w:hAnsi="宋体" w:cs="宋体"/>
        </w:rPr>
      </w:pPr>
      <w:r>
        <w:rPr>
          <w:rFonts w:hint="eastAsia" w:ascii="宋体" w:hAnsi="宋体" w:cs="宋体"/>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宋体" w:hAnsi="宋体" w:cs="宋体"/>
        </w:rPr>
      </w:pPr>
      <w:r>
        <w:rPr>
          <w:rFonts w:hint="eastAsia" w:ascii="宋体" w:hAnsi="宋体" w:cs="宋体"/>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440" w:lineRule="exact"/>
        <w:rPr>
          <w:rFonts w:hint="eastAsia" w:ascii="宋体" w:hAnsi="宋体" w:cs="宋体"/>
        </w:rPr>
      </w:pPr>
      <w:r>
        <w:rPr>
          <w:rFonts w:hint="eastAsia" w:ascii="宋体" w:hAnsi="宋体" w:cs="宋体"/>
        </w:rPr>
        <w:t xml:space="preserve">6、联合体各方均为小型、微型企业（残疾人福利单位、监狱企业）的，联合体享受20%。</w:t>
      </w:r>
      <w:r/>
    </w:p>
    <w:p>
      <w:pPr>
        <w:ind w:firstLine="480"/>
        <w:spacing w:line="440" w:lineRule="exact"/>
        <w:rPr>
          <w:rFonts w:hint="eastAsia" w:ascii="宋体" w:hAnsi="宋体" w:cs="宋体"/>
        </w:rPr>
      </w:pPr>
      <w:r>
        <w:rPr>
          <w:rFonts w:hint="eastAsia" w:ascii="宋体" w:hAnsi="宋体" w:cs="宋体"/>
        </w:rPr>
        <w:t xml:space="preserve">7、严格执行政府采购关于支持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8、供应商对于投标产品的商品包装、快递包装应按照《关于印发《商品包装政府采购需求标准（试行）》、《快递包装政府采购需求标准（试行）》的通知》（财办库〔2020〕123号）执行。</w:t>
      </w:r>
      <w:r/>
    </w:p>
    <w:p>
      <w:pPr>
        <w:ind w:firstLine="480"/>
        <w:spacing w:line="440" w:lineRule="exact"/>
        <w:rPr>
          <w:rFonts w:ascii="仿宋" w:hAnsi="仿宋" w:eastAsia="仿宋" w:cs="仿宋"/>
          <w:sz w:val="24"/>
          <w:szCs w:val="24"/>
        </w:rPr>
      </w:pPr>
      <w:r>
        <w:rPr>
          <w:rFonts w:ascii="宋体" w:hAnsi="宋体" w:cs="宋体"/>
        </w:rPr>
        <w:t xml:space="preserve">9、本文件中若涉及到数据中心采购，应按照《&lt;绿色数据中心政府采购需求标准（试行）&gt;的通知》（财库〔2023〕7号）执行。</w:t>
      </w:r>
      <w:r>
        <w:rPr>
          <w:rFonts w:hint="eastAsia" w:ascii="仿宋" w:hAnsi="仿宋" w:eastAsia="仿宋" w:cs="仿宋"/>
          <w:sz w:val="24"/>
          <w:szCs w:val="24"/>
        </w:rPr>
        <w:t xml:space="preserve">4.采购本国产品的支持政策</w:t>
      </w:r>
      <w:r/>
    </w:p>
    <w:p>
      <w:pPr>
        <w:ind w:firstLine="480"/>
        <w:spacing w:line="440" w:lineRule="exact"/>
        <w:rPr>
          <w:rFonts w:ascii="宋体" w:hAnsi="宋体" w:cs="宋体"/>
        </w:rPr>
      </w:pPr>
      <w:r>
        <w:rPr>
          <w:rFonts w:hint="eastAsia" w:ascii="宋体" w:hAnsi="宋体" w:cs="宋体"/>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ascii="宋体" w:hAnsi="宋体" w:cs="宋体"/>
        </w:rPr>
      </w:pPr>
      <w:r>
        <w:rPr>
          <w:rFonts w:hint="eastAsia" w:ascii="宋体" w:hAnsi="宋体" w:cs="宋体"/>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ascii="宋体" w:hAnsi="宋体" w:cs="宋体"/>
        </w:rPr>
      </w:pPr>
      <w:r>
        <w:rPr>
          <w:rFonts w:hint="eastAsia" w:ascii="宋体" w:hAnsi="宋体" w:cs="宋体"/>
        </w:rPr>
        <w:t xml:space="preserve">4.3投标人需按照招标文件的要求提供《关于符合本国产品标准的声明函》（以下简称《声明函》），如不提供将不享受本国产品价格评审优惠。</w:t>
      </w:r>
      <w:r/>
    </w:p>
    <w:p>
      <w:pPr>
        <w:ind w:firstLine="480"/>
        <w:spacing w:line="440" w:lineRule="exact"/>
        <w:rPr>
          <w:rFonts w:ascii="宋体" w:hAnsi="宋体" w:cs="宋体"/>
        </w:rPr>
      </w:pPr>
      <w:r>
        <w:rPr>
          <w:rFonts w:hint="eastAsia" w:ascii="宋体" w:hAnsi="宋体" w:cs="宋体"/>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ascii="宋体" w:hAnsi="宋体" w:cs="宋体"/>
        </w:rPr>
      </w:pPr>
      <w:r>
        <w:rPr>
          <w:rFonts w:hint="eastAsia" w:ascii="宋体" w:hAnsi="宋体" w:cs="宋体"/>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二、.评审标准</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2.评审标准</w:t>
      </w:r>
      <w:r/>
    </w:p>
    <w:p>
      <w:pPr>
        <w:pStyle w:val="669"/>
        <w:ind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2.1 初步评审标准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2.1.1 资质性评审标准：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详见本项目招标文件申请人的资格要求。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2.1.2 符合性评审标准：</w:t>
      </w:r>
      <w:r/>
    </w:p>
    <w:p>
      <w:pPr>
        <w:pStyle w:val="669"/>
        <w:ind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合同履行期限</w:t>
      </w:r>
      <w:r>
        <w:rPr>
          <w:rFonts w:hint="eastAsia" w:ascii="宋体" w:hAnsi="宋体" w:eastAsia="宋体" w:cs="宋体"/>
          <w:sz w:val="21"/>
        </w:rPr>
        <w:t xml:space="preserve">、</w:t>
      </w:r>
      <w:r>
        <w:rPr>
          <w:rFonts w:hint="eastAsia" w:ascii="宋体" w:hAnsi="宋体" w:eastAsia="宋体" w:cs="宋体"/>
          <w:b/>
          <w:bCs/>
          <w:sz w:val="21"/>
        </w:rPr>
        <w:t xml:space="preserve">相关的标注</w:t>
      </w:r>
      <w:r>
        <w:rPr>
          <w:rFonts w:ascii="宋体" w:hAnsi="宋体" w:eastAsia="宋体" w:cs="宋体"/>
          <w:sz w:val="21"/>
        </w:rPr>
        <w:t xml:space="preserve">等方面。</w:t>
      </w:r>
      <w:r/>
    </w:p>
    <w:p>
      <w:pPr>
        <w:ind w:firstLine="422"/>
        <w:keepLines/>
        <w:keepNext/>
        <w:spacing w:line="460" w:lineRule="atLeast"/>
        <w:rPr>
          <w:rFonts w:ascii="Arial" w:hAnsi="Arial" w:eastAsia="Arial" w:cs="Arial"/>
          <w:sz w:val="30"/>
          <w:szCs w:val="30"/>
        </w:rPr>
        <w:pBdr>
          <w:top w:val="none" w:color="000000" w:sz="0" w:space="0"/>
          <w:left w:val="none" w:color="000000" w:sz="0" w:space="0"/>
          <w:bottom w:val="none" w:color="000000" w:sz="0" w:space="0"/>
          <w:right w:val="none" w:color="000000" w:sz="0" w:space="0"/>
        </w:pBdr>
        <w:outlineLvl w:val="2"/>
      </w:pPr>
      <w:r>
        <w:rPr>
          <w:rFonts w:ascii="宋体" w:hAnsi="宋体" w:cs="宋体"/>
          <w:b/>
          <w:szCs w:val="30"/>
        </w:rPr>
        <w:t xml:space="preserve">2.2 详细评审（100分）</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265"/>
        <w:gridCol w:w="6193"/>
        <w:gridCol w:w="921"/>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分值</w:t>
            </w:r>
            <w:r/>
          </w:p>
        </w:tc>
      </w:tr>
      <w:tr>
        <w:trP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投标报价</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价格分采用低价优先法计算，即满足招标文件要求且投标价格最低的投标报价为评标基准价，其价格分为满分30分。其他投标人的价格分按照下列公式计算：</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投标报价得分=（评标基准价／投标报价）×30，结果保留到小数点后两位。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招标需求响应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根据各投标人对本次招标需求（参数）响应情况进行评定，投标人的所有招标需求（参数）满足招标要求的得满分</w:t>
            </w:r>
            <w:r>
              <w:rPr>
                <w:rFonts w:hint="eastAsia" w:ascii="宋体" w:hAnsi="宋体" w:cs="宋体"/>
                <w:lang w:val="en-US" w:eastAsia="zh-CN"/>
              </w:rPr>
              <w:t xml:space="preserve">42</w:t>
            </w:r>
            <w:r>
              <w:rPr>
                <w:rFonts w:hint="eastAsia" w:ascii="宋体" w:hAnsi="宋体" w:cs="宋体"/>
              </w:rPr>
              <w:t xml:space="preserve">.5分。其中加“</w:t>
            </w:r>
            <w:r>
              <w:rPr>
                <w:rFonts w:hint="eastAsia"/>
              </w:rPr>
              <w:t xml:space="preserve">▲”招标</w:t>
            </w:r>
            <w:r>
              <w:rPr>
                <w:rFonts w:hint="eastAsia" w:ascii="宋体" w:hAnsi="宋体" w:cs="宋体"/>
              </w:rPr>
              <w:t xml:space="preserve">需求（参数）为实质性需求，出现负偏离作无效投标处理；其他的招标需求（参数），每项负偏离扣</w:t>
            </w:r>
            <w:r>
              <w:rPr>
                <w:rFonts w:hint="eastAsia" w:ascii="宋体" w:hAnsi="宋体" w:cs="宋体"/>
                <w:highlight w:val="yellow"/>
                <w:lang w:val="en-US" w:eastAsia="zh-CN"/>
              </w:rPr>
              <w:t xml:space="preserve">0.467</w:t>
            </w:r>
            <w:r>
              <w:rPr>
                <w:rFonts w:hint="eastAsia" w:ascii="宋体" w:hAnsi="宋体" w:cs="宋体"/>
                <w:highlight w:val="yellow"/>
              </w:rPr>
              <w:t xml:space="preserve">分。</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注：①除部分参数要求提供特定证明材料外，其他响应时须提供产品彩页扫描件或技术白皮书扫描件或操作截面截图或CMA报告加盖投标单位公章；</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②招标需求（参数）中每一条的要求为一项；</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③招标需求（参数）中要求提供证明材料的须在投标文件中</w:t>
            </w:r>
            <w:r>
              <w:rPr>
                <w:rFonts w:hint="eastAsia" w:ascii="宋体" w:hAnsi="宋体" w:cs="宋体"/>
                <w:b/>
                <w:bCs/>
              </w:rPr>
              <w:t xml:space="preserve">标注</w:t>
            </w:r>
            <w:r>
              <w:rPr>
                <w:rFonts w:hint="eastAsia" w:ascii="宋体" w:hAnsi="宋体" w:cs="宋体"/>
              </w:rPr>
              <w:t xml:space="preserve">对应页码和序号，便于评委审核。</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④</w:t>
            </w:r>
            <w:r>
              <w:rPr>
                <w:rFonts w:ascii="宋体" w:hAnsi="宋体" w:cs="宋体"/>
              </w:rPr>
              <w:t xml:space="preserve">投标人应按投标产品型号填写真实参数值，不得虚假响应，如经查实，将予以取消中标资格，并提交财政监管部门处理，有可能面临着被列入失信名单的法律风险。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highlight w:val="yellow"/>
                <w:lang w:val="en-US" w:eastAsia="zh-CN"/>
              </w:rPr>
              <w:t xml:space="preserve">42</w:t>
            </w:r>
            <w:r>
              <w:rPr>
                <w:rFonts w:hint="eastAsia" w:ascii="宋体" w:hAnsi="宋体" w:cs="宋体"/>
                <w:highlight w:val="yellow"/>
              </w:rPr>
              <w:t xml:space="preserve">.5</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实施进</w:t>
            </w:r>
            <w:r/>
          </w:p>
          <w:p>
            <w:pPr>
              <w:jc w:val="cente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度安排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人提供的实施方案至少包含：详细的实施人员配置、管理机构配置、实施进度计划、供货保证措施、运输过程保障措施、产品质量保证措施。内容有针对性的、可操作性的、科学合理的方案，评委根据供应商提供的针对本项目制定的售后服务方案进行综合评分。方案优于要求的得3分，符合要求的得2分，不符合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rPr>
              <w:t xml:space="preserve">3</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产品培训计划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投标人提供详细产品培训计划方案：</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包括设备操作和信息系统应用培训，得0.5分。</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组织开展现场培训并进行操作考核，得0.5分。</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承诺培训后设备和系统使用操作考核合格率100%，得0.5分。</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承诺安排专业师资培训的得0.5分。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企业认证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numPr>
                <w:ilvl w:val="0"/>
                <w:numId w:val="0"/>
              </w:numPr>
              <w:keepLines w:val="0"/>
              <w:keepNext w:val="0"/>
              <w:pageBreakBefore w:val="0"/>
              <w:spacing w:line="360" w:lineRule="auto"/>
              <w:widowControl w:val="off"/>
              <w:rPr>
                <w:color w:val="auto"/>
              </w:rPr>
            </w:pPr>
            <w:r>
              <w:rPr>
                <w:rFonts w:hint="eastAsia" w:ascii="宋体" w:hAnsi="宋体" w:eastAsia="宋体" w:cs="宋体"/>
                <w:b/>
                <w:bCs/>
                <w:color w:val="auto"/>
                <w:sz w:val="21"/>
                <w:szCs w:val="21"/>
                <w:highlight w:val="yellow"/>
                <w:lang w:val="en-US" w:eastAsia="zh-CN" w:bidi="ar-SA"/>
              </w:rPr>
              <w:t xml:space="preserve">1、</w:t>
            </w:r>
            <w:r>
              <w:rPr>
                <w:rFonts w:hint="eastAsia" w:ascii="Calibri" w:hAnsi="Calibri" w:eastAsia="宋体" w:cs="Times New Roman"/>
                <w:color w:val="auto"/>
                <w:szCs w:val="24"/>
                <w:highlight w:val="yellow"/>
              </w:rPr>
              <w:t xml:space="preserve">投标人综合实力(最高4分)投标人或所投产品制造商具有下列认证证书，每项得1分，最高得4分:质量管理体系认证证书(IS09001或等同标准);职业健康安全管理体系认证证书(IS0 45001或等同标准);环境管理体系认证证书(IS014001或等同标准);医疗器械质量管理体系认证证书(IS013485)。</w:t>
            </w:r>
            <w:r>
              <w:rPr>
                <w:rFonts w:hint="eastAsia" w:ascii="Calibri" w:hAnsi="Calibri" w:eastAsia="宋体" w:cs="Times New Roman"/>
                <w:color w:val="auto"/>
                <w:szCs w:val="24"/>
                <w:highlight w:val="yellow"/>
                <w:lang w:val="en-US" w:eastAsia="zh-CN"/>
              </w:rPr>
              <w:t xml:space="preserve">2、</w:t>
            </w:r>
            <w:r>
              <w:rPr>
                <w:rFonts w:hint="eastAsia" w:ascii="Calibri" w:hAnsi="Calibri" w:eastAsia="宋体" w:cs="Times New Roman"/>
                <w:color w:val="auto"/>
                <w:szCs w:val="24"/>
                <w:highlight w:val="yellow"/>
              </w:rPr>
              <w:t xml:space="preserve">制造商资质水平(最高1分)所投产品制造商同时具有上述四项认证证书的，得1分。</w:t>
            </w:r>
            <w:r>
              <w:rPr>
                <w:rFonts w:hint="eastAsia" w:ascii="Calibri" w:hAnsi="Calibri" w:eastAsia="宋体" w:cs="Times New Roman"/>
                <w:color w:val="auto"/>
                <w:szCs w:val="24"/>
                <w:highlight w:val="yellow"/>
                <w:lang w:eastAsia="zh-CN"/>
              </w:rPr>
              <w:t xml:space="preserve">本项最高分</w:t>
            </w:r>
            <w:r>
              <w:rPr>
                <w:rFonts w:hint="eastAsia" w:ascii="Calibri" w:hAnsi="Calibri" w:eastAsia="宋体" w:cs="Times New Roman"/>
                <w:color w:val="auto"/>
                <w:szCs w:val="24"/>
                <w:highlight w:val="yellow"/>
                <w:lang w:val="en-US" w:eastAsia="zh-CN"/>
              </w:rPr>
              <w:t xml:space="preserve">5分</w:t>
            </w:r>
            <w:r>
              <w:rPr>
                <w:rFonts w:hint="default"/>
                <w:color w:val="auto"/>
                <w:highlight w:val="yellow"/>
                <w:lang w:val="en-US" w:eastAsia="zh-CN"/>
              </w:rPr>
              <w:t xml:space="preserve">；</w:t>
            </w:r>
            <w:r>
              <w:rPr>
                <w:rFonts w:hint="default"/>
                <w:color w:val="auto"/>
                <w:lang w:val="en-US" w:eastAsia="zh-CN"/>
              </w:rPr>
              <w:t xml:space="preserve">（注：须提供</w:t>
            </w:r>
            <w:r>
              <w:rPr>
                <w:rFonts w:hint="eastAsia"/>
                <w:color w:val="auto"/>
                <w:lang w:val="en-US" w:eastAsia="zh-CN"/>
              </w:rPr>
              <w:t xml:space="preserve">相关</w:t>
            </w:r>
            <w:bookmarkStart w:id="4" w:name="_GoBack"/>
            <w:r/>
            <w:bookmarkEnd w:id="4"/>
            <w:r>
              <w:rPr>
                <w:rFonts w:hint="default"/>
                <w:color w:val="auto"/>
                <w:lang w:val="en-US" w:eastAsia="zh-CN"/>
              </w:rPr>
              <w:t xml:space="preserve">认证证书扫描件，及在全国认证认可信息公共服务平台或相应国际认证机构官网查询结果有效的截图并加盖公章</w:t>
            </w:r>
            <w:r>
              <w:rPr>
                <w:rFonts w:hint="eastAsia"/>
                <w:color w:val="auto"/>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lang w:val="en-US" w:eastAsia="zh-CN"/>
              </w:rPr>
              <w:t xml:space="preserve">5</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spacing w:line="400" w:lineRule="atLeast"/>
              <w:rPr>
                <w:rFonts w:hint="eastAsia"/>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在满足对货物及信息系统三年基准质保要求基础上，投标人承诺延长质保服务期限的，每延长一年得1分，最多得2分。延保服务应覆盖硬件维护及信息系统正常运行保障，软件部分允许以保证系统功能等效实现为前提的服务方案。</w:t>
            </w:r>
            <w:r/>
          </w:p>
          <w:p>
            <w:pPr>
              <w:spacing w:line="400"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2、投标人承诺所投的产品出现任何不能修复的硬件问题24小时内提供新的硬件替换原有损坏机器，保证招标人正常开展工作的得1分。 </w:t>
            </w:r>
            <w:r/>
          </w:p>
          <w:p>
            <w:pPr>
              <w:spacing w:line="400"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3、投标人承诺在原厂质保期满后只收材料成本费、不收人工费得1分。</w:t>
            </w:r>
            <w:r/>
          </w:p>
          <w:p>
            <w:pPr>
              <w:spacing w:line="400"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4、投标人承诺质保期满后的设备及信息系统维护费不高于中标总价的5%，得1分。</w:t>
            </w:r>
            <w:r/>
          </w:p>
          <w:p>
            <w:pPr>
              <w:spacing w:line="400"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5、承诺便携和数字心电设备每台各增配一套原厂吸球和夹子的得1分。</w:t>
            </w:r>
            <w:r/>
          </w:p>
          <w:p>
            <w:pPr>
              <w:spacing w:line="400"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6、投标人承诺后续村卫生室设备增加，按中标价供货并免费接入“大丰区心电管理一张网”的得1分。</w:t>
            </w:r>
            <w:r/>
          </w:p>
          <w:p>
            <w:pPr>
              <w:spacing w:line="400"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7、承诺每台动态心电设备增配一套原厂导联线的得1分。</w:t>
            </w:r>
            <w:r/>
          </w:p>
          <w:p>
            <w:pPr>
              <w:spacing w:line="40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注：以上须提供承诺函加盖投标单位公章，不承诺不得分。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8</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yellow"/>
                <w:lang w:val="en-US" w:eastAsia="zh-CN"/>
              </w:rPr>
              <w:t xml:space="preserve">投标人或制造商</w:t>
            </w:r>
            <w:r>
              <w:rPr>
                <w:rFonts w:ascii="宋体" w:hAnsi="宋体" w:eastAsia="宋体" w:cs="宋体"/>
                <w:color w:val="auto"/>
                <w:highlight w:val="yellow"/>
              </w:rPr>
              <w:t xml:space="preserve">202</w:t>
            </w:r>
            <w:r>
              <w:rPr>
                <w:rFonts w:hint="eastAsia" w:ascii="宋体" w:hAnsi="宋体" w:eastAsia="宋体" w:cs="宋体"/>
                <w:color w:val="auto"/>
                <w:highlight w:val="yellow"/>
              </w:rPr>
              <w:t xml:space="preserve">3</w:t>
            </w:r>
            <w:r>
              <w:rPr>
                <w:rFonts w:ascii="宋体" w:hAnsi="宋体" w:eastAsia="宋体" w:cs="宋体"/>
                <w:color w:val="auto"/>
                <w:highlight w:val="yellow"/>
              </w:rPr>
              <w:t xml:space="preserve">年1月1日以来（以签订时间为准）承担过</w:t>
            </w:r>
            <w:r>
              <w:rPr>
                <w:rFonts w:hint="eastAsia" w:ascii="宋体" w:hAnsi="宋体" w:eastAsia="宋体" w:cs="宋体"/>
                <w:color w:val="auto"/>
                <w:highlight w:val="yellow"/>
                <w:lang w:val="en-US" w:eastAsia="zh-CN"/>
              </w:rPr>
              <w:t xml:space="preserve">类似产品的销售业绩</w:t>
            </w:r>
            <w:r>
              <w:rPr>
                <w:rFonts w:ascii="宋体" w:hAnsi="宋体" w:eastAsia="宋体" w:cs="宋体"/>
                <w:color w:val="auto"/>
                <w:highlight w:val="yellow"/>
              </w:rPr>
              <w:t xml:space="preserve">，每提供一份得</w:t>
            </w:r>
            <w:r>
              <w:rPr>
                <w:rFonts w:hint="eastAsia" w:ascii="宋体" w:hAnsi="宋体" w:eastAsia="宋体" w:cs="宋体"/>
                <w:color w:val="auto"/>
                <w:highlight w:val="yellow"/>
                <w:lang w:val="en-US" w:eastAsia="zh-CN"/>
              </w:rPr>
              <w:t xml:space="preserve">1</w:t>
            </w:r>
            <w:r>
              <w:rPr>
                <w:rFonts w:ascii="宋体" w:hAnsi="宋体" w:eastAsia="宋体" w:cs="宋体"/>
                <w:color w:val="auto"/>
                <w:highlight w:val="yellow"/>
              </w:rPr>
              <w:t xml:space="preserve">分，满分</w:t>
            </w:r>
            <w:r>
              <w:rPr>
                <w:rFonts w:hint="eastAsia" w:ascii="宋体" w:hAnsi="宋体" w:eastAsia="宋体" w:cs="宋体"/>
                <w:color w:val="auto"/>
                <w:highlight w:val="yellow"/>
                <w:lang w:val="en-US" w:eastAsia="zh-CN"/>
              </w:rPr>
              <w:t xml:space="preserve">3</w:t>
            </w:r>
            <w:r>
              <w:rPr>
                <w:rFonts w:ascii="宋体" w:hAnsi="宋体" w:eastAsia="宋体" w:cs="宋体"/>
                <w:color w:val="auto"/>
                <w:highlight w:val="yellow"/>
              </w:rPr>
              <w:t xml:space="preserve">分。提供合同原件</w:t>
            </w:r>
            <w:r>
              <w:rPr>
                <w:rFonts w:hint="eastAsia" w:ascii="宋体" w:hAnsi="宋体" w:eastAsia="宋体" w:cs="宋体"/>
                <w:color w:val="auto"/>
                <w:highlight w:val="yellow"/>
              </w:rPr>
              <w:t xml:space="preserve">扫描件</w:t>
            </w:r>
            <w:r>
              <w:rPr>
                <w:rFonts w:ascii="宋体" w:hAnsi="宋体" w:eastAsia="宋体" w:cs="宋体"/>
                <w:color w:val="auto"/>
                <w:highlight w:val="yellow"/>
              </w:rPr>
              <w:t xml:space="preserve">加盖投标单位公章，合同需完整，不得隐蔽数据和文字，不提供合同不得分。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3</w:t>
            </w:r>
            <w:r/>
          </w:p>
        </w:tc>
      </w:tr>
      <w:tr>
        <w:trP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产品性能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numPr>
                <w:ilvl w:val="0"/>
                <w:numId w:val="14"/>
              </w:numP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color w:val="auto"/>
              </w:rPr>
              <w:t xml:space="preserve">所投设备有效期均为八年的基础上，增加2年的得1分，本项满分1分。须提供加盖投标单位公章的设备铭牌扫描件及加盖生产厂家公章的承诺函。</w:t>
            </w:r>
            <w:r/>
          </w:p>
          <w:p>
            <w:pPr>
              <w:numPr>
                <w:ilvl w:val="0"/>
                <w:numId w:val="14"/>
              </w:num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投标人供货的设备为3个月内生产的得1分。须提供加盖投标单位公章的承诺函。</w:t>
            </w:r>
            <w:r/>
          </w:p>
          <w:p>
            <w:pPr>
              <w:numPr>
                <w:ilvl w:val="0"/>
                <w:numId w:val="14"/>
              </w:numPr>
              <w:spacing w:line="360" w:lineRule="auto"/>
              <w:rPr>
                <w:color w:val="auto"/>
              </w:rPr>
            </w:pPr>
            <w:r>
              <w:rPr>
                <w:rFonts w:hint="eastAsia" w:ascii="宋体" w:hAnsi="宋体" w:cs="宋体"/>
                <w:color w:val="auto"/>
                <w:szCs w:val="24"/>
              </w:rPr>
              <w:t xml:space="preserve">（</w:t>
            </w:r>
            <w:r>
              <w:rPr>
                <w:rFonts w:hint="eastAsia" w:ascii="宋体" w:hAnsi="宋体" w:cs="宋体"/>
                <w:b/>
                <w:bCs/>
                <w:color w:val="auto"/>
                <w:szCs w:val="24"/>
              </w:rPr>
              <w:t xml:space="preserve">服务要求</w:t>
            </w:r>
            <w:r>
              <w:rPr>
                <w:rFonts w:hint="eastAsia" w:ascii="宋体" w:hAnsi="宋体" w:cs="宋体"/>
                <w:color w:val="auto"/>
                <w:szCs w:val="24"/>
              </w:rPr>
              <w:t xml:space="preserve">）"心电管理一张网"利用人工智能技术应用于心电图检查、诊断、预警、分析等业务流程，提升临床使用体验和工作效率的得1分。提供人工智能心电分析系统医疗器械注册证（第二类或第三类）扫描件加盖投标单位公章，或提供具备同等功能的软件系统说明材料及真实性承诺函。</w:t>
            </w:r>
            <w:r/>
          </w:p>
          <w:p>
            <w:pPr>
              <w:numPr>
                <w:ilvl w:val="0"/>
                <w:numId w:val="14"/>
              </w:numPr>
              <w:spacing w:line="360" w:lineRule="auto"/>
              <w:rPr>
                <w:color w:val="auto"/>
                <w:szCs w:val="24"/>
              </w:rPr>
            </w:pPr>
            <w:r>
              <w:rPr>
                <w:rFonts w:hint="eastAsia"/>
                <w:color w:val="auto"/>
              </w:rPr>
              <w:t xml:space="preserve">投标产品软硬件为同一品牌厂家生产的的得</w:t>
            </w:r>
            <w:r>
              <w:rPr>
                <w:rFonts w:hint="eastAsia"/>
                <w:color w:val="auto"/>
                <w:lang w:val="en-US" w:eastAsia="zh-CN"/>
              </w:rPr>
              <w:t xml:space="preserve">2</w:t>
            </w:r>
            <w:r>
              <w:rPr>
                <w:rFonts w:hint="eastAsia"/>
                <w:color w:val="auto"/>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400" w:lineRule="atLeast"/>
              <w:rPr>
                <w:rFonts w:hint="eastAsia" w:eastAsia="宋体"/>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highlight w:val="yellow"/>
                <w:lang w:val="en-US" w:eastAsia="zh-CN"/>
              </w:rPr>
              <w:t xml:space="preserve">5</w:t>
            </w:r>
            <w:r/>
          </w:p>
        </w:tc>
      </w:tr>
      <w:tr>
        <w:trPr>
          <w:trHeight w:val="2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节能产品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jc w:val="left"/>
              <w:spacing w:line="360" w:lineRule="auto"/>
              <w:widowControl/>
              <w:rPr>
                <w:rFonts w:ascii="宋体" w:hAnsi="宋体" w:cs="宋体"/>
              </w:rPr>
            </w:pPr>
            <w:r>
              <w:rPr>
                <w:rFonts w:hint="eastAsia" w:ascii="宋体" w:hAnsi="宋体" w:cs="宋体"/>
              </w:rPr>
              <w:t xml:space="preserve">投标产品属于财政部、国家发改委公布的“节能产品品目清单”范围内的，投标人提供国家确定的认证机构出具的、在开标当日处于有效期之内的该节能产品认证证书扫描件并标识出产品型号的，符合要求得0.5分。</w:t>
            </w:r>
            <w:r/>
          </w:p>
          <w:p>
            <w:pPr>
              <w:jc w:val="left"/>
              <w:spacing w:line="360" w:lineRule="auto"/>
              <w:widowControl/>
              <w:rPr>
                <w:rFonts w:ascii="宋体" w:hAnsi="宋体" w:cs="宋体"/>
              </w:rPr>
            </w:pPr>
            <w:r>
              <w:rPr>
                <w:rFonts w:hint="eastAsia" w:ascii="宋体" w:hAnsi="宋体" w:cs="宋体"/>
              </w:rPr>
              <w:t xml:space="preserve">特别说明：本项目采购产品未被财政部、国家发改委等列入“节能产品品目清单”强制采购范围。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0.5</w:t>
            </w:r>
            <w:r/>
          </w:p>
        </w:tc>
      </w:tr>
      <w:tr>
        <w:trPr>
          <w:trHeight w:val="2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360" w:lineRule="auto"/>
              <w:widowControl/>
            </w:pPr>
            <w:r>
              <w:rPr>
                <w:rFonts w:hint="eastAsia" w:ascii="宋体" w:hAnsi="宋体" w:cs="宋体"/>
              </w:rPr>
              <w:t xml:space="preserve">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jc w:val="left"/>
              <w:spacing w:line="360" w:lineRule="auto"/>
              <w:widowControl/>
              <w:rPr>
                <w:rFonts w:ascii="宋体" w:hAnsi="宋体" w:cs="宋体"/>
              </w:rPr>
            </w:pPr>
            <w:r>
              <w:rPr>
                <w:rFonts w:hint="eastAsia" w:ascii="宋体" w:hAnsi="宋体" w:cs="宋体"/>
              </w:rPr>
              <w:t xml:space="preserve">投标产品属于财政部、生态环境部公布的“环境标志产品品目清单”范围内的，投标人提供国家确定的认证机构出具的、在开标当日处于有效期内的该环保产品认证证书扫描件并标识出产品型号的，符合要求得0.5分。</w:t>
            </w:r>
            <w:r/>
          </w:p>
          <w:p>
            <w:pPr>
              <w:jc w:val="left"/>
              <w:spacing w:line="360" w:lineRule="auto"/>
              <w:widowControl/>
            </w:pPr>
            <w:r>
              <w:rPr>
                <w:rFonts w:hint="eastAsia" w:ascii="宋体" w:hAnsi="宋体" w:cs="宋体"/>
              </w:rPr>
              <w:t xml:space="preserve">特别说明：本项目采购产品未被财政部、生态环境部等列入 “环境标志产品品目清单”强制采购范围。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360" w:lineRule="auto"/>
              <w:widowControl/>
            </w:pPr>
            <w:r>
              <w:rPr>
                <w:rFonts w:hint="eastAsia" w:ascii="宋体" w:hAnsi="宋体" w:cs="宋体"/>
              </w:rPr>
              <w:t xml:space="preserve">0.5</w:t>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jc w:val="left"/>
              <w:spacing w:line="360" w:lineRule="auto"/>
              <w:widowControl/>
              <w:rPr>
                <w:rFonts w:ascii="宋体" w:hAnsi="宋体" w:cs="宋体"/>
              </w:rPr>
            </w:pPr>
            <w:r>
              <w:rPr>
                <w:rFonts w:hint="eastAsia" w:ascii="宋体" w:hAnsi="宋体" w:cs="宋体"/>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tcPr>
          <w:p>
            <w:pPr>
              <w:jc w:val="left"/>
              <w:spacing w:line="360" w:lineRule="auto"/>
              <w:widowControl/>
              <w:rPr>
                <w:rFonts w:ascii="宋体" w:hAnsi="宋体" w:cs="宋体"/>
              </w:rPr>
            </w:pPr>
            <w:r>
              <w:rPr>
                <w:rFonts w:hint="eastAsia" w:ascii="宋体" w:hAnsi="宋体" w:cs="宋体"/>
              </w:rPr>
              <w:t xml:space="preserve">投标文件中提供《盐城市大丰区政府招标采购供应商承诺书》的得 0.5 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jc w:val="center"/>
              <w:spacing w:line="360" w:lineRule="auto"/>
              <w:widowControl/>
              <w:rPr>
                <w:rFonts w:ascii="宋体" w:hAnsi="宋体" w:cs="宋体"/>
              </w:rPr>
            </w:pPr>
            <w:r>
              <w:rPr>
                <w:rFonts w:hint="eastAsia" w:ascii="宋体" w:hAnsi="宋体" w:cs="宋体"/>
              </w:rPr>
              <w:t xml:space="preserve">0.5</w:t>
            </w:r>
            <w:r/>
          </w:p>
        </w:tc>
      </w:tr>
    </w:tbl>
    <w:p>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3.评标程序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 评标准备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3.1.1 评标委员会成员到达评标现场时应在签到表上签到（或通过门禁系统签到）以证明其出席。</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3.1.2 评标委员会成员首先推选一名评标委员会负责人，负责评标活动的组织领导工作。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3.2 初步评审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3.2.1评标委员会依据本章第2.1 款规定的标准对投标文件进行初步评审。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3.2.2投标文件不符合本章第2.1款评审标准的，属于重大偏差，视为未能对招标文件作出实质性响应，应当作为无效投标予以否决。</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3.2.3 投标报价有算术错误的，评标委员会按以下原则对投标报价进行修正，修正的价格经投标人书面确认后具有约束力。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(1）投标文件中的大写金额与小写金额不一致的，以大写金额为准；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(2）总价金额与依据单价计算出的结果不一致的，以单价金额为准修正总价，但单价金额小数点有明显错误的除外。</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3.2.4只有通过初步评审的投标文件才能进入详细评审。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3.3 详细评审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3.3.1 在详细评审发现符合“无效标书条款”的，应当作为无效投标予以否决，其投标报价亦不作为评标基准价A值的依据。</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3.3.2 评标委员会按本章第2.2款规定的量化因素和分值进行打分，并计算出综合评估得分。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3.3.3 评分分值计算保留小数点后两位，小数点后第三位“四舍五入”。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3.4 投标文件的澄清和补正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3.4.2 澄清、说明和补正不得改变投标文件的实质性内容（算术性错误修正的除外）。投标人的书面澄清、说明和补正属于投标文件的组成部分。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3.4.3 评标委员会对投标人提交的澄清、说明或补正有疑问的，可以要求投标人进一步澄清、说明或补正。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3.5 推荐中标候选人或直接确定中标人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3.5.1 除投标人须知前附表授权直接确定中标人外，评标委员会在推荐中标候选人时，应遵照以下原则:</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评标委员会按照最终得分由高至低的次序排列，并根据投标人须知前附表规定的中标候选人数量，将排序在前的投标人推荐为中标候选人。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3.6 提交评标报告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评标委员会完成评标后，应当向招标人提交书面评标报告。评标报告应当由全体评标委员会成员签字，并于评标结束时抄送有关行政监督部门。</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0"/>
        </w:rPr>
        <w:t xml:space="preserve">第六章投标文件格式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48"/>
        </w:rPr>
        <w:t xml:space="preserve"> </w:t>
      </w:r>
      <w:r/>
    </w:p>
    <w:p>
      <w:pPr>
        <w:ind w:firstLine="6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（正或副本）</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z w:val="36"/>
        </w:rPr>
        <w:t xml:space="preserve">项 目 名 称：</w:t>
      </w:r>
      <w:r>
        <w:rPr>
          <w:rFonts w:ascii="宋体" w:hAnsi="宋体" w:cs="宋体"/>
          <w:b/>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z w:val="36"/>
        </w:rPr>
        <w:t xml:space="preserve">招 标 编 号：</w:t>
      </w:r>
      <w:r>
        <w:rPr>
          <w:rFonts w:ascii="宋体" w:hAnsi="宋体" w:cs="宋体"/>
          <w:b/>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z w:val="36"/>
        </w:rPr>
        <w:t xml:space="preserve">投标人名称：</w:t>
      </w:r>
      <w:r>
        <w:rPr>
          <w:rFonts w:ascii="宋体" w:hAnsi="宋体" w:cs="宋体"/>
          <w:b/>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z w:val="36"/>
        </w:rPr>
        <w:t xml:space="preserve">  日期：</w:t>
      </w:r>
      <w:r>
        <w:rPr>
          <w:rFonts w:ascii="宋体" w:hAnsi="宋体" w:cs="宋体"/>
          <w:b/>
          <w:sz w:val="36"/>
          <w:u w:val="single"/>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0"/>
        </w:rPr>
        <w:t xml:space="preserve">评分索引表</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90"/>
        <w:gridCol w:w="3458"/>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center"/>
            <w:textDirection w:val="lrTb"/>
            <w:noWrap/>
          </w:tcPr>
          <w:p>
            <w:pPr>
              <w:pStyle w:val="697"/>
              <w:jc w:val="center"/>
              <w:spacing w:beforeAutospacing="0" w:afterAutospacing="0" w:line="0" w:lineRule="atLeast"/>
            </w:pPr>
            <w:r>
              <w:rPr>
                <w:rFonts w:hint="eastAsia"/>
              </w:rPr>
              <w:t xml:space="preserve">……</w:t>
            </w:r>
            <w:r/>
          </w:p>
        </w:tc>
      </w:tr>
    </w:tbl>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ind w:firstLine="964"/>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投标主要文件目录</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一、资信证明文件要求</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w:t>
      </w:r>
      <w:r>
        <w:rPr>
          <w:rFonts w:ascii="宋体" w:hAnsi="宋体" w:cs="宋体"/>
          <w:sz w:val="24"/>
        </w:rPr>
        <w:t xml:space="preserve">、资格性审查响应对照表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三、符合性检查响应对照表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四、投标函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五</w:t>
      </w:r>
      <w:r>
        <w:rPr>
          <w:rFonts w:ascii="宋体" w:hAnsi="宋体" w:cs="宋体"/>
          <w:b/>
          <w:sz w:val="24"/>
        </w:rPr>
        <w:t xml:space="preserve">、</w:t>
      </w:r>
      <w:r>
        <w:rPr>
          <w:rFonts w:ascii="宋体" w:hAnsi="宋体" w:cs="宋体"/>
          <w:sz w:val="24"/>
        </w:rPr>
        <w:t xml:space="preserve">开标一览表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六、投标产品配置及分项报价表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七、技术参数响应及偏离表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八、商务条款响应及偏离表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九、服务承诺等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十、盐城市大丰区政府招标采购供应商承诺书</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before="50" w:after="50"/>
        <w:pBdr>
          <w:top w:val="none" w:color="000000" w:sz="0" w:space="0"/>
          <w:left w:val="none" w:color="000000" w:sz="0" w:space="0"/>
          <w:bottom w:val="none" w:color="000000" w:sz="0" w:space="0"/>
          <w:right w:val="none" w:color="000000" w:sz="0" w:space="0"/>
        </w:pBdr>
      </w:pPr>
      <w:r>
        <w:br w:type="page" w:clear="all"/>
      </w:r>
      <w:r/>
    </w:p>
    <w:p>
      <w:pPr>
        <w:jc w:val="center"/>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一、资信证明文件要求</w:t>
      </w:r>
      <w:r/>
    </w:p>
    <w:p>
      <w:pPr>
        <w:spacing w:before="50" w:after="50" w:line="360" w:lineRule="auto"/>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 </w:t>
      </w:r>
      <w:r>
        <w:rPr>
          <w:rFonts w:ascii="宋体" w:hAnsi="宋体" w:cs="宋体"/>
          <w:b/>
          <w:sz w:val="24"/>
        </w:rPr>
        <w:t xml:space="preserve">1、实质性资格证明文件目录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文件</w:t>
      </w:r>
      <w:r>
        <w:rPr>
          <w:rFonts w:eastAsia="Times New Roman"/>
          <w:sz w:val="24"/>
        </w:rPr>
        <w:t xml:space="preserve">1</w:t>
      </w:r>
      <w:r>
        <w:rPr>
          <w:rFonts w:ascii="宋体" w:hAnsi="宋体" w:cs="宋体"/>
          <w:sz w:val="24"/>
        </w:rPr>
        <w:t xml:space="preserve">法人或者其他组织的营业执照等证明文件，自然人的身份证明（</w:t>
      </w:r>
      <w:r>
        <w:rPr>
          <w:rFonts w:hint="eastAsia" w:ascii="宋体" w:hAnsi="宋体" w:cs="宋体"/>
          <w:sz w:val="24"/>
        </w:rPr>
        <w:t xml:space="preserve">扫描件</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文件</w:t>
      </w:r>
      <w:r>
        <w:rPr>
          <w:rFonts w:eastAsia="Times New Roman"/>
          <w:sz w:val="24"/>
        </w:rPr>
        <w:t xml:space="preserve">2 </w:t>
      </w:r>
      <w:r>
        <w:rPr>
          <w:rFonts w:ascii="宋体" w:hAnsi="宋体" w:cs="宋体"/>
          <w:sz w:val="24"/>
        </w:rPr>
        <w:t xml:space="preserve">具备履行合同所必需的设备和专业技术能力证明材料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文件</w:t>
      </w:r>
      <w:r>
        <w:rPr>
          <w:rFonts w:eastAsia="Times New Roman"/>
          <w:sz w:val="24"/>
        </w:rPr>
        <w:t xml:space="preserve">3</w:t>
      </w:r>
      <w:r>
        <w:rPr>
          <w:rFonts w:ascii="宋体" w:hAnsi="宋体" w:cs="宋体"/>
          <w:sz w:val="24"/>
        </w:rPr>
        <w:t xml:space="preserve">参加政府采购活动前</w:t>
      </w:r>
      <w:r>
        <w:rPr>
          <w:rFonts w:eastAsia="Times New Roman"/>
          <w:sz w:val="24"/>
        </w:rPr>
        <w:t xml:space="preserve">3</w:t>
      </w:r>
      <w:r>
        <w:rPr>
          <w:rFonts w:ascii="宋体" w:hAnsi="宋体" w:cs="宋体"/>
          <w:sz w:val="24"/>
        </w:rPr>
        <w:t xml:space="preserve">年内在经营活动中没有重大违法记录的书面声明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文件</w:t>
      </w:r>
      <w:r>
        <w:rPr>
          <w:rFonts w:eastAsia="Times New Roman"/>
          <w:sz w:val="24"/>
        </w:rPr>
        <w:t xml:space="preserve">4</w:t>
      </w:r>
      <w:r>
        <w:rPr>
          <w:rFonts w:ascii="宋体" w:hAnsi="宋体" w:cs="宋体"/>
          <w:sz w:val="24"/>
        </w:rPr>
        <w:t xml:space="preserve"> 招标文件中规定要求提供的证明材料和投标人认为需要提供的其他材料</w:t>
      </w:r>
      <w:r/>
    </w:p>
    <w:p>
      <w:pPr>
        <w:ind w:firstLine="482"/>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2、非实质性资信证明文件目录</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格式1《企业申明函》</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69"/>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pStyle w:val="669"/>
        <w:jc w:val="center"/>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具备履行合同所必需的设备和专业技术能力的书面声明</w:t>
      </w:r>
      <w:r/>
    </w:p>
    <w:p>
      <w:pPr>
        <w:ind w:firstLine="49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我公司郑重声明：我公司具备履行本项采购合同所必需的设备和专业技术能力，为履行本项采购合同我公司具备如下主要设备和主要专业技术能力：</w:t>
      </w:r>
      <w:r/>
    </w:p>
    <w:p>
      <w:pPr>
        <w:ind w:firstLine="49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9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ind w:firstLine="49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9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9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供应商名称（公章）：</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日期：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参加政府采购活动前 3 年内在经营活动中没有重大违法记录的书面声明</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44"/>
        </w:rPr>
        <w:t xml:space="preserve">声明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供应商名称（公章）：</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日期：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69"/>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pStyle w:val="669"/>
        <w:jc w:val="center"/>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法人授权书</w:t>
      </w:r>
      <w:r/>
    </w:p>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本授权书声明：</w:t>
      </w:r>
      <w:r>
        <w:rPr>
          <w:rFonts w:ascii="宋体" w:hAnsi="宋体" w:cs="宋体"/>
          <w:sz w:val="24"/>
          <w:u w:val="single"/>
        </w:rPr>
        <w:t xml:space="preserve">       </w:t>
      </w:r>
      <w:r>
        <w:rPr>
          <w:rFonts w:ascii="宋体" w:hAnsi="宋体" w:cs="宋体"/>
          <w:sz w:val="24"/>
        </w:rPr>
        <w:t xml:space="preserve">（供应商名称）授权</w:t>
      </w:r>
      <w:r>
        <w:rPr>
          <w:rFonts w:ascii="宋体" w:hAnsi="宋体" w:cs="宋体"/>
          <w:sz w:val="24"/>
          <w:u w:val="single"/>
        </w:rPr>
        <w:t xml:space="preserve">    </w:t>
      </w:r>
      <w:r>
        <w:rPr>
          <w:rFonts w:ascii="宋体" w:hAnsi="宋体" w:cs="宋体"/>
          <w:sz w:val="24"/>
        </w:rPr>
        <w:t xml:space="preserve">（被授权人的姓名）为我方就</w:t>
      </w:r>
      <w:r>
        <w:rPr>
          <w:rFonts w:ascii="宋体" w:hAnsi="宋体" w:cs="宋体"/>
          <w:sz w:val="24"/>
          <w:u w:val="single"/>
        </w:rPr>
        <w:t xml:space="preserve">                </w:t>
      </w:r>
      <w:r>
        <w:rPr>
          <w:rFonts w:ascii="宋体" w:hAnsi="宋体" w:cs="宋体"/>
          <w:sz w:val="24"/>
        </w:rPr>
        <w:t xml:space="preserve">项目采购活动的合法代理人，以本公司名义全权处理一切与该项目采购有关的事务。</w:t>
      </w:r>
      <w:r/>
    </w:p>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本授权书于</w:t>
      </w:r>
      <w:r>
        <w:rPr>
          <w:rFonts w:eastAsia="Times New Roman"/>
          <w:sz w:val="24"/>
        </w:rPr>
        <w:t xml:space="preserve">______</w:t>
      </w:r>
      <w:r>
        <w:rPr>
          <w:rFonts w:ascii="宋体" w:hAnsi="宋体" w:cs="宋体"/>
          <w:sz w:val="24"/>
        </w:rPr>
        <w:t xml:space="preserve">年</w:t>
      </w:r>
      <w:r>
        <w:rPr>
          <w:rFonts w:eastAsia="Times New Roman"/>
          <w:sz w:val="24"/>
        </w:rPr>
        <w:t xml:space="preserve">____</w:t>
      </w:r>
      <w:r>
        <w:rPr>
          <w:rFonts w:ascii="宋体" w:hAnsi="宋体" w:cs="宋体"/>
          <w:sz w:val="24"/>
        </w:rPr>
        <w:t xml:space="preserve">月</w:t>
      </w:r>
      <w:r>
        <w:rPr>
          <w:rFonts w:eastAsia="Times New Roman"/>
          <w:sz w:val="24"/>
        </w:rPr>
        <w:t xml:space="preserve">____</w:t>
      </w:r>
      <w:r>
        <w:rPr>
          <w:rFonts w:ascii="宋体" w:hAnsi="宋体" w:cs="宋体"/>
          <w:sz w:val="24"/>
        </w:rPr>
        <w:t xml:space="preserve">日起生效，特此声明。</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代理人（被授权人）：</w:t>
      </w:r>
      <w:r>
        <w:rPr>
          <w:rFonts w:ascii="宋体" w:hAnsi="宋体" w:cs="宋体"/>
          <w:sz w:val="24"/>
          <w:u w:val="single"/>
        </w:rPr>
        <w:t xml:space="preserve">                   </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单位名称：</w:t>
      </w:r>
      <w:r>
        <w:rPr>
          <w:rFonts w:ascii="宋体" w:hAnsi="宋体" w:cs="宋体"/>
          <w:sz w:val="24"/>
          <w:u w:val="single"/>
        </w:rPr>
        <w:t xml:space="preserve">                 </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授权单位盖章：</w:t>
      </w:r>
      <w:r>
        <w:rPr>
          <w:rFonts w:ascii="宋体" w:hAnsi="宋体" w:cs="宋体"/>
          <w:sz w:val="24"/>
          <w:u w:val="single"/>
        </w:rPr>
        <w:t xml:space="preserve">                  </w:t>
      </w:r>
      <w:r/>
    </w:p>
    <w:p>
      <w:pPr>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w:t>
      </w:r>
      <w:r>
        <w:rPr>
          <w:rFonts w:ascii="宋体" w:hAnsi="宋体" w:cs="宋体"/>
          <w:sz w:val="24"/>
          <w:u w:val="single"/>
        </w:rPr>
        <w:t xml:space="preserve">               </w:t>
      </w:r>
      <w:r/>
    </w:p>
    <w:p>
      <w:pPr>
        <w:ind w:firstLine="24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地址：</w:t>
      </w:r>
      <w:r>
        <w:rPr>
          <w:rFonts w:ascii="宋体" w:hAnsi="宋体" w:cs="宋体"/>
          <w:sz w:val="24"/>
          <w:u w:val="single"/>
        </w:rPr>
        <w:t xml:space="preserve">                  </w:t>
      </w:r>
      <w:r/>
    </w:p>
    <w:p>
      <w:pPr>
        <w:ind w:firstLine="240"/>
        <w:spacing w:before="240" w:after="24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w:t>
      </w:r>
      <w:r>
        <w:rPr>
          <w:rFonts w:ascii="宋体" w:hAnsi="宋体" w:cs="宋体"/>
          <w:sz w:val="24"/>
        </w:rPr>
        <w:t xml:space="preserve">期：</w:t>
      </w:r>
      <w:r>
        <w:rPr>
          <w:rFonts w:ascii="宋体" w:hAnsi="宋体" w:cs="宋体"/>
          <w:sz w:val="24"/>
          <w:u w:val="single"/>
        </w:rPr>
        <w:t xml:space="preserve">   </w:t>
      </w:r>
      <w:r>
        <w:rPr>
          <w:rFonts w:ascii="宋体" w:hAnsi="宋体" w:cs="宋体"/>
          <w:sz w:val="24"/>
        </w:rPr>
        <w:t xml:space="preserve">               </w:t>
      </w:r>
      <w:r/>
    </w:p>
    <w:p>
      <w:pPr>
        <w:pStyle w:val="669"/>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before="50" w:after="50"/>
        <w:pBdr>
          <w:top w:val="none" w:color="000000" w:sz="0" w:space="0"/>
          <w:left w:val="none" w:color="000000" w:sz="0" w:space="0"/>
          <w:bottom w:val="none" w:color="000000" w:sz="0" w:space="0"/>
          <w:right w:val="none" w:color="000000" w:sz="0" w:space="0"/>
        </w:pBdr>
      </w:pPr>
      <w:r>
        <w:br w:type="page" w:clear="all"/>
      </w:r>
      <w:r/>
    </w:p>
    <w:p>
      <w:pPr>
        <w:jc w:val="center"/>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二、资格性审查响应对照表（格式）</w:t>
      </w:r>
      <w:r/>
    </w:p>
    <w:p>
      <w:pPr>
        <w:ind w:firstLine="309"/>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5050"/>
        <w:gridCol w:w="1566"/>
        <w:gridCol w:w="1663"/>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是否响应</w:t>
            </w:r>
            <w:r/>
          </w:p>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投标文件中的</w:t>
            </w:r>
            <w:r/>
          </w:p>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center"/>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三、符合性检查响应对照表（格式）</w:t>
      </w:r>
      <w:r/>
    </w:p>
    <w:p>
      <w:pPr>
        <w:ind w:firstLine="309"/>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5050"/>
        <w:gridCol w:w="1566"/>
        <w:gridCol w:w="1663"/>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是否响应</w:t>
            </w:r>
            <w:r/>
          </w:p>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投标文件中的</w:t>
            </w:r>
            <w:r/>
          </w:p>
          <w:p>
            <w:pPr>
              <w:jc w:val="center"/>
              <w:spacing w:line="360" w:lineRule="auto"/>
              <w:pBdr>
                <w:top w:val="none" w:color="000000" w:sz="0" w:space="0"/>
                <w:left w:val="none" w:color="000000" w:sz="0" w:space="0"/>
                <w:bottom w:val="none" w:color="000000" w:sz="0" w:space="0"/>
                <w:right w:val="none" w:color="000000" w:sz="0" w:space="0"/>
              </w:pBdr>
            </w:pPr>
            <w:r>
              <w:rPr>
                <w:rFonts w:ascii="幼圆" w:hAnsi="幼圆" w:eastAsia="幼圆" w:cs="幼圆"/>
                <w:b/>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before="50" w:after="50" w:line="360" w:lineRule="auto"/>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spacing w:before="50" w:after="5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ind w:firstLine="6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center"/>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四、投标函（格式）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致：盐城大丰区卫生健康委员会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根据贵方的</w:t>
      </w:r>
      <w:r>
        <w:rPr>
          <w:rFonts w:ascii="宋体" w:hAnsi="宋体" w:cs="宋体"/>
          <w:b/>
          <w:u w:val="single"/>
        </w:rPr>
        <w:t xml:space="preserve">         </w:t>
      </w:r>
      <w:r>
        <w:rPr>
          <w:rFonts w:ascii="宋体" w:hAnsi="宋体" w:cs="宋体"/>
        </w:rPr>
        <w:t xml:space="preserve">招标文件，正式授权下述签字人__________(姓名)代表我方______________（投标人的名称），全权处理本次项目投标的有关事宜。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据此函，__________签字人兹宣布同意如下：</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1.按招标文件规定的各项要求，向买方提供所需货物与服务。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2.我们完全理解贵方不一定将合同授予最低报价的投标人。</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3.我们已详细审核全部招标文件及其有效补充文件，我们知道必须放弃提出含糊不清或误解问题的权利。</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4.我们同意从规定的开标日期起遵循本投标文件，并在规定的投标有效期期满之前均具有约束力。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5.如果在开标后规定的投标有效期内撤回投标或中标后拒绝签订合同，则按照国家相关法律法规受到相应处罚。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6.同意向贵方提供贵方可能另外要求的与投标有关的任何证据或资料，并保证我方已提供和将要提供的文件是真实的、准确的。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7.一旦我方中标,我方将根据招标文件的规定，严格履行合同的责任和义务,并保证在招标文件规定的时间完成项目，交付买方验收、使用。</w:t>
      </w:r>
      <w:r/>
    </w:p>
    <w:p>
      <w:pPr>
        <w:ind w:left="425"/>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8.与本投标有关的正式通讯地址为：</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地址：</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邮编：</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电话：</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传真：</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投标人开户行：</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账户：  </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投标人名称（公章）： </w:t>
      </w:r>
      <w:r/>
    </w:p>
    <w:p>
      <w:pPr>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日期：________年____月____日</w:t>
      </w:r>
      <w:r/>
    </w:p>
    <w:p>
      <w:pPr>
        <w:spacing w:before="50" w:after="145"/>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center"/>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五、开标一览表（格式）</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2"/>
        <w:gridCol w:w="6046"/>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6" w:type="dxa"/>
            <w:vAlign w:val="center"/>
            <w:textDirection w:val="lrTb"/>
            <w:noWrap/>
          </w:tcPr>
          <w:p>
            <w:pPr>
              <w:ind w:firstLine="689"/>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6" w:type="dxa"/>
            <w:vAlign w:val="center"/>
            <w:textDirection w:val="lrTb"/>
            <w:noWrap/>
          </w:tcPr>
          <w:p>
            <w:pP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投标产品品牌及型号</w:t>
            </w:r>
            <w:r>
              <w:rPr>
                <w:rFonts w:hint="eastAsia" w:ascii="宋体" w:hAnsi="宋体" w:cs="宋体"/>
              </w:rPr>
              <w:t xml:space="preserve">（便携式心电检查设备/数字式心电检查设备/动态心电检查设备）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6" w:type="dxa"/>
            <w:vAlign w:val="center"/>
            <w:textDirection w:val="lrTb"/>
            <w:noWrap/>
          </w:tcPr>
          <w:p>
            <w:pP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项目投标报价：（大写）</w:t>
            </w:r>
            <w:r>
              <w:rPr>
                <w:rFonts w:ascii="宋体" w:hAnsi="宋体" w:cs="宋体"/>
                <w:b/>
                <w:u w:val="single"/>
              </w:rPr>
              <w:t xml:space="preserve">     </w:t>
            </w:r>
            <w:r>
              <w:rPr>
                <w:rFonts w:ascii="宋体" w:hAnsi="宋体" w:cs="宋体"/>
                <w:b/>
              </w:rPr>
              <w:t xml:space="preserve">，小写：</w:t>
            </w:r>
            <w:r>
              <w:rPr>
                <w:rFonts w:ascii="宋体" w:hAnsi="宋体" w:cs="宋体"/>
                <w:b/>
                <w:u w:val="single"/>
              </w:rPr>
              <w:t xml:space="preserve">         </w:t>
            </w:r>
            <w:r>
              <w:rPr>
                <w:rFonts w:ascii="宋体" w:hAnsi="宋体" w:cs="宋体"/>
                <w:b/>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法定代表人或委托代理人：            联系方式：</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是否提供《企业类型声明函》：</w:t>
            </w:r>
            <w:r>
              <w:rPr>
                <w:rFonts w:ascii="宋体" w:hAnsi="宋体" w:cs="宋体"/>
                <w:b/>
                <w:u w:val="single"/>
              </w:rPr>
              <w:t xml:space="preserve">  是/否</w:t>
            </w:r>
            <w:r>
              <w:rPr>
                <w:rFonts w:ascii="宋体" w:hAnsi="宋体" w:cs="宋体"/>
                <w:b/>
              </w:rPr>
              <w:t xml:space="preserve">     见</w:t>
            </w:r>
            <w:r>
              <w:rPr>
                <w:rFonts w:ascii="宋体" w:hAnsi="宋体" w:cs="宋体"/>
                <w:b/>
                <w:u w:val="single"/>
              </w:rPr>
              <w:t xml:space="preserve">（          ）</w:t>
            </w:r>
            <w:r>
              <w:rPr>
                <w:rFonts w:ascii="宋体" w:hAnsi="宋体" w:cs="宋体"/>
                <w:b/>
              </w:rPr>
              <w:t xml:space="preserve">页</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合同履行期限：</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质保期：</w:t>
            </w:r>
            <w:r/>
          </w:p>
        </w:tc>
      </w:tr>
    </w:tbl>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填写说明：</w:t>
      </w:r>
      <w:r/>
    </w:p>
    <w:p>
      <w:pPr>
        <w:numPr>
          <w:ilvl w:val="0"/>
          <w:numId w:val="15"/>
        </w:num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开标一览表不得填报选择性报价，否则将作为无效投标；</w:t>
      </w:r>
      <w:r/>
    </w:p>
    <w:p>
      <w:pPr>
        <w:numPr>
          <w:ilvl w:val="0"/>
          <w:numId w:val="15"/>
        </w:num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开标一览表中报价与投标分项明细报价表中不符时时，以开标一览表为准；</w:t>
      </w:r>
      <w:r/>
    </w:p>
    <w:p>
      <w:pPr>
        <w:ind w:firstLine="2640"/>
        <w:spacing w:line="360" w:lineRule="auto"/>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0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日期：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br w:type="page" w:clear="all"/>
      </w:r>
      <w:r/>
    </w:p>
    <w:p>
      <w:pPr>
        <w:jc w:val="center"/>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六、投标产品配置及分项报价表（格式）</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8"/>
        <w:gridCol w:w="1627"/>
        <w:gridCol w:w="1941"/>
        <w:gridCol w:w="1927"/>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货物名称品牌及规格、型号</w:t>
            </w:r>
            <w:r>
              <w:rPr>
                <w:rFonts w:hint="eastAsia" w:ascii="宋体" w:hAnsi="宋体" w:cs="宋体"/>
                <w:sz w:val="24"/>
              </w:rPr>
              <w:t xml:space="preserve">（</w:t>
            </w:r>
            <w:r>
              <w:rPr>
                <w:rFonts w:hint="eastAsia" w:ascii="宋体" w:hAnsi="宋体" w:cs="宋体"/>
              </w:rPr>
              <w:t xml:space="preserve">便携式心电检查设备/数字式心电检查设备/动态心电检查设备）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总价</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r>
      <w:tr>
        <w:trPr>
          <w:trHeight w:val="10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5"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
          </w:p>
        </w:tc>
      </w:tr>
    </w:tbl>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1、此表可以根据需要自行增减行数。</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2、项目如有分包，请各供应商按投报的分包分别列表。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spacing w:before="50" w:after="50"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七、设备参数响应及偏离表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138"/>
        <w:gridCol w:w="1590"/>
        <w:gridCol w:w="2859"/>
        <w:gridCol w:w="1648"/>
        <w:gridCol w:w="9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招标设备参数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投标产品响应设备参数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投标产品型号证明材料在投标文件中的页码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tcPr>
          <w:p>
            <w:pPr>
              <w:pStyle w:val="697"/>
              <w:jc w:val="center"/>
              <w:spacing w:beforeAutospacing="0" w:afterAutospacing="0" w:line="0" w:lineRule="atLeast"/>
            </w:pP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textDirection w:val="lrTb"/>
            <w:noWrap/>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注：1、按照基本技术要求详细填列。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2、行数不够，可自行添加。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设备参数偏离表应针对采购需求逐条应答不可简单复制粘贴注，投标人应按投标产品填写真实技术参数值，不得虚假响应，如经查实，将予以取消中标资格，并提交财政监管部门处理，有可能面临着被列入失信名单的法律风险。</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八、商务条款响应及偏离表（如有）</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w:t>
      </w:r>
      <w:r/>
    </w:p>
    <w:tbl>
      <w:tblPr>
        <w:tblStyle w:val="699"/>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16"/>
        <w:gridCol w:w="2500"/>
        <w:gridCol w:w="1176"/>
        <w:gridCol w:w="2652"/>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投标人的承诺或说明</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交货时间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合同签订后</w:t>
            </w:r>
            <w:r>
              <w:rPr>
                <w:rFonts w:ascii="仿宋" w:hAnsi="仿宋" w:eastAsia="仿宋" w:cs="仿宋"/>
                <w:sz w:val="24"/>
                <w:u w:val="single"/>
              </w:rPr>
              <w:t xml:space="preserve">     </w:t>
            </w:r>
            <w:r>
              <w:rPr>
                <w:rFonts w:ascii="宋体" w:hAnsi="宋体" w:cs="宋体"/>
                <w:sz w:val="24"/>
              </w:rPr>
              <w:t xml:space="preserve">天内</w:t>
            </w:r>
            <w:r>
              <w:rPr>
                <w:rFonts w:ascii="仿宋" w:hAnsi="仿宋" w:eastAsia="仿宋" w:cs="仿宋"/>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ind w:left="43"/>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ind w:left="43"/>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ind w:left="43"/>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ind w:left="43"/>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ind w:left="43"/>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ind w:left="43"/>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备品备件及耗材等要求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textDirection w:val="lrTb"/>
            <w:noWrap/>
          </w:tcPr>
          <w:p>
            <w:pPr>
              <w:spacing w:before="145"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before="50" w:after="50"/>
        <w:pBdr>
          <w:top w:val="none" w:color="000000" w:sz="0" w:space="0"/>
          <w:left w:val="none" w:color="000000" w:sz="0" w:space="0"/>
          <w:bottom w:val="none" w:color="000000" w:sz="0" w:space="0"/>
          <w:right w:val="none" w:color="000000" w:sz="0" w:space="0"/>
        </w:pBdr>
      </w:pPr>
      <w:r>
        <w:br w:type="page" w:clear="all"/>
      </w:r>
      <w:r/>
    </w:p>
    <w:p>
      <w:pPr>
        <w:jc w:val="center"/>
        <w:spacing w:before="50" w:after="50"/>
        <w:pBdr>
          <w:top w:val="none" w:color="000000" w:sz="0" w:space="0"/>
          <w:left w:val="none" w:color="000000" w:sz="0" w:space="0"/>
          <w:bottom w:val="none" w:color="000000" w:sz="0" w:space="0"/>
          <w:right w:val="none" w:color="000000" w:sz="0" w:space="0"/>
        </w:pBdr>
      </w:pPr>
      <w:r>
        <w:rPr>
          <w:rFonts w:ascii="宋体" w:hAnsi="宋体" w:cs="宋体"/>
          <w:b/>
          <w:sz w:val="32"/>
        </w:rPr>
        <w:t xml:space="preserve">九、服务承诺、培训承诺等</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ind w:firstLine="6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jc w:val="center"/>
        <w:pageBreakBefore/>
        <w:spacing w:before="50" w:after="50"/>
        <w:pBdr>
          <w:top w:val="none" w:color="000000" w:sz="0" w:space="0"/>
          <w:left w:val="none" w:color="000000" w:sz="0" w:space="0"/>
          <w:bottom w:val="none" w:color="000000" w:sz="0" w:space="0"/>
          <w:right w:val="none" w:color="000000" w:sz="0" w:space="0"/>
        </w:pBdr>
      </w:pPr>
      <w:r>
        <w:rPr>
          <w:rFonts w:ascii="宋体" w:hAnsi="宋体" w:cs="宋体"/>
          <w:b/>
          <w:sz w:val="32"/>
        </w:rPr>
        <w:t xml:space="preserve">十、盐城市大丰区政府招标采购供应商承诺书</w:t>
      </w:r>
      <w:r/>
    </w:p>
    <w:p>
      <w:pPr>
        <w:ind w:firstLine="600"/>
        <w:spacing w:line="360" w:lineRule="auto"/>
        <w:rPr>
          <w:sz w:val="24"/>
          <w:szCs w:val="24"/>
        </w:rPr>
        <w:pBdr>
          <w:top w:val="none" w:color="000000" w:sz="0" w:space="0"/>
          <w:left w:val="none" w:color="000000" w:sz="0" w:space="0"/>
          <w:bottom w:val="none" w:color="000000" w:sz="0" w:space="0"/>
          <w:right w:val="none" w:color="000000" w:sz="0" w:space="0"/>
        </w:pBdr>
      </w:pPr>
      <w:r>
        <w:rPr>
          <w:rFonts w:eastAsia="Times New Roman"/>
          <w:sz w:val="24"/>
          <w:szCs w:val="24"/>
        </w:rPr>
        <w:t xml:space="preserve"> </w:t>
      </w:r>
      <w:r/>
    </w:p>
    <w:p>
      <w:pPr>
        <w:ind w:firstLine="640"/>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为营造公开、公平、公正、诚实守信的政府招标采购交易环境，树立诚信守法的投标人形象，本单位参加政府招标采购项目</w:t>
      </w:r>
      <w:r>
        <w:rPr>
          <w:rFonts w:ascii="仿宋" w:hAnsi="仿宋" w:eastAsia="仿宋" w:cs="仿宋"/>
          <w:sz w:val="24"/>
          <w:szCs w:val="24"/>
          <w:u w:val="single"/>
        </w:rPr>
        <w:t xml:space="preserve">：</w:t>
      </w:r>
      <w:r/>
    </w:p>
    <w:p>
      <w:pPr>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的招标采购活动，本人代表本单位作出以下承诺：</w:t>
      </w:r>
      <w:r/>
    </w:p>
    <w:p>
      <w:pPr>
        <w:ind w:firstLine="640"/>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640"/>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640"/>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（三）严格依照国家和省、市关于政府招标采购的法律、法规、规章、规范性文件，参加政府招标采购的投标活动；积极履行社会责任，促进廉政建设； </w:t>
      </w:r>
      <w:r/>
    </w:p>
    <w:p>
      <w:pPr>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仿宋" w:hAnsi="仿宋" w:eastAsia="仿宋" w:cs="仿宋"/>
          <w:sz w:val="24"/>
          <w:szCs w:val="24"/>
        </w:rPr>
        <w:t xml:space="preserve">  （四）严格遵守即时信息公示规定，及时维护和更新盐城市政府采购网、公共资源交易平台中与本单位相关的信息；</w:t>
      </w:r>
      <w:r/>
    </w:p>
    <w:p>
      <w:pPr>
        <w:ind w:firstLine="367"/>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367"/>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（六）自觉接受政府、行业组织、社会公众、新闻舆论的监督；</w:t>
      </w:r>
      <w:r/>
    </w:p>
    <w:p>
      <w:pPr>
        <w:ind w:firstLine="367"/>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（八）本人已认真阅读了上述承诺，并向本单位员工作了宣传教育。</w:t>
      </w:r>
      <w:r/>
    </w:p>
    <w:p>
      <w:pPr>
        <w:ind w:firstLine="640"/>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 </w:t>
      </w:r>
      <w:r/>
    </w:p>
    <w:p>
      <w:pPr>
        <w:ind w:firstLine="640"/>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 </w:t>
      </w:r>
      <w:r/>
    </w:p>
    <w:p>
      <w:pPr>
        <w:ind w:firstLine="640"/>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法定代表人</w:t>
      </w:r>
      <w:r>
        <w:rPr>
          <w:rFonts w:hint="eastAsia" w:ascii="仿宋" w:hAnsi="仿宋" w:eastAsia="仿宋" w:cs="仿宋"/>
          <w:sz w:val="24"/>
          <w:szCs w:val="24"/>
          <w:lang w:val="en-US" w:eastAsia="zh-CN"/>
        </w:rPr>
        <w:t xml:space="preserve">盖章</w:t>
      </w:r>
      <w:r>
        <w:rPr>
          <w:rFonts w:ascii="仿宋" w:hAnsi="仿宋" w:eastAsia="仿宋" w:cs="仿宋"/>
          <w:sz w:val="24"/>
          <w:szCs w:val="24"/>
        </w:rPr>
        <w:t xml:space="preserve">：</w:t>
      </w:r>
      <w:r>
        <w:rPr>
          <w:rFonts w:hint="eastAsia" w:ascii="仿宋" w:hAnsi="仿宋" w:eastAsia="仿宋" w:cs="仿宋"/>
          <w:sz w:val="24"/>
          <w:szCs w:val="24"/>
          <w:lang w:val="en-US" w:eastAsia="zh-CN"/>
        </w:rPr>
        <w:t xml:space="preserve">                       </w:t>
      </w:r>
      <w:r>
        <w:rPr>
          <w:rFonts w:ascii="仿宋" w:hAnsi="仿宋" w:eastAsia="仿宋" w:cs="仿宋"/>
          <w:sz w:val="24"/>
          <w:szCs w:val="24"/>
        </w:rPr>
        <w:t xml:space="preserve">单位名称（盖章）：</w:t>
      </w:r>
      <w:r/>
    </w:p>
    <w:p>
      <w:pPr>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 </w:t>
      </w:r>
      <w:r/>
    </w:p>
    <w:p>
      <w:pPr>
        <w:jc w:val="center"/>
        <w:spacing w:line="360" w:lineRule="auto"/>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年月日</w:t>
      </w:r>
      <w:r/>
    </w:p>
    <w:p>
      <w:pPr>
        <w:jc w:val="left"/>
        <w:widowControl/>
        <w:rPr>
          <w:rFonts w:ascii="宋体" w:hAnsi="宋体" w:cs="宋体"/>
          <w:sz w:val="24"/>
          <w:szCs w:val="24"/>
        </w:rPr>
        <w:outlineLvl w:val="1"/>
      </w:pPr>
      <w:r>
        <w:rPr>
          <w:rFonts w:ascii="宋体" w:hAnsi="宋体" w:cs="宋体"/>
          <w:sz w:val="24"/>
          <w:szCs w:val="24"/>
        </w:rPr>
      </w:r>
      <w:r/>
    </w:p>
    <w:p>
      <w:pPr>
        <w:jc w:val="center"/>
        <w:pageBreakBefore/>
        <w:spacing w:before="50" w:after="50"/>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十一、中小企业声明函（货物）</w:t>
      </w:r>
      <w:r/>
    </w:p>
    <w:p>
      <w:pPr>
        <w:ind w:firstLine="600"/>
        <w:spacing w:line="460" w:lineRule="exact"/>
        <w:rPr>
          <w:rFonts w:ascii="宋体" w:hAnsi="宋体" w:eastAsia="Arial"/>
          <w:sz w:val="24"/>
          <w:szCs w:val="24"/>
        </w:rPr>
      </w:pPr>
      <w:r>
        <w:rPr>
          <w:rFonts w:hint="eastAsia" w:ascii="宋体" w:hAnsi="宋体" w:eastAsia="Arial"/>
          <w:sz w:val="24"/>
          <w:szCs w:val="24"/>
        </w:rPr>
        <w:t xml:space="preserve">本公司（联合体）郑重声明，根据《政府采购促进中小企业发展管理办法》(财库[2020]46号)的规定，本公司（联合体）参加的采购编号为</w:t>
      </w:r>
      <w:r>
        <w:rPr>
          <w:rFonts w:hint="eastAsia" w:ascii="宋体" w:hAnsi="宋体"/>
          <w:sz w:val="24"/>
          <w:szCs w:val="24"/>
          <w:u w:val="single"/>
          <w:lang w:val="en-US" w:eastAsia="zh-CN"/>
        </w:rPr>
        <w:t xml:space="preserve">      </w:t>
      </w:r>
      <w:r>
        <w:rPr>
          <w:rFonts w:hint="eastAsia" w:ascii="宋体" w:hAnsi="宋体" w:eastAsia="Arial"/>
          <w:sz w:val="24"/>
          <w:szCs w:val="24"/>
        </w:rPr>
        <w:t xml:space="preserve">，</w:t>
      </w:r>
      <w:r>
        <w:rPr>
          <w:rFonts w:hint="eastAsia" w:ascii="宋体" w:hAnsi="宋体"/>
          <w:sz w:val="24"/>
          <w:szCs w:val="24"/>
          <w:u w:val="single"/>
          <w:lang w:val="en-US" w:eastAsia="zh-CN"/>
        </w:rPr>
        <w:t xml:space="preserve">    </w:t>
      </w:r>
      <w:r>
        <w:rPr>
          <w:rFonts w:hint="eastAsia" w:ascii="宋体" w:hAnsi="宋体" w:eastAsia="Arial"/>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cs="宋体"/>
          <w:sz w:val="24"/>
          <w:szCs w:val="24"/>
        </w:rPr>
        <w:t xml:space="preserve">中小企业</w:t>
      </w:r>
      <w:r>
        <w:rPr>
          <w:rFonts w:hint="eastAsia" w:ascii="宋体" w:hAnsi="宋体" w:eastAsia="Arial"/>
          <w:sz w:val="24"/>
          <w:szCs w:val="24"/>
        </w:rPr>
        <w:t xml:space="preserve">、签订分包意向协议的</w:t>
      </w:r>
      <w:r>
        <w:rPr>
          <w:rFonts w:hint="eastAsia" w:ascii="宋体" w:hAnsi="宋体" w:cs="宋体"/>
          <w:sz w:val="24"/>
          <w:szCs w:val="24"/>
        </w:rPr>
        <w:t xml:space="preserve">中小企业</w:t>
      </w:r>
      <w:r>
        <w:rPr>
          <w:rFonts w:hint="eastAsia" w:ascii="宋体" w:hAnsi="宋体" w:eastAsia="Arial"/>
          <w:sz w:val="24"/>
          <w:szCs w:val="24"/>
        </w:rPr>
        <w:t xml:space="preserve">）的具体情况如下：</w:t>
      </w:r>
      <w:r/>
    </w:p>
    <w:p>
      <w:pPr>
        <w:ind w:firstLine="480"/>
        <w:spacing w:line="48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（标的名称） </w:t>
      </w:r>
      <w:r>
        <w:rPr>
          <w:rFonts w:hint="eastAsia" w:ascii="宋体" w:hAnsi="宋体" w:cs="宋体"/>
          <w:sz w:val="24"/>
          <w:szCs w:val="24"/>
        </w:rPr>
        <w:t xml:space="preserve"> ，属于</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 xml:space="preserve">；制造商为 </w:t>
      </w:r>
      <w:r>
        <w:rPr>
          <w:rFonts w:hint="eastAsia" w:ascii="宋体" w:hAnsi="宋体" w:cs="宋体"/>
          <w:sz w:val="24"/>
          <w:szCs w:val="24"/>
          <w:u w:val="single"/>
        </w:rPr>
        <w:t xml:space="preserve">  （企业名称）</w:t>
      </w:r>
      <w:r>
        <w:rPr>
          <w:rFonts w:hint="eastAsia" w:ascii="宋体" w:hAnsi="宋体" w:cs="宋体"/>
          <w:sz w:val="24"/>
          <w:szCs w:val="24"/>
        </w:rPr>
        <w:t xml:space="preserve">，从业人员 </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 </w:t>
      </w:r>
      <w:r>
        <w:rPr>
          <w:rFonts w:hint="eastAsia" w:ascii="宋体" w:hAnsi="宋体" w:cs="宋体"/>
          <w:sz w:val="24"/>
          <w:szCs w:val="24"/>
          <w:u w:val="single"/>
        </w:rPr>
        <w:t xml:space="preserve">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（标的名称） </w:t>
      </w:r>
      <w:r>
        <w:rPr>
          <w:rFonts w:hint="eastAsia" w:ascii="宋体" w:hAnsi="宋体" w:cs="宋体"/>
          <w:sz w:val="24"/>
          <w:szCs w:val="24"/>
        </w:rPr>
        <w:t xml:space="preserve"> ，属于 </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 xml:space="preserve">；制造商为</w:t>
      </w:r>
      <w:r>
        <w:rPr>
          <w:rFonts w:hint="eastAsia" w:ascii="宋体" w:hAnsi="宋体" w:cs="宋体"/>
          <w:sz w:val="24"/>
          <w:szCs w:val="24"/>
          <w:u w:val="single"/>
        </w:rPr>
        <w:t xml:space="preserve">   （企业名称）</w:t>
      </w:r>
      <w:r>
        <w:rPr>
          <w:rFonts w:hint="eastAsia" w:ascii="宋体" w:hAnsi="宋体" w:cs="宋体"/>
          <w:sz w:val="24"/>
          <w:szCs w:val="24"/>
        </w:rPr>
        <w:t xml:space="preserve">，从业人员 </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 </w:t>
      </w:r>
      <w:r>
        <w:rPr>
          <w:rFonts w:hint="eastAsia" w:ascii="宋体" w:hAnsi="宋体" w:cs="宋体"/>
          <w:sz w:val="24"/>
          <w:szCs w:val="24"/>
          <w:u w:val="single"/>
        </w:rPr>
        <w:t xml:space="preserve">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w:t>
      </w:r>
      <w:r/>
    </w:p>
    <w:p>
      <w:pPr>
        <w:ind w:firstLine="360"/>
        <w:spacing w:line="500" w:lineRule="exact"/>
        <w:rPr>
          <w:rFonts w:ascii="宋体" w:hAnsi="宋体" w:eastAsia="Arial"/>
          <w:sz w:val="24"/>
          <w:szCs w:val="24"/>
        </w:rPr>
      </w:pPr>
      <w:r>
        <w:rPr>
          <w:rFonts w:hint="eastAsia" w:ascii="宋体" w:hAnsi="宋体" w:eastAsia="Arial"/>
          <w:sz w:val="24"/>
          <w:szCs w:val="24"/>
        </w:rPr>
        <w:t xml:space="preserve">以上企业，不属于大企业的分支机构，不存在控股股东为大企业的情形，也不存在与大企业的负责人为同一人的情形。</w:t>
      </w:r>
      <w:r/>
    </w:p>
    <w:p>
      <w:pPr>
        <w:ind w:firstLine="360"/>
        <w:spacing w:line="500" w:lineRule="exact"/>
        <w:rPr>
          <w:rFonts w:ascii="宋体" w:hAnsi="宋体" w:eastAsia="Arial"/>
          <w:sz w:val="24"/>
          <w:szCs w:val="24"/>
        </w:rPr>
      </w:pPr>
      <w:r>
        <w:rPr>
          <w:rFonts w:hint="eastAsia" w:ascii="宋体" w:hAnsi="宋体" w:eastAsia="Arial"/>
          <w:sz w:val="24"/>
          <w:szCs w:val="24"/>
        </w:rPr>
        <w:t xml:space="preserve">本企业对上述声明内容的真实性负责。如有虚假，将依法承担相应责任</w:t>
      </w:r>
      <w:r/>
    </w:p>
    <w:p>
      <w:pPr>
        <w:ind w:right="180" w:firstLine="360"/>
        <w:jc w:val="right"/>
        <w:spacing w:line="560" w:lineRule="exact"/>
        <w:rPr>
          <w:rFonts w:ascii="宋体" w:hAnsi="宋体" w:eastAsia="Arial"/>
          <w:sz w:val="24"/>
          <w:szCs w:val="24"/>
        </w:rPr>
      </w:pPr>
      <w:r>
        <w:rPr>
          <w:rFonts w:hint="eastAsia" w:ascii="宋体" w:hAnsi="宋体" w:eastAsia="Arial"/>
          <w:sz w:val="24"/>
          <w:szCs w:val="24"/>
        </w:rPr>
        <w:t xml:space="preserve">企业名称（加盖CA电子公章）：</w:t>
      </w:r>
      <w:r/>
    </w:p>
    <w:p>
      <w:pPr>
        <w:ind w:right="480" w:firstLine="5880"/>
        <w:spacing w:line="560" w:lineRule="exact"/>
        <w:rPr>
          <w:rFonts w:ascii="宋体" w:hAnsi="宋体" w:eastAsia="Arial"/>
          <w:sz w:val="24"/>
          <w:szCs w:val="24"/>
        </w:rPr>
      </w:pPr>
      <w:r>
        <w:rPr>
          <w:rFonts w:hint="eastAsia" w:ascii="宋体" w:hAnsi="宋体" w:eastAsia="Arial"/>
          <w:sz w:val="24"/>
          <w:szCs w:val="24"/>
        </w:rPr>
        <w:t xml:space="preserve">日  期：</w:t>
      </w:r>
      <w:r/>
    </w:p>
    <w:p>
      <w:pPr>
        <w:rPr>
          <w:rFonts w:ascii="Calibri" w:hAnsi="Calibri" w:eastAsia="Arial"/>
          <w:szCs w:val="24"/>
        </w:rPr>
      </w:pPr>
      <w:r>
        <w:rPr>
          <w:rFonts w:ascii="Calibri" w:hAnsi="Calibri" w:eastAsia="Arial"/>
          <w:szCs w:val="24"/>
        </w:rPr>
      </w:r>
      <w:r/>
    </w:p>
    <w:p>
      <w:pPr>
        <w:ind w:firstLine="432"/>
        <w:spacing w:line="420" w:lineRule="exact"/>
        <w:rPr>
          <w:rFonts w:ascii="宋体" w:hAnsi="宋体" w:cs="宋体"/>
          <w:sz w:val="24"/>
          <w:szCs w:val="24"/>
        </w:rPr>
      </w:pPr>
      <w:r>
        <w:rPr>
          <w:rFonts w:hint="eastAsia" w:ascii="宋体" w:hAnsi="宋体" w:cs="宋体"/>
          <w:sz w:val="24"/>
          <w:szCs w:val="24"/>
        </w:rPr>
        <w:t xml:space="preserve"> </w:t>
      </w:r>
      <w:r/>
    </w:p>
    <w:p>
      <w:pPr>
        <w:ind w:firstLine="432"/>
        <w:spacing w:line="420" w:lineRule="exact"/>
        <w:rPr>
          <w:rFonts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ind w:firstLine="643"/>
        <w:spacing w:line="588" w:lineRule="exact"/>
        <w:rPr>
          <w:rFonts w:ascii="Calibri" w:hAnsi="Calibri" w:eastAsia="仿宋_GB2312"/>
          <w:spacing w:val="6"/>
          <w:sz w:val="30"/>
          <w:szCs w:val="30"/>
        </w:rPr>
      </w:pPr>
      <w:r>
        <w:rPr>
          <w:rFonts w:ascii="黑体" w:hAnsi="黑体" w:eastAsia="黑体"/>
          <w:b/>
          <w:sz w:val="32"/>
          <w:szCs w:val="32"/>
        </w:rPr>
        <w:br w:type="page" w:clear="all"/>
      </w:r>
      <w:r>
        <w:rPr>
          <w:rFonts w:hint="eastAsia" w:ascii="Calibri" w:hAnsi="Calibri" w:eastAsia="仿宋_GB2312"/>
          <w:spacing w:val="6"/>
          <w:sz w:val="30"/>
          <w:szCs w:val="30"/>
        </w:rPr>
        <w:t xml:space="preserve">附件</w:t>
      </w:r>
      <w:r/>
    </w:p>
    <w:p>
      <w:pPr>
        <w:jc w:val="center"/>
        <w:spacing w:line="588" w:lineRule="exact"/>
        <w:rPr>
          <w:rFonts w:ascii="仿宋_GB2312" w:hAnsi="Calibri" w:eastAsia="仿宋_GB2312"/>
          <w:b/>
          <w:spacing w:val="6"/>
          <w:sz w:val="32"/>
          <w:szCs w:val="32"/>
        </w:rPr>
      </w:pPr>
      <w:r/>
      <w:bookmarkStart w:id="2" w:name="OLE_LINK13"/>
      <w:r/>
      <w:bookmarkStart w:id="3" w:name="OLE_LINK14"/>
      <w:r>
        <w:rPr>
          <w:rFonts w:hint="eastAsia" w:ascii="仿宋_GB2312" w:hAnsi="Calibri" w:eastAsia="仿宋_GB2312"/>
          <w:b/>
          <w:spacing w:val="6"/>
          <w:sz w:val="32"/>
          <w:szCs w:val="32"/>
        </w:rPr>
        <w:t xml:space="preserve">残疾人福利性单位声明函</w:t>
      </w:r>
      <w:bookmarkEnd w:id="2"/>
      <w:r/>
      <w:bookmarkEnd w:id="3"/>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ind w:firstLine="624"/>
        <w:spacing w:line="588" w:lineRule="exact"/>
        <w:rPr>
          <w:rFonts w:ascii="仿宋_GB2312" w:hAnsi="Calibri" w:eastAsia="仿宋_GB2312"/>
          <w:spacing w:val="6"/>
          <w:sz w:val="30"/>
          <w:szCs w:val="30"/>
        </w:rPr>
      </w:pPr>
      <w:r>
        <w:rPr>
          <w:rFonts w:hint="eastAsia" w:ascii="仿宋_GB2312" w:hAnsi="Calibri" w:eastAsia="仿宋_GB2312"/>
          <w:spacing w:val="6"/>
          <w:sz w:val="30"/>
          <w:szCs w:val="30"/>
        </w:rPr>
        <w:t xml:space="preserve">本单位郑重声明，根据《财政部 民政部 中国残疾人联合会关于促进残疾人就业政府采购政策的通知》（财库</w:t>
      </w:r>
      <w:r>
        <w:rPr>
          <w:rFonts w:hint="eastAsia" w:ascii="仿宋_GB2312" w:hAnsi="Calibri" w:eastAsia="仿宋_GB2312"/>
          <w:sz w:val="32"/>
          <w:szCs w:val="32"/>
        </w:rPr>
        <w:t xml:space="preserve">〔2017〕 141</w:t>
      </w:r>
      <w:r>
        <w:rPr>
          <w:rFonts w:hint="eastAsia" w:ascii="仿宋_GB2312" w:hAnsi="Calibri" w:eastAsia="仿宋_GB2312"/>
          <w:spacing w:val="6"/>
          <w:sz w:val="30"/>
          <w:szCs w:val="30"/>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spacing w:line="588" w:lineRule="exact"/>
        <w:rPr>
          <w:rFonts w:ascii="仿宋_GB2312" w:hAnsi="Calibri" w:eastAsia="仿宋_GB2312"/>
          <w:spacing w:val="6"/>
          <w:sz w:val="30"/>
          <w:szCs w:val="30"/>
        </w:rPr>
      </w:pPr>
      <w:r>
        <w:rPr>
          <w:rFonts w:hint="eastAsia" w:ascii="仿宋_GB2312" w:hAnsi="Calibri" w:eastAsia="仿宋_GB2312"/>
          <w:spacing w:val="6"/>
          <w:sz w:val="30"/>
          <w:szCs w:val="30"/>
        </w:rPr>
        <w:t xml:space="preserve">本单位对上述声明的真实性负责。如有虚假，将依法承担相应责任。</w:t>
      </w:r>
      <w:r/>
    </w:p>
    <w:p>
      <w:pPr>
        <w:ind w:firstLine="624"/>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624"/>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right="1560" w:firstLine="624"/>
        <w:jc w:val="center"/>
        <w:spacing w:line="588" w:lineRule="exact"/>
        <w:tabs>
          <w:tab w:val="left" w:pos="4860" w:leader="none"/>
        </w:tabs>
        <w:rPr>
          <w:rFonts w:ascii="仿宋_GB2312" w:hAnsi="Calibri" w:eastAsia="仿宋_GB2312"/>
          <w:spacing w:val="6"/>
          <w:sz w:val="30"/>
          <w:szCs w:val="30"/>
        </w:rPr>
      </w:pPr>
      <w:r>
        <w:rPr>
          <w:rFonts w:hint="eastAsia" w:ascii="仿宋_GB2312" w:hAnsi="Calibri" w:eastAsia="仿宋_GB2312"/>
          <w:spacing w:val="6"/>
          <w:sz w:val="30"/>
          <w:szCs w:val="30"/>
        </w:rPr>
        <w:t xml:space="preserve">               单位名称（盖章）：</w:t>
      </w:r>
      <w:r/>
    </w:p>
    <w:p>
      <w:pPr>
        <w:ind w:right="1560" w:firstLine="624"/>
        <w:jc w:val="center"/>
        <w:spacing w:line="588" w:lineRule="exact"/>
        <w:tabs>
          <w:tab w:val="left" w:pos="4860" w:leader="none"/>
        </w:tabs>
        <w:rPr>
          <w:rFonts w:ascii="仿宋_GB2312" w:hAnsi="Calibri" w:eastAsia="仿宋_GB2312"/>
          <w:spacing w:val="6"/>
          <w:sz w:val="30"/>
          <w:szCs w:val="30"/>
        </w:rPr>
      </w:pPr>
      <w:r>
        <w:rPr>
          <w:rFonts w:hint="eastAsia" w:ascii="仿宋_GB2312" w:hAnsi="Calibri" w:eastAsia="仿宋_GB2312"/>
          <w:spacing w:val="6"/>
          <w:sz w:val="30"/>
          <w:szCs w:val="30"/>
        </w:rPr>
        <w:t xml:space="preserve">       日  期：</w:t>
      </w:r>
      <w:r/>
    </w:p>
    <w:p>
      <w:pPr>
        <w:ind w:firstLine="2880"/>
        <w:spacing w:line="360" w:lineRule="auto"/>
        <w:rPr>
          <w:rFonts w:ascii="黑体" w:hAnsi="宋体" w:eastAsia="黑体"/>
          <w:sz w:val="32"/>
          <w:szCs w:val="32"/>
        </w:rPr>
      </w:pPr>
      <w:r>
        <w:rPr>
          <w:rFonts w:ascii="黑体" w:hAnsi="宋体" w:eastAsia="黑体"/>
          <w:sz w:val="32"/>
          <w:szCs w:val="32"/>
        </w:rPr>
      </w:r>
      <w:r/>
    </w:p>
    <w:p>
      <w:pPr>
        <w:ind w:left="1260"/>
        <w:jc w:val="left"/>
        <w:spacing w:before="160" w:after="160" w:line="240" w:lineRule="atLeast"/>
        <w:widowControl/>
        <w:rPr>
          <w:rFonts w:eastAsia="Arial" w:cs="Arial"/>
        </w:rPr>
      </w:pPr>
      <w:r>
        <w:rPr>
          <w:rFonts w:eastAsia="Arial" w:cs="Arial"/>
        </w:rPr>
      </w:r>
      <w:r/>
    </w:p>
    <w:p>
      <w:pPr>
        <w:rPr>
          <w:rFonts w:ascii="Calibri" w:hAnsi="Calibri" w:eastAsia="Arial"/>
          <w:szCs w:val="24"/>
        </w:rPr>
      </w:pPr>
      <w:r>
        <w:rPr>
          <w:rFonts w:ascii="Calibri" w:hAnsi="Calibri" w:eastAsia="Arial"/>
          <w:szCs w:val="24"/>
        </w:rPr>
      </w:r>
      <w:r/>
    </w:p>
    <w:p>
      <w:pPr>
        <w:ind w:left="1260"/>
        <w:jc w:val="left"/>
        <w:spacing w:before="160" w:after="160" w:line="240" w:lineRule="atLeast"/>
        <w:widowControl/>
        <w:rPr>
          <w:rFonts w:eastAsia="Arial" w:cs="Arial"/>
        </w:rPr>
      </w:pPr>
      <w:r>
        <w:rPr>
          <w:rFonts w:eastAsia="Arial" w:cs="Arial"/>
        </w:rPr>
      </w:r>
      <w:r/>
    </w:p>
    <w:p>
      <w:pPr>
        <w:rPr>
          <w:rFonts w:ascii="Calibri" w:hAnsi="Calibri" w:eastAsia="Arial"/>
          <w:szCs w:val="24"/>
        </w:rPr>
      </w:pPr>
      <w:r>
        <w:rPr>
          <w:rFonts w:ascii="Calibri" w:hAnsi="Calibri" w:eastAsia="Arial"/>
          <w:szCs w:val="24"/>
        </w:rPr>
      </w:r>
      <w:r/>
    </w:p>
    <w:p>
      <w:pPr>
        <w:ind w:firstLine="2880"/>
        <w:spacing w:line="360" w:lineRule="auto"/>
        <w:rPr>
          <w:rFonts w:ascii="黑体" w:hAnsi="宋体" w:eastAsia="黑体"/>
          <w:sz w:val="32"/>
          <w:szCs w:val="32"/>
        </w:rPr>
      </w:pPr>
      <w:r>
        <w:rPr>
          <w:rFonts w:ascii="黑体" w:hAnsi="宋体" w:eastAsia="黑体"/>
          <w:sz w:val="32"/>
          <w:szCs w:val="32"/>
        </w:rPr>
      </w:r>
      <w:r/>
    </w:p>
    <w:p>
      <w:pPr>
        <w:ind w:firstLine="2880"/>
        <w:spacing w:line="360" w:lineRule="auto"/>
        <w:rPr>
          <w:rFonts w:ascii="黑体" w:hAnsi="宋体" w:eastAsia="黑体"/>
          <w:sz w:val="32"/>
          <w:szCs w:val="32"/>
        </w:rPr>
      </w:pPr>
      <w:r>
        <w:rPr>
          <w:rFonts w:ascii="黑体" w:hAnsi="宋体" w:eastAsia="黑体"/>
          <w:sz w:val="32"/>
          <w:szCs w:val="32"/>
        </w:rPr>
      </w:r>
      <w:r/>
    </w:p>
    <w:p>
      <w:pPr>
        <w:ind w:firstLine="1335"/>
        <w:spacing w:line="440" w:lineRule="exact"/>
        <w:rPr>
          <w:rFonts w:ascii="宋体" w:hAnsi="宋体"/>
          <w:sz w:val="28"/>
          <w:szCs w:val="28"/>
        </w:rPr>
      </w:pPr>
      <w:r>
        <w:rPr>
          <w:rFonts w:hint="eastAsia" w:ascii="宋体" w:hAnsi="宋体" w:eastAsia="Arial"/>
          <w:sz w:val="28"/>
          <w:szCs w:val="28"/>
        </w:rPr>
        <w:t xml:space="preserve"> 备注：</w:t>
      </w:r>
      <w:r>
        <w:rPr>
          <w:rFonts w:hint="eastAsia" w:ascii="宋体" w:hAnsi="宋体"/>
          <w:sz w:val="28"/>
          <w:szCs w:val="28"/>
        </w:rPr>
        <w:t xml:space="preserve">如是残疾人福利性单位需提供</w:t>
      </w:r>
      <w:r>
        <w:rPr>
          <w:rFonts w:hint="eastAsia" w:ascii="宋体" w:hAnsi="宋体" w:eastAsia="Arial"/>
          <w:sz w:val="28"/>
          <w:szCs w:val="28"/>
        </w:rPr>
        <w:t xml:space="preserve">。</w:t>
      </w:r>
      <w:r/>
    </w:p>
    <w:p>
      <w:pPr>
        <w:ind w:firstLine="2880"/>
        <w:spacing w:line="360" w:lineRule="auto"/>
        <w:rPr>
          <w:rFonts w:ascii="黑体" w:hAnsi="宋体" w:eastAsia="黑体"/>
          <w:sz w:val="32"/>
          <w:szCs w:val="32"/>
        </w:rPr>
      </w:pPr>
      <w:r>
        <w:rPr>
          <w:rFonts w:ascii="黑体" w:hAnsi="宋体" w:eastAsia="黑体"/>
          <w:sz w:val="32"/>
          <w:szCs w:val="32"/>
        </w:rPr>
      </w:r>
      <w:r/>
    </w:p>
    <w:p>
      <w:pPr>
        <w:ind w:firstLine="420"/>
        <w:spacing w:line="400" w:lineRule="exact"/>
        <w:rPr>
          <w:rFonts w:ascii="黑体" w:hAnsi="宋体" w:eastAsia="黑体"/>
          <w:sz w:val="32"/>
          <w:szCs w:val="32"/>
        </w:rPr>
      </w:pPr>
      <w:r>
        <w:rPr>
          <w:rFonts w:ascii="黑体" w:hAnsi="宋体" w:eastAsia="黑体"/>
          <w:sz w:val="32"/>
          <w:szCs w:val="32"/>
        </w:rPr>
      </w:r>
      <w:r/>
    </w:p>
    <w:p>
      <w:pPr>
        <w:spacing w:line="400" w:lineRule="exact"/>
        <w:rPr>
          <w:rFonts w:ascii="黑体" w:hAnsi="宋体" w:eastAsia="黑体"/>
          <w:sz w:val="32"/>
          <w:szCs w:val="32"/>
        </w:rPr>
      </w:pPr>
      <w:r>
        <w:rPr>
          <w:rFonts w:ascii="黑体" w:hAnsi="宋体" w:eastAsia="黑体"/>
          <w:sz w:val="32"/>
          <w:szCs w:val="32"/>
        </w:rPr>
      </w:r>
      <w:r/>
    </w:p>
    <w:p>
      <w:pPr>
        <w:ind w:firstLine="2880"/>
        <w:spacing w:line="360" w:lineRule="auto"/>
        <w:rPr>
          <w:rFonts w:ascii="黑体" w:hAnsi="宋体" w:eastAsia="黑体"/>
          <w:sz w:val="32"/>
          <w:szCs w:val="32"/>
        </w:rPr>
      </w:pPr>
      <w:r>
        <w:rPr>
          <w:rFonts w:hint="eastAsia" w:ascii="黑体" w:hAnsi="宋体" w:eastAsia="黑体"/>
          <w:sz w:val="32"/>
          <w:szCs w:val="32"/>
        </w:rPr>
        <w:t xml:space="preserve">属于监狱企业的证明文件</w:t>
      </w:r>
      <w:r/>
    </w:p>
    <w:p>
      <w:pPr>
        <w:ind w:firstLine="560"/>
        <w:jc w:val="left"/>
        <w:spacing w:line="500" w:lineRule="exact"/>
        <w:widowControl/>
        <w:rPr>
          <w:rFonts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ascii="宋体" w:hAnsi="宋体" w:cs="Arial"/>
          <w:sz w:val="28"/>
          <w:szCs w:val="28"/>
        </w:rPr>
      </w:pPr>
      <w:r>
        <w:rPr>
          <w:rFonts w:ascii="宋体" w:hAnsi="宋体" w:cs="Arial"/>
          <w:sz w:val="28"/>
          <w:szCs w:val="28"/>
        </w:rPr>
      </w:r>
      <w:r/>
    </w:p>
    <w:p>
      <w:pPr>
        <w:rPr>
          <w:rFonts w:ascii="Calibri" w:hAnsi="Calibri" w:eastAsia="Arial"/>
          <w:szCs w:val="24"/>
        </w:rPr>
      </w:pPr>
      <w:r>
        <w:rPr>
          <w:rFonts w:ascii="Calibri" w:hAnsi="Calibri" w:eastAsia="Arial"/>
          <w:szCs w:val="24"/>
        </w:rPr>
      </w:r>
      <w:r/>
    </w:p>
    <w:p>
      <w:pPr>
        <w:rPr>
          <w:rFonts w:ascii="Calibri" w:hAnsi="Calibri" w:eastAsia="Arial"/>
          <w:szCs w:val="24"/>
        </w:rPr>
      </w:pPr>
      <w:r>
        <w:rPr>
          <w:rFonts w:ascii="Calibri" w:hAnsi="Calibri" w:eastAsia="Arial"/>
          <w:szCs w:val="24"/>
        </w:rPr>
      </w:r>
      <w:r/>
    </w:p>
    <w:p>
      <w:pPr>
        <w:ind w:firstLine="420"/>
        <w:spacing w:line="400" w:lineRule="exact"/>
        <w:rPr>
          <w:rFonts w:ascii="宋体" w:hAnsi="宋体" w:eastAsia="Arial"/>
          <w:sz w:val="28"/>
          <w:szCs w:val="28"/>
        </w:rPr>
      </w:pPr>
      <w:r>
        <w:rPr>
          <w:rFonts w:ascii="宋体" w:hAnsi="宋体" w:eastAsia="Arial"/>
          <w:sz w:val="28"/>
          <w:szCs w:val="28"/>
        </w:rPr>
      </w:r>
      <w:r/>
    </w:p>
    <w:p>
      <w:pPr>
        <w:ind w:firstLine="420"/>
        <w:spacing w:line="400" w:lineRule="exact"/>
        <w:rPr>
          <w:rFonts w:ascii="宋体" w:hAnsi="宋体" w:eastAsia="Arial"/>
          <w:sz w:val="24"/>
        </w:rPr>
      </w:pPr>
      <w:r>
        <w:rPr>
          <w:rFonts w:ascii="宋体" w:hAnsi="宋体" w:eastAsia="Arial"/>
          <w:sz w:val="24"/>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firstLine="2240"/>
        <w:spacing w:line="440" w:lineRule="exact"/>
        <w:rPr>
          <w:rFonts w:ascii="黑体" w:hAnsi="宋体" w:eastAsia="黑体"/>
          <w:sz w:val="32"/>
          <w:szCs w:val="32"/>
        </w:rPr>
      </w:pPr>
      <w:r>
        <w:rPr>
          <w:rFonts w:ascii="黑体" w:hAnsi="宋体" w:eastAsia="黑体"/>
          <w:sz w:val="32"/>
          <w:szCs w:val="32"/>
        </w:rPr>
      </w:r>
      <w:r/>
    </w:p>
    <w:p>
      <w:pPr>
        <w:ind w:right="1560" w:firstLine="560"/>
        <w:jc w:val="center"/>
        <w:spacing w:line="588" w:lineRule="exact"/>
        <w:tabs>
          <w:tab w:val="left" w:pos="4860" w:leader="none"/>
        </w:tabs>
        <w:rPr>
          <w:rFonts w:ascii="黑体" w:hAnsi="黑体" w:eastAsia="黑体"/>
          <w:b/>
          <w:sz w:val="32"/>
          <w:szCs w:val="32"/>
        </w:rPr>
      </w:pPr>
      <w:r>
        <w:rPr>
          <w:rFonts w:hint="eastAsia" w:ascii="宋体" w:hAnsi="宋体" w:eastAsia="Arial"/>
          <w:sz w:val="28"/>
          <w:szCs w:val="28"/>
        </w:rPr>
        <w:t xml:space="preserve"> 备注：</w:t>
      </w:r>
      <w:r>
        <w:rPr>
          <w:rFonts w:hint="eastAsia" w:ascii="宋体" w:hAnsi="宋体"/>
          <w:sz w:val="28"/>
          <w:szCs w:val="28"/>
        </w:rPr>
        <w:t xml:space="preserve">如是监狱企业需提供</w:t>
      </w:r>
      <w:r>
        <w:rPr>
          <w:rFonts w:hint="eastAsia" w:ascii="宋体" w:hAnsi="宋体" w:eastAsia="Arial"/>
          <w:sz w:val="28"/>
          <w:szCs w:val="28"/>
        </w:rPr>
        <w:t xml:space="preserve">。</w:t>
      </w:r>
      <w:r/>
    </w:p>
    <w:p>
      <w:pPr>
        <w:ind w:right="1560" w:firstLine="643"/>
        <w:jc w:val="center"/>
        <w:spacing w:line="588" w:lineRule="exact"/>
        <w:tabs>
          <w:tab w:val="left" w:pos="4860" w:leader="none"/>
        </w:tabs>
        <w:rPr>
          <w:rFonts w:ascii="黑体" w:hAnsi="黑体" w:eastAsia="黑体"/>
          <w:b/>
          <w:sz w:val="32"/>
          <w:szCs w:val="32"/>
        </w:rPr>
      </w:pPr>
      <w:r>
        <w:rPr>
          <w:rFonts w:ascii="黑体" w:hAnsi="黑体" w:eastAsia="黑体"/>
          <w:b/>
          <w:sz w:val="32"/>
          <w:szCs w:val="32"/>
        </w:rPr>
      </w:r>
      <w:r/>
    </w:p>
    <w:p>
      <w:pPr>
        <w:spacing w:after="120"/>
        <w:rPr>
          <w:rFonts w:ascii="黑体" w:hAnsi="黑体" w:eastAsia="黑体"/>
          <w:b/>
          <w:sz w:val="32"/>
          <w:szCs w:val="32"/>
        </w:rPr>
      </w:pPr>
      <w:r>
        <w:rPr>
          <w:rFonts w:ascii="黑体" w:hAnsi="黑体" w:eastAsia="黑体"/>
          <w:b/>
          <w:sz w:val="32"/>
          <w:szCs w:val="32"/>
        </w:rPr>
      </w:r>
      <w:r/>
    </w:p>
    <w:p>
      <w:pPr>
        <w:jc w:val="center"/>
        <w:pageBreakBefore/>
        <w:spacing w:before="50" w:after="50"/>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十</w:t>
      </w:r>
      <w:r>
        <w:rPr>
          <w:rFonts w:hint="eastAsia" w:ascii="宋体" w:hAnsi="宋体" w:cs="宋体"/>
          <w:b/>
          <w:sz w:val="32"/>
        </w:rPr>
        <w:t xml:space="preserve">二</w:t>
      </w:r>
      <w:r>
        <w:rPr>
          <w:rFonts w:ascii="宋体" w:hAnsi="宋体" w:cs="宋体"/>
          <w:b/>
          <w:sz w:val="32"/>
        </w:rPr>
        <w:t xml:space="preserve">、关于符合本国产品标准的声明函</w:t>
      </w:r>
      <w:r/>
    </w:p>
    <w:p>
      <w:pPr>
        <w:ind w:firstLine="420"/>
        <w:rPr>
          <w:rFonts w:ascii="Calibri" w:hAnsi="Calibri" w:eastAsia="Arial"/>
          <w:sz w:val="24"/>
          <w:szCs w:val="24"/>
        </w:rPr>
      </w:pPr>
      <w:r>
        <w:rPr>
          <w:rFonts w:ascii="Arial" w:hAnsi="Arial" w:eastAsia="Arial" w:cs="Arial"/>
          <w:sz w:val="24"/>
          <w:szCs w:val="24"/>
        </w:rPr>
        <w:t xml:space="preserve"> </w:t>
      </w:r>
      <w:r/>
    </w:p>
    <w:p>
      <w:pPr>
        <w:ind w:firstLine="420"/>
        <w:rPr>
          <w:rFonts w:ascii="Calibri" w:hAnsi="Calibri" w:eastAsia="Arial"/>
          <w:sz w:val="24"/>
          <w:szCs w:val="24"/>
        </w:rPr>
      </w:pPr>
      <w:r>
        <w:rPr>
          <w:rFonts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Calibri" w:hAnsi="Calibri" w:eastAsia="Arial"/>
          <w:sz w:val="24"/>
          <w:szCs w:val="24"/>
        </w:rPr>
      </w:pPr>
      <w:r>
        <w:rPr>
          <w:rFonts w:ascii="宋体" w:hAnsi="宋体" w:cs="宋体"/>
          <w:sz w:val="24"/>
          <w:szCs w:val="24"/>
          <w:shd w:val="clear" w:color="auto" w:fill="ffffff"/>
        </w:rPr>
        <w:t xml:space="preserve">1.</w:t>
      </w:r>
      <w:r>
        <w:rPr>
          <w:rFonts w:ascii="宋体" w:hAnsi="宋体" w:cs="宋体"/>
          <w:sz w:val="24"/>
          <w:szCs w:val="24"/>
          <w:u w:val="single"/>
          <w:shd w:val="clear" w:color="auto" w:fill="ffffff"/>
        </w:rPr>
        <w:t xml:space="preserve">（产品名称1）</w:t>
      </w:r>
      <w:r>
        <w:rPr>
          <w:rFonts w:ascii="宋体" w:hAnsi="宋体" w:cs="宋体"/>
          <w:sz w:val="24"/>
          <w:szCs w:val="24"/>
          <w:shd w:val="clear" w:color="auto" w:fill="ffffff"/>
          <w:vertAlign w:val="superscript"/>
        </w:rPr>
        <w:t xml:space="preserve">1</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 （产品名称1）</w:t>
      </w:r>
      <w:r>
        <w:rPr>
          <w:rFonts w:ascii="宋体" w:hAnsi="宋体" w:cs="宋体"/>
          <w:sz w:val="24"/>
          <w:szCs w:val="24"/>
          <w:u w:val="single"/>
          <w:shd w:val="clear" w:color="auto" w:fill="ffffff"/>
        </w:rPr>
        <w:t xml:space="preserve"> </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trike/>
          <w:sz w:val="24"/>
          <w:szCs w:val="24"/>
          <w:shd w:val="clear" w:color="auto" w:fill="ffffff"/>
          <w:vertAlign w:val="superscript"/>
        </w:rPr>
        <w:t xml:space="preserve">3</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trike/>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trike/>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ind w:firstLine="420"/>
        <w:spacing w:before="30" w:after="30"/>
        <w:rPr>
          <w:rFonts w:ascii="Calibri" w:hAnsi="Calibri" w:eastAsia="Arial"/>
          <w:sz w:val="24"/>
          <w:szCs w:val="24"/>
        </w:rPr>
      </w:pPr>
      <w:r>
        <w:rPr>
          <w:rFonts w:ascii="宋体" w:hAnsi="宋体" w:cs="宋体"/>
          <w:sz w:val="24"/>
          <w:szCs w:val="24"/>
          <w:shd w:val="clear" w:color="auto" w:fill="ffffff"/>
        </w:rPr>
        <w:t xml:space="preserve">2.</w:t>
      </w:r>
      <w:r>
        <w:rPr>
          <w:rFonts w:ascii="宋体" w:hAnsi="宋体" w:cs="宋体"/>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ind w:firstLine="420"/>
        <w:spacing w:before="30" w:after="30"/>
        <w:rPr>
          <w:rFonts w:ascii="Calibri" w:hAnsi="Calibri" w:eastAsia="Arial"/>
          <w:sz w:val="24"/>
          <w:szCs w:val="24"/>
        </w:rPr>
      </w:pPr>
      <w:r>
        <w:rPr>
          <w:rFonts w:ascii="宋体" w:hAnsi="宋体" w:cs="宋体"/>
          <w:sz w:val="24"/>
          <w:szCs w:val="24"/>
          <w:shd w:val="clear" w:color="auto" w:fill="ffffff"/>
        </w:rPr>
        <w:t xml:space="preserve">……</w:t>
      </w:r>
      <w:r/>
    </w:p>
    <w:p>
      <w:pPr>
        <w:ind w:firstLine="420"/>
        <w:spacing w:before="30" w:after="30"/>
        <w:rPr>
          <w:rFonts w:ascii="Calibri" w:hAnsi="Calibri" w:eastAsia="Arial"/>
          <w:sz w:val="24"/>
          <w:szCs w:val="24"/>
        </w:rPr>
      </w:pPr>
      <w:r>
        <w:rPr>
          <w:rFonts w:ascii="宋体" w:hAnsi="宋体" w:cs="宋体"/>
          <w:sz w:val="24"/>
          <w:szCs w:val="24"/>
          <w:shd w:val="clear" w:color="auto" w:fill="ffffff"/>
        </w:rPr>
        <w:t xml:space="preserve">本公司（单位）对上述声明内容的真实性负责。如有虚假，愿承担相应法律责任。</w:t>
      </w:r>
      <w:r/>
    </w:p>
    <w:p>
      <w:pPr>
        <w:ind w:right="480" w:firstLine="3720"/>
        <w:spacing w:before="30" w:after="30"/>
        <w:rPr>
          <w:rFonts w:ascii="Calibri" w:hAnsi="Calibri" w:eastAsia="Arial"/>
          <w:sz w:val="24"/>
          <w:szCs w:val="24"/>
        </w:rPr>
      </w:pPr>
      <w:r>
        <w:rPr>
          <w:rFonts w:ascii="宋体" w:hAnsi="宋体" w:cs="宋体"/>
          <w:sz w:val="24"/>
          <w:szCs w:val="24"/>
          <w:shd w:val="clear" w:color="auto" w:fill="ffffff"/>
        </w:rPr>
        <w:t xml:space="preserve">公司（单位）名称（盖章）：　</w:t>
      </w:r>
      <w:r/>
    </w:p>
    <w:p>
      <w:pPr>
        <w:jc w:val="center"/>
        <w:spacing w:before="30" w:after="30"/>
        <w:rPr>
          <w:rFonts w:ascii="Calibri" w:hAnsi="Calibri" w:eastAsia="Arial"/>
          <w:sz w:val="24"/>
          <w:szCs w:val="24"/>
        </w:rPr>
      </w:pPr>
      <w:r>
        <w:rPr>
          <w:rFonts w:ascii="宋体" w:hAnsi="宋体" w:cs="宋体"/>
          <w:sz w:val="24"/>
          <w:szCs w:val="24"/>
          <w:shd w:val="clear" w:color="auto" w:fill="ffffff"/>
        </w:rPr>
        <w:t xml:space="preserve">                        日期：　   年　  月　  日</w:t>
      </w:r>
      <w:r/>
    </w:p>
    <w:p>
      <w:pPr>
        <w:spacing w:before="30" w:after="30"/>
        <w:rPr>
          <w:rFonts w:ascii="Calibri" w:hAnsi="Calibri" w:eastAsia="Arial"/>
          <w:sz w:val="24"/>
          <w:szCs w:val="24"/>
        </w:rPr>
      </w:pPr>
      <w:r>
        <w:rPr>
          <w:rFonts w:ascii="宋体" w:hAnsi="宋体" w:cs="宋体"/>
          <w:sz w:val="24"/>
          <w:szCs w:val="24"/>
          <w:shd w:val="clear" w:color="auto" w:fill="ffffff"/>
        </w:rPr>
        <w:t xml:space="preserve">__________________</w:t>
      </w:r>
      <w:r/>
    </w:p>
    <w:p>
      <w:pPr>
        <w:spacing w:before="30" w:after="30"/>
        <w:rPr>
          <w:rFonts w:ascii="Calibri" w:hAnsi="Calibri" w:eastAsia="Arial"/>
          <w:sz w:val="24"/>
          <w:szCs w:val="24"/>
        </w:rPr>
      </w:pPr>
      <w:r>
        <w:rPr>
          <w:rFonts w:ascii="宋体" w:hAnsi="宋体" w:cs="宋体"/>
          <w:sz w:val="24"/>
          <w:szCs w:val="24"/>
          <w:shd w:val="clear" w:color="auto" w:fill="ffffff"/>
        </w:rPr>
        <w:t xml:space="preserve">1.产品如有型号，请在“产品名称”栏一并填写。</w:t>
      </w:r>
      <w:r/>
    </w:p>
    <w:p>
      <w:pPr>
        <w:spacing w:before="30" w:after="30"/>
        <w:rPr>
          <w:rFonts w:ascii="Calibri" w:hAnsi="Calibri" w:eastAsia="Arial"/>
          <w:sz w:val="24"/>
          <w:szCs w:val="24"/>
        </w:rPr>
      </w:pPr>
      <w:r>
        <w:rPr>
          <w:rFonts w:ascii="宋体" w:hAnsi="宋体" w:cs="宋体"/>
          <w:sz w:val="24"/>
          <w:szCs w:val="24"/>
          <w:shd w:val="clear" w:color="auto" w:fill="ffffff"/>
        </w:rPr>
        <w:t xml:space="preserve">2.生产厂名与厂址应与生产厂营业执照载明的相关信息保持一致。</w:t>
      </w:r>
      <w:r/>
    </w:p>
    <w:p>
      <w:pPr>
        <w:spacing w:before="30" w:after="30"/>
        <w:rPr>
          <w:rFonts w:ascii="Calibri" w:hAnsi="Calibri" w:eastAsia="Arial"/>
          <w:sz w:val="24"/>
          <w:szCs w:val="24"/>
        </w:rPr>
      </w:pPr>
      <w:r>
        <w:rPr>
          <w:rFonts w:ascii="宋体" w:hAnsi="宋体" w:cs="宋体"/>
          <w:sz w:val="24"/>
          <w:szCs w:val="24"/>
          <w:shd w:val="clear" w:color="auto" w:fill="ffffff"/>
        </w:rPr>
        <w:t xml:space="preserve">3.该产品的中国境内生产的组件成本占比相关要求实施前，“规定比例”栏可不填，下同。</w:t>
      </w:r>
      <w:r/>
    </w:p>
    <w:p>
      <w:pPr>
        <w:spacing w:before="30" w:after="30"/>
        <w:rPr>
          <w:rFonts w:ascii="Calibri" w:hAnsi="Calibri" w:eastAsia="Arial"/>
          <w:sz w:val="24"/>
          <w:szCs w:val="24"/>
        </w:rPr>
      </w:pPr>
      <w:r>
        <w:rPr>
          <w:rFonts w:ascii="宋体" w:hAnsi="宋体" w:cs="宋体"/>
          <w:sz w:val="24"/>
          <w:szCs w:val="24"/>
          <w:shd w:val="clear" w:color="auto" w:fill="ffffff"/>
        </w:rPr>
        <w:t xml:space="preserve">4.该产品的关键组件要求实施前，“关键组件”栏可不填，下同。</w:t>
      </w:r>
      <w:r/>
    </w:p>
    <w:p>
      <w:pPr>
        <w:spacing w:before="30" w:after="30"/>
        <w:rPr>
          <w:rFonts w:ascii="Calibri" w:hAnsi="Calibri" w:eastAsia="Arial"/>
          <w:sz w:val="24"/>
          <w:szCs w:val="24"/>
        </w:rPr>
      </w:pPr>
      <w:r>
        <w:rPr>
          <w:rFonts w:ascii="宋体" w:hAnsi="宋体" w:cs="宋体"/>
          <w:sz w:val="24"/>
          <w:szCs w:val="24"/>
          <w:shd w:val="clear" w:color="auto" w:fill="ffffff"/>
        </w:rPr>
        <w:t xml:space="preserve">5.该产品的关键工序要求实施前，“关键工序”栏可不填，下同。</w:t>
      </w:r>
      <w:r/>
    </w:p>
    <w:p>
      <w:pPr>
        <w:spacing w:before="30" w:after="30"/>
        <w:rPr>
          <w:rFonts w:ascii="Calibri" w:hAnsi="Calibri" w:eastAsia="Arial"/>
          <w:sz w:val="24"/>
          <w:szCs w:val="24"/>
        </w:rPr>
      </w:pPr>
      <w:r>
        <w:rPr>
          <w:rFonts w:ascii="宋体" w:hAnsi="宋体" w:cs="宋体"/>
          <w:sz w:val="24"/>
          <w:szCs w:val="24"/>
          <w:shd w:val="clear" w:color="auto" w:fill="ffffff"/>
        </w:rPr>
        <w:t xml:space="preserve">6.用</w:t>
      </w:r>
      <w:r>
        <w:rPr>
          <w:rFonts w:hint="eastAsia" w:ascii="宋体" w:hAnsi="宋体" w:cs="宋体"/>
          <w:sz w:val="24"/>
          <w:szCs w:val="24"/>
          <w:shd w:val="clear" w:color="auto" w:fill="ffffff"/>
        </w:rPr>
        <w:t xml:space="preserve">横</w:t>
      </w:r>
      <w:r>
        <w:rPr>
          <w:rFonts w:ascii="宋体" w:hAnsi="宋体" w:cs="宋体"/>
          <w:sz w:val="24"/>
          <w:szCs w:val="24"/>
          <w:shd w:val="clear" w:color="auto" w:fill="ffffff"/>
        </w:rPr>
        <w:t xml:space="preserve">线划除的地方无需填写。</w:t>
      </w:r>
      <w:r/>
    </w:p>
    <w:p>
      <w:pPr>
        <w:jc w:val="center"/>
        <w:rPr>
          <w:rFonts w:ascii="黑体" w:hAnsi="黑体" w:eastAsia="黑体"/>
          <w:i/>
          <w:sz w:val="32"/>
          <w:szCs w:val="32"/>
          <w:u w:val="single"/>
        </w:rPr>
      </w:pPr>
      <w:r>
        <w:rPr>
          <w:rFonts w:ascii="黑体" w:hAnsi="黑体" w:eastAsia="黑体"/>
          <w:i/>
          <w:sz w:val="32"/>
          <w:szCs w:val="32"/>
          <w:u w:val="single"/>
        </w:rPr>
      </w:r>
      <w:r/>
    </w:p>
    <w:p>
      <w:pPr>
        <w:jc w:val="center"/>
        <w:spacing w:line="360" w:lineRule="auto"/>
        <w:pBdr>
          <w:top w:val="none" w:color="000000" w:sz="0" w:space="0"/>
          <w:left w:val="none" w:color="000000" w:sz="0" w:space="0"/>
          <w:bottom w:val="none" w:color="000000" w:sz="0" w:space="0"/>
          <w:right w:val="none" w:color="000000" w:sz="0" w:space="0"/>
        </w:pBdr>
      </w:pPr>
      <w:r/>
      <w:r/>
    </w:p>
    <w:sectPr>
      <w:footerReference w:type="default" r:id="rId9"/>
      <w:footnotePr/>
      <w:endnotePr/>
      <w:type w:val="nextPage"/>
      <w:pgSz w:w="11906" w:h="16838" w:orient="portrait"/>
      <w:pgMar w:top="1440" w:right="1587" w:bottom="1440" w:left="158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Bookshelf Symbol 7">
    <w:panose1 w:val="05010101010101010101"/>
  </w:font>
  <w:font w:name="Symbol">
    <w:panose1 w:val="05050102010706020507"/>
  </w:font>
  <w:font w:name="方正黑体_GBK">
    <w:panose1 w:val="020B0503020202020204"/>
  </w:font>
  <w:font w:name="Wingdings">
    <w:panose1 w:val="05000000000000000000"/>
  </w:font>
  <w:font w:name="Cambria Math">
    <w:panose1 w:val="0204050305040603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35"/>
      <w:isLgl w:val="false"/>
      <w:suff w:val="tab"/>
      <w:lvlText w:val=""/>
      <w:lvlJc w:val="left"/>
      <w:pPr>
        <w:ind w:left="602" w:hanging="245"/>
        <w:tabs>
          <w:tab w:val="left" w:pos="717" w:leader="none"/>
        </w:tabs>
      </w:pPr>
      <w:rPr>
        <w:rFonts w:ascii="Wingdings" w:hAnsi="Wingdings"/>
      </w:rPr>
    </w:lvl>
    <w:lvl w:ilvl="1">
      <w:start w:val="1"/>
      <w:numFmt w:val="bullet"/>
      <w:isLgl w:val="false"/>
      <w:suff w:val="tab"/>
      <w:lvlText w:val=""/>
      <w:lvlJc w:val="left"/>
      <w:pPr>
        <w:ind w:left="1197" w:hanging="420"/>
        <w:tabs>
          <w:tab w:val="left" w:pos="1197" w:leader="none"/>
        </w:tabs>
      </w:pPr>
      <w:rPr>
        <w:rFonts w:ascii="Bookshelf Symbol 7" w:hAnsi="Bookshelf Symbol 7"/>
      </w:rPr>
    </w:lvl>
    <w:lvl w:ilvl="2">
      <w:start w:val="1"/>
      <w:numFmt w:val="bullet"/>
      <w:isLgl w:val="false"/>
      <w:suff w:val="tab"/>
      <w:lvlText w:val=""/>
      <w:lvlJc w:val="left"/>
      <w:pPr>
        <w:ind w:left="1617" w:hanging="420"/>
        <w:tabs>
          <w:tab w:val="left" w:pos="1617" w:leader="none"/>
        </w:tabs>
      </w:pPr>
      <w:rPr>
        <w:rFonts w:ascii="Bookshelf Symbol 7" w:hAnsi="Bookshelf Symbol 7"/>
      </w:rPr>
    </w:lvl>
    <w:lvl w:ilvl="3">
      <w:start w:val="1"/>
      <w:numFmt w:val="bullet"/>
      <w:isLgl w:val="false"/>
      <w:suff w:val="tab"/>
      <w:lvlText w:val=""/>
      <w:lvlJc w:val="left"/>
      <w:pPr>
        <w:ind w:left="2037" w:hanging="420"/>
        <w:tabs>
          <w:tab w:val="left" w:pos="2037" w:leader="none"/>
        </w:tabs>
      </w:pPr>
      <w:rPr>
        <w:rFonts w:ascii="Bookshelf Symbol 7" w:hAnsi="Bookshelf Symbol 7"/>
      </w:rPr>
    </w:lvl>
    <w:lvl w:ilvl="4">
      <w:start w:val="1"/>
      <w:numFmt w:val="bullet"/>
      <w:isLgl w:val="false"/>
      <w:suff w:val="tab"/>
      <w:lvlText w:val=""/>
      <w:lvlJc w:val="left"/>
      <w:pPr>
        <w:ind w:left="2457" w:hanging="420"/>
        <w:tabs>
          <w:tab w:val="left" w:pos="2457" w:leader="none"/>
        </w:tabs>
      </w:pPr>
      <w:rPr>
        <w:rFonts w:ascii="Bookshelf Symbol 7" w:hAnsi="Bookshelf Symbol 7"/>
      </w:rPr>
    </w:lvl>
    <w:lvl w:ilvl="5">
      <w:start w:val="1"/>
      <w:numFmt w:val="bullet"/>
      <w:isLgl w:val="false"/>
      <w:suff w:val="tab"/>
      <w:lvlText w:val=""/>
      <w:lvlJc w:val="left"/>
      <w:pPr>
        <w:ind w:left="2877" w:hanging="420"/>
        <w:tabs>
          <w:tab w:val="left" w:pos="2877" w:leader="none"/>
        </w:tabs>
      </w:pPr>
      <w:rPr>
        <w:rFonts w:ascii="Bookshelf Symbol 7" w:hAnsi="Bookshelf Symbol 7"/>
      </w:rPr>
    </w:lvl>
    <w:lvl w:ilvl="6">
      <w:start w:val="1"/>
      <w:numFmt w:val="bullet"/>
      <w:isLgl w:val="false"/>
      <w:suff w:val="tab"/>
      <w:lvlText w:val=""/>
      <w:lvlJc w:val="left"/>
      <w:pPr>
        <w:ind w:left="3297" w:hanging="420"/>
        <w:tabs>
          <w:tab w:val="left" w:pos="3297" w:leader="none"/>
        </w:tabs>
      </w:pPr>
      <w:rPr>
        <w:rFonts w:ascii="Bookshelf Symbol 7" w:hAnsi="Bookshelf Symbol 7"/>
      </w:rPr>
    </w:lvl>
    <w:lvl w:ilvl="7">
      <w:start w:val="1"/>
      <w:numFmt w:val="bullet"/>
      <w:isLgl w:val="false"/>
      <w:suff w:val="tab"/>
      <w:lvlText w:val=""/>
      <w:lvlJc w:val="left"/>
      <w:pPr>
        <w:ind w:left="3717" w:hanging="420"/>
        <w:tabs>
          <w:tab w:val="left" w:pos="3717" w:leader="none"/>
        </w:tabs>
      </w:pPr>
      <w:rPr>
        <w:rFonts w:ascii="Bookshelf Symbol 7" w:hAnsi="Bookshelf Symbol 7"/>
      </w:rPr>
    </w:lvl>
    <w:lvl w:ilvl="8">
      <w:start w:val="1"/>
      <w:numFmt w:val="bullet"/>
      <w:isLgl w:val="false"/>
      <w:suff w:val="tab"/>
      <w:lvlText w:val=""/>
      <w:lvlJc w:val="left"/>
      <w:pPr>
        <w:ind w:left="4137" w:hanging="420"/>
        <w:tabs>
          <w:tab w:val="left" w:pos="4137" w:leader="none"/>
        </w:tabs>
      </w:pPr>
      <w:rPr>
        <w:rFonts w:ascii="Bookshelf Symbol 7" w:hAnsi="Bookshelf Symbol 7"/>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0"/>
      <w:isLgl w:val="false"/>
      <w:suff w:val="nothing"/>
      <w:lvlText w:val=""/>
      <w:lvlJc w:val="left"/>
      <w:pPr>
        <w:ind w:left="0" w:firstLine="0"/>
      </w:pPr>
      <w:rPr>
        <w:rFonts w:hint="eastAsia"/>
      </w:rPr>
    </w:lvl>
    <w:lvl w:ilvl="6">
      <w:start w:val="1"/>
      <w:numFmt w:val="decimal"/>
      <w:pStyle w:val="861"/>
      <w:isLgl w:val="false"/>
      <w:suff w:val="nothing"/>
      <w:lvlText w:val=""/>
      <w:lvlJc w:val="left"/>
      <w:pPr>
        <w:ind w:left="0" w:firstLine="0"/>
      </w:pPr>
      <w:rPr>
        <w:rFonts w:hint="eastAsia"/>
      </w:rPr>
    </w:lvl>
    <w:lvl w:ilvl="7">
      <w:start w:val="1"/>
      <w:numFmt w:val="decimal"/>
      <w:pStyle w:val="862"/>
      <w:isLgl w:val="false"/>
      <w:suff w:val="nothing"/>
      <w:lvlText w:val=""/>
      <w:lvlJc w:val="left"/>
      <w:pPr>
        <w:ind w:left="0" w:firstLine="0"/>
      </w:pPr>
      <w:rPr>
        <w:rFonts w:hint="eastAsia"/>
      </w:rPr>
    </w:lvl>
    <w:lvl w:ilvl="8">
      <w:start w:val="1"/>
      <w:numFmt w:val="decimal"/>
      <w:pStyle w:val="863"/>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3"/>
  </w:num>
  <w:num w:numId="4">
    <w:abstractNumId w:val="4"/>
  </w:num>
  <w:num w:numId="5">
    <w:abstractNumId w:val="11"/>
  </w:num>
  <w:num w:numId="6">
    <w:abstractNumId w:val="14"/>
  </w:num>
  <w:num w:numId="7">
    <w:abstractNumId w:val="5"/>
  </w:num>
  <w:num w:numId="8">
    <w:abstractNumId w:val="12"/>
  </w:num>
  <w:num w:numId="9">
    <w:abstractNumId w:val="0"/>
  </w:num>
  <w:num w:numId="10">
    <w:abstractNumId w:val="9"/>
  </w:num>
  <w:num w:numId="11">
    <w:abstractNumId w:val="8"/>
  </w:num>
  <w:num w:numId="12">
    <w:abstractNumId w:val="3"/>
  </w:num>
  <w:num w:numId="13">
    <w:abstractNumId w:val="1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character" w:styleId="34">
    <w:name w:val="Title Char"/>
    <w:basedOn w:val="676"/>
    <w:link w:val="698"/>
    <w:uiPriority w:val="10"/>
    <w:rPr>
      <w:sz w:val="48"/>
      <w:szCs w:val="48"/>
    </w:rPr>
  </w:style>
  <w:style w:type="character" w:styleId="36">
    <w:name w:val="Subtitle Char"/>
    <w:basedOn w:val="676"/>
    <w:link w:val="691"/>
    <w:uiPriority w:val="11"/>
    <w:rPr>
      <w:sz w:val="24"/>
      <w:szCs w:val="24"/>
    </w:rPr>
  </w:style>
  <w:style w:type="character" w:styleId="38">
    <w:name w:val="Quote Char"/>
    <w:link w:val="719"/>
    <w:uiPriority w:val="29"/>
    <w:rPr>
      <w:i/>
    </w:rPr>
  </w:style>
  <w:style w:type="character" w:styleId="40">
    <w:name w:val="Intense Quote Char"/>
    <w:link w:val="721"/>
    <w:uiPriority w:val="30"/>
    <w:rPr>
      <w:i/>
    </w:rPr>
  </w:style>
  <w:style w:type="character" w:styleId="42">
    <w:name w:val="Header Char"/>
    <w:basedOn w:val="676"/>
    <w:link w:val="688"/>
    <w:uiPriority w:val="99"/>
  </w:style>
  <w:style w:type="character" w:styleId="46">
    <w:name w:val="Caption Char"/>
    <w:basedOn w:val="680"/>
    <w:link w:val="687"/>
    <w:uiPriority w:val="99"/>
  </w:style>
  <w:style w:type="character" w:styleId="175">
    <w:name w:val="Footnote Text Char"/>
    <w:link w:val="692"/>
    <w:uiPriority w:val="99"/>
    <w:rPr>
      <w:sz w:val="18"/>
    </w:rPr>
  </w:style>
  <w:style w:type="character" w:styleId="178">
    <w:name w:val="Endnote Text Char"/>
    <w:link w:val="686"/>
    <w:uiPriority w:val="99"/>
    <w:rPr>
      <w:sz w:val="20"/>
    </w:rPr>
  </w:style>
  <w:style w:type="paragraph" w:styleId="189">
    <w:name w:val="TOC Heading"/>
    <w:uiPriority w:val="39"/>
    <w:unhideWhenUsed/>
  </w:style>
  <w:style w:type="paragraph" w:styleId="66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link w:val="706"/>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7"/>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8"/>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9"/>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10"/>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1"/>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3"/>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4"/>
    <w:uiPriority w:val="9"/>
    <w:unhideWhenUsed/>
    <w:qFormat/>
    <w:pPr>
      <w:keepLines/>
      <w:keepNext/>
      <w:spacing w:before="320" w:after="200"/>
      <w:outlineLvl w:val="8"/>
    </w:pPr>
    <w:rPr>
      <w:rFonts w:ascii="Arial" w:hAnsi="Arial" w:eastAsia="Arial" w:cs="Arial"/>
      <w:i/>
      <w:iCs/>
    </w:rPr>
  </w:style>
  <w:style w:type="character" w:styleId="676" w:default="1">
    <w:name w:val="Default Paragraph Font"/>
    <w:uiPriority w:val="1"/>
    <w:semiHidden/>
    <w:unhideWhenUsed/>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spacing w:after="57"/>
    </w:pPr>
  </w:style>
  <w:style w:type="paragraph" w:styleId="679">
    <w:name w:val="Normal Indent"/>
    <w:basedOn w:val="666"/>
    <w:uiPriority w:val="0"/>
    <w:qFormat/>
    <w:pPr>
      <w:ind w:firstLine="482"/>
      <w:spacing w:line="360" w:lineRule="atLeast"/>
    </w:pPr>
    <w:rPr>
      <w:sz w:val="24"/>
      <w:szCs w:val="24"/>
    </w:r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Body Text Indent"/>
    <w:basedOn w:val="666"/>
    <w:next w:val="682"/>
    <w:uiPriority w:val="0"/>
    <w:qFormat/>
    <w:pPr>
      <w:ind w:left="420"/>
      <w:spacing w:after="120"/>
    </w:pPr>
    <w:rPr>
      <w:szCs w:val="24"/>
    </w:rPr>
  </w:style>
  <w:style w:type="paragraph" w:styleId="682">
    <w:name w:val="Body Text First Indent 2"/>
    <w:basedOn w:val="681"/>
    <w:next w:val="679"/>
    <w:uiPriority w:val="0"/>
    <w:qFormat/>
    <w:pPr>
      <w:ind w:firstLine="420"/>
    </w:pPr>
  </w:style>
  <w:style w:type="paragraph" w:styleId="683">
    <w:name w:val="toc 5"/>
    <w:basedOn w:val="666"/>
    <w:next w:val="666"/>
    <w:uiPriority w:val="39"/>
    <w:unhideWhenUsed/>
    <w:qFormat/>
    <w:pPr>
      <w:ind w:left="1134"/>
      <w:spacing w:after="57"/>
    </w:pPr>
  </w:style>
  <w:style w:type="paragraph" w:styleId="684">
    <w:name w:val="toc 3"/>
    <w:basedOn w:val="666"/>
    <w:next w:val="666"/>
    <w:uiPriority w:val="39"/>
    <w:unhideWhenUsed/>
    <w:qFormat/>
    <w:pPr>
      <w:ind w:left="567"/>
      <w:spacing w:after="57"/>
    </w:pPr>
  </w:style>
  <w:style w:type="paragraph" w:styleId="685">
    <w:name w:val="toc 8"/>
    <w:basedOn w:val="666"/>
    <w:next w:val="666"/>
    <w:uiPriority w:val="39"/>
    <w:unhideWhenUsed/>
    <w:qFormat/>
    <w:pPr>
      <w:ind w:left="1984"/>
      <w:spacing w:after="57"/>
    </w:pPr>
  </w:style>
  <w:style w:type="paragraph" w:styleId="686">
    <w:name w:val="endnote text"/>
    <w:basedOn w:val="666"/>
    <w:link w:val="852"/>
    <w:uiPriority w:val="99"/>
    <w:semiHidden/>
    <w:unhideWhenUsed/>
    <w:qFormat/>
    <w:rPr>
      <w:sz w:val="20"/>
    </w:rPr>
  </w:style>
  <w:style w:type="paragraph" w:styleId="687">
    <w:name w:val="Footer"/>
    <w:basedOn w:val="666"/>
    <w:link w:val="725"/>
    <w:uiPriority w:val="99"/>
    <w:unhideWhenUsed/>
    <w:qFormat/>
    <w:pPr>
      <w:tabs>
        <w:tab w:val="center" w:pos="7143" w:leader="none"/>
        <w:tab w:val="right" w:pos="14287" w:leader="none"/>
      </w:tabs>
    </w:pPr>
  </w:style>
  <w:style w:type="paragraph" w:styleId="688">
    <w:name w:val="Header"/>
    <w:basedOn w:val="666"/>
    <w:link w:val="723"/>
    <w:uiPriority w:val="99"/>
    <w:unhideWhenUsed/>
    <w:qFormat/>
    <w:pPr>
      <w:tabs>
        <w:tab w:val="center" w:pos="7143" w:leader="none"/>
        <w:tab w:val="right" w:pos="14287" w:leader="none"/>
      </w:tabs>
    </w:pPr>
  </w:style>
  <w:style w:type="paragraph" w:styleId="689">
    <w:name w:val="toc 1"/>
    <w:basedOn w:val="666"/>
    <w:next w:val="666"/>
    <w:uiPriority w:val="39"/>
    <w:unhideWhenUsed/>
    <w:qFormat/>
    <w:pPr>
      <w:spacing w:after="57"/>
    </w:pPr>
  </w:style>
  <w:style w:type="paragraph" w:styleId="690">
    <w:name w:val="toc 4"/>
    <w:basedOn w:val="666"/>
    <w:next w:val="666"/>
    <w:uiPriority w:val="39"/>
    <w:unhideWhenUsed/>
    <w:qFormat/>
    <w:pPr>
      <w:ind w:left="850"/>
      <w:spacing w:after="57"/>
    </w:pPr>
  </w:style>
  <w:style w:type="paragraph" w:styleId="691">
    <w:name w:val="Subtitle"/>
    <w:basedOn w:val="666"/>
    <w:next w:val="666"/>
    <w:link w:val="718"/>
    <w:uiPriority w:val="11"/>
    <w:qFormat/>
    <w:pPr>
      <w:spacing w:before="200" w:after="200"/>
    </w:pPr>
    <w:rPr>
      <w:sz w:val="24"/>
      <w:szCs w:val="24"/>
    </w:rPr>
  </w:style>
  <w:style w:type="paragraph" w:styleId="692">
    <w:name w:val="footnote text"/>
    <w:basedOn w:val="666"/>
    <w:link w:val="851"/>
    <w:uiPriority w:val="99"/>
    <w:semiHidden/>
    <w:unhideWhenUsed/>
    <w:qFormat/>
    <w:pPr>
      <w:spacing w:after="40"/>
    </w:pPr>
    <w:rPr>
      <w:sz w:val="18"/>
    </w:rPr>
  </w:style>
  <w:style w:type="paragraph" w:styleId="693">
    <w:name w:val="toc 6"/>
    <w:basedOn w:val="666"/>
    <w:next w:val="666"/>
    <w:uiPriority w:val="39"/>
    <w:unhideWhenUsed/>
    <w:qFormat/>
    <w:pPr>
      <w:ind w:left="1417"/>
      <w:spacing w:after="57"/>
    </w:pPr>
  </w:style>
  <w:style w:type="paragraph" w:styleId="694">
    <w:name w:val="table of figures"/>
    <w:basedOn w:val="666"/>
    <w:next w:val="666"/>
    <w:uiPriority w:val="99"/>
    <w:unhideWhenUsed/>
    <w:qFormat/>
  </w:style>
  <w:style w:type="paragraph" w:styleId="695">
    <w:name w:val="toc 2"/>
    <w:basedOn w:val="666"/>
    <w:next w:val="666"/>
    <w:uiPriority w:val="39"/>
    <w:unhideWhenUsed/>
    <w:qFormat/>
    <w:pPr>
      <w:ind w:left="283"/>
      <w:spacing w:after="57"/>
    </w:pPr>
  </w:style>
  <w:style w:type="paragraph" w:styleId="696">
    <w:name w:val="toc 9"/>
    <w:basedOn w:val="666"/>
    <w:next w:val="666"/>
    <w:uiPriority w:val="39"/>
    <w:unhideWhenUsed/>
    <w:qFormat/>
    <w:pPr>
      <w:ind w:left="2268"/>
      <w:spacing w:after="57"/>
    </w:pPr>
  </w:style>
  <w:style w:type="paragraph" w:styleId="697">
    <w:name w:val="Normal (Web)"/>
    <w:basedOn w:val="666"/>
    <w:uiPriority w:val="99"/>
    <w:unhideWhenUsed/>
    <w:qFormat/>
    <w:pPr>
      <w:jc w:val="left"/>
      <w:spacing w:before="100" w:beforeAutospacing="1" w:after="100" w:afterAutospacing="1"/>
      <w:widowControl/>
    </w:pPr>
    <w:rPr>
      <w:rFonts w:ascii="宋体" w:hAnsi="宋体" w:cs="宋体"/>
      <w:sz w:val="24"/>
      <w:szCs w:val="24"/>
    </w:rPr>
  </w:style>
  <w:style w:type="paragraph" w:styleId="698">
    <w:name w:val="Title"/>
    <w:basedOn w:val="666"/>
    <w:next w:val="666"/>
    <w:link w:val="717"/>
    <w:uiPriority w:val="10"/>
    <w:qFormat/>
    <w:pPr>
      <w:contextualSpacing/>
      <w:spacing w:before="300" w:after="200"/>
    </w:pPr>
    <w:rPr>
      <w:sz w:val="48"/>
      <w:szCs w:val="48"/>
    </w:rPr>
  </w:style>
  <w:style w:type="table" w:styleId="6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paragraph" w:styleId="703" w:customStyle="1">
    <w:name w:val="正文文本缩进12"/>
    <w:next w:val="704"/>
    <w:uiPriority w:val="0"/>
    <w:unhideWhenUsed/>
    <w:qFormat/>
    <w:pPr>
      <w:ind w:left="420"/>
      <w:jc w:val="both"/>
      <w:spacing w:after="120"/>
      <w:widowControl w:val="off"/>
    </w:pPr>
    <w:rPr>
      <w:rFonts w:ascii="Times New Roman" w:hAnsi="Times New Roman" w:eastAsia="宋体" w:cs="Times New Roman"/>
      <w:sz w:val="21"/>
      <w:lang w:val="en-US" w:eastAsia="zh-CN" w:bidi="ar-SA"/>
    </w:rPr>
  </w:style>
  <w:style w:type="paragraph" w:styleId="704" w:customStyle="1">
    <w:name w:val="寄信人地址11"/>
    <w:uiPriority w:val="0"/>
    <w:qFormat/>
    <w:pPr>
      <w:jc w:val="both"/>
      <w:widowControl w:val="off"/>
    </w:pPr>
    <w:rPr>
      <w:rFonts w:ascii="Arial" w:hAnsi="Arial" w:eastAsia="楷体_GB2312" w:cs="Times New Roman"/>
      <w:sz w:val="26"/>
      <w:szCs w:val="22"/>
      <w:lang w:val="en-US" w:eastAsia="zh-CN" w:bidi="ar-SA"/>
    </w:rPr>
  </w:style>
  <w:style w:type="paragraph" w:styleId="705" w:customStyle="1">
    <w:name w:val="索引 41"/>
    <w:basedOn w:val="666"/>
    <w:next w:val="666"/>
    <w:uiPriority w:val="99"/>
    <w:unhideWhenUsed/>
    <w:qFormat/>
    <w:pPr>
      <w:ind w:left="600"/>
      <w:spacing w:before="100" w:beforeAutospacing="1" w:after="100" w:afterAutospacing="1"/>
    </w:pPr>
    <w:rPr>
      <w:rFonts w:ascii="宋体"/>
      <w:b/>
      <w:bCs/>
      <w:position w:val="-10"/>
      <w:sz w:val="24"/>
      <w:szCs w:val="22"/>
    </w:rPr>
  </w:style>
  <w:style w:type="character" w:styleId="706" w:customStyle="1">
    <w:name w:val="标题 1 Char"/>
    <w:link w:val="667"/>
    <w:uiPriority w:val="9"/>
    <w:qFormat/>
    <w:rPr>
      <w:rFonts w:ascii="Arial" w:hAnsi="Arial" w:eastAsia="Arial" w:cs="Arial"/>
      <w:sz w:val="40"/>
      <w:szCs w:val="40"/>
    </w:rPr>
  </w:style>
  <w:style w:type="character" w:styleId="707" w:customStyle="1">
    <w:name w:val="标题 2 Char"/>
    <w:link w:val="668"/>
    <w:uiPriority w:val="9"/>
    <w:qFormat/>
    <w:rPr>
      <w:rFonts w:ascii="Arial" w:hAnsi="Arial" w:eastAsia="Arial" w:cs="Arial"/>
      <w:sz w:val="34"/>
    </w:rPr>
  </w:style>
  <w:style w:type="character" w:styleId="708" w:customStyle="1">
    <w:name w:val="标题 3 Char1"/>
    <w:link w:val="669"/>
    <w:uiPriority w:val="9"/>
    <w:qFormat/>
    <w:rPr>
      <w:rFonts w:ascii="Arial" w:hAnsi="Arial" w:eastAsia="Arial" w:cs="Arial"/>
      <w:sz w:val="30"/>
      <w:szCs w:val="30"/>
    </w:rPr>
  </w:style>
  <w:style w:type="character" w:styleId="709" w:customStyle="1">
    <w:name w:val="标题 4 Char"/>
    <w:link w:val="670"/>
    <w:uiPriority w:val="9"/>
    <w:qFormat/>
    <w:rPr>
      <w:rFonts w:ascii="Arial" w:hAnsi="Arial" w:eastAsia="Arial" w:cs="Arial"/>
      <w:b/>
      <w:bCs/>
      <w:sz w:val="26"/>
      <w:szCs w:val="26"/>
    </w:rPr>
  </w:style>
  <w:style w:type="character" w:styleId="710" w:customStyle="1">
    <w:name w:val="标题 5 Char"/>
    <w:link w:val="671"/>
    <w:uiPriority w:val="9"/>
    <w:qFormat/>
    <w:rPr>
      <w:rFonts w:ascii="Arial" w:hAnsi="Arial" w:eastAsia="Arial" w:cs="Arial"/>
      <w:b/>
      <w:bCs/>
      <w:sz w:val="24"/>
      <w:szCs w:val="24"/>
    </w:rPr>
  </w:style>
  <w:style w:type="character" w:styleId="711" w:customStyle="1">
    <w:name w:val="标题 6 Char"/>
    <w:link w:val="672"/>
    <w:uiPriority w:val="9"/>
    <w:qFormat/>
    <w:rPr>
      <w:rFonts w:ascii="Arial" w:hAnsi="Arial" w:eastAsia="Arial" w:cs="Arial"/>
      <w:b/>
      <w:bCs/>
      <w:sz w:val="22"/>
      <w:szCs w:val="22"/>
    </w:rPr>
  </w:style>
  <w:style w:type="character" w:styleId="712" w:customStyle="1">
    <w:name w:val="标题 7 Char"/>
    <w:link w:val="673"/>
    <w:uiPriority w:val="9"/>
    <w:qFormat/>
    <w:rPr>
      <w:rFonts w:ascii="Arial" w:hAnsi="Arial" w:eastAsia="Arial" w:cs="Arial"/>
      <w:b/>
      <w:bCs/>
      <w:i/>
      <w:iCs/>
      <w:sz w:val="22"/>
      <w:szCs w:val="22"/>
    </w:rPr>
  </w:style>
  <w:style w:type="character" w:styleId="713" w:customStyle="1">
    <w:name w:val="标题 8 Char"/>
    <w:link w:val="674"/>
    <w:uiPriority w:val="9"/>
    <w:qFormat/>
    <w:rPr>
      <w:rFonts w:ascii="Arial" w:hAnsi="Arial" w:eastAsia="Arial" w:cs="Arial"/>
      <w:i/>
      <w:iCs/>
      <w:sz w:val="22"/>
      <w:szCs w:val="22"/>
    </w:rPr>
  </w:style>
  <w:style w:type="character" w:styleId="714" w:customStyle="1">
    <w:name w:val="标题 9 Char"/>
    <w:link w:val="675"/>
    <w:uiPriority w:val="9"/>
    <w:qFormat/>
    <w:rPr>
      <w:rFonts w:ascii="Arial" w:hAnsi="Arial" w:eastAsia="Arial" w:cs="Arial"/>
      <w:i/>
      <w:iCs/>
      <w:sz w:val="21"/>
      <w:szCs w:val="21"/>
    </w:rPr>
  </w:style>
  <w:style w:type="paragraph" w:styleId="715">
    <w:name w:val="List Paragraph"/>
    <w:basedOn w:val="666"/>
    <w:uiPriority w:val="34"/>
    <w:qFormat/>
    <w:pPr>
      <w:contextualSpacing/>
      <w:ind w:left="720"/>
    </w:pPr>
  </w:style>
  <w:style w:type="paragraph" w:styleId="716">
    <w:name w:val="No Spacing"/>
    <w:uiPriority w:val="1"/>
    <w:qFormat/>
    <w:rPr>
      <w:rFonts w:ascii="Times New Roman" w:hAnsi="Times New Roman" w:eastAsia="宋体" w:cs="Times New Roman"/>
      <w:lang w:val="en-US" w:eastAsia="zh-CN" w:bidi="ar-SA"/>
    </w:rPr>
  </w:style>
  <w:style w:type="character" w:styleId="717" w:customStyle="1">
    <w:name w:val="标题 Char"/>
    <w:link w:val="698"/>
    <w:uiPriority w:val="10"/>
    <w:qFormat/>
    <w:rPr>
      <w:sz w:val="48"/>
      <w:szCs w:val="48"/>
    </w:rPr>
  </w:style>
  <w:style w:type="character" w:styleId="718" w:customStyle="1">
    <w:name w:val="副标题 Char"/>
    <w:link w:val="691"/>
    <w:uiPriority w:val="11"/>
    <w:qFormat/>
    <w:rPr>
      <w:sz w:val="24"/>
      <w:szCs w:val="24"/>
    </w:rPr>
  </w:style>
  <w:style w:type="paragraph" w:styleId="719">
    <w:name w:val="Quote"/>
    <w:basedOn w:val="666"/>
    <w:next w:val="666"/>
    <w:link w:val="720"/>
    <w:uiPriority w:val="29"/>
    <w:qFormat/>
    <w:pPr>
      <w:ind w:left="720" w:right="720"/>
    </w:pPr>
    <w:rPr>
      <w:i/>
    </w:rPr>
  </w:style>
  <w:style w:type="character" w:styleId="720" w:customStyle="1">
    <w:name w:val="引用 Char"/>
    <w:link w:val="719"/>
    <w:uiPriority w:val="29"/>
    <w:qFormat/>
    <w:rPr>
      <w:i/>
    </w:rPr>
  </w:style>
  <w:style w:type="paragraph" w:styleId="721">
    <w:name w:val="Intense Quote"/>
    <w:basedOn w:val="666"/>
    <w:next w:val="666"/>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Char"/>
    <w:link w:val="721"/>
    <w:uiPriority w:val="30"/>
    <w:qFormat/>
    <w:rPr>
      <w:i/>
    </w:rPr>
  </w:style>
  <w:style w:type="character" w:styleId="723" w:customStyle="1">
    <w:name w:val="页眉 Char"/>
    <w:link w:val="688"/>
    <w:uiPriority w:val="99"/>
    <w:qFormat/>
  </w:style>
  <w:style w:type="character" w:styleId="724" w:customStyle="1">
    <w:name w:val="Footer Char"/>
    <w:link w:val="687"/>
    <w:uiPriority w:val="99"/>
    <w:qFormat/>
  </w:style>
  <w:style w:type="character" w:styleId="725" w:customStyle="1">
    <w:name w:val="页脚 Char"/>
    <w:link w:val="687"/>
    <w:uiPriority w:val="99"/>
    <w:qFormat/>
  </w:style>
  <w:style w:type="table" w:styleId="7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脚注文本 Char"/>
    <w:link w:val="692"/>
    <w:uiPriority w:val="99"/>
    <w:qFormat/>
    <w:rPr>
      <w:sz w:val="18"/>
    </w:rPr>
  </w:style>
  <w:style w:type="character" w:styleId="852" w:customStyle="1">
    <w:name w:val="尾注文本 Char"/>
    <w:link w:val="686"/>
    <w:uiPriority w:val="99"/>
    <w:qFormat/>
    <w:rPr>
      <w:sz w:val="20"/>
    </w:rPr>
  </w:style>
  <w:style w:type="paragraph" w:styleId="853" w:customStyle="1">
    <w:name w:val="TOC 标题1"/>
    <w:uiPriority w:val="39"/>
    <w:unhideWhenUsed/>
    <w:qFormat/>
    <w:rPr>
      <w:rFonts w:ascii="Times New Roman" w:hAnsi="Times New Roman" w:eastAsia="宋体" w:cs="Times New Roman"/>
      <w:lang w:val="en-US" w:eastAsia="zh-CN" w:bidi="ar-SA"/>
    </w:rPr>
  </w:style>
  <w:style w:type="paragraph" w:styleId="854" w:customStyle="1">
    <w:name w:val="标题 11"/>
    <w:basedOn w:val="666"/>
    <w:next w:val="666"/>
    <w:uiPriority w:val="0"/>
    <w:qFormat/>
    <w:pPr>
      <w:jc w:val="center"/>
      <w:keepNext/>
      <w:outlineLvl w:val="0"/>
    </w:pPr>
    <w:rPr>
      <w:rFonts w:ascii="楷体_GB2312" w:eastAsia="楷体_GB2312"/>
      <w:sz w:val="28"/>
      <w:szCs w:val="28"/>
    </w:rPr>
  </w:style>
  <w:style w:type="paragraph" w:styleId="855" w:customStyle="1">
    <w:name w:val="标题 21"/>
    <w:basedOn w:val="666"/>
    <w:next w:val="6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6" w:customStyle="1">
    <w:name w:val="标题 311"/>
    <w:basedOn w:val="666"/>
    <w:next w:val="666"/>
    <w:link w:val="866"/>
    <w:uiPriority w:val="0"/>
    <w:qFormat/>
    <w:pPr>
      <w:keepLines/>
      <w:keepNext/>
      <w:spacing w:before="260" w:after="260" w:line="416" w:lineRule="auto"/>
      <w:outlineLvl w:val="2"/>
    </w:pPr>
    <w:rPr>
      <w:b/>
      <w:bCs/>
      <w:sz w:val="32"/>
      <w:szCs w:val="32"/>
    </w:rPr>
  </w:style>
  <w:style w:type="paragraph" w:styleId="857" w:customStyle="1">
    <w:name w:val="标题 411"/>
    <w:basedOn w:val="666"/>
    <w:next w:val="858"/>
    <w:uiPriority w:val="0"/>
    <w:qFormat/>
    <w:pPr>
      <w:keepLines/>
      <w:keepNext/>
      <w:spacing w:before="280" w:after="290" w:line="376" w:lineRule="auto"/>
      <w:outlineLvl w:val="3"/>
    </w:pPr>
    <w:rPr>
      <w:rFonts w:ascii="Arial" w:hAnsi="Arial" w:eastAsia="黑体" w:cs="Arial"/>
      <w:b/>
      <w:bCs/>
      <w:sz w:val="28"/>
      <w:szCs w:val="28"/>
    </w:rPr>
  </w:style>
  <w:style w:type="paragraph" w:styleId="858" w:customStyle="1">
    <w:name w:val="正文缩进11"/>
    <w:basedOn w:val="666"/>
    <w:link w:val="867"/>
    <w:uiPriority w:val="0"/>
    <w:qFormat/>
    <w:pPr>
      <w:ind w:firstLine="420"/>
    </w:pPr>
  </w:style>
  <w:style w:type="paragraph" w:styleId="859" w:customStyle="1">
    <w:name w:val="标题 51"/>
    <w:basedOn w:val="666"/>
    <w:next w:val="858"/>
    <w:uiPriority w:val="0"/>
    <w:qFormat/>
    <w:pPr>
      <w:keepNext/>
      <w:outlineLvl w:val="4"/>
    </w:pPr>
    <w:rPr>
      <w:rFonts w:ascii="宋体"/>
      <w:color w:val="000000"/>
      <w:sz w:val="28"/>
      <w:szCs w:val="28"/>
    </w:rPr>
  </w:style>
  <w:style w:type="paragraph" w:styleId="860" w:customStyle="1">
    <w:name w:val="标题 61"/>
    <w:basedOn w:val="666"/>
    <w:next w:val="6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1" w:customStyle="1">
    <w:name w:val="标题 71"/>
    <w:basedOn w:val="666"/>
    <w:next w:val="666"/>
    <w:uiPriority w:val="0"/>
    <w:qFormat/>
    <w:pPr>
      <w:numPr>
        <w:ilvl w:val="6"/>
        <w:numId w:val="1"/>
      </w:numPr>
      <w:keepLines/>
      <w:keepNext/>
      <w:spacing w:before="240" w:after="64" w:line="320" w:lineRule="auto"/>
      <w:outlineLvl w:val="6"/>
    </w:pPr>
    <w:rPr>
      <w:b/>
      <w:bCs/>
      <w:sz w:val="24"/>
      <w:szCs w:val="24"/>
    </w:rPr>
  </w:style>
  <w:style w:type="paragraph" w:styleId="862" w:customStyle="1">
    <w:name w:val="标题 81"/>
    <w:basedOn w:val="666"/>
    <w:next w:val="6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3" w:customStyle="1">
    <w:name w:val="标题 91"/>
    <w:basedOn w:val="666"/>
    <w:next w:val="666"/>
    <w:uiPriority w:val="0"/>
    <w:qFormat/>
    <w:pPr>
      <w:numPr>
        <w:ilvl w:val="8"/>
        <w:numId w:val="1"/>
      </w:numPr>
      <w:keepLines/>
      <w:keepNext/>
      <w:spacing w:before="240" w:after="64" w:line="320" w:lineRule="auto"/>
      <w:outlineLvl w:val="8"/>
    </w:pPr>
    <w:rPr>
      <w:rFonts w:ascii="Arial" w:hAnsi="Arial" w:eastAsia="黑体"/>
    </w:rPr>
  </w:style>
  <w:style w:type="character" w:styleId="864" w:customStyle="1">
    <w:name w:val="默认段落字体1"/>
    <w:uiPriority w:val="0"/>
    <w:semiHidden/>
    <w:qFormat/>
  </w:style>
  <w:style w:type="table" w:styleId="865" w:customStyle="1">
    <w:name w:val="普通表格1"/>
    <w:uiPriority w:val="0"/>
    <w:semiHidden/>
    <w:qFormat/>
    <w:tblPr>
      <w:tblCellMar>
        <w:left w:w="0" w:type="dxa"/>
        <w:top w:w="0" w:type="dxa"/>
        <w:right w:w="0" w:type="dxa"/>
        <w:bottom w:w="0" w:type="dxa"/>
      </w:tblCellMar>
    </w:tblPr>
  </w:style>
  <w:style w:type="character" w:styleId="866" w:customStyle="1">
    <w:name w:val="标题 3 Char"/>
    <w:link w:val="856"/>
    <w:uiPriority w:val="0"/>
    <w:qFormat/>
    <w:rPr>
      <w:rFonts w:eastAsia="宋体"/>
      <w:b/>
      <w:bCs/>
      <w:sz w:val="32"/>
      <w:szCs w:val="32"/>
      <w:lang w:val="en-US" w:eastAsia="zh-CN" w:bidi="ar-SA"/>
    </w:rPr>
  </w:style>
  <w:style w:type="character" w:styleId="867" w:customStyle="1">
    <w:name w:val="正文缩进 Char"/>
    <w:link w:val="858"/>
    <w:uiPriority w:val="0"/>
    <w:qFormat/>
    <w:rPr>
      <w:sz w:val="21"/>
      <w:szCs w:val="21"/>
    </w:rPr>
  </w:style>
  <w:style w:type="paragraph" w:styleId="868" w:customStyle="1">
    <w:name w:val="列表 31"/>
    <w:basedOn w:val="666"/>
    <w:uiPriority w:val="0"/>
    <w:qFormat/>
    <w:pPr>
      <w:ind w:left="100" w:hanging="200"/>
    </w:pPr>
  </w:style>
  <w:style w:type="paragraph" w:styleId="869" w:customStyle="1">
    <w:name w:val="目录 71"/>
    <w:basedOn w:val="666"/>
    <w:next w:val="666"/>
    <w:uiPriority w:val="0"/>
    <w:semiHidden/>
    <w:qFormat/>
    <w:pPr>
      <w:ind w:left="1260"/>
      <w:jc w:val="left"/>
    </w:pPr>
  </w:style>
  <w:style w:type="paragraph" w:styleId="870" w:customStyle="1">
    <w:name w:val="文档结构图1"/>
    <w:basedOn w:val="666"/>
    <w:link w:val="871"/>
    <w:uiPriority w:val="0"/>
    <w:semiHidden/>
    <w:qFormat/>
    <w:pPr>
      <w:shd w:val="clear" w:color="auto" w:fill="000080"/>
    </w:pPr>
  </w:style>
  <w:style w:type="character" w:styleId="871" w:customStyle="1">
    <w:name w:val="文档结构图 Char"/>
    <w:link w:val="870"/>
    <w:uiPriority w:val="0"/>
    <w:qFormat/>
    <w:rPr>
      <w:rFonts w:eastAsia="宋体"/>
      <w:sz w:val="21"/>
      <w:szCs w:val="21"/>
      <w:lang w:val="en-US" w:eastAsia="zh-CN" w:bidi="ar-SA"/>
    </w:rPr>
  </w:style>
  <w:style w:type="paragraph" w:styleId="872" w:customStyle="1">
    <w:name w:val="批注文字1"/>
    <w:basedOn w:val="666"/>
    <w:uiPriority w:val="0"/>
    <w:semiHidden/>
    <w:qFormat/>
    <w:pPr>
      <w:jc w:val="left"/>
    </w:pPr>
  </w:style>
  <w:style w:type="paragraph" w:styleId="873" w:customStyle="1">
    <w:name w:val="正文文本 31"/>
    <w:basedOn w:val="666"/>
    <w:uiPriority w:val="0"/>
    <w:qFormat/>
    <w:rPr>
      <w:rFonts w:ascii="仿宋_GB2312" w:hAnsi="Arial" w:eastAsia="仿宋_GB2312"/>
      <w:sz w:val="32"/>
      <w:szCs w:val="32"/>
    </w:rPr>
  </w:style>
  <w:style w:type="paragraph" w:styleId="874" w:customStyle="1">
    <w:name w:val="正文文本1"/>
    <w:basedOn w:val="666"/>
    <w:next w:val="875"/>
    <w:uiPriority w:val="0"/>
    <w:qFormat/>
    <w:rPr>
      <w:rFonts w:ascii="楷体_GB2312" w:hAnsi="Arial" w:eastAsia="楷体_GB2312"/>
      <w:sz w:val="28"/>
      <w:szCs w:val="28"/>
    </w:rPr>
  </w:style>
  <w:style w:type="paragraph" w:styleId="875" w:customStyle="1">
    <w:name w:val="Default"/>
    <w:basedOn w:val="666"/>
    <w:next w:val="876"/>
    <w:uiPriority w:val="0"/>
    <w:qFormat/>
    <w:pPr>
      <w:jc w:val="left"/>
    </w:pPr>
    <w:rPr>
      <w:rFonts w:ascii="宋体" w:hAnsi="Calibri" w:cs="宋体"/>
      <w:color w:val="000000"/>
      <w:sz w:val="24"/>
    </w:rPr>
  </w:style>
  <w:style w:type="paragraph" w:styleId="876" w:customStyle="1">
    <w:name w:val="TOC 71"/>
    <w:next w:val="666"/>
    <w:uiPriority w:val="0"/>
    <w:qFormat/>
    <w:pPr>
      <w:ind w:left="2550"/>
      <w:jc w:val="both"/>
    </w:pPr>
    <w:rPr>
      <w:rFonts w:ascii="Times New Roman" w:hAnsi="Times New Roman" w:eastAsia="宋体" w:cs="Times New Roman"/>
      <w:sz w:val="21"/>
      <w:szCs w:val="22"/>
      <w:lang w:val="en-US" w:eastAsia="zh-CN" w:bidi="ar-SA"/>
    </w:rPr>
  </w:style>
  <w:style w:type="paragraph" w:styleId="877" w:customStyle="1">
    <w:name w:val="正文文本缩进1"/>
    <w:basedOn w:val="666"/>
    <w:next w:val="878"/>
    <w:uiPriority w:val="0"/>
    <w:qFormat/>
    <w:pPr>
      <w:ind w:firstLine="645"/>
    </w:pPr>
    <w:rPr>
      <w:rFonts w:ascii="楷体_GB2312" w:eastAsia="楷体_GB2312"/>
      <w:sz w:val="32"/>
      <w:szCs w:val="32"/>
    </w:rPr>
  </w:style>
  <w:style w:type="paragraph" w:styleId="878" w:customStyle="1">
    <w:name w:val="寄信人地址1"/>
    <w:basedOn w:val="666"/>
    <w:uiPriority w:val="0"/>
    <w:qFormat/>
    <w:rPr>
      <w:rFonts w:ascii="Arial" w:hAnsi="Arial"/>
    </w:rPr>
  </w:style>
  <w:style w:type="paragraph" w:styleId="879" w:customStyle="1">
    <w:name w:val="列表 21"/>
    <w:basedOn w:val="666"/>
    <w:uiPriority w:val="0"/>
    <w:qFormat/>
    <w:pPr>
      <w:ind w:left="100" w:hanging="200"/>
    </w:pPr>
  </w:style>
  <w:style w:type="paragraph" w:styleId="880" w:customStyle="1">
    <w:name w:val="索引 42"/>
    <w:basedOn w:val="666"/>
    <w:next w:val="666"/>
    <w:uiPriority w:val="99"/>
    <w:unhideWhenUsed/>
    <w:qFormat/>
    <w:pPr>
      <w:ind w:left="600"/>
      <w:spacing w:before="100" w:beforeAutospacing="1" w:after="100" w:afterAutospacing="1"/>
    </w:pPr>
    <w:rPr>
      <w:rFonts w:ascii="宋体"/>
      <w:b/>
      <w:bCs/>
      <w:position w:val="-10"/>
      <w:sz w:val="24"/>
      <w:szCs w:val="22"/>
    </w:rPr>
  </w:style>
  <w:style w:type="paragraph" w:styleId="881" w:customStyle="1">
    <w:name w:val="目录 51"/>
    <w:basedOn w:val="666"/>
    <w:next w:val="666"/>
    <w:uiPriority w:val="0"/>
    <w:semiHidden/>
    <w:qFormat/>
    <w:pPr>
      <w:ind w:left="840"/>
      <w:jc w:val="left"/>
    </w:pPr>
  </w:style>
  <w:style w:type="paragraph" w:styleId="882" w:customStyle="1">
    <w:name w:val="目录 31"/>
    <w:basedOn w:val="666"/>
    <w:next w:val="666"/>
    <w:uiPriority w:val="0"/>
    <w:semiHidden/>
    <w:qFormat/>
    <w:pPr>
      <w:ind w:left="420"/>
      <w:jc w:val="left"/>
    </w:pPr>
    <w:rPr>
      <w:i/>
      <w:iCs/>
      <w:szCs w:val="24"/>
    </w:rPr>
  </w:style>
  <w:style w:type="paragraph" w:styleId="883" w:customStyle="1">
    <w:name w:val="纯文本1"/>
    <w:basedOn w:val="666"/>
    <w:link w:val="884"/>
    <w:uiPriority w:val="0"/>
    <w:qFormat/>
    <w:rPr>
      <w:rFonts w:ascii="宋体" w:hAnsi="Courier New"/>
    </w:rPr>
  </w:style>
  <w:style w:type="character" w:styleId="884" w:customStyle="1">
    <w:name w:val="纯文本 Char"/>
    <w:link w:val="883"/>
    <w:uiPriority w:val="0"/>
    <w:qFormat/>
    <w:rPr>
      <w:rFonts w:ascii="宋体" w:hAnsi="Courier New" w:cs="Courier New"/>
      <w:sz w:val="21"/>
      <w:szCs w:val="21"/>
    </w:rPr>
  </w:style>
  <w:style w:type="paragraph" w:styleId="885" w:customStyle="1">
    <w:name w:val="目录 81"/>
    <w:basedOn w:val="666"/>
    <w:next w:val="666"/>
    <w:uiPriority w:val="0"/>
    <w:semiHidden/>
    <w:qFormat/>
    <w:pPr>
      <w:ind w:left="1470"/>
      <w:jc w:val="left"/>
    </w:pPr>
  </w:style>
  <w:style w:type="paragraph" w:styleId="886" w:customStyle="1">
    <w:name w:val="日期1"/>
    <w:basedOn w:val="666"/>
    <w:next w:val="666"/>
    <w:uiPriority w:val="0"/>
    <w:qFormat/>
    <w:rPr>
      <w:sz w:val="24"/>
      <w:szCs w:val="24"/>
    </w:rPr>
  </w:style>
  <w:style w:type="paragraph" w:styleId="887" w:customStyle="1">
    <w:name w:val="正文文本缩进 21"/>
    <w:basedOn w:val="666"/>
    <w:uiPriority w:val="0"/>
    <w:qFormat/>
    <w:pPr>
      <w:ind w:left="630" w:firstLine="645"/>
    </w:pPr>
    <w:rPr>
      <w:rFonts w:ascii="Arial" w:hAnsi="Arial" w:eastAsia="仿宋_GB2312" w:cs="Arial"/>
      <w:sz w:val="32"/>
      <w:szCs w:val="32"/>
    </w:rPr>
  </w:style>
  <w:style w:type="paragraph" w:styleId="888" w:customStyle="1">
    <w:name w:val="批注框文本1"/>
    <w:basedOn w:val="666"/>
    <w:uiPriority w:val="0"/>
    <w:semiHidden/>
    <w:qFormat/>
    <w:rPr>
      <w:sz w:val="18"/>
      <w:szCs w:val="18"/>
    </w:rPr>
  </w:style>
  <w:style w:type="paragraph" w:styleId="889" w:customStyle="1">
    <w:name w:val="页脚1"/>
    <w:basedOn w:val="666"/>
    <w:uiPriority w:val="0"/>
    <w:qFormat/>
    <w:pPr>
      <w:jc w:val="left"/>
      <w:tabs>
        <w:tab w:val="center" w:pos="4153" w:leader="none"/>
        <w:tab w:val="right" w:pos="8306" w:leader="none"/>
      </w:tabs>
    </w:pPr>
    <w:rPr>
      <w:sz w:val="18"/>
      <w:szCs w:val="18"/>
    </w:rPr>
  </w:style>
  <w:style w:type="paragraph" w:styleId="890" w:customStyle="1">
    <w:name w:val="页眉1"/>
    <w:basedOn w:val="666"/>
    <w:uiPriority w:val="0"/>
    <w:qFormat/>
    <w:pPr>
      <w:jc w:val="center"/>
      <w:tabs>
        <w:tab w:val="center" w:pos="4153" w:leader="none"/>
        <w:tab w:val="right" w:pos="8306" w:leader="none"/>
      </w:tabs>
      <w:pBdr>
        <w:bottom w:val="single" w:color="000000" w:sz="6" w:space="1"/>
      </w:pBdr>
    </w:pPr>
    <w:rPr>
      <w:sz w:val="18"/>
      <w:szCs w:val="18"/>
    </w:rPr>
  </w:style>
  <w:style w:type="paragraph" w:styleId="891" w:customStyle="1">
    <w:name w:val="目录 1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892" w:customStyle="1">
    <w:name w:val="目录 41"/>
    <w:basedOn w:val="666"/>
    <w:next w:val="666"/>
    <w:uiPriority w:val="0"/>
    <w:semiHidden/>
    <w:qFormat/>
    <w:pPr>
      <w:ind w:left="630"/>
      <w:jc w:val="left"/>
    </w:pPr>
  </w:style>
  <w:style w:type="paragraph" w:styleId="893" w:customStyle="1">
    <w:name w:val="列表1"/>
    <w:basedOn w:val="666"/>
    <w:uiPriority w:val="0"/>
    <w:qFormat/>
    <w:pPr>
      <w:ind w:left="200" w:hanging="200"/>
    </w:pPr>
  </w:style>
  <w:style w:type="paragraph" w:styleId="894" w:customStyle="1">
    <w:name w:val="目录 61"/>
    <w:basedOn w:val="666"/>
    <w:next w:val="666"/>
    <w:uiPriority w:val="0"/>
    <w:semiHidden/>
    <w:qFormat/>
    <w:pPr>
      <w:ind w:left="1050"/>
      <w:jc w:val="left"/>
    </w:pPr>
  </w:style>
  <w:style w:type="paragraph" w:styleId="895" w:customStyle="1">
    <w:name w:val="正文文本缩进 31"/>
    <w:basedOn w:val="666"/>
    <w:uiPriority w:val="0"/>
    <w:qFormat/>
    <w:pPr>
      <w:ind w:left="645" w:firstLine="645"/>
    </w:pPr>
    <w:rPr>
      <w:rFonts w:ascii="Arial" w:hAnsi="Arial" w:eastAsia="仿宋_GB2312" w:cs="Arial"/>
      <w:color w:val="ffff00"/>
      <w:sz w:val="32"/>
      <w:szCs w:val="32"/>
    </w:rPr>
  </w:style>
  <w:style w:type="paragraph" w:styleId="896" w:customStyle="1">
    <w:name w:val="图表目录1"/>
    <w:basedOn w:val="666"/>
    <w:next w:val="666"/>
    <w:uiPriority w:val="0"/>
    <w:semiHidden/>
    <w:qFormat/>
    <w:pPr>
      <w:ind w:left="840" w:hanging="420"/>
    </w:pPr>
  </w:style>
  <w:style w:type="paragraph" w:styleId="897" w:customStyle="1">
    <w:name w:val="目录 21"/>
    <w:basedOn w:val="666"/>
    <w:next w:val="666"/>
    <w:uiPriority w:val="0"/>
    <w:semiHidden/>
    <w:qFormat/>
    <w:pPr>
      <w:ind w:left="210"/>
      <w:jc w:val="left"/>
    </w:pPr>
    <w:rPr>
      <w:smallCaps/>
      <w:szCs w:val="24"/>
    </w:rPr>
  </w:style>
  <w:style w:type="paragraph" w:styleId="898" w:customStyle="1">
    <w:name w:val="目录 91"/>
    <w:basedOn w:val="666"/>
    <w:next w:val="666"/>
    <w:uiPriority w:val="0"/>
    <w:semiHidden/>
    <w:qFormat/>
    <w:pPr>
      <w:ind w:left="1680"/>
      <w:jc w:val="left"/>
    </w:pPr>
  </w:style>
  <w:style w:type="paragraph" w:styleId="899" w:customStyle="1">
    <w:name w:val="正文文本 21"/>
    <w:basedOn w:val="666"/>
    <w:uiPriority w:val="0"/>
    <w:qFormat/>
    <w:pPr>
      <w:jc w:val="center"/>
      <w:widowControl/>
    </w:pPr>
    <w:rPr>
      <w:rFonts w:ascii="楷体_GB2312" w:eastAsia="楷体_GB2312"/>
      <w:sz w:val="28"/>
      <w:szCs w:val="28"/>
    </w:rPr>
  </w:style>
  <w:style w:type="paragraph" w:styleId="900" w:customStyle="1">
    <w:name w:val="普通(网站)1"/>
    <w:basedOn w:val="666"/>
    <w:uiPriority w:val="0"/>
    <w:qFormat/>
    <w:pPr>
      <w:jc w:val="left"/>
      <w:spacing w:before="100" w:beforeAutospacing="1" w:after="100" w:afterAutospacing="1"/>
      <w:widowControl/>
    </w:pPr>
    <w:rPr>
      <w:rFonts w:ascii="宋体" w:hAnsi="宋体" w:cs="宋体"/>
      <w:sz w:val="24"/>
      <w:szCs w:val="24"/>
    </w:rPr>
  </w:style>
  <w:style w:type="paragraph" w:styleId="901" w:customStyle="1">
    <w:name w:val="索引 11"/>
    <w:basedOn w:val="666"/>
    <w:next w:val="666"/>
    <w:uiPriority w:val="0"/>
    <w:semiHidden/>
    <w:qFormat/>
    <w:pPr>
      <w:spacing w:line="240" w:lineRule="atLeast"/>
    </w:pPr>
    <w:rPr>
      <w:b/>
      <w:bCs/>
    </w:rPr>
  </w:style>
  <w:style w:type="paragraph" w:styleId="902" w:customStyle="1">
    <w:name w:val="批注主题1"/>
    <w:basedOn w:val="872"/>
    <w:next w:val="872"/>
    <w:uiPriority w:val="0"/>
    <w:semiHidden/>
    <w:qFormat/>
    <w:rPr>
      <w:b/>
      <w:bCs/>
    </w:rPr>
  </w:style>
  <w:style w:type="paragraph" w:styleId="903" w:customStyle="1">
    <w:name w:val="正文首行缩进1"/>
    <w:basedOn w:val="874"/>
    <w:next w:val="666"/>
    <w:uiPriority w:val="0"/>
    <w:qFormat/>
    <w:pPr>
      <w:ind w:firstLine="200"/>
      <w:spacing w:line="360" w:lineRule="auto"/>
    </w:pPr>
    <w:rPr>
      <w:rFonts w:ascii="仿宋_GB2312" w:eastAsia="仿宋_GB2312"/>
      <w:sz w:val="30"/>
      <w:szCs w:val="30"/>
    </w:rPr>
  </w:style>
  <w:style w:type="paragraph" w:styleId="904" w:customStyle="1">
    <w:name w:val="正文首行缩进 21"/>
    <w:basedOn w:val="877"/>
    <w:next w:val="858"/>
    <w:uiPriority w:val="0"/>
    <w:qFormat/>
    <w:pPr>
      <w:ind w:firstLine="420"/>
      <w:spacing w:line="360" w:lineRule="auto"/>
    </w:pPr>
    <w:rPr>
      <w:rFonts w:ascii="宋体" w:hAnsi="宋体" w:eastAsia="宋体"/>
      <w:sz w:val="21"/>
      <w:szCs w:val="20"/>
    </w:rPr>
  </w:style>
  <w:style w:type="table" w:styleId="905" w:customStyle="1">
    <w:name w:val="网格型1"/>
    <w:basedOn w:val="865"/>
    <w:uiPriority w:val="0"/>
    <w:qFormat/>
    <w:tblPr>
      <w:tblCellMar>
        <w:left w:w="0" w:type="dxa"/>
        <w:top w:w="0" w:type="dxa"/>
        <w:right w:w="0" w:type="dxa"/>
        <w:bottom w:w="0" w:type="dxa"/>
      </w:tblCellMar>
    </w:tblPr>
  </w:style>
  <w:style w:type="character" w:styleId="906" w:customStyle="1">
    <w:name w:val="要点1"/>
    <w:uiPriority w:val="0"/>
    <w:qFormat/>
    <w:rPr>
      <w:b/>
      <w:bCs/>
    </w:rPr>
  </w:style>
  <w:style w:type="character" w:styleId="907" w:customStyle="1">
    <w:name w:val="页码1"/>
    <w:uiPriority w:val="0"/>
    <w:qFormat/>
  </w:style>
  <w:style w:type="character" w:styleId="908" w:customStyle="1">
    <w:name w:val="已访问的超链接1"/>
    <w:basedOn w:val="864"/>
    <w:uiPriority w:val="0"/>
    <w:qFormat/>
    <w:rPr>
      <w:color w:val="000000"/>
      <w:u w:val="none"/>
    </w:rPr>
  </w:style>
  <w:style w:type="character" w:styleId="909" w:customStyle="1">
    <w:name w:val="强调1"/>
    <w:uiPriority w:val="20"/>
    <w:qFormat/>
    <w:rPr>
      <w:i/>
    </w:rPr>
  </w:style>
  <w:style w:type="character" w:styleId="910" w:customStyle="1">
    <w:name w:val="超链接1"/>
    <w:basedOn w:val="864"/>
    <w:uiPriority w:val="0"/>
    <w:qFormat/>
    <w:rPr>
      <w:color w:val="000000"/>
      <w:u w:val="none"/>
    </w:rPr>
  </w:style>
  <w:style w:type="character" w:styleId="911" w:customStyle="1">
    <w:name w:val="批注引用1"/>
    <w:uiPriority w:val="0"/>
    <w:semiHidden/>
    <w:qFormat/>
    <w:rPr>
      <w:sz w:val="21"/>
      <w:szCs w:val="21"/>
    </w:rPr>
  </w:style>
  <w:style w:type="paragraph" w:styleId="912" w:customStyle="1">
    <w:name w:val="_Style 1"/>
    <w:uiPriority w:val="0"/>
    <w:qFormat/>
    <w:rPr>
      <w:rFonts w:ascii="Tahoma" w:hAnsi="Tahoma" w:eastAsia="宋体" w:cs="Times New Roman"/>
      <w:sz w:val="22"/>
      <w:szCs w:val="22"/>
      <w:lang w:val="en-US" w:eastAsia="zh-CN" w:bidi="ar-SA"/>
    </w:rPr>
  </w:style>
  <w:style w:type="paragraph" w:styleId="913" w:customStyle="1">
    <w:name w:val="列出段落1"/>
    <w:basedOn w:val="666"/>
    <w:uiPriority w:val="34"/>
    <w:qFormat/>
    <w:pPr>
      <w:contextualSpacing/>
      <w:ind w:left="720"/>
      <w:jc w:val="left"/>
      <w:widowControl/>
    </w:pPr>
    <w:rPr>
      <w:rFonts w:ascii="Calibri" w:hAnsi="Calibri"/>
      <w:sz w:val="24"/>
      <w:szCs w:val="24"/>
      <w:lang w:eastAsia="en-US" w:bidi="en-US"/>
    </w:rPr>
  </w:style>
  <w:style w:type="character" w:styleId="914" w:customStyle="1">
    <w:name w:val="font41"/>
    <w:uiPriority w:val="0"/>
    <w:qFormat/>
    <w:rPr>
      <w:rFonts w:hint="eastAsia" w:ascii="宋体" w:hAnsi="宋体" w:eastAsia="宋体" w:cs="宋体"/>
      <w:b/>
      <w:bCs/>
      <w:color w:val="000000"/>
      <w:sz w:val="22"/>
      <w:szCs w:val="22"/>
      <w:u w:val="none"/>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1"/>
    <w:basedOn w:val="666"/>
    <w:link w:val="915"/>
    <w:uiPriority w:val="0"/>
    <w:qFormat/>
    <w:pPr>
      <w:contextualSpacing/>
      <w:ind w:left="720"/>
      <w:jc w:val="left"/>
      <w:widowControl/>
    </w:pPr>
    <w:rPr>
      <w:rFonts w:ascii="Calibri" w:hAnsi="Calibri"/>
      <w:sz w:val="24"/>
      <w:szCs w:val="24"/>
      <w:lang w:eastAsia="en-US" w:bidi="en-US"/>
    </w:rPr>
  </w:style>
  <w:style w:type="character" w:styleId="917" w:customStyle="1">
    <w:name w:val="font71"/>
    <w:uiPriority w:val="0"/>
    <w:qFormat/>
    <w:rPr>
      <w:rFonts w:ascii="Cambria Math" w:hAnsi="Cambria Math" w:eastAsia="Cambria Math" w:cs="Cambria Math"/>
      <w:color w:val="000000"/>
      <w:sz w:val="22"/>
      <w:szCs w:val="22"/>
      <w:u w:val="none"/>
    </w:rPr>
  </w:style>
  <w:style w:type="character" w:styleId="918" w:customStyle="1">
    <w:name w:val="font91"/>
    <w:uiPriority w:val="0"/>
    <w:qFormat/>
    <w:rPr>
      <w:rFonts w:hint="eastAsia" w:ascii="宋体" w:hAnsi="宋体" w:eastAsia="宋体" w:cs="宋体"/>
      <w:color w:val="ff0000"/>
      <w:sz w:val="22"/>
      <w:szCs w:val="22"/>
      <w:u w:val="none"/>
    </w:rPr>
  </w:style>
  <w:style w:type="character" w:styleId="919" w:customStyle="1">
    <w:name w:val="font5 Char"/>
    <w:uiPriority w:val="0"/>
    <w:qFormat/>
    <w:rPr>
      <w:rFonts w:ascii="宋体" w:hAnsi="宋体" w:eastAsia="宋体"/>
      <w:sz w:val="28"/>
      <w:szCs w:val="28"/>
      <w:lang w:val="en-US" w:eastAsia="zh-CN" w:bidi="ar-SA"/>
    </w:rPr>
  </w:style>
  <w:style w:type="character" w:styleId="920" w:customStyle="1">
    <w:name w:val="二级目录 Char"/>
    <w:link w:val="921"/>
    <w:uiPriority w:val="0"/>
    <w:qFormat/>
    <w:rPr>
      <w:b/>
      <w:sz w:val="30"/>
      <w:szCs w:val="28"/>
    </w:rPr>
  </w:style>
  <w:style w:type="paragraph" w:styleId="921" w:customStyle="1">
    <w:name w:val="二级目录"/>
    <w:next w:val="666"/>
    <w:link w:val="92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2" w:customStyle="1">
    <w:name w:val="apple-converted-space"/>
    <w:uiPriority w:val="99"/>
    <w:qFormat/>
  </w:style>
  <w:style w:type="character" w:styleId="923" w:customStyle="1">
    <w:name w:val="Char Char Char Char Char"/>
    <w:link w:val="924"/>
    <w:uiPriority w:val="0"/>
    <w:qFormat/>
    <w:rPr>
      <w:rFonts w:ascii="Tahoma" w:hAnsi="Tahoma" w:eastAsia="宋体"/>
      <w:sz w:val="24"/>
      <w:szCs w:val="24"/>
      <w:lang w:val="en-US" w:eastAsia="zh-CN" w:bidi="ar-SA"/>
    </w:rPr>
  </w:style>
  <w:style w:type="paragraph" w:styleId="924" w:customStyle="1">
    <w:name w:val="Char Char Char Char"/>
    <w:basedOn w:val="870"/>
    <w:link w:val="923"/>
    <w:uiPriority w:val="0"/>
    <w:qFormat/>
    <w:pPr>
      <w:spacing w:line="360" w:lineRule="auto"/>
    </w:pPr>
    <w:rPr>
      <w:rFonts w:ascii="Tahoma" w:hAnsi="Tahoma"/>
      <w:sz w:val="24"/>
      <w:szCs w:val="24"/>
    </w:rPr>
  </w:style>
  <w:style w:type="character" w:styleId="925" w:customStyle="1">
    <w:name w:val="普通正文 Char"/>
    <w:link w:val="926"/>
    <w:uiPriority w:val="0"/>
    <w:qFormat/>
    <w:rPr>
      <w:rFonts w:ascii="Arial" w:hAnsi="Arial"/>
      <w:sz w:val="24"/>
      <w:szCs w:val="24"/>
    </w:rPr>
  </w:style>
  <w:style w:type="paragraph" w:styleId="926" w:customStyle="1">
    <w:name w:val="普通正文"/>
    <w:basedOn w:val="666"/>
    <w:link w:val="925"/>
    <w:uiPriority w:val="0"/>
    <w:qFormat/>
    <w:pPr>
      <w:ind w:firstLine="480"/>
      <w:jc w:val="left"/>
      <w:spacing w:before="120" w:after="120" w:line="360" w:lineRule="auto"/>
    </w:pPr>
    <w:rPr>
      <w:rFonts w:ascii="Arial" w:hAnsi="Arial"/>
      <w:sz w:val="24"/>
      <w:szCs w:val="24"/>
    </w:rPr>
  </w:style>
  <w:style w:type="character" w:styleId="927" w:customStyle="1">
    <w:name w:val="font51"/>
    <w:uiPriority w:val="0"/>
    <w:qFormat/>
    <w:rPr>
      <w:rFonts w:hint="eastAsia" w:ascii="宋体" w:hAnsi="宋体" w:eastAsia="宋体" w:cs="宋体"/>
      <w:color w:val="000000"/>
      <w:sz w:val="22"/>
      <w:szCs w:val="22"/>
      <w:u w:val="none"/>
    </w:rPr>
  </w:style>
  <w:style w:type="character" w:styleId="928" w:customStyle="1">
    <w:name w:val="font61"/>
    <w:uiPriority w:val="0"/>
    <w:qFormat/>
    <w:rPr>
      <w:rFonts w:ascii="Wingdings" w:hAnsi="Wingdings" w:cs="Wingdings"/>
      <w:color w:val="000000"/>
      <w:sz w:val="22"/>
      <w:szCs w:val="22"/>
      <w:u w:val="none"/>
    </w:rPr>
  </w:style>
  <w:style w:type="paragraph" w:styleId="929" w:customStyle="1">
    <w:name w:val="Body Text(ch)"/>
    <w:basedOn w:val="666"/>
    <w:next w:val="874"/>
    <w:uiPriority w:val="0"/>
    <w:qFormat/>
    <w:pPr>
      <w:spacing w:after="120"/>
    </w:pPr>
    <w:rPr>
      <w:rFonts w:ascii="宋体" w:hAnsi="Arial"/>
      <w:bCs/>
      <w:iCs/>
      <w:szCs w:val="24"/>
    </w:rPr>
  </w:style>
  <w:style w:type="paragraph" w:styleId="930"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31" w:customStyle="1">
    <w:name w:val="xl24"/>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2" w:customStyle="1">
    <w:name w:val="xl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3"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4" w:customStyle="1">
    <w:name w:val="table_1stline"/>
    <w:basedOn w:val="666"/>
    <w:uiPriority w:val="0"/>
    <w:qFormat/>
    <w:pPr>
      <w:jc w:val="left"/>
      <w:spacing w:before="120"/>
      <w:widowControl/>
    </w:pPr>
    <w:rPr>
      <w:bCs/>
      <w:sz w:val="20"/>
      <w:szCs w:val="20"/>
      <w:lang w:val="de-DE" w:eastAsia="de-DE"/>
    </w:rPr>
  </w:style>
  <w:style w:type="paragraph" w:styleId="935" w:customStyle="1">
    <w:name w:val="Achievement"/>
    <w:basedOn w:val="666"/>
    <w:uiPriority w:val="0"/>
    <w:qFormat/>
    <w:pPr>
      <w:numPr>
        <w:ilvl w:val="0"/>
        <w:numId w:val="2"/>
      </w:numPr>
      <w:jc w:val="left"/>
      <w:spacing w:before="60" w:after="60"/>
      <w:widowControl/>
    </w:pPr>
    <w:rPr>
      <w:sz w:val="20"/>
      <w:szCs w:val="20"/>
      <w:lang w:val="it-IT"/>
    </w:rPr>
  </w:style>
  <w:style w:type="paragraph" w:styleId="936" w:customStyle="1">
    <w:name w:val="_Style 3"/>
    <w:basedOn w:val="666"/>
    <w:uiPriority w:val="34"/>
    <w:qFormat/>
    <w:pPr>
      <w:ind w:firstLine="420"/>
    </w:pPr>
    <w:rPr>
      <w:szCs w:val="24"/>
    </w:rPr>
  </w:style>
  <w:style w:type="paragraph" w:styleId="937" w:customStyle="1">
    <w:name w:val="table_lines"/>
    <w:basedOn w:val="666"/>
    <w:uiPriority w:val="0"/>
    <w:qFormat/>
    <w:pPr>
      <w:jc w:val="left"/>
      <w:widowControl/>
    </w:pPr>
    <w:rPr>
      <w:sz w:val="20"/>
      <w:szCs w:val="20"/>
      <w:lang w:val="de-DE" w:eastAsia="de-DE"/>
    </w:rPr>
  </w:style>
  <w:style w:type="paragraph" w:styleId="938"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939" w:customStyle="1">
    <w:name w:val="Char"/>
    <w:basedOn w:val="666"/>
    <w:uiPriority w:val="0"/>
    <w:qFormat/>
    <w:pPr>
      <w:ind w:firstLine="200"/>
      <w:tabs>
        <w:tab w:val="left" w:pos="360" w:leader="none"/>
      </w:tabs>
    </w:pPr>
    <w:rPr>
      <w:sz w:val="28"/>
      <w:szCs w:val="30"/>
    </w:rPr>
  </w:style>
  <w:style w:type="paragraph" w:styleId="940" w:customStyle="1">
    <w:name w:val="样式1"/>
    <w:basedOn w:val="666"/>
    <w:uiPriority w:val="0"/>
    <w:qFormat/>
    <w:pPr>
      <w:numPr>
        <w:ilvl w:val="0"/>
        <w:numId w:val="4"/>
      </w:numPr>
    </w:pPr>
    <w:rPr>
      <w:rFonts w:ascii="宋体" w:hAnsi="宋体"/>
    </w:rPr>
  </w:style>
  <w:style w:type="paragraph" w:styleId="941"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42"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43"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45" w:customStyle="1">
    <w:name w:val="xl2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6" w:customStyle="1">
    <w:name w:val="Table Paragraph"/>
    <w:basedOn w:val="666"/>
    <w:uiPriority w:val="1"/>
    <w:qFormat/>
    <w:pPr>
      <w:spacing w:line="276" w:lineRule="auto"/>
    </w:pPr>
    <w:rPr>
      <w:rFonts w:ascii="Calibri" w:hAnsi="Calibri" w:cs="Calibri"/>
      <w:szCs w:val="22"/>
    </w:rPr>
  </w:style>
  <w:style w:type="paragraph" w:styleId="947" w:customStyle="1">
    <w:name w:val="Char Char Char Char1"/>
    <w:basedOn w:val="870"/>
    <w:uiPriority w:val="0"/>
    <w:qFormat/>
    <w:pPr>
      <w:spacing w:line="360" w:lineRule="auto"/>
    </w:pPr>
    <w:rPr>
      <w:rFonts w:ascii="Tahoma" w:hAnsi="Tahoma"/>
      <w:sz w:val="24"/>
      <w:szCs w:val="24"/>
    </w:rPr>
  </w:style>
  <w:style w:type="paragraph" w:styleId="948" w:customStyle="1">
    <w:name w:val="_Style 5"/>
    <w:basedOn w:val="666"/>
    <w:next w:val="913"/>
    <w:uiPriority w:val="99"/>
    <w:qFormat/>
    <w:pPr>
      <w:ind w:firstLine="420"/>
    </w:pPr>
    <w:rPr>
      <w:szCs w:val="22"/>
    </w:rPr>
  </w:style>
  <w:style w:type="paragraph" w:styleId="949"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50" w:customStyle="1">
    <w:name w:val="Other|1"/>
    <w:basedOn w:val="666"/>
    <w:uiPriority w:val="0"/>
    <w:qFormat/>
    <w:pPr>
      <w:spacing w:after="140" w:line="324" w:lineRule="auto"/>
    </w:pPr>
    <w:rPr>
      <w:rFonts w:ascii="宋体" w:hAnsi="宋体" w:cs="宋体"/>
      <w:sz w:val="20"/>
      <w:szCs w:val="20"/>
      <w:lang w:val="zh-TW" w:eastAsia="zh-TW" w:bidi="zh-TW"/>
    </w:rPr>
  </w:style>
  <w:style w:type="paragraph" w:styleId="951" w:customStyle="1">
    <w:name w:val="Char Char Char Char Char Char Char Char Char Char"/>
    <w:basedOn w:val="666"/>
    <w:uiPriority w:val="0"/>
    <w:qFormat/>
    <w:pPr>
      <w:spacing w:line="360" w:lineRule="auto"/>
    </w:pPr>
    <w:rPr>
      <w:sz w:val="24"/>
      <w:szCs w:val="20"/>
    </w:rPr>
  </w:style>
  <w:style w:type="paragraph" w:styleId="952" w:customStyle="1">
    <w:name w:val="xl29"/>
    <w:basedOn w:val="6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54" w:customStyle="1">
    <w:name w:val="xl27"/>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Char1"/>
    <w:basedOn w:val="870"/>
    <w:uiPriority w:val="0"/>
    <w:qFormat/>
    <w:rPr>
      <w:rFonts w:ascii="Tahoma" w:hAnsi="Tahoma"/>
      <w:sz w:val="24"/>
      <w:szCs w:val="24"/>
    </w:rPr>
  </w:style>
  <w:style w:type="paragraph" w:styleId="958" w:customStyle="1">
    <w:name w:val="4"/>
    <w:basedOn w:val="666"/>
    <w:next w:val="895"/>
    <w:uiPriority w:val="99"/>
    <w:qFormat/>
    <w:pPr>
      <w:ind w:firstLine="420"/>
      <w:spacing w:line="360" w:lineRule="auto"/>
    </w:pPr>
    <w:rPr>
      <w:color w:val="ff0000"/>
      <w:sz w:val="24"/>
      <w:szCs w:val="24"/>
    </w:rPr>
  </w:style>
  <w:style w:type="paragraph" w:styleId="959" w:customStyle="1">
    <w:name w:val="Char Char Char Char Char Char Char Char1"/>
    <w:basedOn w:val="666"/>
    <w:uiPriority w:val="0"/>
    <w:qFormat/>
    <w:pPr>
      <w:jc w:val="left"/>
      <w:spacing w:after="160" w:line="240" w:lineRule="exact"/>
      <w:widowControl/>
    </w:pPr>
    <w:rPr>
      <w:rFonts w:ascii="Verdana" w:hAnsi="Verdana"/>
      <w:sz w:val="20"/>
      <w:szCs w:val="20"/>
      <w:lang w:eastAsia="en-US"/>
    </w:rPr>
  </w:style>
  <w:style w:type="character" w:styleId="960" w:customStyle="1">
    <w:name w:val="font31"/>
    <w:basedOn w:val="864"/>
    <w:uiPriority w:val="0"/>
    <w:qFormat/>
    <w:rPr>
      <w:rFonts w:hint="eastAsia" w:ascii="黑体" w:hAnsi="宋体" w:eastAsia="黑体" w:cs="黑体"/>
      <w:color w:val="000000"/>
      <w:sz w:val="13"/>
      <w:szCs w:val="13"/>
      <w:u w:val="none"/>
    </w:rPr>
  </w:style>
  <w:style w:type="table" w:styleId="961" w:customStyle="1">
    <w:name w:val="Table Normal"/>
    <w:uiPriority w:val="0"/>
    <w:unhideWhenUsed/>
    <w:qFormat/>
    <w:tblPr>
      <w:tblCellMar>
        <w:left w:w="0" w:type="dxa"/>
        <w:top w:w="0" w:type="dxa"/>
        <w:right w:w="0" w:type="dxa"/>
        <w:bottom w:w="0" w:type="dxa"/>
      </w:tblCellMar>
    </w:tblPr>
  </w:style>
  <w:style w:type="paragraph" w:styleId="962" w:customStyle="1">
    <w:name w:val="标题 31"/>
    <w:basedOn w:val="666"/>
    <w:next w:val="963"/>
    <w:uiPriority w:val="9"/>
    <w:qFormat/>
    <w:pPr>
      <w:keepLines/>
      <w:keepNext/>
      <w:spacing w:before="260" w:after="260" w:line="416" w:lineRule="auto"/>
      <w:outlineLvl w:val="2"/>
    </w:pPr>
    <w:rPr>
      <w:b/>
      <w:bCs/>
      <w:sz w:val="32"/>
      <w:szCs w:val="32"/>
    </w:rPr>
  </w:style>
  <w:style w:type="paragraph" w:styleId="963" w:customStyle="1">
    <w:name w:val="正文缩进1"/>
    <w:basedOn w:val="666"/>
    <w:uiPriority w:val="0"/>
    <w:qFormat/>
    <w:pPr>
      <w:ind w:firstLine="420"/>
    </w:pPr>
  </w:style>
  <w:style w:type="paragraph" w:styleId="964" w:customStyle="1">
    <w:name w:val="标题 41"/>
    <w:basedOn w:val="666"/>
    <w:next w:val="963"/>
    <w:uiPriority w:val="9"/>
    <w:qFormat/>
    <w:pPr>
      <w:keepLines/>
      <w:keepNext/>
      <w:spacing w:before="280" w:after="290" w:line="376" w:lineRule="auto"/>
      <w:outlineLvl w:val="3"/>
    </w:pPr>
    <w:rPr>
      <w:rFonts w:ascii="Arial" w:hAnsi="Arial" w:eastAsia="黑体"/>
      <w:b/>
      <w:bCs/>
      <w:sz w:val="28"/>
      <w:szCs w:val="28"/>
    </w:rPr>
  </w:style>
  <w:style w:type="character" w:styleId="965" w:customStyle="1">
    <w:name w:val="active15"/>
    <w:basedOn w:val="864"/>
    <w:uiPriority w:val="0"/>
    <w:qFormat/>
    <w:rPr>
      <w:color w:val="ffffff"/>
      <w:shd w:val="clear" w:color="auto" w:fill="0f5bb9"/>
    </w:rPr>
  </w:style>
  <w:style w:type="numbering" w:styleId="8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陈晓忠</cp:lastModifiedBy>
  <cp:revision>7</cp:revision>
  <dcterms:created xsi:type="dcterms:W3CDTF">2026-08-19T02:57:00Z</dcterms:created>
  <dcterms:modified xsi:type="dcterms:W3CDTF">2026-09-23T06:52:36Z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7B2D084AA0184428A8737E4F06FCB181_13</vt:lpwstr>
  </property>
  <property fmtid="{D5CDD505-2E9C-101B-9397-08002B2CF9AE}" pid="4" name="KSOTemplateDocerSaveRecord">
    <vt:lpwstr>eyJoZGlkIjoiNWVlNmNkMTc4ZDM5YWM3NDc0MGY2YjQ5MDkzYmE1Y2IiLCJ1c2VySWQiOiIzODM5ODI3NTUifQ==</vt:lpwstr>
  </property>
</Properties>
</file>