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firstLine="0"/>
        <w:rPr>
          <w:rFonts w:ascii="宋体" w:hAnsi="宋体" w:cs="宋体"/>
          <w:b/>
          <w:bCs/>
          <w:color w:val="auto"/>
          <w:sz w:val="84"/>
          <w:highlight w:val="none"/>
        </w:rPr>
      </w:pPr>
      <w:r>
        <w:rPr>
          <w:rFonts w:ascii="宋体" w:hAnsi="宋体" w:cs="宋体"/>
          <w:b/>
          <w:bCs/>
          <w:color w:val="auto"/>
          <w:sz w:val="84"/>
          <w:highlight w:val="none"/>
        </w:rPr>
      </w:r>
      <w:r/>
    </w:p>
    <w:p>
      <w:pPr>
        <w:pStyle w:val="1126"/>
        <w:ind w:firstLine="0"/>
        <w:jc w:val="center"/>
        <w:rPr>
          <w:rFonts w:ascii="宋体" w:hAnsi="宋体" w:cs="宋体"/>
          <w:b/>
          <w:bCs/>
          <w:color w:val="auto"/>
          <w:sz w:val="84"/>
          <w:highlight w:val="none"/>
        </w:rPr>
      </w:pPr>
      <w:r>
        <w:rPr>
          <w:rFonts w:hint="eastAsia" w:ascii="宋体" w:hAnsi="宋体" w:cs="宋体"/>
          <w:b/>
          <w:bCs/>
          <w:color w:val="auto"/>
          <w:sz w:val="84"/>
          <w:highlight w:val="none"/>
        </w:rPr>
        <w:t xml:space="preserve">招　标　文　件</w:t>
      </w:r>
      <w:r/>
    </w:p>
    <w:p>
      <w:pPr>
        <w:pStyle w:val="1126"/>
        <w:ind w:firstLine="1121"/>
        <w:rPr>
          <w:rFonts w:ascii="宋体" w:hAnsi="宋体" w:cs="宋体"/>
          <w:b/>
          <w:bCs/>
          <w:color w:val="auto"/>
          <w:sz w:val="32"/>
          <w:highlight w:val="none"/>
        </w:rPr>
      </w:pPr>
      <w:r>
        <w:rPr>
          <w:rFonts w:hint="eastAsia" w:ascii="宋体" w:hAnsi="宋体" w:cs="宋体"/>
          <w:b/>
          <w:bCs/>
          <w:color w:val="auto"/>
          <w:sz w:val="32"/>
          <w:highlight w:val="none"/>
        </w:rPr>
        <w:t xml:space="preserve">项目名称： 通师二附情境教育推广中心电梯采购       </w:t>
      </w:r>
      <w:r/>
    </w:p>
    <w:p>
      <w:pPr>
        <w:pStyle w:val="1126"/>
        <w:ind w:firstLine="1121"/>
        <w:rPr>
          <w:rFonts w:ascii="宋体" w:hAnsi="宋体" w:cs="宋体"/>
          <w:b/>
          <w:color w:val="auto"/>
          <w:sz w:val="30"/>
          <w:szCs w:val="30"/>
          <w:highlight w:val="none"/>
        </w:rPr>
      </w:pPr>
      <w:r>
        <w:rPr>
          <w:rFonts w:hint="eastAsia" w:ascii="宋体" w:hAnsi="宋体" w:cs="宋体"/>
          <w:b/>
          <w:bCs/>
          <w:color w:val="auto"/>
          <w:sz w:val="32"/>
          <w:highlight w:val="none"/>
        </w:rPr>
        <w:t xml:space="preserve">项目编号：</w:t>
      </w:r>
      <w:r>
        <w:rPr>
          <w:rFonts w:hint="eastAsia" w:ascii="宋体" w:hAnsi="宋体" w:cs="宋体"/>
          <w:b/>
          <w:bCs/>
          <w:color w:val="auto"/>
          <w:sz w:val="32"/>
          <w:szCs w:val="32"/>
          <w:highlight w:val="none"/>
        </w:rPr>
        <w:t xml:space="preserve">JSZC-320600-JZCG-G2026-0122</w:t>
      </w:r>
      <w:r>
        <w:rPr>
          <w:rFonts w:hint="eastAsia" w:ascii="宋体" w:hAnsi="宋体" w:cs="宋体"/>
          <w:b/>
          <w:bCs/>
          <w:color w:val="auto"/>
          <w:sz w:val="32"/>
          <w:szCs w:val="32"/>
          <w:highlight w:val="none"/>
        </w:rPr>
        <w:t xml:space="preserve">  </w:t>
      </w:r>
      <w:r>
        <w:rPr>
          <w:rFonts w:hint="eastAsia" w:ascii="宋体" w:hAnsi="宋体" w:cs="宋体"/>
          <w:b/>
          <w:bCs/>
          <w:color w:val="auto"/>
          <w:sz w:val="32"/>
          <w:highlight w:val="none"/>
        </w:rPr>
        <w:t xml:space="preserve">           </w:t>
      </w: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spacing w:before="0" w:after="0"/>
        <w:rPr>
          <w:rFonts w:ascii="宋体" w:hAnsi="宋体" w:cs="宋体"/>
          <w:color w:val="auto"/>
          <w:highlight w:val="none"/>
        </w:rPr>
      </w:pPr>
      <w:r>
        <w:rPr>
          <w:rFonts w:ascii="宋体" w:hAnsi="宋体" w:cs="宋体"/>
          <w:color w:val="auto"/>
          <w:highlight w:val="none"/>
        </w:rPr>
      </w:r>
      <w:r/>
    </w:p>
    <w:p>
      <w:pPr>
        <w:pStyle w:val="1126"/>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南通市公共资源交易中心</w:t>
      </w:r>
      <w:r/>
    </w:p>
    <w:p>
      <w:pPr>
        <w:pStyle w:val="1126"/>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（南通市政府采购中心）</w:t>
      </w:r>
      <w:r/>
    </w:p>
    <w:p>
      <w:pPr>
        <w:pStyle w:val="1126"/>
        <w:ind w:firstLine="3213"/>
        <w:jc w:val="both"/>
        <w:rPr>
          <w:rFonts w:ascii="宋体" w:hAnsi="宋体" w:cs="宋体"/>
          <w:b/>
          <w:bCs/>
          <w:color w:val="auto"/>
          <w:sz w:val="32"/>
          <w:highlight w:val="none"/>
        </w:rPr>
      </w:pPr>
      <w:r>
        <w:rPr>
          <w:rFonts w:hint="eastAsia" w:ascii="宋体" w:hAnsi="宋体" w:cs="宋体"/>
          <w:b/>
          <w:bCs/>
          <w:color w:val="auto"/>
          <w:sz w:val="32"/>
          <w:highlight w:val="none"/>
        </w:rPr>
        <w:t xml:space="preserve"> </w:t>
      </w:r>
      <w:r>
        <w:rPr>
          <w:rFonts w:hint="eastAsia" w:ascii="宋体" w:hAnsi="宋体" w:cs="宋体"/>
          <w:b/>
          <w:bCs/>
          <w:color w:val="auto"/>
          <w:sz w:val="32"/>
          <w:highlight w:val="none"/>
          <w:u w:val="single"/>
        </w:rPr>
        <w:t xml:space="preserve"> </w:t>
      </w:r>
      <w:r>
        <w:rPr>
          <w:rFonts w:ascii="宋体" w:hAnsi="宋体" w:cs="宋体"/>
          <w:b/>
          <w:bCs/>
          <w:color w:val="auto"/>
          <w:sz w:val="32"/>
          <w:highlight w:val="none"/>
          <w:u w:val="single"/>
        </w:rPr>
        <w:t xml:space="preserve">2026</w:t>
      </w:r>
      <w:r>
        <w:rPr>
          <w:rFonts w:hint="eastAsia" w:ascii="宋体" w:hAnsi="宋体" w:cs="宋体"/>
          <w:b/>
          <w:bCs/>
          <w:color w:val="auto"/>
          <w:sz w:val="32"/>
          <w:highlight w:val="none"/>
          <w:u w:val="single"/>
        </w:rPr>
        <w:t xml:space="preserve"> </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u w:val="single"/>
        </w:rPr>
        <w:t xml:space="preserve"> </w:t>
      </w:r>
      <w:r>
        <w:rPr>
          <w:rFonts w:hint="eastAsia" w:ascii="宋体" w:hAnsi="宋体" w:cs="宋体"/>
          <w:b/>
          <w:bCs/>
          <w:color w:val="auto"/>
          <w:sz w:val="32"/>
          <w:highlight w:val="none"/>
          <w:u w:val="single"/>
          <w:lang w:val="en-US" w:eastAsia="zh-CN"/>
        </w:rPr>
        <w:t xml:space="preserve">9</w:t>
      </w:r>
      <w:r>
        <w:rPr>
          <w:rFonts w:hint="eastAsia" w:ascii="宋体" w:hAnsi="宋体" w:cs="宋体"/>
          <w:b/>
          <w:bCs/>
          <w:color w:val="auto"/>
          <w:sz w:val="32"/>
          <w:highlight w:val="none"/>
          <w:u w:val="single"/>
        </w:rPr>
        <w:t xml:space="preserve"> </w:t>
      </w:r>
      <w:r>
        <w:rPr>
          <w:rFonts w:hint="eastAsia" w:ascii="宋体" w:hAnsi="宋体" w:cs="宋体"/>
          <w:b/>
          <w:bCs/>
          <w:color w:val="auto"/>
          <w:sz w:val="32"/>
          <w:highlight w:val="none"/>
        </w:rPr>
        <w:t xml:space="preserve">月</w:t>
      </w:r>
      <w:r/>
    </w:p>
    <w:p>
      <w:pPr>
        <w:pStyle w:val="1126"/>
        <w:ind w:firstLine="0"/>
        <w:rPr>
          <w:rFonts w:ascii="宋体" w:hAnsi="宋体" w:cs="宋体"/>
          <w:color w:val="auto"/>
          <w:highlight w:val="none"/>
          <w:u w:val="single"/>
        </w:rPr>
      </w:pPr>
      <w:r>
        <w:rPr>
          <w:rFonts w:hint="eastAsia" w:ascii="宋体" w:hAnsi="宋体" w:cs="宋体"/>
          <w:color w:val="auto"/>
          <w:highlight w:val="none"/>
        </w:rPr>
        <w:t xml:space="preserve">                        </w:t>
      </w:r>
      <w:r/>
    </w:p>
    <w:p>
      <w:pPr>
        <w:pStyle w:val="1126"/>
        <w:ind w:firstLine="0"/>
        <w:jc w:val="center"/>
        <w:rPr>
          <w:rFonts w:ascii="宋体" w:hAnsi="宋体" w:cs="宋体"/>
          <w:color w:val="auto"/>
          <w:highlight w:val="none"/>
        </w:rPr>
      </w:pPr>
      <w:r>
        <w:rPr>
          <w:rFonts w:ascii="宋体" w:hAnsi="宋体" w:cs="宋体"/>
          <w:color w:val="auto"/>
          <w:highlight w:val="none"/>
        </w:rPr>
      </w:r>
      <w:r/>
    </w:p>
    <w:p>
      <w:pPr>
        <w:jc w:val="center"/>
        <w:spacing w:line="480" w:lineRule="auto"/>
        <w:rPr>
          <w:rFonts w:ascii="宋体" w:hAnsi="宋体" w:cs="宋体"/>
          <w:b/>
          <w:color w:val="auto"/>
          <w:sz w:val="44"/>
          <w:highlight w:val="none"/>
        </w:rPr>
        <w:outlineLvl w:val="0"/>
      </w:pPr>
      <w:r>
        <w:rPr>
          <w:rFonts w:hint="eastAsia" w:ascii="宋体" w:hAnsi="宋体" w:cs="宋体"/>
          <w:color w:val="auto"/>
          <w:highlight w:val="none"/>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宋体" w:hAnsi="宋体" w:cs="宋体"/>
          <w:color w:val="auto"/>
          <w:highlight w:val="none"/>
        </w:rPr>
        <w:t xml:space="preserve"> </w:t>
      </w:r>
      <w:r>
        <w:rPr>
          <w:rFonts w:hint="eastAsia" w:ascii="宋体" w:hAnsi="宋体" w:cs="宋体"/>
          <w:b/>
          <w:color w:val="auto"/>
          <w:sz w:val="44"/>
          <w:highlight w:val="none"/>
        </w:rPr>
        <w:t xml:space="preserve">总  目  录</w:t>
      </w:r>
      <w:r/>
    </w:p>
    <w:p>
      <w:pPr>
        <w:spacing w:line="480" w:lineRule="auto"/>
        <w:rPr>
          <w:rFonts w:ascii="宋体" w:hAnsi="宋体" w:cs="宋体"/>
          <w:b/>
          <w:color w:val="auto"/>
          <w:sz w:val="28"/>
          <w:highlight w:val="none"/>
        </w:rPr>
      </w:pPr>
      <w:r>
        <w:rPr>
          <w:rFonts w:ascii="宋体" w:hAnsi="宋体" w:cs="宋体"/>
          <w:b/>
          <w:color w:val="auto"/>
          <w:sz w:val="28"/>
          <w:highlight w:val="none"/>
        </w:rPr>
      </w:r>
      <w:r/>
    </w:p>
    <w:p>
      <w:pPr>
        <w:numPr>
          <w:ilvl w:val="0"/>
          <w:numId w:val="4"/>
        </w:numPr>
        <w:spacing w:line="480" w:lineRule="auto"/>
        <w:rPr>
          <w:rFonts w:ascii="宋体" w:hAnsi="宋体" w:cs="宋体"/>
          <w:color w:val="auto"/>
          <w:sz w:val="32"/>
          <w:highlight w:val="none"/>
        </w:rPr>
        <w:outlineLvl w:val="0"/>
      </w:pPr>
      <w:r>
        <w:rPr>
          <w:rFonts w:hint="eastAsia" w:ascii="宋体" w:hAnsi="宋体" w:cs="宋体"/>
          <w:color w:val="auto"/>
          <w:sz w:val="36"/>
          <w:highlight w:val="none"/>
        </w:rPr>
        <w:t xml:space="preserve">投标邀请……………………………………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bCs/>
          <w:color w:val="auto"/>
          <w:sz w:val="36"/>
          <w:szCs w:val="36"/>
          <w:highlight w:val="none"/>
        </w:rPr>
        <w:t xml:space="preserve">投标人须知</w:t>
      </w:r>
      <w:r>
        <w:rPr>
          <w:rFonts w:hint="eastAsia" w:ascii="宋体" w:hAnsi="宋体" w:cs="宋体"/>
          <w:color w:val="auto"/>
          <w:sz w:val="36"/>
          <w:szCs w:val="36"/>
          <w:highlight w:val="none"/>
        </w:rPr>
        <w:t xml:space="preserve">…</w:t>
      </w:r>
      <w:r>
        <w:rPr>
          <w:rFonts w:hint="eastAsia" w:ascii="宋体" w:hAnsi="宋体" w:cs="宋体"/>
          <w:color w:val="auto"/>
          <w:sz w:val="36"/>
          <w:highlight w:val="none"/>
        </w:rPr>
        <w:t xml:space="preserve">………………………………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合同文本……………………………………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采购需求……………………………………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bCs/>
          <w:color w:val="auto"/>
          <w:sz w:val="36"/>
          <w:szCs w:val="36"/>
          <w:highlight w:val="none"/>
        </w:rPr>
        <w:t xml:space="preserve">评标方法与评标标准</w:t>
      </w:r>
      <w:r>
        <w:rPr>
          <w:rFonts w:hint="eastAsia" w:ascii="宋体" w:hAnsi="宋体" w:cs="宋体"/>
          <w:color w:val="auto"/>
          <w:sz w:val="36"/>
          <w:highlight w:val="none"/>
        </w:rPr>
        <w:t xml:space="preserve">………………………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投标文件格式……………………………… </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38"/>
        <w:rPr>
          <w:rFonts w:ascii="宋体" w:hAnsi="宋体" w:eastAsia="宋体" w:cs="宋体"/>
          <w:color w:val="auto"/>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sz w:val="44"/>
          <w:szCs w:val="44"/>
          <w:highlight w:val="none"/>
        </w:rPr>
      </w:r>
      <w:r/>
    </w:p>
    <w:p>
      <w:pPr>
        <w:pStyle w:val="1038"/>
        <w:rPr>
          <w:rFonts w:ascii="宋体" w:hAnsi="宋体" w:eastAsia="宋体" w:cs="宋体"/>
          <w:bCs/>
          <w:color w:val="auto"/>
          <w:sz w:val="44"/>
          <w:szCs w:val="44"/>
          <w:highlight w:val="none"/>
        </w:rPr>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投标邀请</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rPr>
        <w:t xml:space="preserve"> 江苏省南通师范学校第二附属小学 </w:t>
      </w:r>
      <w:r>
        <w:rPr>
          <w:rFonts w:hint="eastAsia" w:ascii="宋体" w:hAnsi="宋体" w:cs="宋体"/>
          <w:color w:val="auto"/>
          <w:sz w:val="24"/>
          <w:szCs w:val="24"/>
          <w:highlight w:val="none"/>
        </w:rPr>
        <w:t xml:space="preserve">的委托，南通市政府采购中心就</w:t>
      </w:r>
      <w:r>
        <w:rPr>
          <w:rFonts w:hint="eastAsia" w:ascii="宋体" w:hAnsi="宋体" w:cs="宋体"/>
          <w:color w:val="auto"/>
          <w:sz w:val="24"/>
          <w:szCs w:val="24"/>
          <w:highlight w:val="none"/>
          <w:u w:val="single"/>
        </w:rPr>
        <w:t xml:space="preserve"> 通师二附情境教育推广中心电梯采购</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JSZC-320600-JZCG-G2026-0122</w:t>
      </w:r>
      <w:r>
        <w:rPr>
          <w:rFonts w:hint="eastAsia" w:ascii="宋体" w:hAnsi="宋体" w:cs="宋体"/>
          <w:color w:val="auto"/>
          <w:sz w:val="24"/>
          <w:szCs w:val="24"/>
          <w:highlight w:val="none"/>
        </w:rPr>
        <w:t xml:space="preserve">)进行公开招标采购，欢迎符合条件的供应商投标。</w:t>
      </w:r>
      <w:r/>
    </w:p>
    <w:p>
      <w:pPr>
        <w:ind w:firstLine="480"/>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通师二附情境教育推广中心电梯采购</w:t>
      </w:r>
      <w:r>
        <w:rPr>
          <w:rFonts w:hint="eastAsia" w:ascii="宋体" w:hAnsi="宋体" w:cs="宋体"/>
          <w:color w:val="auto"/>
          <w:sz w:val="24"/>
          <w:szCs w:val="24"/>
          <w:highlight w:val="none"/>
        </w:rPr>
        <w:t xml:space="preserve">项目的潜在投标人可在</w:t>
      </w:r>
      <w:r>
        <w:rPr>
          <w:rFonts w:hint="eastAsia" w:ascii="宋体" w:hAnsi="宋体" w:cs="宋体"/>
          <w:color w:val="auto"/>
          <w:sz w:val="24"/>
          <w:szCs w:val="24"/>
          <w:highlight w:val="none"/>
          <w:u w:val="single"/>
        </w:rPr>
        <w:t xml:space="preserve">“江苏政府采购网”自行免费下载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w:t>
      </w:r>
      <w:r>
        <w:rPr>
          <w:rFonts w:hint="eastAsia" w:ascii="宋体" w:hAnsi="宋体" w:cs="宋体"/>
          <w:bCs/>
          <w:color w:val="auto"/>
          <w:sz w:val="24"/>
          <w:szCs w:val="24"/>
          <w:highlight w:val="none"/>
          <w:u w:val="single"/>
        </w:rPr>
        <w:t xml:space="preserve">年</w:t>
      </w:r>
      <w:r>
        <w:rPr>
          <w:rFonts w:ascii="宋体" w:hAnsi="宋体" w:cs="宋体"/>
          <w:bCs/>
          <w:color w:val="auto"/>
          <w:sz w:val="24"/>
          <w:szCs w:val="24"/>
          <w:highlight w:val="none"/>
          <w:u w:val="single"/>
        </w:rPr>
        <w:t xml:space="preserve">9</w:t>
      </w:r>
      <w:r>
        <w:rPr>
          <w:rFonts w:hint="eastAsia" w:ascii="宋体" w:hAnsi="宋体" w:cs="宋体"/>
          <w:bCs/>
          <w:color w:val="auto"/>
          <w:sz w:val="24"/>
          <w:szCs w:val="24"/>
          <w:highlight w:val="none"/>
          <w:u w:val="single"/>
        </w:rPr>
        <w:t xml:space="preserve">月23</w:t>
      </w:r>
      <w:r>
        <w:rPr>
          <w:rFonts w:hint="eastAsia" w:ascii="宋体" w:hAnsi="宋体" w:cs="宋体"/>
          <w:bCs/>
          <w:color w:val="auto"/>
          <w:sz w:val="24"/>
          <w:szCs w:val="24"/>
          <w:highlight w:val="none"/>
          <w:u w:val="single"/>
        </w:rPr>
        <w:t xml:space="preserve">日10点00分（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pStyle w:val="1040"/>
        <w:ind w:firstLine="498"/>
        <w:spacing w:before="145" w:after="145" w:line="360" w:lineRule="auto"/>
        <w:rPr>
          <w:rFonts w:ascii="宋体" w:hAnsi="宋体" w:cs="宋体"/>
          <w:color w:val="auto"/>
          <w:highlight w:val="none"/>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宋体" w:hAnsi="宋体" w:cs="宋体"/>
          <w:color w:val="auto"/>
          <w:highlight w:val="none"/>
        </w:rPr>
        <w:t xml:space="preserve">一、项目基本情况</w:t>
      </w:r>
      <w:bookmarkEnd w:id="6"/>
      <w:r/>
      <w:bookmarkEnd w:id="7"/>
      <w:r/>
      <w:bookmarkEnd w:id="8"/>
      <w:r/>
      <w:bookmarkEnd w:id="9"/>
      <w:r/>
      <w:bookmarkEnd w:id="10"/>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rPr>
        <w:t xml:space="preserve">JSZC-320600-JZCG-G2026-0122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2.项目名称：通师二附情境教育推广中心电梯采购 </w:t>
      </w:r>
      <w:bookmarkEnd w:id="11"/>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万元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 万元。</w:t>
      </w:r>
      <w:r/>
    </w:p>
    <w:p>
      <w:pPr>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5.采购需求（简介）：通师二附情境教育推广中心加装电梯一台，完成井道施工、电梯采购安装等项目，详细内容见本招标文件第四章。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 60日历天（其中合同签订后7个日历天内必须完成勘察、二次深化设计、方案优化及施工效果图设计并经采购人审查通过）全部供货及安装完毕，经南通市市场监督管理局验收合格，颁发使用登记证，并完成全部验收工作。</w:t>
      </w:r>
      <w:r/>
    </w:p>
    <w:p>
      <w:pPr>
        <w:pStyle w:val="1040"/>
        <w:ind w:firstLine="498"/>
        <w:spacing w:before="145" w:after="145" w:line="360" w:lineRule="auto"/>
        <w:rPr>
          <w:rFonts w:ascii="宋体" w:hAnsi="宋体" w:cs="宋体"/>
          <w:color w:val="auto"/>
          <w:highlight w:val="none"/>
        </w:rPr>
      </w:pPr>
      <w:r/>
      <w:bookmarkStart w:id="12" w:name="_Toc35393791"/>
      <w:r/>
      <w:bookmarkStart w:id="13" w:name="_Toc28359080"/>
      <w:r/>
      <w:bookmarkStart w:id="14" w:name="_Toc35393622"/>
      <w:r/>
      <w:bookmarkStart w:id="15" w:name="_Toc28359003"/>
      <w:r/>
      <w:bookmarkStart w:id="16" w:name="_Toc38985264"/>
      <w:r>
        <w:rPr>
          <w:rFonts w:hint="eastAsia" w:ascii="宋体" w:hAnsi="宋体" w:cs="宋体"/>
          <w:color w:val="auto"/>
          <w:highlight w:val="none"/>
        </w:rPr>
        <w:t xml:space="preserve">二、申请人的资格要求：</w:t>
      </w:r>
      <w:bookmarkEnd w:id="12"/>
      <w:r/>
      <w:bookmarkEnd w:id="13"/>
      <w:r/>
      <w:bookmarkEnd w:id="14"/>
      <w:r/>
      <w:bookmarkEnd w:id="15"/>
      <w:r/>
      <w:bookmarkEnd w:id="16"/>
      <w:r/>
      <w:r/>
    </w:p>
    <w:p>
      <w:pPr>
        <w:ind w:firstLine="480"/>
        <w:rPr>
          <w:rFonts w:ascii="宋体" w:hAnsi="宋体" w:cs="宋体"/>
          <w:color w:val="auto"/>
          <w:sz w:val="24"/>
          <w:szCs w:val="24"/>
          <w:highlight w:val="none"/>
        </w:rPr>
      </w:pPr>
      <w:r/>
      <w:bookmarkStart w:id="17" w:name="_Toc35393792"/>
      <w:r/>
      <w:bookmarkStart w:id="18" w:name="_Toc38985265"/>
      <w:r/>
      <w:bookmarkStart w:id="19" w:name="_Toc28359081"/>
      <w:r/>
      <w:bookmarkStart w:id="20" w:name="_Toc35393623"/>
      <w:r/>
      <w:bookmarkStart w:id="21" w:name="_Toc28359004"/>
      <w:r>
        <w:rPr>
          <w:rFonts w:hint="eastAsia" w:ascii="宋体" w:hAnsi="宋体" w:cs="宋体"/>
          <w:color w:val="auto"/>
          <w:sz w:val="24"/>
          <w:szCs w:val="24"/>
          <w:highlight w:val="none"/>
        </w:rPr>
        <w:t xml:space="preserve">（一）通用资格要求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rPr>
          <w:rFonts w:ascii="宋体" w:hAnsi="宋体" w:cs="宋体"/>
          <w:color w:val="auto"/>
          <w:sz w:val="36"/>
          <w:szCs w:val="36"/>
          <w:highlight w:val="none"/>
        </w:rPr>
      </w:pPr>
      <w:r>
        <w:rPr>
          <w:rFonts w:hint="eastAsia" w:ascii="宋体" w:hAnsi="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color w:val="auto"/>
          <w:highlight w:val="none"/>
        </w:rPr>
      </w:pPr>
      <w:r>
        <w:rPr>
          <w:rFonts w:hint="eastAsia" w:ascii="宋体" w:hAnsi="宋体" w:cs="宋体"/>
          <w:color w:val="auto"/>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4.本项目不接受联合体投标。</w:t>
      </w:r>
      <w:r/>
    </w:p>
    <w:p>
      <w:pPr>
        <w:ind w:left="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5.本项目不接受分包。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响应供应商为电梯制造商或制造商对本项目授权代理商(销售商)。</w:t>
      </w:r>
      <w:r/>
    </w:p>
    <w:p>
      <w:pPr>
        <w:numPr>
          <w:ilvl w:val="0"/>
          <w:numId w:val="5"/>
        </w:num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响应供应商若为制造商</w:t>
      </w:r>
      <w:r/>
    </w:p>
    <w:p>
      <w:pPr>
        <w:ind w:firstLine="720"/>
        <w:rPr>
          <w:rFonts w:ascii="宋体" w:hAnsi="宋体" w:cs="宋体"/>
          <w:color w:val="auto"/>
          <w:sz w:val="24"/>
          <w:szCs w:val="24"/>
          <w:highlight w:val="none"/>
        </w:rPr>
      </w:pPr>
      <w:r>
        <w:rPr>
          <w:rFonts w:hint="eastAsia" w:ascii="宋体" w:hAnsi="宋体" w:cs="宋体"/>
          <w:color w:val="auto"/>
          <w:sz w:val="24"/>
          <w:szCs w:val="24"/>
          <w:highlight w:val="none"/>
        </w:rPr>
        <w:t xml:space="preserve">①须具有中华人民共和国特种设备制造许可证（曳引驱动乘客电梯（含消防员电梯）B级及以上）且在有效期内（或根据国家市场监督总局颁发的《特种设备生产和充装单位许可规则》（TSG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p>
    <w:p>
      <w:pPr>
        <w:ind w:firstLine="720"/>
        <w:rPr>
          <w:rFonts w:ascii="宋体" w:hAnsi="宋体" w:cs="宋体"/>
          <w:color w:val="auto"/>
          <w:sz w:val="24"/>
          <w:szCs w:val="24"/>
          <w:highlight w:val="none"/>
        </w:rPr>
      </w:pPr>
      <w:r>
        <w:rPr>
          <w:rFonts w:hint="eastAsia" w:ascii="宋体" w:hAnsi="宋体" w:cs="宋体"/>
          <w:color w:val="auto"/>
          <w:sz w:val="24"/>
          <w:szCs w:val="24"/>
          <w:highlight w:val="none"/>
        </w:rPr>
        <w:t xml:space="preserve">②须提供中华人民共和国特种设备安装改造维修许可证（施工类别：安装、改造、维修；级别：B 级及以上）或根据国家市场监督总局颁发的《特种设备生产和充装单位许可规则》（TSG07--2019 2019年6月1日起实施）提供满足本项目采购电梯设备规格要求的《中华人民共和国特种设备生产许可证》(许可项目:电梯制造(含安装、修理、改造)；许可子项目:曳引驱动乘客电梯)。</w:t>
      </w:r>
      <w:r/>
    </w:p>
    <w:p>
      <w:pPr>
        <w:pStyle w:val="1161"/>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（2）响应供应商若为代理商</w:t>
      </w:r>
      <w:r/>
    </w:p>
    <w:p>
      <w:pPr>
        <w:pStyle w:val="1161"/>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①须具有中华人民共和国特种设备安装改造维修许可证（施工类别：安装、改造、维修；级别：B级及以上）或根据国家市场监督总局颁发的《特种设备生产和充装单位许可规则》（TSG 07--2019 2019年6月1日起实施）提供满足本项目采购电梯设备规格要求的《中华人民共和国特种设备生产许可证》（新证）(许可项目: 电梯安装(含修理)；许可子项目:曳引驱动乘客电梯（含消防员电梯）)；</w:t>
      </w:r>
      <w:r/>
    </w:p>
    <w:p>
      <w:pPr>
        <w:pStyle w:val="1161"/>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②响应电梯品牌制造商须具有中华人民共和国特种设备制造许可证（曳引驱动乘客电梯（含消防员电梯）B级及以上）且在有效期内（或根据国家市场监督总局颁发的《特种设备生产和充装单位许可规则》（TSG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p>
    <w:p>
      <w:pPr>
        <w:pStyle w:val="1040"/>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1.时间：自招标文件公告发</w:t>
      </w:r>
      <w:bookmarkStart w:id="27" w:name="OLE_LINK26"/>
      <w:r>
        <w:rPr>
          <w:rFonts w:hint="eastAsia" w:ascii="宋体" w:hAnsi="宋体" w:cs="宋体"/>
          <w:color w:val="auto"/>
          <w:sz w:val="24"/>
          <w:szCs w:val="24"/>
          <w:highlight w:val="none"/>
        </w:rPr>
        <w:t xml:space="preserve">布</w:t>
      </w:r>
      <w:bookmarkStart w:id="28" w:name="OLE_LINK28"/>
      <w:r>
        <w:rPr>
          <w:rFonts w:hint="eastAsia" w:ascii="宋体" w:hAnsi="宋体" w:cs="宋体"/>
          <w:color w:val="auto"/>
          <w:sz w:val="24"/>
          <w:szCs w:val="24"/>
          <w:highlight w:val="none"/>
        </w:rPr>
        <w:t xml:space="preserve">之日起5个</w:t>
      </w:r>
      <w:bookmarkEnd w:id="27"/>
      <w:r>
        <w:rPr>
          <w:rFonts w:hint="eastAsia" w:ascii="宋体" w:hAnsi="宋体" w:cs="宋体"/>
          <w:color w:val="auto"/>
          <w:sz w:val="24"/>
          <w:szCs w:val="24"/>
          <w:highlight w:val="none"/>
        </w:rPr>
        <w:t xml:space="preserve">工作日。</w:t>
      </w:r>
      <w:bookmarkEnd w:id="28"/>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2.方式：</w:t>
      </w:r>
      <w:bookmarkStart w:id="29" w:name="OLE_LINK27"/>
      <w:r>
        <w:rPr>
          <w:rFonts w:hint="eastAsia" w:ascii="宋体" w:hAnsi="宋体" w:cs="宋体"/>
          <w:color w:val="auto"/>
          <w:sz w:val="24"/>
          <w:szCs w:val="24"/>
          <w:highlight w:val="none"/>
        </w:rPr>
        <w:t xml:space="preserve">凡有意参与投标的供应商须登录江苏省政府采购网首页点击“苏采云”→通过CA锁进行响应确认，并自行在招标文件有效获取期内及时下载获取。</w:t>
      </w:r>
      <w:bookmarkEnd w:id="29"/>
      <w:r/>
      <w:r/>
    </w:p>
    <w:p>
      <w:pPr>
        <w:pStyle w:val="1040"/>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四、提交投标文件</w:t>
      </w:r>
      <w:bookmarkEnd w:id="22"/>
      <w:r/>
      <w:bookmarkEnd w:id="23"/>
      <w:r>
        <w:rPr>
          <w:rFonts w:hint="eastAsia" w:ascii="宋体" w:hAnsi="宋体" w:cs="宋体"/>
          <w:color w:val="auto"/>
          <w:highlight w:val="none"/>
        </w:rPr>
        <w:t xml:space="preserve">截止时间、开标时间和地点</w:t>
      </w:r>
      <w:bookmarkEnd w:id="24"/>
      <w:r/>
      <w:bookmarkEnd w:id="25"/>
      <w:r/>
      <w:bookmarkEnd w:id="26"/>
      <w:r/>
      <w:r/>
    </w:p>
    <w:p>
      <w:pPr>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u w:val="single"/>
        </w:rPr>
        <w:t xml:space="preserve">2026</w:t>
      </w:r>
      <w:r>
        <w:rPr>
          <w:rFonts w:hint="eastAsia" w:ascii="宋体" w:hAnsi="宋体" w:cs="宋体"/>
          <w:bCs/>
          <w:color w:val="auto"/>
          <w:sz w:val="24"/>
          <w:szCs w:val="24"/>
          <w:highlight w:val="none"/>
          <w:u w:val="single"/>
        </w:rPr>
        <w:t xml:space="preserve">年9月</w:t>
      </w:r>
      <w:r>
        <w:rPr>
          <w:rFonts w:hint="eastAsia" w:ascii="宋体" w:hAnsi="宋体" w:cs="宋体"/>
          <w:bCs/>
          <w:color w:val="auto"/>
          <w:sz w:val="24"/>
          <w:szCs w:val="24"/>
          <w:highlight w:val="none"/>
          <w:u w:val="single"/>
          <w:lang w:val="en-US" w:eastAsia="zh-CN"/>
        </w:rPr>
        <w:t xml:space="preserve">23</w:t>
      </w:r>
      <w:r>
        <w:rPr>
          <w:rFonts w:hint="eastAsia" w:ascii="宋体" w:hAnsi="宋体" w:cs="宋体"/>
          <w:bCs/>
          <w:color w:val="auto"/>
          <w:sz w:val="24"/>
          <w:szCs w:val="24"/>
          <w:highlight w:val="none"/>
          <w:u w:val="single"/>
        </w:rPr>
        <w:t xml:space="preserve">日10点00分</w:t>
      </w:r>
      <w:r>
        <w:rPr>
          <w:rFonts w:hint="eastAsia" w:ascii="宋体" w:hAnsi="宋体" w:cs="宋体"/>
          <w:bCs/>
          <w:color w:val="auto"/>
          <w:sz w:val="24"/>
          <w:szCs w:val="24"/>
          <w:highlight w:val="none"/>
        </w:rPr>
        <w:t xml:space="preserve">（北京时间）</w:t>
      </w:r>
      <w:r/>
    </w:p>
    <w:p>
      <w:pPr>
        <w:ind w:firstLine="480"/>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2.地点：“苏采云”政府采购交易系统网上开标大厅。</w:t>
      </w:r>
      <w:r/>
    </w:p>
    <w:p>
      <w:pPr>
        <w:pStyle w:val="1040"/>
        <w:ind w:firstLine="498"/>
        <w:spacing w:before="145" w:after="145" w:line="360" w:lineRule="auto"/>
        <w:rPr>
          <w:rFonts w:ascii="宋体" w:hAnsi="宋体" w:cs="宋体"/>
          <w:color w:val="auto"/>
          <w:highlight w:val="none"/>
        </w:rPr>
      </w:pPr>
      <w:r/>
      <w:bookmarkStart w:id="30" w:name="_Toc35393625"/>
      <w:r/>
      <w:bookmarkStart w:id="31" w:name="_Toc28359084"/>
      <w:r/>
      <w:bookmarkStart w:id="32" w:name="_Toc35393794"/>
      <w:r/>
      <w:bookmarkStart w:id="33" w:name="_Toc28359007"/>
      <w:r/>
      <w:bookmarkStart w:id="34" w:name="_Toc38985267"/>
      <w:r>
        <w:rPr>
          <w:rFonts w:hint="eastAsia" w:ascii="宋体" w:hAnsi="宋体" w:cs="宋体"/>
          <w:color w:val="auto"/>
          <w:highlight w:val="none"/>
        </w:rPr>
        <w:t xml:space="preserve">五、公告期限</w:t>
      </w:r>
      <w:bookmarkEnd w:id="30"/>
      <w:r/>
      <w:bookmarkEnd w:id="31"/>
      <w:r/>
      <w:bookmarkEnd w:id="32"/>
      <w:r/>
      <w:bookmarkEnd w:id="33"/>
      <w:r/>
      <w:bookmarkEnd w:id="34"/>
      <w:r/>
      <w:bookmarkStart w:id="231" w:name="_GoBack"/>
      <w:r/>
      <w:bookmarkEnd w:id="231"/>
      <w:r/>
      <w:r/>
    </w:p>
    <w:p>
      <w:pPr>
        <w:ind w:firstLine="480"/>
        <w:rPr>
          <w:rFonts w:ascii="宋体" w:hAnsi="宋体" w:cs="宋体"/>
          <w:color w:val="auto"/>
          <w:sz w:val="24"/>
          <w:szCs w:val="24"/>
          <w:highlight w:val="none"/>
        </w:rPr>
      </w:pPr>
      <w:r/>
      <w:bookmarkStart w:id="35" w:name="_Toc35393626"/>
      <w:r/>
      <w:bookmarkStart w:id="36" w:name="_Toc38985268"/>
      <w:r/>
      <w:bookmarkStart w:id="37" w:name="_Toc35393795"/>
      <w:r>
        <w:rPr>
          <w:rFonts w:hint="eastAsia" w:ascii="宋体" w:hAnsi="宋体" w:cs="宋体"/>
          <w:color w:val="auto"/>
          <w:sz w:val="24"/>
          <w:szCs w:val="24"/>
          <w:highlight w:val="none"/>
        </w:rPr>
        <w:t xml:space="preserve">招标公告及招标文件公告期限为自本公告发布之日起5个工作日。</w:t>
      </w:r>
      <w:r/>
    </w:p>
    <w:p>
      <w:pPr>
        <w:pStyle w:val="1040"/>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六、其他补充事宜</w:t>
      </w:r>
      <w:bookmarkEnd w:id="35"/>
      <w:r/>
      <w:bookmarkEnd w:id="36"/>
      <w:r/>
      <w:bookmarkEnd w:id="37"/>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2.项目演示、样品、答辩等：无 。</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系统操作过程中如遇问题，请致电“苏采云”客服0519-86722801。</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4.有关本次招标的事项若存在变动或修改，均以江苏政府采购网发布的更正或补充通知为准，敬请及时关注。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6.“苏采云”系统使用相关提醒</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6.1根据省财政厅《关</w:t>
      </w:r>
      <w:r>
        <w:rPr>
          <w:rFonts w:hint="eastAsia" w:ascii="宋体" w:hAnsi="宋体" w:cs="宋体"/>
          <w:bCs/>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供应商也可前往“江苏政务服务网”（www.jszwfw.gov.cn），“一企来办”专栏下“政府采购”模块详细了解关于CA办理、标书制作、开标投标指引等事宜。</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cs="宋体"/>
          <w:bCs/>
          <w:color w:val="auto"/>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cs="宋体"/>
          <w:bCs/>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pStyle w:val="1087"/>
        <w:rPr>
          <w:rFonts w:cs="宋体"/>
          <w:color w:val="auto"/>
          <w:highlight w:val="none"/>
        </w:rPr>
      </w:pPr>
      <w:r>
        <w:rPr>
          <w:rFonts w:hint="eastAsia" w:cs="宋体"/>
          <w:color w:val="auto"/>
          <w:highlight w:val="none"/>
        </w:rPr>
        <w:t xml:space="preserve">         </w:t>
      </w:r>
      <w:r/>
    </w:p>
    <w:p>
      <w:pPr>
        <w:pStyle w:val="1040"/>
        <w:ind w:firstLine="498"/>
        <w:spacing w:before="145" w:after="145" w:line="360" w:lineRule="auto"/>
        <w:rPr>
          <w:rFonts w:ascii="宋体" w:hAnsi="宋体" w:cs="宋体"/>
          <w:color w:val="auto"/>
          <w:highlight w:val="none"/>
        </w:rPr>
      </w:pPr>
      <w:r/>
      <w:bookmarkStart w:id="39" w:name="_Toc35393627"/>
      <w:r/>
      <w:bookmarkStart w:id="40" w:name="_Toc38985269"/>
      <w:r/>
      <w:bookmarkStart w:id="41" w:name="_Toc35393796"/>
      <w:r/>
      <w:bookmarkStart w:id="42" w:name="_Toc28359085"/>
      <w:r/>
      <w:bookmarkStart w:id="43" w:name="_Toc28359008"/>
      <w:r>
        <w:rPr>
          <w:rFonts w:hint="eastAsia" w:ascii="宋体" w:hAnsi="宋体" w:cs="宋体"/>
          <w:color w:val="auto"/>
          <w:highlight w:val="none"/>
        </w:rPr>
        <w:t xml:space="preserve">七、本次招标联系方式</w:t>
      </w:r>
      <w:bookmarkEnd w:id="39"/>
      <w:r/>
      <w:bookmarkEnd w:id="40"/>
      <w:r/>
      <w:bookmarkEnd w:id="41"/>
      <w:r/>
      <w:bookmarkEnd w:id="42"/>
      <w:r/>
      <w:bookmarkEnd w:id="43"/>
      <w:r/>
      <w:r/>
    </w:p>
    <w:p>
      <w:pPr>
        <w:jc w:val="left"/>
        <w:widowControl/>
        <w:rPr>
          <w:rFonts w:ascii="宋体" w:hAnsi="宋体" w:cs="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江苏省南通师范学校第二附属小学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江苏省南通市崇川区建设路4</w:t>
      </w:r>
      <w:r>
        <w:rPr>
          <w:rFonts w:ascii="宋体" w:hAnsi="宋体" w:cs="宋体"/>
          <w:color w:val="auto"/>
          <w:sz w:val="24"/>
          <w:szCs w:val="24"/>
          <w:highlight w:val="none"/>
          <w:u w:val="single"/>
        </w:rPr>
        <w:t xml:space="preserve">7</w:t>
      </w:r>
      <w:r>
        <w:rPr>
          <w:rFonts w:hint="eastAsia" w:ascii="宋体" w:hAnsi="宋体" w:cs="宋体"/>
          <w:color w:val="auto"/>
          <w:sz w:val="24"/>
          <w:szCs w:val="24"/>
          <w:highlight w:val="none"/>
          <w:u w:val="single"/>
        </w:rPr>
        <w:t xml:space="preserve">号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崔老师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44" w:name="_Toc28359009"/>
      <w:r/>
      <w:bookmarkStart w:id="45" w:name="_Toc28359086"/>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18962800871</w:t>
      </w:r>
      <w:r/>
    </w:p>
    <w:p>
      <w:pPr>
        <w:numPr>
          <w:ilvl w:val="0"/>
          <w:numId w:val="6"/>
        </w:numPr>
        <w:ind w:left="1079" w:hanging="3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南通市政府采购中心信息</w:t>
      </w:r>
      <w:bookmarkEnd w:id="44"/>
      <w:r/>
      <w:bookmarkEnd w:id="45"/>
      <w:r/>
      <w:r/>
    </w:p>
    <w:p>
      <w:pPr>
        <w:ind w:left="517" w:firstLine="24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南通市</w:t>
      </w:r>
      <w:bookmarkStart w:id="46" w:name="OLE_LINK30"/>
      <w:r>
        <w:rPr>
          <w:rFonts w:hint="eastAsia" w:ascii="宋体" w:hAnsi="宋体" w:cs="宋体"/>
          <w:color w:val="auto"/>
          <w:sz w:val="24"/>
          <w:szCs w:val="24"/>
          <w:highlight w:val="none"/>
          <w:u w:val="single"/>
        </w:rPr>
        <w:t xml:space="preserve">崇川区青年中路128号</w:t>
      </w:r>
      <w:bookmarkEnd w:id="46"/>
      <w:r/>
      <w:r/>
    </w:p>
    <w:p>
      <w:pPr>
        <w:ind w:left="1079" w:hanging="300"/>
        <w:jc w:val="left"/>
        <w:spacing w:line="360" w:lineRule="auto"/>
        <w:rPr>
          <w:rFonts w:ascii="宋体" w:hAnsi="宋体" w:cs="宋体"/>
          <w:color w:val="auto"/>
          <w:sz w:val="24"/>
          <w:szCs w:val="24"/>
          <w:highlight w:val="none"/>
          <w:u w:val="single"/>
        </w:rPr>
      </w:pPr>
      <w:r/>
      <w:bookmarkStart w:id="47" w:name="_Toc28359010"/>
      <w:r/>
      <w:bookmarkStart w:id="48" w:name="_Toc28359087"/>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朱工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0513-81069836</w:t>
      </w:r>
      <w:r>
        <w:rPr>
          <w:rFonts w:hint="eastAsia" w:ascii="宋体" w:hAnsi="宋体" w:cs="宋体"/>
          <w:color w:val="auto"/>
          <w:sz w:val="24"/>
          <w:szCs w:val="24"/>
          <w:highlight w:val="none"/>
          <w:u w:val="single"/>
        </w:rPr>
        <w:t xml:space="preserve"> </w:t>
      </w:r>
      <w:r/>
    </w:p>
    <w:p>
      <w:pPr>
        <w:ind w:left="1079" w:hanging="3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3.软件技术支持：13063936179、0519-86722801、0513-59001950</w:t>
      </w:r>
      <w:bookmarkEnd w:id="47"/>
      <w:r/>
      <w:bookmarkEnd w:id="48"/>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pStyle w:val="1102"/>
        <w:ind w:firstLine="600"/>
        <w:rPr>
          <w:rFonts w:ascii="宋体" w:hAnsi="宋体" w:eastAsia="宋体" w:cs="宋体"/>
          <w:color w:val="auto"/>
          <w:highlight w:val="none"/>
        </w:rPr>
      </w:pPr>
      <w:r>
        <w:rPr>
          <w:rFonts w:ascii="宋体" w:hAnsi="宋体" w:eastAsia="宋体" w:cs="宋体"/>
          <w:color w:val="auto"/>
          <w:highlight w:val="none"/>
        </w:rPr>
      </w:r>
      <w:r/>
    </w:p>
    <w:p>
      <w:pPr>
        <w:pStyle w:val="1102"/>
        <w:ind w:firstLine="600"/>
        <w:rPr>
          <w:rFonts w:ascii="宋体" w:hAnsi="宋体" w:eastAsia="宋体" w:cs="宋体"/>
          <w:color w:val="auto"/>
          <w:highlight w:val="none"/>
        </w:rPr>
      </w:pPr>
      <w:r>
        <w:rPr>
          <w:rFonts w:ascii="宋体" w:hAnsi="宋体" w:eastAsia="宋体" w:cs="宋体"/>
          <w:color w:val="auto"/>
          <w:highlight w:val="none"/>
        </w:rPr>
      </w:r>
      <w:r/>
    </w:p>
    <w:p>
      <w:pPr>
        <w:ind w:right="840"/>
        <w:rPr>
          <w:rFonts w:ascii="宋体" w:hAnsi="宋体" w:cs="宋体"/>
          <w:color w:val="auto"/>
          <w:sz w:val="24"/>
          <w:szCs w:val="24"/>
          <w:highlight w:val="none"/>
        </w:rPr>
      </w:pPr>
      <w:r>
        <w:rPr>
          <w:rFonts w:ascii="宋体" w:hAnsi="宋体" w:cs="宋体"/>
          <w:color w:val="auto"/>
          <w:sz w:val="24"/>
          <w:szCs w:val="24"/>
          <w:highlight w:val="none"/>
        </w:rPr>
      </w:r>
      <w:r/>
    </w:p>
    <w:p>
      <w:pPr>
        <w:pStyle w:val="1102"/>
        <w:ind w:firstLine="600"/>
        <w:rPr>
          <w:rFonts w:ascii="宋体" w:hAnsi="宋体" w:eastAsia="宋体" w:cs="宋体"/>
          <w:color w:val="auto"/>
          <w:highlight w:val="none"/>
        </w:rPr>
      </w:pPr>
      <w:r>
        <w:rPr>
          <w:rFonts w:ascii="宋体" w:hAnsi="宋体" w:eastAsia="宋体" w:cs="宋体"/>
          <w:color w:val="auto"/>
          <w:highlight w:val="none"/>
        </w:rPr>
      </w:r>
      <w:r/>
    </w:p>
    <w:p>
      <w:pPr>
        <w:pStyle w:val="1039"/>
        <w:rPr>
          <w:rFonts w:ascii="宋体" w:hAnsi="宋体" w:eastAsia="宋体" w:cs="宋体"/>
          <w:b w:val="0"/>
          <w:bCs w:val="0"/>
          <w:color w:val="auto"/>
          <w:highlight w:val="none"/>
        </w:rPr>
      </w:pPr>
      <w:r/>
      <w:bookmarkStart w:id="49" w:name="_Toc120614211"/>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49"/>
      <w:r/>
      <w:bookmarkStart w:id="50" w:name="_Toc513029202"/>
      <w:r/>
      <w:bookmarkStart w:id="51" w:name="_Toc20823274"/>
      <w:r/>
      <w:bookmarkStart w:id="52" w:name="_Toc120614213"/>
      <w:r/>
      <w:bookmarkStart w:id="53" w:name="_Toc16938518"/>
      <w:r>
        <w:rPr>
          <w:rFonts w:hint="eastAsia" w:ascii="宋体" w:hAnsi="宋体" w:eastAsia="宋体" w:cs="宋体"/>
          <w:color w:val="auto"/>
          <w:highlight w:val="none"/>
        </w:rPr>
        <w:t xml:space="preserve">投标人须知</w:t>
      </w:r>
      <w:bookmarkEnd w:id="50"/>
      <w:r/>
      <w:bookmarkEnd w:id="51"/>
      <w:r/>
      <w:bookmarkEnd w:id="52"/>
      <w:r/>
      <w:bookmarkEnd w:id="53"/>
      <w:r/>
      <w:r/>
    </w:p>
    <w:p>
      <w:pPr>
        <w:pStyle w:val="1040"/>
        <w:ind w:firstLine="498"/>
        <w:spacing w:before="145" w:after="145" w:line="360" w:lineRule="auto"/>
        <w:rPr>
          <w:rFonts w:ascii="宋体" w:hAnsi="宋体" w:cs="宋体"/>
          <w:color w:val="auto"/>
          <w:highlight w:val="none"/>
        </w:rPr>
      </w:pPr>
      <w:r/>
      <w:bookmarkStart w:id="54" w:name="_Toc20823275"/>
      <w:r/>
      <w:bookmarkStart w:id="55" w:name="_Toc513029203"/>
      <w:r/>
      <w:bookmarkStart w:id="56" w:name="_Toc120614214"/>
      <w:r/>
      <w:bookmarkStart w:id="57" w:name="_Toc16938519"/>
      <w:r>
        <w:rPr>
          <w:rFonts w:hint="eastAsia" w:ascii="宋体" w:hAnsi="宋体" w:cs="宋体"/>
          <w:color w:val="auto"/>
          <w:highlight w:val="none"/>
        </w:rPr>
        <w:t xml:space="preserve">一、总则</w:t>
      </w:r>
      <w:bookmarkEnd w:id="54"/>
      <w:r/>
      <w:bookmarkEnd w:id="55"/>
      <w:r/>
      <w:bookmarkEnd w:id="56"/>
      <w:r/>
      <w:bookmarkEnd w:id="57"/>
      <w:r/>
      <w:r/>
    </w:p>
    <w:p>
      <w:pPr>
        <w:pStyle w:val="1041"/>
        <w:ind w:firstLine="420"/>
        <w:spacing w:before="0" w:after="0" w:line="240" w:lineRule="auto"/>
        <w:rPr>
          <w:rFonts w:ascii="宋体" w:hAnsi="宋体" w:eastAsia="宋体" w:cs="宋体"/>
          <w:b w:val="0"/>
          <w:bCs w:val="0"/>
          <w:color w:val="auto"/>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val="0"/>
          <w:bCs w:val="0"/>
          <w:color w:val="auto"/>
          <w:highlight w:val="none"/>
        </w:rPr>
        <w:t xml:space="preserve">1</w:t>
      </w:r>
      <w:bookmarkEnd w:id="59"/>
      <w:r>
        <w:rPr>
          <w:rFonts w:hint="eastAsia" w:ascii="宋体" w:hAnsi="宋体" w:eastAsia="宋体" w:cs="宋体"/>
          <w:b w:val="0"/>
          <w:bCs w:val="0"/>
          <w:color w:val="auto"/>
          <w:highlight w:val="none"/>
        </w:rPr>
        <w:t xml:space="preserve">、招标方式</w:t>
      </w:r>
      <w:bookmarkEnd w:id="60"/>
      <w:r/>
      <w:bookmarkEnd w:id="61"/>
      <w:r/>
      <w:bookmarkEnd w:id="62"/>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pStyle w:val="1041"/>
        <w:ind w:firstLine="420"/>
        <w:spacing w:before="0" w:after="0" w:line="240" w:lineRule="auto"/>
        <w:rPr>
          <w:rFonts w:ascii="宋体" w:hAnsi="宋体" w:eastAsia="宋体" w:cs="宋体"/>
          <w:b w:val="0"/>
          <w:bCs w:val="0"/>
          <w:color w:val="auto"/>
          <w:highlight w:val="none"/>
        </w:rPr>
      </w:pPr>
      <w:r/>
      <w:bookmarkStart w:id="63" w:name="_Toc16938521"/>
      <w:r/>
      <w:bookmarkStart w:id="64" w:name="_Toc513029205"/>
      <w:r/>
      <w:bookmarkStart w:id="65" w:name="_Toc20823277"/>
      <w:r>
        <w:rPr>
          <w:rFonts w:hint="eastAsia" w:ascii="宋体" w:hAnsi="宋体" w:eastAsia="宋体" w:cs="宋体"/>
          <w:b w:val="0"/>
          <w:bCs w:val="0"/>
          <w:color w:val="auto"/>
          <w:highlight w:val="none"/>
        </w:rPr>
        <w:t xml:space="preserve">2、合格的投标人</w:t>
      </w:r>
      <w:bookmarkEnd w:id="63"/>
      <w:r/>
      <w:bookmarkEnd w:id="64"/>
      <w:r/>
      <w:bookmarkEnd w:id="65"/>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2.1满足招标公告中供应商的资格要求的规定。</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pStyle w:val="1041"/>
        <w:ind w:firstLine="420"/>
        <w:spacing w:before="0" w:after="0" w:line="240" w:lineRule="auto"/>
        <w:rPr>
          <w:rFonts w:ascii="宋体" w:hAnsi="宋体" w:eastAsia="宋体" w:cs="宋体"/>
          <w:b w:val="0"/>
          <w:bCs w:val="0"/>
          <w:color w:val="auto"/>
          <w:highlight w:val="none"/>
        </w:rPr>
      </w:pPr>
      <w:r/>
      <w:bookmarkStart w:id="66" w:name="_Toc20823278"/>
      <w:r/>
      <w:bookmarkStart w:id="67" w:name="_Toc16938522"/>
      <w:r/>
      <w:bookmarkStart w:id="68" w:name="_Toc513029206"/>
      <w:r>
        <w:rPr>
          <w:rFonts w:hint="eastAsia" w:ascii="宋体" w:hAnsi="宋体" w:eastAsia="宋体" w:cs="宋体"/>
          <w:b w:val="0"/>
          <w:bCs w:val="0"/>
          <w:color w:val="auto"/>
          <w:highlight w:val="none"/>
        </w:rPr>
        <w:t xml:space="preserve">3、适用法律</w:t>
      </w:r>
      <w:bookmarkEnd w:id="66"/>
      <w:r/>
      <w:bookmarkEnd w:id="67"/>
      <w:r/>
      <w:bookmarkEnd w:id="68"/>
      <w:r>
        <w:rPr>
          <w:rFonts w:hint="eastAsia" w:ascii="宋体" w:hAnsi="宋体" w:eastAsia="宋体" w:cs="宋体"/>
          <w:b w:val="0"/>
          <w:bCs w:val="0"/>
          <w:color w:val="auto"/>
          <w:highlight w:val="none"/>
        </w:rPr>
        <w:t xml:space="preserve">和标准</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pStyle w:val="829"/>
        <w:rPr>
          <w:rFonts w:ascii="宋体" w:hAnsi="宋体" w:cs="宋体"/>
          <w:color w:val="auto"/>
          <w:sz w:val="24"/>
          <w:szCs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pStyle w:val="1041"/>
        <w:ind w:firstLine="420"/>
        <w:spacing w:before="0" w:after="0" w:line="240" w:lineRule="auto"/>
        <w:rPr>
          <w:rFonts w:ascii="宋体" w:hAnsi="宋体" w:eastAsia="宋体" w:cs="宋体"/>
          <w:b w:val="0"/>
          <w:bCs w:val="0"/>
          <w:color w:val="auto"/>
          <w:highlight w:val="none"/>
        </w:rPr>
      </w:pPr>
      <w:r/>
      <w:bookmarkStart w:id="69" w:name="_Toc462564067"/>
      <w:r/>
      <w:bookmarkStart w:id="70" w:name="_Toc16938523"/>
      <w:r/>
      <w:bookmarkStart w:id="71" w:name="_Toc20823279"/>
      <w:r/>
      <w:bookmarkStart w:id="72" w:name="_Toc513029207"/>
      <w:r>
        <w:rPr>
          <w:rFonts w:hint="eastAsia" w:ascii="宋体" w:hAnsi="宋体" w:eastAsia="宋体" w:cs="宋体"/>
          <w:b w:val="0"/>
          <w:bCs w:val="0"/>
          <w:color w:val="auto"/>
          <w:highlight w:val="none"/>
        </w:rPr>
        <w:t xml:space="preserve">4、投标费用</w:t>
      </w:r>
      <w:bookmarkEnd w:id="69"/>
      <w:r/>
      <w:bookmarkEnd w:id="70"/>
      <w:r/>
      <w:bookmarkEnd w:id="71"/>
      <w:r/>
      <w:bookmarkEnd w:id="72"/>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4.1</w:t>
      </w:r>
      <w:r>
        <w:rPr>
          <w:rFonts w:hint="eastAsia" w:ascii="宋体" w:hAnsi="宋体" w:cs="宋体"/>
          <w:color w:val="auto"/>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pStyle w:val="1041"/>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5、招标文件的约束力</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 投标人一旦参加本项目采购活动，即被认为接受了本招标文件的规定和约束。</w:t>
      </w:r>
      <w:r/>
    </w:p>
    <w:p>
      <w:pPr>
        <w:pStyle w:val="1040"/>
        <w:ind w:firstLine="321"/>
        <w:spacing w:before="145" w:after="145" w:line="360" w:lineRule="auto"/>
        <w:rPr>
          <w:rFonts w:ascii="宋体" w:hAnsi="宋体" w:cs="宋体"/>
          <w:color w:val="auto"/>
          <w:highlight w:val="none"/>
        </w:rPr>
      </w:pPr>
      <w:r/>
      <w:bookmarkStart w:id="73" w:name="_Toc120614215"/>
      <w:r/>
      <w:bookmarkStart w:id="74" w:name="_Toc513029209"/>
      <w:r/>
      <w:bookmarkStart w:id="75" w:name="_Toc16938525"/>
      <w:r/>
      <w:bookmarkStart w:id="76" w:name="_Toc20823281"/>
      <w:r>
        <w:rPr>
          <w:rFonts w:hint="eastAsia" w:ascii="宋体" w:hAnsi="宋体" w:cs="宋体"/>
          <w:color w:val="auto"/>
          <w:highlight w:val="none"/>
        </w:rPr>
        <w:t xml:space="preserve">二、招标文件</w:t>
      </w:r>
      <w:bookmarkEnd w:id="73"/>
      <w:r/>
      <w:bookmarkEnd w:id="74"/>
      <w:r/>
      <w:bookmarkEnd w:id="75"/>
      <w:r/>
      <w:bookmarkEnd w:id="76"/>
      <w:r/>
      <w:r/>
    </w:p>
    <w:p>
      <w:pPr>
        <w:pStyle w:val="1041"/>
        <w:ind w:firstLine="420"/>
        <w:spacing w:before="0" w:after="0" w:line="240" w:lineRule="auto"/>
        <w:rPr>
          <w:rFonts w:ascii="宋体" w:hAnsi="宋体" w:eastAsia="宋体" w:cs="宋体"/>
          <w:b w:val="0"/>
          <w:bCs w:val="0"/>
          <w:color w:val="auto"/>
          <w:highlight w:val="none"/>
        </w:rPr>
      </w:pPr>
      <w:r/>
      <w:bookmarkStart w:id="77" w:name="_Toc513029210"/>
      <w:r/>
      <w:bookmarkStart w:id="78" w:name="_Toc16938526"/>
      <w:r/>
      <w:bookmarkStart w:id="79" w:name="_Toc20823282"/>
      <w:r>
        <w:rPr>
          <w:rFonts w:hint="eastAsia" w:ascii="宋体" w:hAnsi="宋体" w:eastAsia="宋体" w:cs="宋体"/>
          <w:b w:val="0"/>
          <w:bCs w:val="0"/>
          <w:color w:val="auto"/>
          <w:highlight w:val="none"/>
        </w:rPr>
        <w:t xml:space="preserve">6、招标文件构成</w:t>
      </w:r>
      <w:bookmarkEnd w:id="77"/>
      <w:r/>
      <w:bookmarkEnd w:id="78"/>
      <w:r/>
      <w:bookmarkEnd w:id="79"/>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 </w:t>
      </w:r>
      <w:bookmarkStart w:id="80" w:name="OLE_LINK31"/>
      <w:r>
        <w:rPr>
          <w:rFonts w:hint="eastAsia" w:ascii="宋体" w:hAnsi="宋体" w:cs="宋体"/>
          <w:color w:val="auto"/>
          <w:sz w:val="24"/>
          <w:highlight w:val="none"/>
        </w:rPr>
        <w:t xml:space="preserve">招标文件由以下部分组成：</w:t>
      </w:r>
      <w:bookmarkEnd w:id="80"/>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1"/>
        <w:ind w:firstLine="560"/>
        <w:spacing w:before="0" w:after="0" w:line="240" w:lineRule="auto"/>
        <w:rPr>
          <w:rFonts w:ascii="宋体" w:hAnsi="宋体" w:eastAsia="宋体" w:cs="宋体"/>
          <w:b w:val="0"/>
          <w:bCs w:val="0"/>
          <w:color w:val="auto"/>
          <w:highlight w:val="none"/>
        </w:rPr>
      </w:pPr>
      <w:r/>
      <w:bookmarkStart w:id="81" w:name="_Toc16938528"/>
      <w:r/>
      <w:bookmarkStart w:id="82" w:name="_Toc513029212"/>
      <w:r/>
      <w:bookmarkStart w:id="83" w:name="_Toc462564071"/>
      <w:r/>
      <w:bookmarkStart w:id="84" w:name="_Toc20823284"/>
      <w:r>
        <w:rPr>
          <w:rFonts w:hint="eastAsia" w:ascii="宋体" w:hAnsi="宋体" w:eastAsia="宋体" w:cs="宋体"/>
          <w:b w:val="0"/>
          <w:bCs w:val="0"/>
          <w:color w:val="auto"/>
          <w:highlight w:val="none"/>
        </w:rPr>
        <w:t xml:space="preserve">7、招标文件的修改</w:t>
      </w:r>
      <w:bookmarkEnd w:id="81"/>
      <w:r/>
      <w:bookmarkEnd w:id="82"/>
      <w:r/>
      <w:bookmarkEnd w:id="83"/>
      <w:r/>
      <w:bookmarkEnd w:id="84"/>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在投标截止时间前，采购中心可以对招标文件进行修改。</w:t>
      </w:r>
      <w:r/>
    </w:p>
    <w:p>
      <w:pPr>
        <w:ind w:firstLine="480"/>
        <w:spacing w:line="500" w:lineRule="exact"/>
        <w:rPr>
          <w:rFonts w:ascii="宋体" w:hAnsi="宋体" w:cs="宋体"/>
          <w:color w:val="auto"/>
          <w:sz w:val="28"/>
          <w:highlight w:val="none"/>
        </w:rPr>
      </w:pPr>
      <w:r>
        <w:rPr>
          <w:rFonts w:hint="eastAsia" w:ascii="宋体" w:hAnsi="宋体" w:cs="宋体"/>
          <w:bCs/>
          <w:color w:val="auto"/>
          <w:sz w:val="24"/>
          <w:highlight w:val="none"/>
        </w:rPr>
        <w:t xml:space="preserve">7.2 </w:t>
      </w:r>
      <w:r>
        <w:rPr>
          <w:rFonts w:hint="eastAsia" w:ascii="宋体" w:hAnsi="宋体" w:cs="宋体"/>
          <w:color w:val="auto"/>
          <w:sz w:val="24"/>
          <w:highlight w:val="none"/>
        </w:rPr>
        <w:t xml:space="preserve">采购中心</w:t>
      </w:r>
      <w:r>
        <w:rPr>
          <w:rFonts w:hint="eastAsia" w:ascii="宋体" w:hAnsi="宋体" w:cs="宋体"/>
          <w:color w:val="auto"/>
          <w:sz w:val="24"/>
          <w:szCs w:val="24"/>
          <w:highlight w:val="none"/>
        </w:rPr>
        <w:t xml:space="preserve">有权按照法定的要求</w:t>
      </w:r>
      <w:r>
        <w:rPr>
          <w:rFonts w:hint="eastAsia" w:ascii="宋体" w:hAnsi="宋体" w:cs="宋体"/>
          <w:color w:val="auto"/>
          <w:sz w:val="24"/>
          <w:highlight w:val="none"/>
        </w:rPr>
        <w:t xml:space="preserve">推迟投标截止日期和开标日期。</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7.3 </w:t>
      </w:r>
      <w:r>
        <w:rPr>
          <w:rFonts w:hint="eastAsia" w:ascii="宋体" w:hAnsi="宋体" w:cs="宋体"/>
          <w:color w:val="auto"/>
          <w:sz w:val="24"/>
          <w:highlight w:val="none"/>
        </w:rPr>
        <w:t xml:space="preserve">招标文件的修改将在江苏政府采购网公布，</w:t>
      </w:r>
      <w:r>
        <w:rPr>
          <w:rFonts w:hint="eastAsia" w:ascii="宋体" w:hAnsi="宋体" w:cs="宋体"/>
          <w:color w:val="auto"/>
          <w:sz w:val="24"/>
          <w:szCs w:val="24"/>
          <w:highlight w:val="none"/>
        </w:rPr>
        <w:t xml:space="preserve">补充文件将作为招标文件的组成部分，</w:t>
      </w:r>
      <w:r>
        <w:rPr>
          <w:rFonts w:hint="eastAsia" w:ascii="宋体" w:hAnsi="宋体" w:cs="宋体"/>
          <w:color w:val="auto"/>
          <w:sz w:val="24"/>
          <w:highlight w:val="none"/>
        </w:rPr>
        <w:t xml:space="preserve">并对投标人具有约束力。</w:t>
      </w:r>
      <w:r/>
    </w:p>
    <w:p>
      <w:pPr>
        <w:pStyle w:val="1040"/>
        <w:ind w:firstLine="482"/>
        <w:spacing w:before="145" w:after="145" w:line="360" w:lineRule="auto"/>
        <w:rPr>
          <w:rFonts w:ascii="宋体" w:hAnsi="宋体" w:cs="宋体"/>
          <w:color w:val="auto"/>
          <w:highlight w:val="none"/>
        </w:rPr>
      </w:pPr>
      <w:r/>
      <w:bookmarkStart w:id="85" w:name="_Toc462564072"/>
      <w:r/>
      <w:bookmarkStart w:id="86" w:name="_Toc16938529"/>
      <w:r/>
      <w:bookmarkStart w:id="87" w:name="_Toc513029213"/>
      <w:r/>
      <w:bookmarkStart w:id="88" w:name="_Toc20823285"/>
      <w:r/>
      <w:bookmarkStart w:id="89" w:name="_Toc120614216"/>
      <w:r>
        <w:rPr>
          <w:rFonts w:hint="eastAsia" w:ascii="宋体" w:hAnsi="宋体" w:cs="宋体"/>
          <w:color w:val="auto"/>
          <w:highlight w:val="none"/>
        </w:rPr>
        <w:t xml:space="preserve">三、投标文件的编制</w:t>
      </w:r>
      <w:bookmarkEnd w:id="85"/>
      <w:r/>
      <w:bookmarkEnd w:id="86"/>
      <w:r/>
      <w:bookmarkEnd w:id="87"/>
      <w:r/>
      <w:bookmarkEnd w:id="88"/>
      <w:r/>
      <w:bookmarkEnd w:id="89"/>
      <w:r/>
      <w:r/>
    </w:p>
    <w:p>
      <w:pPr>
        <w:pStyle w:val="1041"/>
        <w:ind w:firstLine="560"/>
        <w:spacing w:before="0" w:after="0" w:line="240" w:lineRule="auto"/>
        <w:rPr>
          <w:rFonts w:ascii="宋体" w:hAnsi="宋体" w:eastAsia="宋体" w:cs="宋体"/>
          <w:bCs w:val="0"/>
          <w:color w:val="auto"/>
          <w:highlight w:val="none"/>
        </w:rPr>
      </w:pPr>
      <w:r/>
      <w:bookmarkStart w:id="90" w:name="_Toc513029214"/>
      <w:r/>
      <w:bookmarkStart w:id="91" w:name="_Toc20823286"/>
      <w:r/>
      <w:bookmarkStart w:id="92" w:name="_Toc16938530"/>
      <w:r/>
      <w:bookmarkStart w:id="93" w:name="_Toc462564073"/>
      <w:r>
        <w:rPr>
          <w:rFonts w:hint="eastAsia" w:ascii="宋体" w:hAnsi="宋体" w:eastAsia="宋体" w:cs="宋体"/>
          <w:b w:val="0"/>
          <w:bCs w:val="0"/>
          <w:color w:val="auto"/>
          <w:highlight w:val="none"/>
        </w:rPr>
        <w:t xml:space="preserve">8、投标文件的语言及度量衡单位</w:t>
      </w:r>
      <w:bookmarkEnd w:id="90"/>
      <w:r/>
      <w:bookmarkEnd w:id="91"/>
      <w:r/>
      <w:bookmarkEnd w:id="92"/>
      <w:r/>
      <w:bookmarkEnd w:id="93"/>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8.1</w:t>
      </w:r>
      <w:r>
        <w:rPr>
          <w:rFonts w:hint="eastAsia" w:ascii="宋体" w:hAnsi="宋体" w:cs="宋体"/>
          <w:color w:val="auto"/>
          <w:sz w:val="24"/>
          <w:highlight w:val="none"/>
        </w:rPr>
        <w:t xml:space="preserve"> 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8.2</w:t>
      </w:r>
      <w:r>
        <w:rPr>
          <w:rFonts w:hint="eastAsia" w:ascii="宋体" w:hAnsi="宋体" w:cs="宋体"/>
          <w:color w:val="auto"/>
          <w:sz w:val="24"/>
          <w:highlight w:val="none"/>
        </w:rPr>
        <w:t xml:space="preserve"> 除技术性能另有规定外，投标文件所使用的度量衡单位，均须采用国家法定计量单位。</w:t>
      </w:r>
      <w:r/>
    </w:p>
    <w:p>
      <w:pPr>
        <w:pStyle w:val="1041"/>
        <w:ind w:firstLine="420"/>
        <w:spacing w:before="0" w:after="0" w:line="240" w:lineRule="auto"/>
        <w:rPr>
          <w:rFonts w:ascii="宋体" w:hAnsi="宋体" w:eastAsia="宋体" w:cs="宋体"/>
          <w:b w:val="0"/>
          <w:bCs w:val="0"/>
          <w:color w:val="auto"/>
          <w:highlight w:val="none"/>
        </w:rPr>
      </w:pPr>
      <w:r/>
      <w:bookmarkStart w:id="94" w:name="_Hlt26670360"/>
      <w:r/>
      <w:bookmarkEnd w:id="94"/>
      <w:r/>
      <w:bookmarkStart w:id="95" w:name="_Hlt26954838"/>
      <w:r/>
      <w:bookmarkEnd w:id="95"/>
      <w:r/>
      <w:bookmarkStart w:id="96" w:name="_Hlt26668975"/>
      <w:r/>
      <w:bookmarkEnd w:id="96"/>
      <w:r/>
      <w:bookmarkStart w:id="97" w:name="_Toc16938531"/>
      <w:r/>
      <w:bookmarkStart w:id="98" w:name="_Toc513029215"/>
      <w:r/>
      <w:bookmarkStart w:id="99" w:name="_Toc462564074"/>
      <w:r/>
      <w:bookmarkStart w:id="100" w:name="_Toc20823287"/>
      <w:r/>
      <w:bookmarkStart w:id="101" w:name="_Toc14577357"/>
      <w:r/>
      <w:bookmarkStart w:id="102" w:name="_Toc49090509"/>
      <w:r/>
      <w:bookmarkStart w:id="103" w:name="_Toc513029216"/>
      <w:r/>
      <w:bookmarkStart w:id="104" w:name="_Toc513029219"/>
      <w:r/>
      <w:bookmarkStart w:id="105" w:name="_Toc14577354"/>
      <w:r/>
      <w:bookmarkStart w:id="106" w:name="_Toc49090507"/>
      <w:r>
        <w:rPr>
          <w:rFonts w:hint="eastAsia" w:ascii="宋体" w:hAnsi="宋体" w:eastAsia="宋体" w:cs="宋体"/>
          <w:b w:val="0"/>
          <w:bCs w:val="0"/>
          <w:color w:val="auto"/>
          <w:highlight w:val="none"/>
        </w:rPr>
        <w:t xml:space="preserve">9、投标文件构成</w:t>
      </w:r>
      <w:bookmarkEnd w:id="97"/>
      <w:r/>
      <w:bookmarkEnd w:id="98"/>
      <w:r/>
      <w:bookmarkEnd w:id="99"/>
      <w:r/>
      <w:bookmarkEnd w:id="100"/>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9.2 如标书制作工具中格式和内容与“江苏政府采购网”发布的招标文件不一致，请以“江苏政府采购网”发布的招标文件为准。</w:t>
      </w:r>
      <w:bookmarkEnd w:id="101"/>
      <w:r/>
      <w:bookmarkEnd w:id="102"/>
      <w:r/>
      <w:bookmarkEnd w:id="103"/>
      <w:r/>
      <w:bookmarkEnd w:id="104"/>
      <w:r/>
      <w:bookmarkEnd w:id="105"/>
      <w:r/>
      <w:bookmarkEnd w:id="106"/>
      <w:r/>
      <w:r/>
    </w:p>
    <w:p>
      <w:pPr>
        <w:pStyle w:val="1041"/>
        <w:ind w:firstLine="420"/>
        <w:spacing w:before="0" w:after="0" w:line="240" w:lineRule="auto"/>
        <w:rPr>
          <w:rFonts w:ascii="宋体" w:hAnsi="宋体" w:eastAsia="宋体" w:cs="宋体"/>
          <w:b w:val="0"/>
          <w:bCs w:val="0"/>
          <w:color w:val="auto"/>
          <w:highlight w:val="none"/>
        </w:rPr>
      </w:pPr>
      <w:r/>
      <w:bookmarkStart w:id="107" w:name="_Toc14577355"/>
      <w:r/>
      <w:bookmarkStart w:id="108" w:name="_Toc49090508"/>
      <w:r>
        <w:rPr>
          <w:rFonts w:hint="eastAsia" w:ascii="宋体" w:hAnsi="宋体" w:eastAsia="宋体" w:cs="宋体"/>
          <w:b w:val="0"/>
          <w:bCs w:val="0"/>
          <w:color w:val="auto"/>
          <w:highlight w:val="none"/>
        </w:rPr>
        <w:t xml:space="preserve">10、证明投标人及投标标的符合招标文件规定的文件</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10.1 投标人应按照法律、法规、规章和规范性文件以及招标文件要求提交证明文件，证明其及投标标的符合招标文件规定。</w:t>
      </w:r>
      <w:r/>
    </w:p>
    <w:p>
      <w:pPr>
        <w:pStyle w:val="1041"/>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10.2招标文件对证明文件无明确形式要求的，证明文件可以以文字资料、图纸和数据等形式提交。</w:t>
      </w:r>
      <w:bookmarkEnd w:id="107"/>
      <w:r/>
      <w:bookmarkEnd w:id="108"/>
      <w:r/>
      <w:r/>
    </w:p>
    <w:p>
      <w:pPr>
        <w:pStyle w:val="1041"/>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11、投标分项报价</w:t>
      </w:r>
      <w:bookmarkStart w:id="109" w:name="_Hlt26670373"/>
      <w:r/>
      <w:bookmarkEnd w:id="109"/>
      <w:r>
        <w:rPr>
          <w:rFonts w:hint="eastAsia" w:ascii="宋体" w:hAnsi="宋体" w:eastAsia="宋体" w:cs="宋体"/>
          <w:b w:val="0"/>
          <w:bCs w:val="0"/>
          <w:color w:val="auto"/>
          <w:highlight w:val="none"/>
        </w:rPr>
        <w:t xml:space="preserve">表</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11.1</w:t>
      </w:r>
      <w:r>
        <w:rPr>
          <w:rFonts w:hint="eastAsia" w:ascii="宋体" w:hAnsi="宋体" w:cs="宋体"/>
          <w:color w:val="auto"/>
          <w:sz w:val="24"/>
          <w:highlight w:val="none"/>
        </w:rPr>
        <w:t xml:space="preserve"> 投</w:t>
      </w:r>
      <w:bookmarkStart w:id="110" w:name="_Hlt26954840"/>
      <w:r/>
      <w:bookmarkEnd w:id="110"/>
      <w:r>
        <w:rPr>
          <w:rFonts w:hint="eastAsia" w:ascii="宋体" w:hAnsi="宋体" w:cs="宋体"/>
          <w:color w:val="auto"/>
          <w:sz w:val="24"/>
          <w:highlight w:val="none"/>
        </w:rPr>
        <w:t xml:space="preserve">标人应按照招标文件规定格式填报投标分项报价表</w:t>
      </w:r>
      <w:bookmarkStart w:id="111" w:name="_Hlt26670399"/>
      <w:r/>
      <w:bookmarkEnd w:id="111"/>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11.2</w:t>
      </w:r>
      <w:r>
        <w:rPr>
          <w:rFonts w:hint="eastAsia" w:ascii="宋体" w:hAnsi="宋体" w:cs="宋体"/>
          <w:bCs/>
          <w:color w:val="auto"/>
          <w:sz w:val="24"/>
          <w:highlight w:val="none"/>
        </w:rPr>
        <w:t xml:space="preserve">投标货币。投标文件中的单价和总价无特殊规定的采用人民币报价，以元为单位标注。</w:t>
      </w:r>
      <w:r>
        <w:rPr>
          <w:rFonts w:hint="eastAsia" w:ascii="宋体" w:hAnsi="宋体" w:cs="宋体"/>
          <w:color w:val="auto"/>
          <w:sz w:val="24"/>
          <w:highlight w:val="none"/>
        </w:rPr>
        <w:t xml:space="preserve">招标文件中另有规定的按规定执行。</w:t>
      </w:r>
      <w:r/>
    </w:p>
    <w:p>
      <w:pPr>
        <w:pStyle w:val="1041"/>
        <w:ind w:firstLine="420"/>
        <w:spacing w:before="0" w:after="0" w:line="240" w:lineRule="auto"/>
        <w:rPr>
          <w:rFonts w:ascii="宋体" w:hAnsi="宋体" w:eastAsia="宋体" w:cs="宋体"/>
          <w:b w:val="0"/>
          <w:bCs w:val="0"/>
          <w:color w:val="auto"/>
          <w:highlight w:val="none"/>
        </w:rPr>
      </w:pPr>
      <w:r/>
      <w:bookmarkStart w:id="112" w:name="_Hlt26954846"/>
      <w:r/>
      <w:bookmarkEnd w:id="112"/>
      <w:r/>
      <w:bookmarkStart w:id="113" w:name="_Hlt26954848"/>
      <w:r/>
      <w:bookmarkEnd w:id="113"/>
      <w:r/>
      <w:bookmarkStart w:id="114" w:name="_Hlt26954842"/>
      <w:r/>
      <w:bookmarkEnd w:id="114"/>
      <w:r/>
      <w:bookmarkStart w:id="115" w:name="_Hlt26954844"/>
      <w:r/>
      <w:bookmarkEnd w:id="115"/>
      <w:r/>
      <w:bookmarkStart w:id="116" w:name="_Hlt26670403"/>
      <w:r/>
      <w:bookmarkEnd w:id="116"/>
      <w:r/>
      <w:bookmarkStart w:id="117" w:name="_Hlt26668983"/>
      <w:r/>
      <w:bookmarkEnd w:id="117"/>
      <w:r/>
      <w:bookmarkStart w:id="118" w:name="_Hlt26954731"/>
      <w:r/>
      <w:bookmarkEnd w:id="118"/>
      <w:r/>
      <w:bookmarkStart w:id="119" w:name="_Hlt26670482"/>
      <w:r/>
      <w:bookmarkEnd w:id="119"/>
      <w:r/>
      <w:bookmarkStart w:id="120" w:name="_Hlt26670486"/>
      <w:r/>
      <w:bookmarkEnd w:id="120"/>
      <w:r/>
      <w:bookmarkStart w:id="121" w:name="_Hlt26670425"/>
      <w:r/>
      <w:bookmarkEnd w:id="121"/>
      <w:r>
        <w:rPr>
          <w:rFonts w:hint="eastAsia" w:ascii="宋体" w:hAnsi="宋体" w:eastAsia="宋体" w:cs="宋体"/>
          <w:b w:val="0"/>
          <w:bCs w:val="0"/>
          <w:color w:val="auto"/>
          <w:highlight w:val="none"/>
        </w:rPr>
        <w:t xml:space="preserve">12、技术要求响应及偏离表、商务要求响应及偏离表</w:t>
      </w:r>
      <w:r/>
    </w:p>
    <w:p>
      <w:pPr>
        <w:ind w:firstLine="480"/>
        <w:spacing w:line="500" w:lineRule="exact"/>
        <w:rPr>
          <w:rFonts w:ascii="宋体" w:hAnsi="宋体" w:cs="宋体"/>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CN"/>
        </w:rPr>
        <w:t xml:space="preserve">.1</w:t>
      </w:r>
      <w:r>
        <w:rPr>
          <w:rFonts w:hint="eastAsia" w:ascii="宋体" w:hAnsi="宋体" w:cs="宋体"/>
          <w:color w:val="auto"/>
          <w:sz w:val="24"/>
          <w:highlight w:val="none"/>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 投标人可在投标文件中提供认为需要的其他技术文件或说明。</w:t>
      </w:r>
      <w:r/>
    </w:p>
    <w:p>
      <w:pPr>
        <w:pStyle w:val="1041"/>
        <w:ind w:firstLine="422"/>
        <w:spacing w:before="0" w:after="0" w:line="240" w:lineRule="auto"/>
        <w:rPr>
          <w:rFonts w:ascii="宋体" w:hAnsi="宋体" w:eastAsia="宋体" w:cs="宋体"/>
          <w:color w:val="auto"/>
          <w:highlight w:val="none"/>
          <w:lang w:val="zh-CN"/>
        </w:rPr>
      </w:pPr>
      <w:r/>
      <w:bookmarkStart w:id="122" w:name="_Toc49090510"/>
      <w:r/>
      <w:bookmarkStart w:id="123" w:name="_Toc14577359"/>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、服务承诺、培训计划</w:t>
      </w:r>
      <w:r>
        <w:rPr>
          <w:rFonts w:hint="eastAsia" w:ascii="宋体" w:hAnsi="宋体" w:eastAsia="宋体" w:cs="宋体"/>
          <w:color w:val="auto"/>
          <w:highlight w:val="none"/>
        </w:rPr>
        <w:t xml:space="preserve">、人员安排及</w:t>
      </w:r>
      <w:r>
        <w:rPr>
          <w:rFonts w:hint="eastAsia" w:ascii="宋体" w:hAnsi="宋体" w:eastAsia="宋体" w:cs="宋体"/>
          <w:color w:val="auto"/>
          <w:highlight w:val="none"/>
          <w:lang w:val="zh-CN"/>
        </w:rPr>
        <w:t xml:space="preserve">其他（根据项目需求的实际要求进行填写）</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.2 投标人需根据招标文件要求提供培训计划。</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.3  投标人需根据招标文件要求提供所投标的的主要组成部分、功能设计、实现思路及关键技术等。</w:t>
      </w:r>
      <w:bookmarkEnd w:id="122"/>
      <w:r/>
      <w:bookmarkEnd w:id="123"/>
      <w:r/>
      <w:r/>
    </w:p>
    <w:p>
      <w:pPr>
        <w:pStyle w:val="1041"/>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14、投标函和开标一览表</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14.1</w:t>
      </w:r>
      <w:r>
        <w:rPr>
          <w:rFonts w:hint="eastAsia" w:ascii="宋体" w:hAnsi="宋体" w:cs="宋体"/>
          <w:color w:val="auto"/>
          <w:sz w:val="24"/>
          <w:highlight w:val="none"/>
        </w:rPr>
        <w:t xml:space="preserve"> 投标人应按照招标文件中提供的格式完整、正确填写投标函、开标一览表。</w:t>
      </w:r>
      <w:r/>
    </w:p>
    <w:p>
      <w:pPr>
        <w:ind w:firstLine="480"/>
        <w:spacing w:line="500" w:lineRule="exact"/>
        <w:rPr>
          <w:rFonts w:ascii="宋体" w:hAnsi="宋体" w:cs="宋体"/>
          <w:b/>
          <w:bCs/>
          <w:color w:val="auto"/>
          <w:sz w:val="24"/>
          <w:highlight w:val="none"/>
        </w:rPr>
      </w:pPr>
      <w:r>
        <w:rPr>
          <w:rFonts w:hint="eastAsia" w:ascii="宋体" w:hAnsi="宋体" w:cs="宋体"/>
          <w:bCs/>
          <w:color w:val="auto"/>
          <w:sz w:val="24"/>
          <w:highlight w:val="none"/>
        </w:rPr>
        <w:t xml:space="preserve">14.2</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对于采用货币报价的项目，开标一览表中的投标总报价应与投标分项报价表中的投标总报价一致，如不一致，</w:t>
      </w:r>
      <w:r>
        <w:rPr>
          <w:rFonts w:hint="eastAsia" w:ascii="宋体" w:hAnsi="宋体" w:cs="宋体"/>
          <w:b/>
          <w:bCs/>
          <w:color w:val="auto"/>
          <w:sz w:val="24"/>
          <w:szCs w:val="24"/>
          <w:highlight w:val="none"/>
        </w:rPr>
        <w:t xml:space="preserve">不作为无效投标处理</w:t>
      </w:r>
      <w:r>
        <w:rPr>
          <w:rFonts w:hint="eastAsia" w:ascii="宋体" w:hAnsi="宋体" w:cs="宋体"/>
          <w:b/>
          <w:bCs/>
          <w:color w:val="auto"/>
          <w:sz w:val="24"/>
          <w:highlight w:val="none"/>
        </w:rPr>
        <w:t xml:space="preserve">，但评标时按开标一览表中价格为准。</w:t>
      </w:r>
      <w:r/>
    </w:p>
    <w:p>
      <w:pPr>
        <w:pStyle w:val="1041"/>
        <w:ind w:firstLine="420"/>
        <w:spacing w:before="0" w:after="0" w:line="240" w:lineRule="auto"/>
        <w:rPr>
          <w:rFonts w:ascii="宋体" w:hAnsi="宋体" w:eastAsia="宋体" w:cs="宋体"/>
          <w:b w:val="0"/>
          <w:bCs w:val="0"/>
          <w:color w:val="auto"/>
          <w:highlight w:val="none"/>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宋体" w:hAnsi="宋体" w:eastAsia="宋体" w:cs="宋体"/>
          <w:b w:val="0"/>
          <w:bCs w:val="0"/>
          <w:color w:val="auto"/>
          <w:highlight w:val="none"/>
        </w:rPr>
        <w:t xml:space="preserve">15、投标有效期</w:t>
      </w:r>
      <w:bookmarkEnd w:id="127"/>
      <w:r/>
      <w:bookmarkEnd w:id="128"/>
      <w:r/>
      <w:r/>
    </w:p>
    <w:p>
      <w:pPr>
        <w:ind w:firstLine="480"/>
        <w:spacing w:line="500" w:lineRule="exact"/>
        <w:rPr>
          <w:rFonts w:ascii="宋体" w:hAnsi="宋体" w:cs="宋体"/>
          <w:bCs/>
          <w:i/>
          <w:iCs/>
          <w:color w:val="auto"/>
          <w:sz w:val="24"/>
          <w:highlight w:val="none"/>
          <w:u w:val="single"/>
        </w:rPr>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投标有效期为采购中心规定的开标之日后</w:t>
      </w:r>
      <w:r>
        <w:rPr>
          <w:rFonts w:hint="eastAsia" w:ascii="宋体" w:hAnsi="宋体" w:cs="宋体"/>
          <w:b/>
          <w:color w:val="auto"/>
          <w:sz w:val="24"/>
          <w:highlight w:val="none"/>
          <w:u w:val="single"/>
        </w:rPr>
        <w:t xml:space="preserve">九十（90）天</w:t>
      </w:r>
      <w:r>
        <w:rPr>
          <w:rFonts w:hint="eastAsia" w:ascii="宋体" w:hAnsi="宋体" w:cs="宋体"/>
          <w:bCs/>
          <w:color w:val="auto"/>
          <w:sz w:val="24"/>
          <w:highlight w:val="none"/>
        </w:rPr>
        <w:t xml:space="preserve">。</w:t>
      </w:r>
      <w:r>
        <w:rPr>
          <w:rFonts w:hint="eastAsia" w:ascii="宋体" w:hAnsi="宋体" w:cs="宋体"/>
          <w:bCs/>
          <w:i/>
          <w:iCs/>
          <w:color w:val="auto"/>
          <w:sz w:val="24"/>
          <w:highlight w:val="none"/>
          <w:u w:val="single"/>
        </w:rPr>
        <w:t xml:space="preserve">投标有效期比规定短的将被视为未实质性响应招标文件而予以拒绝。</w:t>
      </w:r>
      <w:r/>
    </w:p>
    <w:p>
      <w:pPr>
        <w:pStyle w:val="1041"/>
        <w:ind w:firstLine="420"/>
        <w:spacing w:before="0" w:after="0" w:line="240" w:lineRule="auto"/>
        <w:rPr>
          <w:rFonts w:ascii="宋体" w:hAnsi="宋体" w:eastAsia="宋体" w:cs="宋体"/>
          <w:b w:val="0"/>
          <w:bCs w:val="0"/>
          <w:color w:val="auto"/>
          <w:highlight w:val="none"/>
        </w:rPr>
      </w:pPr>
      <w:r/>
      <w:bookmarkStart w:id="129" w:name="_Hlt26954739"/>
      <w:r/>
      <w:bookmarkEnd w:id="129"/>
      <w:r/>
      <w:bookmarkStart w:id="130" w:name="_Hlt26954852"/>
      <w:r/>
      <w:bookmarkEnd w:id="130"/>
      <w:r/>
      <w:bookmarkStart w:id="131" w:name="_Toc20823296"/>
      <w:r/>
      <w:bookmarkStart w:id="132" w:name="_Toc120614217"/>
      <w:r/>
      <w:bookmarkStart w:id="133" w:name="_Toc16938540"/>
      <w:r/>
      <w:bookmarkStart w:id="134" w:name="_Toc513029224"/>
      <w:r>
        <w:rPr>
          <w:rFonts w:hint="eastAsia" w:ascii="宋体" w:hAnsi="宋体" w:eastAsia="宋体" w:cs="宋体"/>
          <w:b w:val="0"/>
          <w:bCs w:val="0"/>
          <w:color w:val="auto"/>
          <w:highlight w:val="none"/>
        </w:rPr>
        <w:t xml:space="preserve">16、投标有效期的延长</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16.1</w:t>
      </w:r>
      <w:r>
        <w:rPr>
          <w:rFonts w:hint="eastAsia" w:ascii="宋体" w:hAnsi="宋体" w:cs="宋体"/>
          <w:bCs/>
          <w:color w:val="auto"/>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highlight w:val="none"/>
        </w:rPr>
        <w:t xml:space="preserve">。</w:t>
      </w:r>
      <w:r/>
    </w:p>
    <w:p>
      <w:pPr>
        <w:pStyle w:val="1040"/>
        <w:ind w:firstLine="482"/>
        <w:spacing w:before="145" w:after="145" w:line="360" w:lineRule="auto"/>
        <w:rPr>
          <w:rFonts w:ascii="宋体" w:hAnsi="宋体" w:cs="宋体"/>
          <w:color w:val="auto"/>
          <w:highlight w:val="none"/>
        </w:rPr>
      </w:pPr>
      <w:r>
        <w:rPr>
          <w:rFonts w:hint="eastAsia" w:ascii="宋体" w:hAnsi="宋体" w:cs="宋体"/>
          <w:color w:val="auto"/>
          <w:highlight w:val="none"/>
        </w:rPr>
        <w:t xml:space="preserve">四、投标文件的递交</w:t>
      </w:r>
      <w:bookmarkEnd w:id="131"/>
      <w:r/>
      <w:bookmarkEnd w:id="132"/>
      <w:r/>
      <w:bookmarkEnd w:id="133"/>
      <w:r/>
      <w:bookmarkEnd w:id="134"/>
      <w:r/>
      <w:r/>
    </w:p>
    <w:p>
      <w:pPr>
        <w:pStyle w:val="1041"/>
        <w:ind w:firstLine="560"/>
        <w:spacing w:before="0" w:after="0" w:line="240" w:lineRule="auto"/>
        <w:rPr>
          <w:rFonts w:ascii="宋体" w:hAnsi="宋体" w:eastAsia="宋体" w:cs="宋体"/>
          <w:b w:val="0"/>
          <w:bCs w:val="0"/>
          <w:color w:val="auto"/>
          <w:highlight w:val="none"/>
        </w:rPr>
      </w:pPr>
      <w:r/>
      <w:bookmarkStart w:id="135" w:name="_Toc20823297"/>
      <w:r/>
      <w:bookmarkStart w:id="136" w:name="_Toc462564084"/>
      <w:r/>
      <w:bookmarkStart w:id="137" w:name="_Toc513029225"/>
      <w:r/>
      <w:bookmarkStart w:id="138" w:name="_Toc16938541"/>
      <w:r/>
      <w:bookmarkStart w:id="139" w:name="_Toc20823299"/>
      <w:r/>
      <w:bookmarkStart w:id="140" w:name="_Toc16938543"/>
      <w:r/>
      <w:bookmarkStart w:id="141" w:name="_Toc513029227"/>
      <w:r>
        <w:rPr>
          <w:rFonts w:hint="eastAsia" w:ascii="宋体" w:hAnsi="宋体" w:eastAsia="宋体" w:cs="宋体"/>
          <w:b w:val="0"/>
          <w:bCs w:val="0"/>
          <w:color w:val="auto"/>
          <w:highlight w:val="none"/>
        </w:rPr>
        <w:t xml:space="preserve">17、投标文件</w:t>
      </w:r>
      <w:bookmarkEnd w:id="135"/>
      <w:r/>
      <w:bookmarkEnd w:id="136"/>
      <w:r/>
      <w:bookmarkEnd w:id="137"/>
      <w:r/>
      <w:bookmarkEnd w:id="138"/>
      <w:r>
        <w:rPr>
          <w:rFonts w:hint="eastAsia" w:ascii="宋体" w:hAnsi="宋体" w:eastAsia="宋体" w:cs="宋体"/>
          <w:b w:val="0"/>
          <w:bCs w:val="0"/>
          <w:color w:val="auto"/>
          <w:highlight w:val="none"/>
        </w:rPr>
        <w:t xml:space="preserve">的递交</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17.1</w:t>
      </w:r>
      <w:r>
        <w:rPr>
          <w:rFonts w:hint="eastAsia" w:ascii="宋体" w:hAnsi="宋体" w:cs="宋体"/>
          <w:bCs/>
          <w:color w:val="auto"/>
          <w:sz w:val="24"/>
          <w:highlight w:val="none"/>
        </w:rPr>
        <w:t xml:space="preserve"> 电子投标文件的递交</w:t>
      </w:r>
      <w:r/>
    </w:p>
    <w:p>
      <w:pPr>
        <w:pStyle w:val="1151"/>
        <w:ind w:left="525"/>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投标人应当按照《操作手册》规定，在投标截止时间前制作并上传电子投标文件。</w:t>
      </w:r>
      <w:bookmarkStart w:id="142" w:name="_Toc16938542"/>
      <w:r/>
      <w:bookmarkStart w:id="143" w:name="_Toc20823298"/>
      <w:r/>
      <w:bookmarkStart w:id="144" w:name="_Toc513029226"/>
      <w:r/>
      <w:r/>
    </w:p>
    <w:p>
      <w:pPr>
        <w:pStyle w:val="1041"/>
        <w:ind w:firstLine="420"/>
        <w:spacing w:before="0" w:after="0"/>
        <w:rPr>
          <w:rFonts w:ascii="宋体" w:hAnsi="宋体" w:eastAsia="宋体" w:cs="宋体"/>
          <w:b w:val="0"/>
          <w:color w:val="auto"/>
          <w:highlight w:val="none"/>
        </w:rPr>
      </w:pPr>
      <w:r>
        <w:rPr>
          <w:rFonts w:hint="eastAsia" w:ascii="宋体" w:hAnsi="宋体" w:eastAsia="宋体" w:cs="宋体"/>
          <w:b w:val="0"/>
          <w:color w:val="auto"/>
          <w:highlight w:val="none"/>
        </w:rPr>
        <w:t xml:space="preserve">18、投标截止</w:t>
      </w:r>
      <w:bookmarkEnd w:id="142"/>
      <w:r/>
      <w:bookmarkEnd w:id="143"/>
      <w:r/>
      <w:bookmarkEnd w:id="144"/>
      <w:r>
        <w:rPr>
          <w:rFonts w:hint="eastAsia" w:ascii="宋体" w:hAnsi="宋体" w:eastAsia="宋体" w:cs="宋体"/>
          <w:b w:val="0"/>
          <w:color w:val="auto"/>
          <w:highlight w:val="none"/>
        </w:rPr>
        <w:t xml:space="preserve">时间</w:t>
      </w:r>
      <w:r/>
    </w:p>
    <w:p>
      <w:pPr>
        <w:ind w:firstLine="480"/>
        <w:spacing w:line="500" w:lineRule="exact"/>
        <w:rPr>
          <w:rFonts w:ascii="宋体" w:hAnsi="宋体" w:cs="宋体"/>
          <w:bCs/>
          <w:i/>
          <w:color w:val="auto"/>
          <w:sz w:val="24"/>
          <w:highlight w:val="none"/>
          <w:u w:val="single"/>
        </w:rPr>
      </w:pPr>
      <w:r>
        <w:rPr>
          <w:rFonts w:hint="eastAsia" w:ascii="宋体" w:hAnsi="宋体" w:cs="宋体"/>
          <w:i/>
          <w:color w:val="auto"/>
          <w:sz w:val="24"/>
          <w:highlight w:val="none"/>
          <w:u w:val="single"/>
        </w:rPr>
        <w:t xml:space="preserve">18.1</w:t>
      </w:r>
      <w:r>
        <w:rPr>
          <w:rFonts w:hint="eastAsia" w:ascii="宋体" w:hAnsi="宋体" w:cs="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投标人应充分考虑到网络环境、网络带宽等风险因素，如因投标人自身原因造成的电子投标文件上传不成功的按照本招标文件第二章第27.1.2条 规定做无效投标处理。</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18.2</w:t>
      </w:r>
      <w:r>
        <w:rPr>
          <w:rFonts w:hint="eastAsia" w:ascii="宋体" w:hAnsi="宋体" w:cs="宋体"/>
          <w:bCs/>
          <w:color w:val="auto"/>
          <w:sz w:val="24"/>
          <w:highlight w:val="none"/>
        </w:rPr>
        <w:t xml:space="preserve"> 采购中心可以按照规定，通过修改招标文件酌情延长投标截止时间，在此情况下，投标人的所有权利和义务以及投标人受制的截止时间均应以延长后新的截止时间为准。</w:t>
      </w:r>
      <w:bookmarkEnd w:id="139"/>
      <w:r/>
      <w:bookmarkEnd w:id="140"/>
      <w:r/>
      <w:bookmarkEnd w:id="141"/>
      <w:r/>
      <w:r/>
    </w:p>
    <w:p>
      <w:pPr>
        <w:pStyle w:val="1041"/>
        <w:ind w:firstLine="420"/>
        <w:spacing w:before="0" w:after="0" w:line="240" w:lineRule="auto"/>
        <w:rPr>
          <w:rFonts w:ascii="宋体" w:hAnsi="宋体" w:eastAsia="宋体" w:cs="宋体"/>
          <w:b w:val="0"/>
          <w:bCs w:val="0"/>
          <w:color w:val="auto"/>
          <w:highlight w:val="none"/>
        </w:rPr>
      </w:pPr>
      <w:r/>
      <w:bookmarkStart w:id="145" w:name="_Toc16938545"/>
      <w:r/>
      <w:bookmarkStart w:id="146" w:name="_Toc513029229"/>
      <w:r/>
      <w:bookmarkStart w:id="147" w:name="_Toc20823301"/>
      <w:r/>
      <w:bookmarkStart w:id="148" w:name="_Toc120614218"/>
      <w:r>
        <w:rPr>
          <w:rFonts w:hint="eastAsia" w:ascii="宋体" w:hAnsi="宋体" w:eastAsia="宋体" w:cs="宋体"/>
          <w:b w:val="0"/>
          <w:bCs w:val="0"/>
          <w:color w:val="auto"/>
          <w:highlight w:val="none"/>
        </w:rPr>
        <w:t xml:space="preserve">19、投标文件的拒收</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19.1</w:t>
      </w:r>
      <w:r>
        <w:rPr>
          <w:rFonts w:hint="eastAsia" w:ascii="宋体" w:hAnsi="宋体" w:cs="宋体"/>
          <w:bCs/>
          <w:color w:val="auto"/>
          <w:sz w:val="24"/>
          <w:highlight w:val="none"/>
        </w:rPr>
        <w:t xml:space="preserve">采购中心拒绝接收在其规定的投标截止时间后上传的任何投标文件。</w:t>
      </w:r>
      <w:r/>
    </w:p>
    <w:p>
      <w:pPr>
        <w:pStyle w:val="1041"/>
        <w:ind w:firstLine="420"/>
        <w:spacing w:before="0" w:after="0" w:line="240" w:lineRule="auto"/>
        <w:rPr>
          <w:rFonts w:ascii="宋体" w:hAnsi="宋体" w:eastAsia="宋体" w:cs="宋体"/>
          <w:b w:val="0"/>
          <w:bCs w:val="0"/>
          <w:color w:val="auto"/>
          <w:highlight w:val="none"/>
        </w:rPr>
      </w:pPr>
      <w:r/>
      <w:bookmarkStart w:id="149" w:name="_Toc20823300"/>
      <w:r/>
      <w:bookmarkStart w:id="150" w:name="_Toc513029228"/>
      <w:r/>
      <w:bookmarkStart w:id="151" w:name="_Toc16938544"/>
      <w:r>
        <w:rPr>
          <w:rFonts w:hint="eastAsia" w:ascii="宋体" w:hAnsi="宋体" w:eastAsia="宋体" w:cs="宋体"/>
          <w:b w:val="0"/>
          <w:bCs w:val="0"/>
          <w:color w:val="auto"/>
          <w:highlight w:val="none"/>
        </w:rPr>
        <w:t xml:space="preserve">20、投标文件的撤回和修改</w:t>
      </w:r>
      <w:bookmarkEnd w:id="149"/>
      <w:r/>
      <w:bookmarkEnd w:id="150"/>
      <w:r/>
      <w:bookmarkEnd w:id="151"/>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20.1.1 电子投标文件的撤回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20.1.2 投标人撤回电子投标文件，则认为其不再参与本项目投标活动。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 投标文件的修改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20.2.2</w:t>
      </w:r>
      <w:r>
        <w:rPr>
          <w:rFonts w:hint="eastAsia" w:ascii="宋体" w:hAnsi="宋体" w:cs="宋体"/>
          <w:bCs/>
          <w:color w:val="auto"/>
          <w:sz w:val="24"/>
          <w:highlight w:val="none"/>
        </w:rPr>
        <w:t xml:space="preserve"> 在投标截止时间之后，投标人不得对其电子投标文件作任何修改。</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20.3</w:t>
      </w:r>
      <w:r>
        <w:rPr>
          <w:rFonts w:hint="eastAsia" w:ascii="宋体" w:hAnsi="宋体" w:cs="宋体"/>
          <w:bCs/>
          <w:color w:val="auto"/>
          <w:sz w:val="24"/>
          <w:highlight w:val="none"/>
        </w:rPr>
        <w:t xml:space="preserve"> 在投标截止时间至招标文件中规定的投标有效期满之间的这段时间内，投标人不得撤回其投标。</w:t>
      </w:r>
      <w:r/>
    </w:p>
    <w:p>
      <w:pPr>
        <w:pStyle w:val="1040"/>
        <w:ind w:firstLine="482"/>
        <w:spacing w:before="145" w:after="145" w:line="360" w:lineRule="auto"/>
        <w:rPr>
          <w:rFonts w:ascii="宋体" w:hAnsi="宋体" w:cs="宋体"/>
          <w:color w:val="auto"/>
          <w:highlight w:val="none"/>
        </w:rPr>
      </w:pPr>
      <w:r>
        <w:rPr>
          <w:rFonts w:hint="eastAsia" w:ascii="宋体" w:hAnsi="宋体" w:cs="宋体"/>
          <w:color w:val="auto"/>
          <w:highlight w:val="none"/>
        </w:rPr>
        <w:t xml:space="preserve">五、开标与评标</w:t>
      </w:r>
      <w:bookmarkEnd w:id="145"/>
      <w:r/>
      <w:bookmarkEnd w:id="146"/>
      <w:r/>
      <w:bookmarkEnd w:id="147"/>
      <w:r/>
      <w:bookmarkEnd w:id="148"/>
      <w:r/>
      <w:r/>
    </w:p>
    <w:p>
      <w:pPr>
        <w:pStyle w:val="1041"/>
        <w:ind w:firstLine="420"/>
        <w:spacing w:before="0" w:after="0" w:line="240" w:lineRule="auto"/>
        <w:rPr>
          <w:rFonts w:ascii="宋体" w:hAnsi="宋体" w:eastAsia="宋体" w:cs="宋体"/>
          <w:b w:val="0"/>
          <w:bCs w:val="0"/>
          <w:color w:val="auto"/>
          <w:highlight w:val="none"/>
        </w:rPr>
      </w:pPr>
      <w:r/>
      <w:bookmarkStart w:id="152" w:name="_Toc16938546"/>
      <w:r/>
      <w:bookmarkStart w:id="153" w:name="_Toc20823302"/>
      <w:r/>
      <w:bookmarkStart w:id="154" w:name="_Toc513029230"/>
      <w:r/>
      <w:bookmarkStart w:id="155" w:name="_Toc513029231"/>
      <w:r/>
      <w:bookmarkStart w:id="156" w:name="_Toc20823303"/>
      <w:r/>
      <w:bookmarkStart w:id="157" w:name="_Toc16938547"/>
      <w:r>
        <w:rPr>
          <w:rFonts w:hint="eastAsia" w:ascii="宋体" w:hAnsi="宋体" w:eastAsia="宋体" w:cs="宋体"/>
          <w:b w:val="0"/>
          <w:bCs w:val="0"/>
          <w:color w:val="auto"/>
          <w:highlight w:val="none"/>
        </w:rPr>
        <w:t xml:space="preserve">21、开标</w:t>
      </w:r>
      <w:bookmarkEnd w:id="152"/>
      <w:r/>
      <w:bookmarkEnd w:id="153"/>
      <w:r/>
      <w:bookmarkEnd w:id="154"/>
      <w:r/>
      <w:r/>
    </w:p>
    <w:p>
      <w:pPr>
        <w:ind w:firstLine="360"/>
        <w:rPr>
          <w:rFonts w:ascii="宋体" w:hAnsi="宋体" w:cs="宋体"/>
          <w:color w:val="auto"/>
          <w:highlight w:val="none"/>
        </w:rPr>
      </w:pPr>
      <w:r>
        <w:rPr>
          <w:rFonts w:hint="eastAsia" w:ascii="宋体" w:hAnsi="宋体" w:cs="宋体"/>
          <w:color w:val="auto"/>
          <w:sz w:val="24"/>
          <w:highlight w:val="none"/>
        </w:rPr>
        <w:t xml:space="preserve">21.1</w:t>
      </w:r>
      <w:r>
        <w:rPr>
          <w:rFonts w:hint="eastAsia" w:ascii="宋体" w:hAnsi="宋体" w:cs="宋体"/>
          <w:bCs/>
          <w:color w:val="auto"/>
          <w:sz w:val="24"/>
          <w:highlight w:val="none"/>
        </w:rPr>
        <w:t xml:space="preserve"> 采购中心将在招标公告中规定的时间和地点组织公开开标</w:t>
      </w:r>
      <w:r>
        <w:rPr>
          <w:rFonts w:hint="eastAsia" w:ascii="宋体" w:hAnsi="宋体" w:cs="宋体"/>
          <w:color w:val="auto"/>
          <w:sz w:val="24"/>
          <w:szCs w:val="24"/>
          <w:highlight w:val="none"/>
        </w:rPr>
        <w:t xml:space="preserve">。投标人应当按照《操作手册》规定，参加开标活动和在苏采云系统规定的时间内对投标文件进行解密。</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21.2</w:t>
      </w:r>
      <w:r>
        <w:rPr>
          <w:rFonts w:hint="eastAsia" w:ascii="宋体" w:hAnsi="宋体" w:cs="宋体"/>
          <w:color w:val="auto"/>
          <w:sz w:val="24"/>
          <w:szCs w:val="24"/>
          <w:highlight w:val="none"/>
        </w:rPr>
        <w:t xml:space="preserve">开标仪式由采购中心组织。苏采云系统将自动对项目进行开标，并宣布各投标人名称和投标价格。</w:t>
      </w:r>
      <w:r/>
    </w:p>
    <w:p>
      <w:pPr>
        <w:ind w:firstLine="480"/>
        <w:spacing w:line="500" w:lineRule="exact"/>
        <w:rPr>
          <w:rFonts w:ascii="宋体" w:hAnsi="宋体" w:cs="宋体"/>
          <w:color w:val="auto"/>
          <w:sz w:val="24"/>
          <w:szCs w:val="24"/>
          <w:highlight w:val="none"/>
        </w:rPr>
      </w:pPr>
      <w:r>
        <w:rPr>
          <w:rFonts w:hint="eastAsia" w:ascii="宋体" w:hAnsi="宋体" w:cs="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041"/>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22、评标委员会</w:t>
      </w:r>
      <w:r/>
    </w:p>
    <w:p>
      <w:pPr>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22.1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开标后，采购中心将立即组织评标委员会（以下简称评委会）进行评标。</w:t>
      </w:r>
      <w:r/>
    </w:p>
    <w:p>
      <w:pPr>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22.2 评委会由采购人代表和有关技术、经济等方面的专家组成，且人员构成符合政府采购有关规定。</w:t>
      </w:r>
      <w:r/>
    </w:p>
    <w:p>
      <w:pPr>
        <w:pStyle w:val="1041"/>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22.3评委会独立工作，负责评审所有投标文件并确定中标侯选人。</w:t>
      </w:r>
      <w:bookmarkEnd w:id="155"/>
      <w:r/>
      <w:bookmarkEnd w:id="156"/>
      <w:r/>
      <w:bookmarkEnd w:id="157"/>
      <w:r/>
      <w:r/>
    </w:p>
    <w:p>
      <w:pPr>
        <w:pStyle w:val="1041"/>
        <w:ind w:firstLine="420"/>
        <w:spacing w:before="0" w:after="0" w:line="240" w:lineRule="auto"/>
        <w:rPr>
          <w:rFonts w:ascii="宋体" w:hAnsi="宋体" w:eastAsia="宋体" w:cs="宋体"/>
          <w:b w:val="0"/>
          <w:bCs w:val="0"/>
          <w:color w:val="auto"/>
          <w:highlight w:val="none"/>
        </w:rPr>
      </w:pPr>
      <w:r/>
      <w:bookmarkStart w:id="158" w:name="_Toc20823304"/>
      <w:r/>
      <w:bookmarkStart w:id="159" w:name="_Toc16938548"/>
      <w:r/>
      <w:bookmarkStart w:id="160" w:name="_Toc513029232"/>
      <w:r>
        <w:rPr>
          <w:rFonts w:hint="eastAsia" w:ascii="宋体" w:hAnsi="宋体" w:eastAsia="宋体" w:cs="宋体"/>
          <w:b w:val="0"/>
          <w:bCs w:val="0"/>
          <w:color w:val="auto"/>
          <w:highlight w:val="none"/>
        </w:rPr>
        <w:t xml:space="preserve">23、评标过程的保密与公正</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23.1</w:t>
      </w:r>
      <w:r>
        <w:rPr>
          <w:rFonts w:hint="eastAsia" w:ascii="宋体" w:hAnsi="宋体" w:cs="宋体"/>
          <w:bCs/>
          <w:color w:val="auto"/>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 采购中心和评标委员会不向未中标的投标人解释未中标原因，也不公布评标过程中的相关细节。</w:t>
      </w:r>
      <w:r/>
    </w:p>
    <w:p>
      <w:pPr>
        <w:pStyle w:val="1041"/>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采用综合评分法的项目，未中标的投标人可于中标结果公告期限届满之日起通过苏采云系统查看自己的评审得分及排序情况。</w:t>
      </w:r>
      <w:bookmarkEnd w:id="158"/>
      <w:r/>
      <w:bookmarkEnd w:id="159"/>
      <w:r/>
      <w:bookmarkEnd w:id="160"/>
      <w:r/>
      <w:r/>
    </w:p>
    <w:p>
      <w:pPr>
        <w:pStyle w:val="1041"/>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24、投标文件的澄清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24.3 接到评委会澄清、说明和补正要求的投标人如未按规定做出澄清、说明和补正，其风险由投标人自行承担。</w:t>
      </w:r>
      <w:r/>
    </w:p>
    <w:p>
      <w:pPr>
        <w:pStyle w:val="1041"/>
        <w:ind w:firstLine="420"/>
        <w:spacing w:before="0" w:after="0" w:line="240" w:lineRule="auto"/>
        <w:rPr>
          <w:rFonts w:ascii="宋体" w:hAnsi="宋体" w:eastAsia="宋体" w:cs="宋体"/>
          <w:b w:val="0"/>
          <w:bCs w:val="0"/>
          <w:color w:val="auto"/>
          <w:highlight w:val="none"/>
        </w:rPr>
      </w:pPr>
      <w:r/>
      <w:bookmarkStart w:id="161" w:name="_Toc20823305"/>
      <w:r/>
      <w:bookmarkStart w:id="162" w:name="_Toc513029233"/>
      <w:r/>
      <w:bookmarkStart w:id="163" w:name="_Toc16938549"/>
      <w:r>
        <w:rPr>
          <w:rFonts w:hint="eastAsia" w:ascii="宋体" w:hAnsi="宋体" w:eastAsia="宋体" w:cs="宋体"/>
          <w:b w:val="0"/>
          <w:bCs w:val="0"/>
          <w:color w:val="auto"/>
          <w:highlight w:val="none"/>
        </w:rPr>
        <w:t xml:space="preserve">25、对投标文件的初审</w:t>
      </w:r>
      <w:bookmarkEnd w:id="161"/>
      <w:r/>
      <w:bookmarkEnd w:id="162"/>
      <w:r/>
      <w:bookmarkEnd w:id="163"/>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25.1</w:t>
      </w:r>
      <w:r>
        <w:rPr>
          <w:rFonts w:hint="eastAsia" w:ascii="宋体" w:hAnsi="宋体" w:cs="宋体"/>
          <w:bCs/>
          <w:color w:val="auto"/>
          <w:sz w:val="24"/>
          <w:highlight w:val="none"/>
        </w:rPr>
        <w:t xml:space="preserve">投标文件初审分为资格审查和符合性审查。</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25.1.3 未通过资格审查或符合性审查的投标人，采购中心将在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中告知未通过资格审查或符合性审查的原因，评标结束后，采购中心将不再告知未通过资格审查和符合性审查的原因。</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25.4</w:t>
      </w:r>
      <w:r>
        <w:rPr>
          <w:rFonts w:hint="eastAsia" w:ascii="宋体" w:hAnsi="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（2）大写金额和小写金额不一致的，以大写金额为准。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（4）总价金额与按单价汇总金额不一致的，以单价金额计算结果为准。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同时出现两种以上错误的，按照前款规定的顺序修正。</w:t>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25.5 </w:t>
      </w:r>
      <w:r>
        <w:rPr>
          <w:rFonts w:hint="eastAsia" w:ascii="宋体" w:hAnsi="宋体" w:cs="宋体"/>
          <w:bCs/>
          <w:color w:val="auto"/>
          <w:sz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告知投标人，调整后的价格应对投标人具有约束力。如果投标人不接受修正后的价格，则其投标将被拒绝。</w:t>
      </w:r>
      <w:r/>
    </w:p>
    <w:p>
      <w:pPr>
        <w:ind w:firstLine="480"/>
        <w:spacing w:line="400" w:lineRule="exact"/>
        <w:rPr>
          <w:rFonts w:ascii="宋体" w:hAnsi="宋体" w:cs="宋体"/>
          <w:color w:val="auto"/>
          <w:sz w:val="24"/>
          <w:highlight w:val="none"/>
        </w:rPr>
      </w:pPr>
      <w:r/>
      <w:bookmarkStart w:id="164" w:name="_Toc20823306"/>
      <w:r/>
      <w:bookmarkStart w:id="165" w:name="_Toc513029234"/>
      <w:r/>
      <w:bookmarkStart w:id="166" w:name="_Toc16938550"/>
      <w:r>
        <w:rPr>
          <w:rFonts w:hint="eastAsia" w:ascii="宋体" w:hAnsi="宋体" w:cs="宋体"/>
          <w:color w:val="auto"/>
          <w:sz w:val="24"/>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25.7投标人在开、评标全过程中应保持通讯畅通，及时登录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highlight w:val="none"/>
        </w:rPr>
        <w:t xml:space="preserve">查阅、答复相关信息，并安排专人与采购中心及评标委员会联系。</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26.异常低价审查</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26.1 评标过程中出现下列情形之一的，评标委员会应当启动异常低价投标审查程序：</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（1）投标报价低于全部通过符合性审查供应商投标报价平均值50%的，即投标报价&lt;全部通过符合性审查供应商投标报价平均值×50%；</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（2）投标报价低于通过符合性审查的次低报价供应商投标报价50%的，即投标报价&lt;通过符合性审查的次低报价供应商投标报价×50%；</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（3）投标报价低于采购项目最高限价45%的，即投标报价&lt;采购项目最高限价×45%；</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（4）评标委员会基于专业判断，认为供应商报价过低，有可能影响产品质量或者不能诚信履约的其他情形。</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宋体" w:hAnsi="宋体" w:cs="宋体"/>
          <w:b/>
          <w:bCs/>
          <w:color w:val="auto"/>
          <w:highlight w:val="none"/>
        </w:rPr>
      </w:pPr>
      <w:r>
        <w:rPr>
          <w:rFonts w:hint="eastAsia" w:ascii="宋体" w:hAnsi="宋体" w:cs="宋体"/>
          <w:color w:val="auto"/>
          <w:sz w:val="24"/>
          <w:highlight w:val="none"/>
        </w:rPr>
        <w:t xml:space="preserve">27、</w:t>
      </w:r>
      <w:bookmarkEnd w:id="164"/>
      <w:r/>
      <w:bookmarkEnd w:id="165"/>
      <w:r/>
      <w:bookmarkEnd w:id="166"/>
      <w:r>
        <w:rPr>
          <w:rFonts w:hint="eastAsia" w:ascii="宋体" w:hAnsi="宋体" w:cs="宋体"/>
          <w:color w:val="auto"/>
          <w:sz w:val="24"/>
          <w:highlight w:val="none"/>
        </w:rPr>
        <w:t xml:space="preserve">无效投标条款和废标条款</w:t>
      </w:r>
      <w:r/>
    </w:p>
    <w:p>
      <w:pPr>
        <w:ind w:left="479"/>
        <w:spacing w:line="440" w:lineRule="exact"/>
        <w:rPr>
          <w:rFonts w:ascii="宋体" w:hAnsi="宋体" w:cs="宋体"/>
          <w:bCs/>
          <w:color w:val="auto"/>
          <w:sz w:val="24"/>
          <w:highlight w:val="none"/>
        </w:rPr>
      </w:pPr>
      <w:r/>
      <w:bookmarkStart w:id="167" w:name="_Toc20823307"/>
      <w:r/>
      <w:bookmarkStart w:id="168" w:name="_Toc513029235"/>
      <w:r/>
      <w:bookmarkStart w:id="169" w:name="_Toc16938551"/>
      <w:r>
        <w:rPr>
          <w:rFonts w:hint="eastAsia" w:ascii="宋体" w:hAnsi="宋体" w:cs="宋体"/>
          <w:bCs/>
          <w:color w:val="auto"/>
          <w:sz w:val="24"/>
          <w:highlight w:val="none"/>
        </w:rPr>
        <w:t xml:space="preserve">27.1无效投标条款</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highlight w:val="none"/>
        </w:rPr>
        <w:t xml:space="preserve">27</w:t>
      </w:r>
      <w:r>
        <w:rPr>
          <w:rFonts w:hint="eastAsia" w:ascii="宋体" w:hAnsi="宋体" w:cs="宋体"/>
          <w:bCs/>
          <w:color w:val="auto"/>
          <w:sz w:val="24"/>
          <w:szCs w:val="24"/>
          <w:highlight w:val="none"/>
        </w:rPr>
        <w:t xml:space="preserve">.1.1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27.1.2 投标人未按照招标文件要求上传电子投标文件的。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27.1.3同一投标人同一分包提交两个（含两个）以上不同的投标报价的。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27.1.4投标人不具备招标文件中规定资格要求的。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27.1.5投标人的报价超过了采购预算或最高限价的。</w:t>
      </w:r>
      <w:r/>
    </w:p>
    <w:p>
      <w:pPr>
        <w:ind w:firstLine="480"/>
        <w:spacing w:line="44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27.1.6未通过符合性审查的。</w:t>
      </w:r>
      <w:r/>
    </w:p>
    <w:p>
      <w:pPr>
        <w:ind w:firstLine="360"/>
        <w:spacing w:line="40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 27.1.7不符合招标文件中规定的实质性要求和条件的。</w:t>
      </w:r>
      <w:r>
        <w:rPr>
          <w:rFonts w:hint="eastAsia" w:ascii="宋体" w:hAnsi="宋体" w:cs="宋体"/>
          <w:b/>
          <w:bCs/>
          <w:color w:val="auto"/>
          <w:sz w:val="24"/>
          <w:highlight w:val="none"/>
        </w:rPr>
        <w:t xml:space="preserve">（本招标文件中</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或加*号条款为实质性要求）</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27.1.9 投标文件含有采购人不能接受的附加条件的。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27.1.10</w:t>
      </w:r>
      <w:r>
        <w:rPr>
          <w:rFonts w:hint="eastAsia" w:ascii="宋体" w:hAnsi="宋体" w:cs="宋体"/>
          <w:color w:val="auto"/>
          <w:sz w:val="24"/>
          <w:highlight w:val="none"/>
        </w:rPr>
        <w:t xml:space="preserve">评标委员会按照本招标文件规定对投标人进行异常低价投标审查后，认为投标人不能证明其报价合理性的。</w:t>
      </w:r>
      <w:r/>
    </w:p>
    <w:p>
      <w:pPr>
        <w:ind w:firstLine="480"/>
        <w:spacing w:line="440" w:lineRule="exact"/>
        <w:rPr>
          <w:rFonts w:ascii="宋体" w:hAnsi="宋体" w:cs="宋体"/>
          <w:bCs/>
          <w:color w:val="auto"/>
          <w:sz w:val="24"/>
          <w:highlight w:val="none"/>
        </w:rPr>
      </w:pPr>
      <w:r/>
      <w:bookmarkStart w:id="170" w:name="OLE_LINK13"/>
      <w:r>
        <w:rPr>
          <w:rFonts w:hint="eastAsia" w:ascii="宋体" w:hAnsi="宋体" w:cs="宋体"/>
          <w:bCs/>
          <w:color w:val="auto"/>
          <w:sz w:val="24"/>
          <w:highlight w:val="none"/>
        </w:rPr>
        <w:t xml:space="preserve">27.1.11</w:t>
      </w:r>
      <w:bookmarkEnd w:id="170"/>
      <w:r>
        <w:rPr>
          <w:rFonts w:hint="eastAsia" w:ascii="宋体" w:hAnsi="宋体" w:cs="宋体"/>
          <w:bCs/>
          <w:color w:val="auto"/>
          <w:sz w:val="24"/>
          <w:highlight w:val="none"/>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27.1.12 投标文件未按照招标文件要求加盖CA电子公章的。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27.1.13 投标人所投标产品不符合招标文件中所列国家强制性标准的。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27.1.14其他法律、法规及本招标文件规定的属无效投标的情形。</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27.2废标条款</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27.2.3因重大变故，采购任务取消的。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27.2.4评标委员会认定招标文件存在歧义、重大缺陷导致评审工作无法进行。</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系统故障原因造成开标不成功的。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 投标截止时间结束后参加投标的供应商不足三家的处理：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27.3.1如出现投标截止时间结束后参加投标的供应商或者在评标期间对招标文件做出实质响应的供应商不足三家情况，按政府采购相关规定执行。</w:t>
      </w:r>
      <w:r/>
    </w:p>
    <w:p>
      <w:pPr>
        <w:pStyle w:val="1087"/>
        <w:rPr>
          <w:rFonts w:cs="宋体"/>
          <w:color w:val="auto"/>
          <w:highlight w:val="none"/>
        </w:rPr>
      </w:pPr>
      <w:r>
        <w:rPr>
          <w:rFonts w:hint="eastAsia" w:cs="宋体"/>
          <w:bCs/>
          <w:color w:val="auto"/>
          <w:highlight w:val="none"/>
        </w:rPr>
        <w:t xml:space="preserve">                 </w:t>
      </w:r>
      <w:r/>
    </w:p>
    <w:p>
      <w:pPr>
        <w:pStyle w:val="1040"/>
        <w:ind w:firstLine="482"/>
        <w:spacing w:before="145" w:after="145" w:line="360" w:lineRule="auto"/>
        <w:rPr>
          <w:rFonts w:ascii="宋体" w:hAnsi="宋体" w:cs="宋体"/>
          <w:color w:val="auto"/>
          <w:highlight w:val="none"/>
        </w:rPr>
      </w:pPr>
      <w:r/>
      <w:bookmarkStart w:id="171" w:name="_Toc120614219"/>
      <w:r>
        <w:rPr>
          <w:rFonts w:hint="eastAsia" w:ascii="宋体" w:hAnsi="宋体" w:cs="宋体"/>
          <w:color w:val="auto"/>
          <w:highlight w:val="none"/>
        </w:rPr>
        <w:t xml:space="preserve">六、</w:t>
      </w:r>
      <w:bookmarkEnd w:id="167"/>
      <w:r/>
      <w:bookmarkEnd w:id="168"/>
      <w:r/>
      <w:bookmarkEnd w:id="169"/>
      <w:r>
        <w:rPr>
          <w:rFonts w:hint="eastAsia" w:ascii="宋体" w:hAnsi="宋体" w:cs="宋体"/>
          <w:color w:val="auto"/>
          <w:highlight w:val="none"/>
        </w:rPr>
        <w:t xml:space="preserve">定标</w:t>
      </w:r>
      <w:bookmarkEnd w:id="171"/>
      <w:r/>
      <w:r/>
    </w:p>
    <w:p>
      <w:pPr>
        <w:pStyle w:val="1041"/>
        <w:ind w:firstLine="600"/>
        <w:spacing w:before="0" w:after="0" w:line="240" w:lineRule="auto"/>
        <w:rPr>
          <w:rFonts w:ascii="宋体" w:hAnsi="宋体" w:eastAsia="宋体" w:cs="宋体"/>
          <w:b w:val="0"/>
          <w:color w:val="auto"/>
          <w:sz w:val="30"/>
          <w:szCs w:val="30"/>
          <w:highlight w:val="none"/>
        </w:rPr>
      </w:pPr>
      <w:r/>
      <w:bookmarkStart w:id="172" w:name="_Toc513029238"/>
      <w:r/>
      <w:bookmarkStart w:id="173" w:name="_Toc20823310"/>
      <w:r/>
      <w:bookmarkStart w:id="174" w:name="_Toc16938554"/>
      <w:r>
        <w:rPr>
          <w:rFonts w:hint="eastAsia" w:ascii="宋体" w:hAnsi="宋体" w:eastAsia="宋体" w:cs="宋体"/>
          <w:b w:val="0"/>
          <w:color w:val="auto"/>
          <w:sz w:val="30"/>
          <w:szCs w:val="30"/>
          <w:highlight w:val="none"/>
        </w:rPr>
        <w:t xml:space="preserve">28、</w:t>
      </w:r>
      <w:bookmarkEnd w:id="172"/>
      <w:r>
        <w:rPr>
          <w:rFonts w:hint="eastAsia" w:ascii="宋体" w:hAnsi="宋体" w:eastAsia="宋体" w:cs="宋体"/>
          <w:b w:val="0"/>
          <w:color w:val="auto"/>
          <w:sz w:val="30"/>
          <w:szCs w:val="30"/>
          <w:highlight w:val="none"/>
        </w:rPr>
        <w:t xml:space="preserve">确定</w:t>
      </w:r>
      <w:bookmarkEnd w:id="173"/>
      <w:r/>
      <w:bookmarkEnd w:id="174"/>
      <w:r>
        <w:rPr>
          <w:rFonts w:hint="eastAsia" w:ascii="宋体" w:hAnsi="宋体" w:eastAsia="宋体" w:cs="宋体"/>
          <w:b w:val="0"/>
          <w:color w:val="auto"/>
          <w:sz w:val="30"/>
          <w:szCs w:val="30"/>
          <w:highlight w:val="none"/>
        </w:rPr>
        <w:t xml:space="preserve">中标单位</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28.1中标候选人的选取原则和数量见招标文件第五章规定。 </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28.2 采购人应根据评委会推荐的中标候选人确定中标人。</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28.3 </w:t>
      </w:r>
      <w:r>
        <w:rPr>
          <w:rFonts w:hint="eastAsia" w:ascii="宋体" w:hAnsi="宋体" w:cs="宋体"/>
          <w:color w:val="auto"/>
          <w:sz w:val="24"/>
          <w:szCs w:val="24"/>
          <w:highlight w:val="none"/>
        </w:rPr>
        <w:t xml:space="preserve">采购中心将在“江苏政府采购网”发布中标公告，公告期限为1个工作日。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若有充分证据证明，中标人出现下列情况之一的，一经查实，将被取消中标资格：</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28.4.2向采购人、采购中心行贿或者提供其他不正当利益的。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28.4.4与采购人或者其他供应商恶意串通的。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28.4.5采取不正当手段诋毁、排挤其他供应商的。</w:t>
      </w:r>
      <w:r/>
    </w:p>
    <w:p>
      <w:pPr>
        <w:ind w:firstLine="480"/>
        <w:spacing w:line="480" w:lineRule="exact"/>
        <w:rPr>
          <w:rFonts w:ascii="宋体" w:hAnsi="宋体" w:cs="宋体"/>
          <w:color w:val="auto"/>
          <w:sz w:val="24"/>
          <w:szCs w:val="24"/>
          <w:highlight w:val="none"/>
        </w:rPr>
      </w:pPr>
      <w:r/>
      <w:bookmarkStart w:id="175"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pStyle w:val="1041"/>
        <w:ind w:firstLine="600"/>
        <w:spacing w:before="0" w:after="0" w:line="240" w:lineRule="auto"/>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29、质疑处理</w:t>
      </w:r>
      <w:bookmarkEnd w:id="175"/>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29.4供应商（含潜在供应商）对采购方式、招标文件中采购需求、供应商资格条件、评标方法和评标标准、合同文本及资格审查结果以及其他事项的询问、质疑均向采购人提出，由采购人负责答复。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采购人质疑接收人及联系方式见招标文件第一章。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29.5.4 未参加投标活动的供应商或在投标活动中自身权益未受到损害的供应商所提出的质疑。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29.5.5供应商组成联合体参加投标，联合体中任何一方或多方未按要求签字、盖章、加盖公章的质疑。</w:t>
      </w:r>
      <w:r/>
    </w:p>
    <w:p>
      <w:pPr>
        <w:ind w:firstLine="468"/>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  供应商提出书面质疑必须有理、有据，不得捏造事实、提供虚假材料进行恶意质疑。否则，一经查实，有权依据政府采购的有关规定，报请政府采购监管部门对该供应商进行相应的行政处罚和记录该供应商的失信信息。</w:t>
      </w:r>
      <w:r/>
    </w:p>
    <w:p>
      <w:pPr>
        <w:pStyle w:val="1041"/>
        <w:ind w:firstLine="600"/>
        <w:spacing w:before="0" w:after="0" w:line="240" w:lineRule="auto"/>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30、中标通知书</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1040"/>
        <w:spacing w:before="145" w:after="145" w:line="360" w:lineRule="auto"/>
        <w:rPr>
          <w:rFonts w:ascii="宋体" w:hAnsi="宋体" w:cs="宋体"/>
          <w:color w:val="auto"/>
          <w:highlight w:val="none"/>
        </w:rPr>
      </w:pPr>
      <w:r/>
      <w:bookmarkStart w:id="176" w:name="_Toc120614220"/>
      <w:r/>
      <w:bookmarkStart w:id="177" w:name="_Toc16938552"/>
      <w:r/>
      <w:bookmarkStart w:id="178" w:name="_Toc513029236"/>
      <w:r/>
      <w:bookmarkStart w:id="179" w:name="_Toc20823308"/>
      <w:r>
        <w:rPr>
          <w:rFonts w:hint="eastAsia" w:ascii="宋体" w:hAnsi="宋体" w:cs="宋体"/>
          <w:color w:val="auto"/>
          <w:highlight w:val="none"/>
        </w:rPr>
        <w:t xml:space="preserve">七、授予合同</w:t>
      </w:r>
      <w:bookmarkEnd w:id="176"/>
      <w:r/>
      <w:bookmarkEnd w:id="177"/>
      <w:r/>
      <w:bookmarkEnd w:id="178"/>
      <w:r/>
      <w:bookmarkEnd w:id="179"/>
      <w:r/>
      <w:r/>
    </w:p>
    <w:p>
      <w:pPr>
        <w:pStyle w:val="1041"/>
        <w:ind w:firstLine="600"/>
        <w:spacing w:before="0" w:after="0" w:line="240" w:lineRule="auto"/>
        <w:rPr>
          <w:rFonts w:ascii="宋体" w:hAnsi="宋体" w:eastAsia="宋体" w:cs="宋体"/>
          <w:b w:val="0"/>
          <w:color w:val="auto"/>
          <w:sz w:val="30"/>
          <w:szCs w:val="30"/>
          <w:highlight w:val="none"/>
        </w:rPr>
      </w:pPr>
      <w:r/>
      <w:bookmarkStart w:id="180" w:name="_Toc513029237"/>
      <w:r/>
      <w:bookmarkStart w:id="181" w:name="_Toc20823309"/>
      <w:r/>
      <w:bookmarkStart w:id="182" w:name="_Toc16938553"/>
      <w:r>
        <w:rPr>
          <w:rFonts w:hint="eastAsia" w:ascii="宋体" w:hAnsi="宋体" w:eastAsia="宋体" w:cs="宋体"/>
          <w:b w:val="0"/>
          <w:color w:val="auto"/>
          <w:sz w:val="30"/>
          <w:szCs w:val="30"/>
          <w:highlight w:val="none"/>
        </w:rPr>
        <w:t xml:space="preserve">31. 签订合同</w:t>
      </w:r>
      <w:r/>
    </w:p>
    <w:p>
      <w:pPr>
        <w:ind w:firstLine="60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41"/>
        <w:ind w:firstLine="600"/>
        <w:spacing w:before="0" w:after="0" w:line="240" w:lineRule="auto"/>
        <w:rPr>
          <w:rFonts w:ascii="宋体" w:hAnsi="宋体" w:eastAsia="宋体" w:cs="宋体"/>
          <w:b w:val="0"/>
          <w:bCs w:val="0"/>
          <w:color w:val="auto"/>
          <w:sz w:val="30"/>
          <w:szCs w:val="30"/>
          <w:highlight w:val="none"/>
        </w:rPr>
      </w:pPr>
      <w:r>
        <w:rPr>
          <w:rFonts w:hint="eastAsia" w:ascii="宋体" w:hAnsi="宋体" w:eastAsia="宋体" w:cs="宋体"/>
          <w:b w:val="0"/>
          <w:color w:val="auto"/>
          <w:sz w:val="30"/>
          <w:szCs w:val="30"/>
          <w:highlight w:val="none"/>
        </w:rPr>
        <w:t xml:space="preserve">32、</w:t>
      </w:r>
      <w:r>
        <w:rPr>
          <w:rFonts w:hint="eastAsia" w:ascii="宋体" w:hAnsi="宋体" w:eastAsia="宋体" w:cs="宋体"/>
          <w:b w:val="0"/>
          <w:bCs w:val="0"/>
          <w:color w:val="auto"/>
          <w:sz w:val="30"/>
          <w:szCs w:val="30"/>
          <w:highlight w:val="none"/>
        </w:rPr>
        <w:t xml:space="preserve">货物（包含与货物相关的服务）的追加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1041"/>
        <w:ind w:firstLine="600"/>
        <w:spacing w:before="0" w:after="0" w:line="240" w:lineRule="auto"/>
        <w:rPr>
          <w:rFonts w:ascii="宋体" w:hAnsi="宋体" w:eastAsia="宋体" w:cs="宋体"/>
          <w:b w:val="0"/>
          <w:color w:val="auto"/>
          <w:sz w:val="30"/>
          <w:szCs w:val="30"/>
          <w:highlight w:val="none"/>
        </w:rPr>
      </w:pPr>
      <w:r/>
      <w:bookmarkStart w:id="183" w:name="_Toc16938558"/>
      <w:r/>
      <w:bookmarkStart w:id="184" w:name="_Toc120614221"/>
      <w:r/>
      <w:bookmarkStart w:id="185" w:name="_Toc513029242"/>
      <w:r/>
      <w:bookmarkStart w:id="186" w:name="_Toc479757207"/>
      <w:r/>
      <w:bookmarkStart w:id="187" w:name="_Toc20823314"/>
      <w:r>
        <w:rPr>
          <w:rFonts w:hint="eastAsia" w:ascii="宋体" w:hAnsi="宋体" w:eastAsia="宋体" w:cs="宋体"/>
          <w:b w:val="0"/>
          <w:color w:val="auto"/>
          <w:sz w:val="30"/>
          <w:szCs w:val="30"/>
          <w:highlight w:val="none"/>
        </w:rPr>
        <w:t xml:space="preserve">33、政府采购履约资金扶持政策</w:t>
      </w:r>
      <w:r/>
    </w:p>
    <w:p>
      <w:pPr>
        <w:pStyle w:val="829"/>
        <w:rPr>
          <w:rFonts w:ascii="宋体" w:hAnsi="宋体" w:cs="宋体"/>
          <w:color w:val="auto"/>
          <w:sz w:val="24"/>
          <w:szCs w:val="24"/>
          <w:highlight w:val="none"/>
        </w:rPr>
      </w:pPr>
      <w:r>
        <w:rPr>
          <w:rFonts w:hint="eastAsia" w:ascii="宋体" w:hAnsi="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29"/>
        <w:rPr>
          <w:rFonts w:ascii="宋体" w:hAnsi="宋体" w:cs="宋体"/>
          <w:color w:val="auto"/>
          <w:highlight w:val="none"/>
        </w:rPr>
      </w:pPr>
      <w:r>
        <w:rPr>
          <w:rFonts w:ascii="宋体" w:hAnsi="宋体" w:cs="宋体"/>
          <w:color w:val="auto"/>
          <w:highlight w:val="none"/>
        </w:rPr>
      </w:r>
      <w:r/>
    </w:p>
    <w:p>
      <w:pPr>
        <w:pStyle w:val="1038"/>
        <w:rPr>
          <w:rFonts w:ascii="宋体" w:hAnsi="宋体" w:eastAsia="宋体" w:cs="宋体"/>
          <w:bCs/>
          <w:color w:val="auto"/>
          <w:sz w:val="44"/>
          <w:highlight w:val="none"/>
        </w:rPr>
      </w:pPr>
      <w:r>
        <w:rPr>
          <w:rFonts w:ascii="宋体" w:hAnsi="宋体" w:eastAsia="宋体" w:cs="宋体"/>
          <w:bCs/>
          <w:color w:val="auto"/>
          <w:sz w:val="44"/>
          <w:highlight w:val="none"/>
        </w:rPr>
      </w:r>
      <w:r/>
    </w:p>
    <w:p>
      <w:pPr>
        <w:rPr>
          <w:rFonts w:ascii="宋体" w:hAnsi="宋体" w:cs="宋体"/>
          <w:color w:val="auto"/>
          <w:highlight w:val="none"/>
        </w:rPr>
      </w:pPr>
      <w:r>
        <w:rPr>
          <w:rFonts w:ascii="宋体" w:hAnsi="宋体" w:cs="宋体"/>
          <w:color w:val="auto"/>
          <w:highlight w:val="none"/>
        </w:rPr>
      </w:r>
      <w:r/>
    </w:p>
    <w:p>
      <w:pPr>
        <w:pStyle w:val="1102"/>
        <w:ind w:firstLine="600"/>
        <w:rPr>
          <w:rFonts w:ascii="宋体" w:hAnsi="宋体" w:eastAsia="宋体" w:cs="宋体"/>
          <w:color w:val="auto"/>
          <w:highlight w:val="none"/>
        </w:rPr>
      </w:pPr>
      <w:r>
        <w:rPr>
          <w:rFonts w:ascii="宋体" w:hAnsi="宋体" w:eastAsia="宋体" w:cs="宋体"/>
          <w:color w:val="auto"/>
          <w:highlight w:val="none"/>
        </w:rPr>
      </w:r>
      <w:r/>
    </w:p>
    <w:p>
      <w:pPr>
        <w:pStyle w:val="1038"/>
        <w:rPr>
          <w:rFonts w:ascii="宋体" w:hAnsi="宋体" w:eastAsia="宋体" w:cs="宋体"/>
          <w:bCs/>
          <w:color w:val="auto"/>
          <w:sz w:val="44"/>
          <w:highlight w:val="none"/>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bCs/>
          <w:color w:val="auto"/>
          <w:sz w:val="44"/>
          <w:highlight w:val="none"/>
        </w:rPr>
      </w:r>
      <w:r/>
    </w:p>
    <w:p>
      <w:pPr>
        <w:pStyle w:val="1038"/>
        <w:rPr>
          <w:rFonts w:ascii="宋体" w:hAnsi="宋体" w:eastAsia="宋体" w:cs="宋体"/>
          <w:bCs/>
          <w:color w:val="auto"/>
          <w:sz w:val="44"/>
          <w:highlight w:val="none"/>
        </w:rPr>
      </w:pPr>
      <w:r>
        <w:rPr>
          <w:rFonts w:hint="eastAsia" w:ascii="宋体" w:hAnsi="宋体" w:eastAsia="宋体" w:cs="宋体"/>
          <w:bCs/>
          <w:color w:val="auto"/>
          <w:sz w:val="44"/>
          <w:highlight w:val="none"/>
        </w:rPr>
        <w:t xml:space="preserve">第三章  合同</w:t>
      </w:r>
      <w:bookmarkEnd w:id="183"/>
      <w:r/>
      <w:bookmarkEnd w:id="184"/>
      <w:r/>
      <w:bookmarkEnd w:id="185"/>
      <w:r/>
      <w:bookmarkEnd w:id="186"/>
      <w:r/>
      <w:bookmarkEnd w:id="187"/>
      <w:r>
        <w:rPr>
          <w:rFonts w:hint="eastAsia" w:ascii="宋体" w:hAnsi="宋体" w:eastAsia="宋体" w:cs="宋体"/>
          <w:bCs/>
          <w:color w:val="auto"/>
          <w:sz w:val="44"/>
          <w:highlight w:val="none"/>
        </w:rPr>
        <w:t xml:space="preserve">文本</w:t>
      </w:r>
      <w:r/>
    </w:p>
    <w:p>
      <w:pPr>
        <w:ind w:firstLine="480"/>
        <w:spacing w:line="500" w:lineRule="exact"/>
        <w:rPr>
          <w:rFonts w:ascii="宋体" w:hAnsi="宋体" w:cs="宋体"/>
          <w:bCs/>
          <w:color w:val="auto"/>
          <w:sz w:val="24"/>
          <w:highlight w:val="none"/>
        </w:rPr>
      </w:pPr>
      <w:r/>
      <w:bookmarkStart w:id="188" w:name="_Toc16938559"/>
      <w:r/>
      <w:bookmarkStart w:id="189" w:name="_Toc513029243"/>
      <w:r/>
      <w:bookmarkStart w:id="190" w:name="_Toc20823315"/>
      <w:r>
        <w:rPr>
          <w:rFonts w:hint="eastAsia" w:ascii="宋体" w:hAnsi="宋体" w:cs="宋体"/>
          <w:bCs/>
          <w:color w:val="auto"/>
          <w:sz w:val="24"/>
          <w:highlight w:val="none"/>
        </w:rPr>
        <w:t xml:space="preserve">以下为中标后签定本项目合同的通用条款，中标人不得提出实质性的修改。</w:t>
      </w:r>
      <w:bookmarkEnd w:id="188"/>
      <w:r/>
      <w:bookmarkEnd w:id="189"/>
      <w:r/>
      <w:bookmarkEnd w:id="190"/>
      <w:r/>
      <w:r/>
    </w:p>
    <w:p>
      <w:pPr>
        <w:ind w:firstLine="640"/>
        <w:spacing w:line="5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pStyle w:val="1114"/>
        <w:jc w:val="center"/>
        <w:rPr>
          <w:rFonts w:ascii="宋体" w:hAnsi="宋体" w:eastAsia="宋体" w:cs="宋体"/>
          <w:b/>
          <w:bCs/>
          <w:color w:val="auto"/>
          <w:spacing w:val="-20"/>
          <w:sz w:val="32"/>
          <w:szCs w:val="32"/>
          <w:highlight w:val="none"/>
          <w:lang w:eastAsia="zh-CN"/>
        </w:rPr>
      </w:pPr>
      <w:r/>
      <w:bookmarkStart w:id="191" w:name="_Hlt16619350"/>
      <w:r/>
      <w:bookmarkStart w:id="192" w:name="_Toc16938590"/>
      <w:r/>
      <w:bookmarkStart w:id="193" w:name="_Toc120614244"/>
      <w:r/>
      <w:bookmarkStart w:id="194" w:name="_Toc20823346"/>
      <w:r/>
      <w:bookmarkStart w:id="195" w:name="_Toc462564139"/>
      <w:r/>
      <w:bookmarkStart w:id="196" w:name="_Toc479757211"/>
      <w:r>
        <w:rPr>
          <w:rFonts w:hint="eastAsia" w:ascii="宋体" w:hAnsi="宋体" w:eastAsia="宋体" w:cs="宋体"/>
          <w:b/>
          <w:bCs/>
          <w:color w:val="auto"/>
          <w:spacing w:val="-20"/>
          <w:sz w:val="32"/>
          <w:szCs w:val="32"/>
          <w:highlight w:val="none"/>
          <w:lang w:eastAsia="zh-CN"/>
        </w:rPr>
        <w:t xml:space="preserve">财政部 政府采购货物买卖合同（试行）</w:t>
      </w:r>
      <w:r/>
    </w:p>
    <w:p>
      <w:pPr>
        <w:pStyle w:val="1114"/>
        <w:jc w:val="center"/>
        <w:rPr>
          <w:rFonts w:ascii="宋体" w:hAnsi="宋体" w:eastAsia="宋体" w:cs="宋体"/>
          <w:b/>
          <w:bCs/>
          <w:color w:val="auto"/>
          <w:spacing w:val="-20"/>
          <w:sz w:val="32"/>
          <w:szCs w:val="32"/>
          <w:highlight w:val="none"/>
          <w:lang w:eastAsia="zh-CN"/>
        </w:rPr>
      </w:pPr>
      <w:r>
        <w:rPr>
          <w:rFonts w:hint="eastAsia" w:ascii="宋体" w:hAnsi="宋体" w:eastAsia="宋体" w:cs="宋体"/>
          <w:b/>
          <w:bCs/>
          <w:color w:val="auto"/>
          <w:spacing w:val="-20"/>
          <w:sz w:val="32"/>
          <w:szCs w:val="32"/>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合同编号：</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甲    方：</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乙    方：</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签订时间：</w:t>
      </w:r>
      <w:r>
        <w:rPr>
          <w:rFonts w:hint="eastAsia" w:ascii="宋体" w:hAnsi="宋体" w:cs="宋体"/>
          <w:color w:val="auto"/>
          <w:sz w:val="28"/>
          <w:szCs w:val="28"/>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使 用 说 明</w:t>
      </w:r>
      <w:r/>
    </w:p>
    <w:p>
      <w:pPr>
        <w:ind w:firstLine="640"/>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1.本合同标准文本适用于购买现成货物的采购项目，不包括需要供应商定制开发、创新研发的货物采购项目。</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    2.本合同标准文本为政府采购货物买卖合同编制提供参考，可以结合采购项目具体情况，对文本作必要的调整修订后使用。</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ascii="宋体" w:hAnsi="宋体" w:cs="宋体"/>
          <w:color w:val="auto"/>
          <w:sz w:val="44"/>
          <w:szCs w:val="44"/>
          <w:highlight w:val="none"/>
        </w:rPr>
        <w:sectPr>
          <w:footerReference w:type="default"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宋体" w:hAnsi="宋体" w:cs="宋体"/>
          <w:color w:val="auto"/>
          <w:sz w:val="44"/>
          <w:szCs w:val="44"/>
          <w:highlight w:val="none"/>
        </w:rPr>
      </w:r>
      <w:r/>
    </w:p>
    <w:p>
      <w:pPr>
        <w:pStyle w:val="1153"/>
        <w:spacing w:line="400" w:lineRule="exact"/>
        <w:rPr>
          <w:rFonts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 政府采购合同协议书</w:t>
      </w:r>
      <w:r/>
    </w:p>
    <w:p>
      <w:pPr>
        <w:pStyle w:val="1153"/>
        <w:spacing w:line="400" w:lineRule="exact"/>
        <w:rPr>
          <w:rFonts w:ascii="宋体" w:hAnsi="宋体" w:eastAsia="宋体" w:cs="宋体"/>
          <w:b w:val="0"/>
          <w:bCs w:val="0"/>
          <w:color w:val="auto"/>
          <w:sz w:val="28"/>
          <w:szCs w:val="28"/>
          <w:highlight w:val="none"/>
        </w:rPr>
      </w:pPr>
      <w:r>
        <w:rPr>
          <w:rFonts w:ascii="宋体" w:hAnsi="宋体" w:eastAsia="宋体" w:cs="宋体"/>
          <w:b w:val="0"/>
          <w:bCs w:val="0"/>
          <w:color w:val="auto"/>
          <w:sz w:val="28"/>
          <w:szCs w:val="28"/>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甲方（全称）：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（采购人、受采购人委托签订合同的单位或采购文件约定的合同甲方）</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乙方1（全称）：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乙方2（全称）：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（联合体成员供应商或其他合同主体）（如有）</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乙方3（全称）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（联合体成员供应商或其他合同主体）（如有）</w:t>
      </w:r>
      <w:r/>
    </w:p>
    <w:p>
      <w:pPr>
        <w:spacing w:line="400" w:lineRule="exact"/>
        <w:rPr>
          <w:rFonts w:ascii="宋体" w:hAnsi="宋体" w:cs="宋体"/>
          <w:color w:val="auto"/>
          <w:highlight w:val="none"/>
        </w:rPr>
      </w:pPr>
      <w:r>
        <w:rPr>
          <w:rFonts w:ascii="宋体" w:hAnsi="宋体" w:cs="宋体"/>
          <w:color w:val="auto"/>
          <w:highlight w:val="none"/>
        </w:rPr>
      </w:r>
      <w:r/>
    </w:p>
    <w:p>
      <w:pPr>
        <w:pStyle w:val="1155"/>
        <w:ind w:left="0" w:firstLine="420"/>
        <w:spacing w:after="0" w:line="400" w:lineRule="exact"/>
        <w:rPr>
          <w:rFonts w:ascii="宋体" w:hAnsi="宋体" w:cs="宋体"/>
          <w:color w:val="auto"/>
          <w:highlight w:val="none"/>
        </w:rPr>
      </w:pPr>
      <w:r>
        <w:rPr>
          <w:rFonts w:hint="eastAsia" w:ascii="宋体" w:hAnsi="宋体" w:cs="宋体"/>
          <w:color w:val="auto"/>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项目信息</w:t>
      </w:r>
      <w:r/>
    </w:p>
    <w:p>
      <w:pPr>
        <w:pStyle w:val="1155"/>
        <w:numPr>
          <w:ilvl w:val="0"/>
          <w:numId w:val="8"/>
        </w:numPr>
        <w:ind w:left="0" w:firstLine="420"/>
        <w:spacing w:after="0" w:line="400" w:lineRule="exact"/>
        <w:rPr>
          <w:rFonts w:ascii="宋体" w:hAnsi="宋体" w:cs="宋体"/>
          <w:color w:val="auto"/>
          <w:highlight w:val="none"/>
          <w:u w:val="single"/>
        </w:rPr>
      </w:pPr>
      <w:r>
        <w:rPr>
          <w:rFonts w:hint="eastAsia" w:ascii="宋体" w:hAnsi="宋体" w:cs="宋体"/>
          <w:color w:val="auto"/>
          <w:highlight w:val="none"/>
        </w:rPr>
        <w:t xml:space="preserve">采购项目名称：</w:t>
      </w:r>
      <w:r>
        <w:rPr>
          <w:rFonts w:hint="eastAsia" w:ascii="宋体" w:hAnsi="宋体" w:cs="宋体"/>
          <w:color w:val="auto"/>
          <w:highlight w:val="none"/>
          <w:u w:val="single"/>
        </w:rPr>
        <w:t xml:space="preserve">                                          </w:t>
      </w:r>
      <w:r/>
    </w:p>
    <w:p>
      <w:pPr>
        <w:pStyle w:val="1155"/>
        <w:ind w:left="0"/>
        <w:spacing w:after="0" w:line="400" w:lineRule="exact"/>
        <w:tabs>
          <w:tab w:val="left" w:pos="999" w:leader="none"/>
        </w:tabs>
        <w:rPr>
          <w:rFonts w:ascii="宋体" w:hAnsi="宋体" w:cs="宋体"/>
          <w:color w:val="auto"/>
          <w:highlight w:val="none"/>
        </w:rPr>
      </w:pPr>
      <w:r>
        <w:rPr>
          <w:rFonts w:hint="eastAsia" w:ascii="宋体" w:hAnsi="宋体" w:cs="宋体"/>
          <w:color w:val="auto"/>
          <w:highlight w:val="none"/>
        </w:rPr>
        <w:t xml:space="preserve">         采购项目编号：</w:t>
      </w:r>
      <w:r>
        <w:rPr>
          <w:rFonts w:hint="eastAsia" w:ascii="宋体" w:hAnsi="宋体" w:cs="宋体"/>
          <w:color w:val="auto"/>
          <w:highlight w:val="none"/>
          <w:u w:val="single"/>
        </w:rPr>
        <w:t xml:space="preserve">                                          </w:t>
      </w:r>
      <w:r/>
    </w:p>
    <w:p>
      <w:pPr>
        <w:pStyle w:val="1155"/>
        <w:ind w:left="0" w:firstLine="420"/>
        <w:spacing w:after="0" w:line="400" w:lineRule="exact"/>
        <w:rPr>
          <w:rFonts w:ascii="宋体" w:hAnsi="宋体" w:cs="宋体"/>
          <w:color w:val="auto"/>
          <w:highlight w:val="none"/>
        </w:rPr>
      </w:pPr>
      <w:r>
        <w:rPr>
          <w:rFonts w:hint="eastAsia" w:ascii="宋体" w:hAnsi="宋体" w:cs="宋体"/>
          <w:color w:val="auto"/>
          <w:highlight w:val="none"/>
        </w:rPr>
        <w:t xml:space="preserve">（2）采购计划编号：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（3）项目内容：</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采购标的及数量（台/套</w:t>
      </w:r>
      <w:r>
        <w:rPr>
          <w:rFonts w:hint="eastAsia" w:ascii="宋体" w:hAnsi="宋体" w:cs="宋体"/>
          <w:color w:val="auto"/>
          <w:highlight w:val="none"/>
          <w:lang w:val="en"/>
        </w:rPr>
        <w:t xml:space="preserve">/个/架/组等</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spacing w:line="400" w:lineRule="exact"/>
        <w:rPr>
          <w:rFonts w:ascii="宋体" w:hAnsi="宋体" w:cs="宋体"/>
          <w:color w:val="auto"/>
          <w:highlight w:val="none"/>
          <w:lang w:val="en"/>
        </w:rPr>
      </w:pP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p>
    <w:p>
      <w:pPr>
        <w:ind w:firstLine="945"/>
        <w:spacing w:line="400" w:lineRule="exact"/>
        <w:rPr>
          <w:rFonts w:ascii="宋体" w:hAnsi="宋体" w:cs="宋体"/>
          <w:color w:val="auto"/>
          <w:highlight w:val="none"/>
          <w:u w:val="single"/>
        </w:rPr>
      </w:pPr>
      <w:r>
        <w:rPr>
          <w:rFonts w:hint="eastAsia" w:ascii="宋体" w:hAnsi="宋体" w:cs="宋体"/>
          <w:color w:val="auto"/>
          <w:highlight w:val="none"/>
        </w:rPr>
        <w:t xml:space="preserve">采购标的的技术要求、商务要求具体见附件。</w:t>
      </w:r>
      <w:r/>
    </w:p>
    <w:p>
      <w:pPr>
        <w:ind w:firstLine="945"/>
        <w:spacing w:line="400" w:lineRule="exact"/>
        <w:rPr>
          <w:rFonts w:ascii="宋体" w:hAnsi="宋体" w:cs="宋体"/>
          <w:color w:val="auto"/>
          <w:highlight w:val="none"/>
        </w:rPr>
      </w:pPr>
      <w:r>
        <w:rPr>
          <w:rFonts w:hint="eastAsia" w:ascii="宋体" w:hAnsi="宋体" w:cs="宋体"/>
          <w:color w:val="auto"/>
          <w:highlight w:val="none"/>
        </w:rPr>
        <w:t xml:space="preserve">①涉及信息类产品，请填写该产品关键部件的品牌、型号：</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¨否</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）政府采购组织形式：¨政府集中采购  ¨部门集中采购  ¨分散采购</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）政府采购方式：¨公开招标 ¨邀请招标 ¨竞争性谈判 ¨竞争性磋商</w:t>
      </w:r>
      <w:r/>
    </w:p>
    <w:p>
      <w:pPr>
        <w:pStyle w:val="1156"/>
        <w:ind w:firstLine="420"/>
        <w:rPr>
          <w:rFonts w:ascii="宋体" w:hAnsi="宋体" w:eastAsia="宋体" w:cs="宋体"/>
          <w:color w:val="auto"/>
          <w:sz w:val="21"/>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t xml:space="preserve">¨询价 ¨单一来源 ¨框架协议 ¨其他：</w:t>
      </w:r>
      <w:r>
        <w:rPr>
          <w:rFonts w:hint="eastAsia" w:ascii="宋体" w:hAnsi="宋体" w:eastAsia="宋体" w:cs="宋体"/>
          <w:color w:val="auto"/>
          <w:sz w:val="21"/>
          <w:highlight w:val="none"/>
          <w:u w:val="single"/>
        </w:rPr>
        <w:t xml:space="preserve">          </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156"/>
        <w:ind w:firstLine="220"/>
        <w:rPr>
          <w:rFonts w:ascii="宋体" w:hAnsi="宋体" w:eastAsia="宋体" w:cs="宋体"/>
          <w:color w:val="auto"/>
          <w:sz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sz w:val="21"/>
          <w:highlight w:val="none"/>
        </w:rPr>
        <w:t xml:space="preserve">中标（成交）采购标的制造商是否为中小企业：¨是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本合同是否为专门面向中小企业的采购合同（中小企业预留合同）：</w:t>
      </w:r>
      <w:r>
        <w:rPr>
          <w:rFonts w:hint="eastAsia" w:ascii="宋体" w:hAnsi="宋体" w:cs="宋体"/>
          <w:iCs/>
          <w:color w:val="auto"/>
          <w:highlight w:val="none"/>
        </w:rPr>
        <w:t xml:space="preserve">¨是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若本项目不专门面向中小企业采购，是否给予小微企业评审优惠：</w:t>
      </w:r>
      <w:r>
        <w:rPr>
          <w:rFonts w:hint="eastAsia" w:ascii="宋体" w:hAnsi="宋体" w:cs="宋体"/>
          <w:iCs/>
          <w:color w:val="auto"/>
          <w:highlight w:val="none"/>
        </w:rPr>
        <w:t xml:space="preserve">¨是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中标（成交）采购标的制造商是否为残疾人福利性单位：</w:t>
      </w:r>
      <w:r>
        <w:rPr>
          <w:rFonts w:hint="eastAsia" w:ascii="宋体" w:hAnsi="宋体" w:cs="宋体"/>
          <w:iCs/>
          <w:color w:val="auto"/>
          <w:highlight w:val="none"/>
        </w:rPr>
        <w:t xml:space="preserve">¨是   ¨否</w:t>
      </w:r>
      <w:r/>
    </w:p>
    <w:p>
      <w:pPr>
        <w:spacing w:line="400" w:lineRule="exact"/>
        <w:rPr>
          <w:rFonts w:ascii="宋体" w:hAnsi="宋体" w:cs="宋体"/>
          <w:color w:val="auto"/>
          <w:highlight w:val="none"/>
        </w:rPr>
      </w:pPr>
      <w:r>
        <w:rPr>
          <w:rFonts w:hint="eastAsia" w:ascii="宋体" w:hAnsi="宋体" w:cs="宋体"/>
          <w:color w:val="auto"/>
          <w:highlight w:val="none"/>
        </w:rPr>
        <w:t xml:space="preserve">        中标（成交）采购标的制造商是否为监狱企业：</w:t>
      </w:r>
      <w:r>
        <w:rPr>
          <w:rFonts w:hint="eastAsia" w:ascii="宋体" w:hAnsi="宋体" w:cs="宋体"/>
          <w:iCs/>
          <w:color w:val="auto"/>
          <w:highlight w:val="none"/>
        </w:rPr>
        <w:t xml:space="preserve">¨是       ¨否</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
        </w:rPr>
        <w:t xml:space="preserve">7</w:t>
      </w:r>
      <w:r>
        <w:rPr>
          <w:rFonts w:hint="eastAsia" w:ascii="宋体" w:hAnsi="宋体" w:cs="宋体"/>
          <w:color w:val="auto"/>
          <w:highlight w:val="none"/>
        </w:rPr>
        <w:t xml:space="preserve">）合同是否分包：</w:t>
      </w:r>
      <w:r>
        <w:rPr>
          <w:rFonts w:hint="eastAsia" w:ascii="宋体" w:hAnsi="宋体" w:cs="宋体"/>
          <w:iCs/>
          <w:color w:val="auto"/>
          <w:highlight w:val="none"/>
        </w:rPr>
        <w:t xml:space="preserve">¨是       ¨否</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分包主要内容：</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分包供应商/制造商名称（如供应商和制造商不同，请分别填写）：</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分包供应商/制造商类型（如果供应商和制造商不同，只填写制造商类型）：</w:t>
      </w:r>
      <w:r/>
    </w:p>
    <w:p>
      <w:pPr>
        <w:ind w:firstLine="840"/>
        <w:spacing w:line="400" w:lineRule="exact"/>
        <w:rPr>
          <w:rFonts w:ascii="宋体" w:hAnsi="宋体" w:cs="宋体"/>
          <w:iCs/>
          <w:color w:val="auto"/>
          <w:highlight w:val="none"/>
        </w:rPr>
      </w:pPr>
      <w:r>
        <w:rPr>
          <w:rFonts w:hint="eastAsia" w:ascii="宋体" w:hAnsi="宋体" w:cs="宋体"/>
          <w:iCs/>
          <w:color w:val="auto"/>
          <w:highlight w:val="none"/>
        </w:rPr>
        <w:t xml:space="preserve"> ¨大型企业  ¨中型企业  ¨小微型企业  </w:t>
      </w:r>
      <w:r/>
    </w:p>
    <w:p>
      <w:pPr>
        <w:ind w:firstLine="840"/>
        <w:spacing w:line="400" w:lineRule="exact"/>
        <w:rPr>
          <w:rFonts w:ascii="宋体" w:hAnsi="宋体" w:cs="宋体"/>
          <w:color w:val="auto"/>
          <w:highlight w:val="none"/>
        </w:rPr>
      </w:pPr>
      <w:r>
        <w:rPr>
          <w:rFonts w:hint="eastAsia" w:ascii="宋体" w:hAnsi="宋体" w:cs="宋体"/>
          <w:iCs/>
          <w:color w:val="auto"/>
          <w:highlight w:val="none"/>
        </w:rPr>
        <w:t xml:space="preserve"> ¨残疾人福利性单位 ¨监狱企业 ¨其他</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
        </w:rPr>
        <w:t xml:space="preserve">8</w:t>
      </w:r>
      <w:r>
        <w:rPr>
          <w:rFonts w:hint="eastAsia" w:ascii="宋体" w:hAnsi="宋体" w:cs="宋体"/>
          <w:color w:val="auto"/>
          <w:highlight w:val="none"/>
        </w:rPr>
        <w:t xml:space="preserve">）中标（成交）供应商是否为外商投资企业：</w:t>
      </w:r>
      <w:r>
        <w:rPr>
          <w:rFonts w:hint="eastAsia" w:ascii="宋体" w:hAnsi="宋体" w:cs="宋体"/>
          <w:iCs/>
          <w:color w:val="auto"/>
          <w:highlight w:val="none"/>
        </w:rPr>
        <w:t xml:space="preserve">¨是       ¨否</w:t>
      </w:r>
      <w:r/>
    </w:p>
    <w:p>
      <w:pPr>
        <w:pStyle w:val="1156"/>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¨否</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lang w:val="en"/>
        </w:rPr>
        <w:t xml:space="preserve">0</w:t>
      </w:r>
      <w:r>
        <w:rPr>
          <w:rFonts w:hint="eastAsia" w:ascii="宋体" w:hAnsi="宋体" w:cs="宋体"/>
          <w:color w:val="auto"/>
          <w:highlight w:val="none"/>
        </w:rPr>
        <w:t xml:space="preserve">）是否涉及节能产品：</w:t>
      </w:r>
      <w:r/>
    </w:p>
    <w:p>
      <w:pPr>
        <w:spacing w:line="400" w:lineRule="exact"/>
        <w:tabs>
          <w:tab w:val="left" w:pos="740" w:leader="none"/>
        </w:tabs>
        <w:rPr>
          <w:rFonts w:ascii="宋体" w:hAnsi="宋体" w:cs="宋体"/>
          <w:iCs/>
          <w:color w:val="auto"/>
          <w:highlight w:val="none"/>
        </w:rPr>
      </w:pPr>
      <w:r>
        <w:rPr>
          <w:rFonts w:hint="eastAsia" w:ascii="宋体" w:hAnsi="宋体" w:cs="宋体"/>
          <w:color w:val="auto"/>
          <w:highlight w:val="none"/>
        </w:rPr>
        <w:t xml:space="preserve">         ¨是，《节能产品政府采购品目清单》的底级品目名称：</w:t>
      </w:r>
      <w:r>
        <w:rPr>
          <w:rFonts w:hint="eastAsia" w:ascii="宋体" w:hAnsi="宋体" w:cs="宋体"/>
          <w:color w:val="auto"/>
          <w:highlight w:val="none"/>
          <w:u w:val="single"/>
        </w:rPr>
        <w:t xml:space="preserve">         </w:t>
      </w:r>
      <w:r>
        <w:rPr>
          <w:rFonts w:hint="eastAsia" w:ascii="宋体" w:hAnsi="宋体" w:cs="宋体"/>
          <w:iCs/>
          <w:color w:val="auto"/>
          <w:highlight w:val="non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spacing w:line="400" w:lineRule="exact"/>
        <w:tabs>
          <w:tab w:val="left" w:pos="740" w:leader="none"/>
        </w:tabs>
        <w:rPr>
          <w:rFonts w:ascii="宋体" w:hAnsi="宋体" w:cs="宋体"/>
          <w:color w:val="auto"/>
          <w:highlight w:val="none"/>
        </w:rPr>
      </w:pPr>
      <w:r>
        <w:rPr>
          <w:rFonts w:hint="eastAsia" w:ascii="宋体" w:hAnsi="宋体" w:cs="宋体"/>
          <w:iCs/>
          <w:color w:val="auto"/>
          <w:highlight w:val="none"/>
        </w:rPr>
        <w:t xml:space="preserve">         </w:t>
      </w:r>
      <w:r>
        <w:rPr>
          <w:rFonts w:hint="eastAsia" w:ascii="宋体" w:hAnsi="宋体" w:cs="宋体"/>
          <w:color w:val="auto"/>
          <w:highlight w:val="none"/>
        </w:rPr>
        <w:t xml:space="preserve">¨否</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是否涉及环境标志产品：</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¨是，《环境标志产品政府采购品目清单》的底级品目名称：</w:t>
      </w:r>
      <w:r>
        <w:rPr>
          <w:rFonts w:hint="eastAsia" w:ascii="宋体" w:hAnsi="宋体" w:cs="宋体"/>
          <w:color w:val="auto"/>
          <w:highlight w:val="none"/>
          <w:u w:val="single"/>
        </w:rPr>
        <w:t xml:space="preserve">         </w:t>
      </w:r>
      <w:r>
        <w:rPr>
          <w:rFonts w:hint="eastAsia" w:ascii="宋体" w:hAnsi="宋体" w:cs="宋体"/>
          <w:iCs/>
          <w:color w:val="auto"/>
          <w:highlight w:val="non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spacing w:line="400" w:lineRule="exact"/>
        <w:tabs>
          <w:tab w:val="left" w:pos="740" w:leader="none"/>
        </w:tabs>
        <w:rPr>
          <w:rFonts w:ascii="宋体" w:hAnsi="宋体" w:cs="宋体"/>
          <w:color w:val="auto"/>
          <w:highlight w:val="none"/>
        </w:rPr>
      </w:pPr>
      <w:r>
        <w:rPr>
          <w:rFonts w:hint="eastAsia" w:ascii="宋体" w:hAnsi="宋体" w:cs="宋体"/>
          <w:iCs/>
          <w:color w:val="auto"/>
          <w:highlight w:val="none"/>
        </w:rPr>
        <w:t xml:space="preserve">         </w:t>
      </w:r>
      <w:r>
        <w:rPr>
          <w:rFonts w:hint="eastAsia" w:ascii="宋体" w:hAnsi="宋体" w:cs="宋体"/>
          <w:color w:val="auto"/>
          <w:highlight w:val="none"/>
        </w:rPr>
        <w:t xml:space="preserve">¨否</w:t>
      </w:r>
      <w:r/>
    </w:p>
    <w:p>
      <w:pPr>
        <w:pStyle w:val="115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是否涉及绿色产品： </w:t>
      </w:r>
      <w:r/>
    </w:p>
    <w:p>
      <w:pPr>
        <w:pStyle w:val="1156"/>
        <w:ind w:firstLine="420"/>
        <w:rPr>
          <w:rFonts w:ascii="宋体" w:hAnsi="宋体" w:eastAsia="宋体" w:cs="宋体"/>
          <w:color w:val="auto"/>
          <w:highlight w:val="none"/>
          <w:u w:val="single"/>
        </w:rPr>
      </w:pPr>
      <w:r>
        <w:rPr>
          <w:rFonts w:hint="eastAsia" w:ascii="宋体" w:hAnsi="宋体" w:eastAsia="宋体" w:cs="宋体"/>
          <w:color w:val="auto"/>
          <w:sz w:val="21"/>
          <w:highlight w:val="none"/>
        </w:rPr>
        <w:t xml:space="preserve">     ¨是，绿色产品政府采购相关政策确定的底级品目名称：</w:t>
      </w:r>
      <w:r>
        <w:rPr>
          <w:rFonts w:hint="eastAsia" w:ascii="宋体" w:hAnsi="宋体" w:eastAsia="宋体" w:cs="宋体"/>
          <w:color w:val="auto"/>
          <w:highlight w:val="none"/>
          <w:u w:val="singl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¨否</w:t>
      </w:r>
      <w:r/>
    </w:p>
    <w:p>
      <w:pPr>
        <w:spacing w:line="400" w:lineRule="exact"/>
        <w:rPr>
          <w:rFonts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lang w:val="en"/>
        </w:rPr>
        <w:t xml:space="preserve">1</w:t>
      </w:r>
      <w:r>
        <w:rPr>
          <w:rFonts w:hint="eastAsia" w:ascii="宋体" w:hAnsi="宋体" w:cs="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¨是       ¨否      ¨不涉及</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合同金额</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（1）合同金额小写：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u w:val="single"/>
        </w:rPr>
      </w:pPr>
      <w:r>
        <w:rPr>
          <w:rFonts w:hint="eastAsia" w:ascii="宋体" w:hAnsi="宋体" w:cs="宋体"/>
          <w:color w:val="auto"/>
          <w:highlight w:val="none"/>
        </w:rPr>
        <w:t xml:space="preserve">                 大写：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rPr>
      </w:pPr>
      <w:r>
        <w:rPr>
          <w:rFonts w:hint="eastAsia" w:ascii="宋体" w:hAnsi="宋体" w:cs="宋体"/>
          <w:color w:val="auto"/>
          <w:highlight w:val="none"/>
        </w:rPr>
        <w:t xml:space="preserve">         分包金额（如有）小写：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u w:val="single"/>
        </w:rPr>
      </w:pPr>
      <w:r>
        <w:rPr>
          <w:rFonts w:hint="eastAsia" w:ascii="宋体" w:hAnsi="宋体" w:cs="宋体"/>
          <w:color w:val="auto"/>
          <w:highlight w:val="none"/>
        </w:rPr>
        <w:t xml:space="preserve">                         大写：</w:t>
      </w:r>
      <w:r>
        <w:rPr>
          <w:rFonts w:hint="eastAsia" w:ascii="宋体" w:hAnsi="宋体" w:cs="宋体"/>
          <w:color w:val="auto"/>
          <w:highlight w:val="none"/>
          <w:u w:val="single"/>
        </w:rPr>
        <w:t xml:space="preserve">                   </w:t>
      </w:r>
      <w:r/>
    </w:p>
    <w:p>
      <w:pPr>
        <w:ind w:firstLine="480"/>
        <w:jc w:val="left"/>
        <w:spacing w:line="360" w:lineRule="auto"/>
        <w:rPr>
          <w:rFonts w:ascii="宋体" w:hAnsi="宋体" w:cs="宋体"/>
          <w:color w:val="auto"/>
          <w:highlight w:val="none"/>
        </w:rPr>
      </w:pPr>
      <w:r>
        <w:rPr>
          <w:rFonts w:hint="eastAsia" w:ascii="宋体" w:hAnsi="宋体" w:cs="宋体"/>
          <w:color w:val="auto"/>
          <w:highlight w:val="none"/>
        </w:rPr>
        <w:t xml:space="preserve">    （注：固定单价合同应填写单价和最高限价）</w:t>
      </w:r>
      <w:r/>
    </w:p>
    <w:p>
      <w:pPr>
        <w:spacing w:line="400" w:lineRule="exact"/>
        <w:rPr>
          <w:rFonts w:ascii="宋体" w:hAnsi="宋体" w:cs="宋体"/>
          <w:color w:val="auto"/>
          <w:highlight w:val="none"/>
        </w:rPr>
      </w:pPr>
      <w:r>
        <w:rPr>
          <w:rFonts w:hint="eastAsia" w:ascii="宋体" w:hAnsi="宋体" w:cs="宋体"/>
          <w:color w:val="auto"/>
          <w:highlight w:val="none"/>
        </w:rPr>
        <w:t xml:space="preserve">    （2）合同定价方式（采用组合定价方式的，可以勾选多项）：</w:t>
      </w:r>
      <w:r/>
    </w:p>
    <w:p>
      <w:pPr>
        <w:ind w:firstLine="480"/>
        <w:jc w:val="left"/>
        <w:spacing w:line="360" w:lineRule="auto"/>
        <w:rPr>
          <w:rFonts w:ascii="宋体" w:hAnsi="宋体" w:cs="宋体"/>
          <w:color w:val="auto"/>
          <w:highlight w:val="none"/>
          <w:u w:val="single"/>
        </w:rPr>
      </w:pPr>
      <w:r>
        <w:rPr>
          <w:rFonts w:hint="eastAsia" w:ascii="宋体" w:hAnsi="宋体" w:cs="宋体"/>
          <w:iCs/>
          <w:color w:val="auto"/>
          <w:highlight w:val="none"/>
        </w:rPr>
        <w:t xml:space="preserve">  ¨√固定总价¨固定单价 ¨固定费率 ¨成本补偿 ¨绩效激励 ¨其他</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ind w:firstLine="480"/>
        <w:jc w:val="left"/>
        <w:spacing w:line="360" w:lineRule="auto"/>
        <w:rPr>
          <w:rFonts w:ascii="宋体" w:hAnsi="宋体" w:cs="宋体"/>
          <w:color w:val="auto"/>
          <w:highlight w:val="none"/>
        </w:rPr>
      </w:pPr>
      <w:r>
        <w:rPr>
          <w:rFonts w:hint="eastAsia" w:ascii="宋体" w:hAnsi="宋体" w:cs="宋体"/>
          <w:color w:val="auto"/>
          <w:highlight w:val="none"/>
        </w:rPr>
        <w:t xml:space="preserve">注：合同金额已包含但不限于本项目的井道、钢结构、基坑、连廊等土建项目施工费用（详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pStyle w:val="1120"/>
        <w:ind w:left="0" w:firstLine="420"/>
        <w:spacing w:line="400" w:lineRule="exact"/>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（3）付款方式（按项目实际勾选填写）：</w:t>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¨全额付款：</w:t>
      </w:r>
      <w:r>
        <w:rPr>
          <w:rFonts w:hint="eastAsia" w:ascii="宋体" w:hAnsi="宋体" w:cs="宋体"/>
          <w:color w:val="auto"/>
          <w:highlight w:val="none"/>
          <w:u w:val="single"/>
        </w:rPr>
        <w:t xml:space="preserve">  （应明确一次性支付合同款项的条件）                    </w:t>
      </w:r>
      <w:r/>
    </w:p>
    <w:p>
      <w:pPr>
        <w:ind w:firstLine="630"/>
        <w:spacing w:line="400" w:lineRule="exact"/>
        <w:rPr>
          <w:rFonts w:ascii="仿宋" w:hAnsi="仿宋" w:eastAsia="仿宋" w:cs="仿宋"/>
          <w:color w:val="auto"/>
          <w:highlight w:val="none"/>
          <w:u w:val="single"/>
        </w:rPr>
      </w:pPr>
      <w:r>
        <w:rPr>
          <w:rFonts w:hint="eastAsia" w:ascii="宋体" w:hAnsi="宋体" w:cs="宋体"/>
          <w:color w:val="auto"/>
          <w:highlight w:val="none"/>
        </w:rPr>
        <w:t xml:space="preserve">¨分期付款：</w:t>
      </w:r>
      <w:r>
        <w:rPr>
          <w:rFonts w:hint="eastAsia" w:ascii="仿宋" w:hAnsi="仿宋" w:eastAsia="仿宋" w:cs="仿宋"/>
          <w:color w:val="auto"/>
          <w:sz w:val="24"/>
          <w:szCs w:val="24"/>
          <w:highlight w:val="none"/>
          <w:u w:val="single"/>
          <w:lang w:val="zh-CN"/>
        </w:rPr>
        <w:t xml:space="preserve">所有项目完工、电梯设备安装后通过南通市市场监督管理局专业检测合格且</w:t>
      </w:r>
      <w:r>
        <w:rPr>
          <w:rFonts w:hint="eastAsia" w:ascii="仿宋" w:hAnsi="仿宋" w:eastAsia="仿宋" w:cs="仿宋"/>
          <w:color w:val="auto"/>
          <w:sz w:val="24"/>
          <w:szCs w:val="24"/>
          <w:highlight w:val="none"/>
          <w:u w:val="single"/>
        </w:rPr>
        <w:t xml:space="preserve">项目</w:t>
      </w:r>
      <w:r>
        <w:rPr>
          <w:rFonts w:hint="eastAsia" w:ascii="仿宋" w:hAnsi="仿宋" w:eastAsia="仿宋" w:cs="仿宋"/>
          <w:color w:val="auto"/>
          <w:sz w:val="24"/>
          <w:szCs w:val="24"/>
          <w:highlight w:val="none"/>
          <w:u w:val="single"/>
          <w:lang w:val="zh-CN"/>
        </w:rPr>
        <w:t xml:space="preserve">验收合格（包括所有装潢到位）并提供完整资料，交付电梯钥匙后，支付合同价的</w:t>
      </w:r>
      <w:r>
        <w:rPr>
          <w:rFonts w:hint="eastAsia" w:ascii="仿宋" w:hAnsi="仿宋" w:eastAsia="仿宋" w:cs="仿宋"/>
          <w:color w:val="auto"/>
          <w:sz w:val="24"/>
          <w:szCs w:val="24"/>
          <w:highlight w:val="none"/>
          <w:u w:val="single"/>
        </w:rPr>
        <w:t xml:space="preserve">90</w:t>
      </w:r>
      <w:r>
        <w:rPr>
          <w:rFonts w:hint="eastAsia" w:ascii="仿宋" w:hAnsi="仿宋" w:eastAsia="仿宋" w:cs="仿宋"/>
          <w:color w:val="auto"/>
          <w:sz w:val="24"/>
          <w:szCs w:val="24"/>
          <w:highlight w:val="none"/>
          <w:u w:val="single"/>
          <w:lang w:val="zh-CN"/>
        </w:rPr>
        <w:t xml:space="preserve">%，余款合同价的</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zh-CN"/>
        </w:rPr>
        <w:t xml:space="preserve">%在验收合格且无质量问题后 </w:t>
      </w:r>
      <w:r>
        <w:rPr>
          <w:rFonts w:hint="eastAsia" w:ascii="仿宋" w:hAnsi="仿宋" w:eastAsia="仿宋" w:cs="仿宋"/>
          <w:color w:val="auto"/>
          <w:sz w:val="24"/>
          <w:szCs w:val="24"/>
          <w:highlight w:val="none"/>
          <w:u w:val="single"/>
        </w:rPr>
        <w:t xml:space="preserve">60</w:t>
      </w:r>
      <w:r>
        <w:rPr>
          <w:rFonts w:hint="eastAsia" w:ascii="仿宋" w:hAnsi="仿宋" w:eastAsia="仿宋" w:cs="仿宋"/>
          <w:color w:val="auto"/>
          <w:sz w:val="24"/>
          <w:szCs w:val="24"/>
          <w:highlight w:val="none"/>
          <w:u w:val="single"/>
          <w:lang w:val="zh-CN"/>
        </w:rPr>
        <w:t xml:space="preserve">日内一次性结清。</w:t>
      </w:r>
      <w:r>
        <w:rPr>
          <w:rFonts w:hint="eastAsia" w:ascii="仿宋" w:hAnsi="仿宋" w:eastAsia="仿宋" w:cs="仿宋"/>
          <w:color w:val="auto"/>
          <w:sz w:val="24"/>
          <w:szCs w:val="24"/>
          <w:highlight w:val="none"/>
          <w:u w:val="single"/>
        </w:rPr>
        <w:t xml:space="preserve">甲方</w:t>
      </w:r>
      <w:r>
        <w:rPr>
          <w:rFonts w:hint="eastAsia" w:ascii="仿宋" w:hAnsi="仿宋" w:eastAsia="仿宋" w:cs="仿宋"/>
          <w:color w:val="auto"/>
          <w:sz w:val="24"/>
          <w:szCs w:val="24"/>
          <w:highlight w:val="none"/>
          <w:u w:val="single"/>
          <w:lang w:val="zh-CN"/>
        </w:rPr>
        <w:t xml:space="preserve">应在收到发票后</w:t>
      </w:r>
      <w:r>
        <w:rPr>
          <w:rFonts w:hint="eastAsia" w:ascii="仿宋" w:hAnsi="仿宋" w:eastAsia="仿宋" w:cs="仿宋"/>
          <w:color w:val="auto"/>
          <w:sz w:val="24"/>
          <w:szCs w:val="24"/>
          <w:highlight w:val="none"/>
          <w:u w:val="single"/>
        </w:rPr>
        <w:t xml:space="preserve">10个工作日内将资金支付到乙方账户。</w:t>
      </w:r>
      <w:r/>
    </w:p>
    <w:p>
      <w:pPr>
        <w:pStyle w:val="829"/>
        <w:rPr>
          <w:color w:val="auto"/>
          <w:highlight w:val="none"/>
        </w:rPr>
      </w:pPr>
      <w:r>
        <w:rPr>
          <w:color w:val="auto"/>
          <w:highlight w:val="none"/>
        </w:rPr>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¨成本补偿：</w:t>
      </w:r>
      <w:r>
        <w:rPr>
          <w:rFonts w:hint="eastAsia" w:ascii="宋体" w:hAnsi="宋体" w:cs="宋体"/>
          <w:color w:val="auto"/>
          <w:highlight w:val="none"/>
          <w:u w:val="single"/>
        </w:rPr>
        <w:t xml:space="preserve">      （应明确按照成本补偿方式的支付方式和支付条件）   </w:t>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¨绩效激励：</w:t>
      </w:r>
      <w:r>
        <w:rPr>
          <w:rFonts w:hint="eastAsia" w:ascii="宋体" w:hAnsi="宋体" w:cs="宋体"/>
          <w:color w:val="auto"/>
          <w:highlight w:val="none"/>
          <w:u w:val="single"/>
        </w:rPr>
        <w:t xml:space="preserve">      （应明确按照绩效激励方式的支付方式和支付条件）   </w:t>
      </w:r>
      <w:r/>
    </w:p>
    <w:p>
      <w:pPr>
        <w:numPr>
          <w:ilvl w:val="0"/>
          <w:numId w:val="7"/>
        </w:numPr>
        <w:ind w:firstLine="420"/>
        <w:spacing w:line="400" w:lineRule="exact"/>
        <w:rPr>
          <w:rFonts w:ascii="宋体" w:hAnsi="宋体" w:cs="宋体"/>
          <w:b/>
          <w:color w:val="auto"/>
          <w:highlight w:val="none"/>
          <w:u w:val="single"/>
        </w:rPr>
      </w:pPr>
      <w:r>
        <w:rPr>
          <w:rFonts w:hint="eastAsia" w:ascii="宋体" w:hAnsi="宋体" w:cs="宋体"/>
          <w:b/>
          <w:color w:val="auto"/>
          <w:highlight w:val="none"/>
        </w:rPr>
        <w:t xml:space="preserve">合同履行</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是否收取履约保证金：是   </w:t>
      </w:r>
      <w:r/>
    </w:p>
    <w:p>
      <w:pPr>
        <w:pStyle w:val="1156"/>
        <w:rPr>
          <w:rFonts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合同验收</w:t>
      </w:r>
      <w:r/>
    </w:p>
    <w:p>
      <w:pPr>
        <w:numPr>
          <w:ilvl w:val="0"/>
          <w:numId w:val="9"/>
        </w:num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验收组织方式：</w:t>
      </w:r>
      <w:r>
        <w:rPr>
          <w:rFonts w:hint="eastAsia" w:ascii="宋体" w:hAnsi="宋体" w:cs="宋体"/>
          <w:color w:val="auto"/>
          <w:highlight w:val="none"/>
        </w:rPr>
        <w:t xml:space="preserve">¨</w:t>
      </w:r>
      <w:r>
        <w:rPr>
          <w:rFonts w:hint="eastAsia" w:ascii="宋体" w:hAnsi="宋体" w:cs="宋体"/>
          <w:bCs/>
          <w:color w:val="auto"/>
          <w:highlight w:val="none"/>
        </w:rPr>
        <w:t xml:space="preserve">自行组织 </w:t>
      </w:r>
      <w:r>
        <w:rPr>
          <w:rFonts w:hint="eastAsia" w:ascii="宋体" w:hAnsi="宋体" w:cs="宋体"/>
          <w:color w:val="auto"/>
          <w:highlight w:val="none"/>
        </w:rPr>
        <w:t xml:space="preserve">¨</w:t>
      </w:r>
      <w:r>
        <w:rPr>
          <w:rFonts w:hint="eastAsia" w:ascii="宋体" w:hAnsi="宋体" w:cs="宋体"/>
          <w:bCs/>
          <w:color w:val="auto"/>
          <w:highlight w:val="none"/>
        </w:rPr>
        <w:t xml:space="preserve">委托第三方组织</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验收主体：</w:t>
      </w:r>
      <w:r>
        <w:rPr>
          <w:rFonts w:hint="eastAsia" w:ascii="宋体" w:hAnsi="宋体" w:cs="宋体"/>
          <w:bCs/>
          <w:color w:val="auto"/>
          <w:highlight w:val="none"/>
          <w:u w:val="single"/>
        </w:rPr>
        <w:t xml:space="preserve"> 委托第三方组织  </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是否邀请本项目的其他供应商参加验收：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是否邀请专家参加验收：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是否邀请服务对象参加验收：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是否邀请第三方检测机构参加验收：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是否进行抽查检测：</w:t>
      </w:r>
      <w:r>
        <w:rPr>
          <w:rFonts w:hint="eastAsia" w:ascii="宋体" w:hAnsi="宋体" w:cs="宋体"/>
          <w:color w:val="auto"/>
          <w:highlight w:val="none"/>
        </w:rPr>
        <w:t xml:space="preserve">¨</w:t>
      </w:r>
      <w:r>
        <w:rPr>
          <w:rFonts w:hint="eastAsia" w:ascii="宋体" w:hAnsi="宋体" w:cs="宋体"/>
          <w:bCs/>
          <w:color w:val="auto"/>
          <w:highlight w:val="none"/>
        </w:rPr>
        <w:t xml:space="preserve">是，抽查比例：</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u w:val="single"/>
        </w:rPr>
      </w:pPr>
      <w:r>
        <w:rPr>
          <w:rFonts w:hint="eastAsia" w:ascii="宋体" w:hAnsi="宋体" w:cs="宋体"/>
          <w:bCs/>
          <w:color w:val="auto"/>
          <w:highlight w:val="none"/>
        </w:rPr>
        <w:t xml:space="preserve">是否存在破坏性检测：</w:t>
      </w:r>
      <w:r>
        <w:rPr>
          <w:rFonts w:hint="eastAsia" w:ascii="宋体" w:hAnsi="宋体" w:cs="宋体"/>
          <w:color w:val="auto"/>
          <w:highlight w:val="none"/>
        </w:rPr>
        <w:t xml:space="preserve">¨</w:t>
      </w:r>
      <w:r>
        <w:rPr>
          <w:rFonts w:hint="eastAsia" w:ascii="宋体" w:hAnsi="宋体" w:cs="宋体"/>
          <w:bCs/>
          <w:color w:val="auto"/>
          <w:highlight w:val="none"/>
        </w:rPr>
        <w:t xml:space="preserve">是，</w:t>
      </w:r>
      <w:r>
        <w:rPr>
          <w:rFonts w:hint="eastAsia" w:ascii="宋体" w:hAnsi="宋体" w:cs="宋体"/>
          <w:bCs/>
          <w:color w:val="auto"/>
          <w:highlight w:val="none"/>
          <w:u w:val="single"/>
        </w:rPr>
        <w:t xml:space="preserve">（应明确对被破坏的检测产品的处理方式）</w:t>
      </w:r>
      <w:r/>
    </w:p>
    <w:p>
      <w:pPr>
        <w:ind w:firstLine="525"/>
        <w:spacing w:line="400" w:lineRule="exact"/>
        <w:rPr>
          <w:rFonts w:ascii="宋体" w:hAnsi="宋体" w:cs="宋体"/>
          <w:bCs/>
          <w:color w:val="auto"/>
          <w:highlight w:val="none"/>
        </w:rPr>
      </w:pP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u w:val="single"/>
        </w:rPr>
      </w:pPr>
      <w:r>
        <w:rPr>
          <w:rFonts w:hint="eastAsia" w:ascii="宋体" w:hAnsi="宋体" w:cs="宋体"/>
          <w:bCs/>
          <w:color w:val="auto"/>
          <w:highlight w:val="none"/>
        </w:rPr>
        <w:t xml:space="preserve">验收组织的其他事项：</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（2）履约验收时间：</w:t>
      </w:r>
      <w:r>
        <w:rPr>
          <w:rFonts w:hint="eastAsia" w:ascii="宋体" w:hAnsi="宋体" w:cs="宋体"/>
          <w:bCs/>
          <w:color w:val="auto"/>
          <w:highlight w:val="none"/>
          <w:u w:val="single"/>
        </w:rPr>
        <w:t xml:space="preserve">（计划于何时验收/供应商提出验收申请之日起   日内组织验收）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（3）履约验收方式：</w:t>
      </w:r>
      <w:r>
        <w:rPr>
          <w:rFonts w:hint="eastAsia" w:ascii="宋体" w:hAnsi="宋体" w:cs="宋体"/>
          <w:color w:val="auto"/>
          <w:highlight w:val="none"/>
        </w:rPr>
        <w:t xml:space="preserve">¨</w:t>
      </w:r>
      <w:r>
        <w:rPr>
          <w:rFonts w:hint="eastAsia" w:ascii="宋体" w:hAnsi="宋体" w:cs="宋体"/>
          <w:bCs/>
          <w:color w:val="auto"/>
          <w:highlight w:val="none"/>
        </w:rPr>
        <w:t xml:space="preserve">一次性验收         </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color w:val="auto"/>
          <w:highlight w:val="none"/>
        </w:rPr>
        <w:t xml:space="preserve">¨</w:t>
      </w:r>
      <w:r>
        <w:rPr>
          <w:rFonts w:hint="eastAsia" w:ascii="宋体" w:hAnsi="宋体" w:cs="宋体"/>
          <w:bCs/>
          <w:color w:val="auto"/>
          <w:highlight w:val="none"/>
        </w:rPr>
        <w:t xml:space="preserve">分期/分项验收：</w:t>
      </w:r>
      <w:r>
        <w:rPr>
          <w:rFonts w:hint="eastAsia" w:ascii="宋体" w:hAnsi="宋体" w:cs="宋体"/>
          <w:bCs/>
          <w:color w:val="auto"/>
          <w:highlight w:val="none"/>
          <w:u w:val="single"/>
        </w:rPr>
        <w:t xml:space="preserve"> （应明确分期</w:t>
      </w:r>
      <w:r>
        <w:rPr>
          <w:rFonts w:hint="eastAsia" w:ascii="宋体" w:hAnsi="宋体" w:cs="宋体"/>
          <w:bCs/>
          <w:color w:val="auto"/>
          <w:highlight w:val="none"/>
          <w:u w:val="single"/>
          <w:lang w:val="en"/>
        </w:rPr>
        <w:t xml:space="preserve">/分项验收的工作安排</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（4）履约验收程序：</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（5）履约验收的内容：</w:t>
      </w:r>
      <w:r>
        <w:rPr>
          <w:rFonts w:hint="eastAsia" w:ascii="宋体" w:hAnsi="宋体" w:cs="宋体"/>
          <w:bCs/>
          <w:color w:val="auto"/>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（6）履约验收标准：</w:t>
      </w:r>
      <w:r>
        <w:rPr>
          <w:rFonts w:hint="eastAsia" w:ascii="宋体" w:hAnsi="宋体" w:cs="宋体"/>
          <w:bCs/>
          <w:color w:val="auto"/>
          <w:highlight w:val="none"/>
          <w:u w:val="single"/>
        </w:rPr>
        <w:t xml:space="preserve">                                         </w:t>
      </w:r>
      <w:r/>
    </w:p>
    <w:p>
      <w:pPr>
        <w:pStyle w:val="1156"/>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（产权过户登记等）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组成合同的文件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（1）政府采购合同协议书及其变更、补充协议</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（2）政府采购合同专用条款</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（3）政府采购合同通用条款</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（4）中标（成交）通知书</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（5）投标（响应）文件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（6）采购文件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（7）有关技术文件，图纸</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合同生效</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本合同自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生效。</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合同份数</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本合同正本一式三份，具有同等法律效力，甲方、乙方及财政监管部门各执一份。</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合同订立时间：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合同订立地点：</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附件：具体标的及其技术要求和商务要求、联合协议、分包意向协议等</w:t>
      </w:r>
      <w:r/>
    </w:p>
    <w:tbl>
      <w:tblPr>
        <w:tblStyle w:val="828"/>
        <w:tblW w:w="4927" w:type="pct"/>
        <w:tblInd w:w="-79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3402"/>
        <w:gridCol w:w="1161"/>
        <w:gridCol w:w="3138"/>
      </w:tblGrid>
      <w:tr>
        <w:trPr>
          <w:trHeight w:val="490"/>
        </w:trPr>
        <w:tc>
          <w:tcPr>
            <w:gridSpan w:val="2"/>
            <w:tcW w:w="4628" w:type="dxa"/>
            <w:vAlign w:val="center"/>
            <w:textDirection w:val="lrTb"/>
            <w:noWrap w:val="false"/>
          </w:tcPr>
          <w:p>
            <w:pPr>
              <w:spacing w:line="300" w:lineRule="exact"/>
              <w:rPr>
                <w:rFonts w:ascii="宋体" w:hAnsi="宋体" w:cs="宋体"/>
                <w:color w:val="auto"/>
                <w:highlight w:val="none"/>
              </w:rPr>
            </w:pPr>
            <w:r>
              <w:rPr>
                <w:rFonts w:hint="eastAsia" w:ascii="宋体" w:hAnsi="宋体" w:cs="宋体"/>
                <w:color w:val="auto"/>
                <w:highlight w:val="none"/>
              </w:rPr>
              <w:t xml:space="preserve">甲方（采购人、受采购人委托签订合同的单位或采购文件约定的合同甲方）</w:t>
            </w:r>
            <w:r/>
          </w:p>
        </w:tc>
        <w:tc>
          <w:tcPr>
            <w:gridSpan w:val="2"/>
            <w:tcW w:w="4407"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乙方（供应商）</w:t>
            </w:r>
            <w:r/>
          </w:p>
        </w:tc>
      </w:tr>
      <w:tr>
        <w:trPr>
          <w:trHeight w:val="917"/>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单位名称（公章或合同章）</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单位名称（公章或合同章）</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法定代表人</w:t>
            </w:r>
            <w:r/>
          </w:p>
          <w:p>
            <w:pPr>
              <w:ind w:firstLine="100"/>
              <w:jc w:val="center"/>
              <w:spacing w:line="300" w:lineRule="exact"/>
              <w:rPr>
                <w:rFonts w:ascii="宋体" w:hAnsi="宋体" w:cs="宋体"/>
                <w:color w:val="auto"/>
                <w:highlight w:val="none"/>
              </w:rPr>
            </w:pPr>
            <w:r>
              <w:rPr>
                <w:rFonts w:hint="eastAsia" w:ascii="宋体" w:hAnsi="宋体" w:cs="宋体"/>
                <w:color w:val="auto"/>
                <w:highlight w:val="none"/>
              </w:rPr>
              <w:t xml:space="preserve">或其委托代理人（签章）</w:t>
            </w:r>
            <w:r/>
          </w:p>
        </w:tc>
        <w:tc>
          <w:tcPr>
            <w:tcW w:w="1436" w:type="dxa"/>
            <w:vAlign w:val="center"/>
            <w:vMerge w:val="restart"/>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法定代表人</w:t>
            </w:r>
            <w:r/>
          </w:p>
          <w:p>
            <w:pPr>
              <w:jc w:val="center"/>
              <w:spacing w:line="300" w:lineRule="exact"/>
              <w:rPr>
                <w:rFonts w:ascii="宋体" w:hAnsi="宋体" w:cs="宋体"/>
                <w:color w:val="auto"/>
                <w:highlight w:val="none"/>
              </w:rPr>
            </w:pPr>
            <w:r>
              <w:rPr>
                <w:rFonts w:hint="eastAsia" w:ascii="宋体" w:hAnsi="宋体" w:cs="宋体"/>
                <w:color w:val="auto"/>
                <w:highlight w:val="none"/>
              </w:rPr>
              <w:t xml:space="preserve">或其委托代理人（签章）</w:t>
            </w:r>
            <w:r/>
          </w:p>
        </w:tc>
        <w:tc>
          <w:tcPr>
            <w:tcW w:w="1259"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vMerge w:val="continue"/>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拥有者性别</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住  所</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住  所</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 系 人</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 系 人</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联系电话</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联系电话</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通信地址</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通信地址</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邮政编码</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邮政编码</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电子邮箱</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电子邮箱</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开户名称</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开户银行</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银行账号</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586"/>
        </w:trPr>
        <w:tc>
          <w:tcPr>
            <w:gridSpan w:val="4"/>
            <w:tcW w:w="9035" w:type="dxa"/>
            <w:vAlign w:val="center"/>
            <w:textDirection w:val="lrTb"/>
            <w:noWrap w:val="false"/>
          </w:tcPr>
          <w:p>
            <w:pPr>
              <w:pStyle w:val="1155"/>
              <w:ind w:left="0"/>
              <w:jc w:val="left"/>
              <w:spacing w:before="156" w:after="0" w:line="360" w:lineRule="auto"/>
              <w:rPr>
                <w:rFonts w:ascii="宋体" w:hAnsi="宋体" w:cs="宋体"/>
                <w:color w:val="auto"/>
                <w:spacing w:val="20"/>
                <w:highlight w:val="none"/>
              </w:rPr>
            </w:pPr>
            <w:r>
              <w:rPr>
                <w:rFonts w:hint="eastAsia" w:ascii="宋体" w:hAnsi="宋体" w:cs="宋体"/>
                <w:color w:val="auto"/>
                <w:highlight w:val="none"/>
              </w:rPr>
              <w:t xml:space="preserve">注：涉及联合体或其他合同主体的信息应按上表格式加列。</w:t>
            </w:r>
            <w:r/>
          </w:p>
        </w:tc>
      </w:tr>
    </w:tbl>
    <w:p>
      <w:pPr>
        <w:pStyle w:val="1153"/>
        <w:spacing w:before="156"/>
        <w:rPr>
          <w:rFonts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clear="all"/>
      </w:r>
      <w:r>
        <w:rPr>
          <w:rFonts w:hint="eastAsia" w:ascii="宋体" w:hAnsi="宋体" w:eastAsia="宋体" w:cs="宋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 </w:t>
      </w:r>
      <w:r>
        <w:rPr>
          <w:rFonts w:hint="eastAsia" w:ascii="宋体" w:hAnsi="宋体" w:cs="宋体"/>
          <w:b/>
          <w:bCs/>
          <w:color w:val="auto"/>
          <w:sz w:val="24"/>
          <w:highlight w:val="none"/>
        </w:rPr>
        <w:t xml:space="preserve">定义</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1.1合同当事人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（3）其他合同主体是指除采购人和供应商以外，</w:t>
      </w:r>
      <w:r>
        <w:rPr>
          <w:rFonts w:hint="eastAsia" w:ascii="宋体" w:hAnsi="宋体" w:cs="宋体"/>
          <w:bCs/>
          <w:color w:val="auto"/>
          <w:highlight w:val="none"/>
        </w:rPr>
        <w:t xml:space="preserve">依法参与合同缔结或履行，享有权利、承担义务的合同当事人</w:t>
      </w:r>
      <w:r>
        <w:rPr>
          <w:rFonts w:hint="eastAsia" w:ascii="宋体" w:hAnsi="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1.2本合同下列术语应解释为：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（1）“合同”系指</w:t>
      </w:r>
      <w:r>
        <w:rPr>
          <w:rFonts w:hint="eastAsia" w:ascii="宋体" w:hAnsi="宋体" w:cs="宋体"/>
          <w:bCs/>
          <w:color w:val="auto"/>
          <w:highlight w:val="none"/>
        </w:rPr>
        <w:t xml:space="preserve">合同当事人意思表示达成一致的任何协议，包括签署的</w:t>
      </w:r>
      <w:r>
        <w:rPr>
          <w:rFonts w:hint="eastAsia" w:ascii="宋体" w:hAnsi="宋体" w:cs="宋体"/>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技术资料和材料等。</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（4）“相关服务”系指根据合同规定，乙方应提供的与货物有关的技术、管理和</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（7）其他术语解释，见【</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w:t>
      </w:r>
      <w:r/>
    </w:p>
    <w:p>
      <w:pPr>
        <w:numPr>
          <w:ilvl w:val="0"/>
          <w:numId w:val="10"/>
        </w:numPr>
        <w:jc w:val="left"/>
        <w:spacing w:line="400" w:lineRule="exact"/>
        <w:rPr>
          <w:rFonts w:ascii="宋体" w:hAnsi="宋体" w:cs="宋体"/>
          <w:b/>
          <w:bCs/>
          <w:color w:val="auto"/>
          <w:sz w:val="24"/>
          <w:highlight w:val="none"/>
        </w:rPr>
      </w:pPr>
      <w:r>
        <w:rPr>
          <w:rFonts w:hint="eastAsia" w:ascii="宋体" w:hAnsi="宋体" w:cs="宋体"/>
          <w:b/>
          <w:color w:val="auto"/>
          <w:sz w:val="24"/>
          <w:highlight w:val="none"/>
        </w:rPr>
        <w:t xml:space="preserve">合同标的及金额</w:t>
      </w:r>
      <w:r/>
    </w:p>
    <w:p>
      <w:pPr>
        <w:ind w:firstLine="420"/>
        <w:jc w:val="left"/>
        <w:spacing w:line="400" w:lineRule="exact"/>
        <w:rPr>
          <w:rFonts w:ascii="宋体" w:hAnsi="宋体" w:cs="宋体"/>
          <w:b/>
          <w:bCs/>
          <w:i/>
          <w:iCs/>
          <w:color w:val="auto"/>
          <w:highlight w:val="none"/>
        </w:rPr>
      </w:pPr>
      <w:r>
        <w:rPr>
          <w:rFonts w:hint="eastAsia" w:ascii="宋体" w:hAnsi="宋体" w:cs="宋体"/>
          <w:color w:val="auto"/>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任何费用。</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3. 履行合同的时间、地点和方式</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3.1 乙方应当在约定的时间、地点，按照约定方式履行合同。</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4. 甲方的权利和义务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4.4 甲方应当按照合同约定及时对交付的货物进行验收，未在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4.6 国家法律法规规定及</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约定应由甲方承担的其他义务和责任。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5. 乙方的权利和义务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5.3乙方有权根据合同约定向甲方收取合同价款。</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5.4国家法律法规规定及</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约定应由乙方承担的其他义务和责任。</w:t>
      </w:r>
      <w:r/>
    </w:p>
    <w:p>
      <w:pPr>
        <w:numPr>
          <w:ilvl w:val="0"/>
          <w:numId w:val="11"/>
        </w:num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6.1 甲乙双方应当按照</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约定顺序履行合同义务；如果没有先后顺序的，应当同时履行。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7. 货物包装、运输、保险和交付要求</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7.1 本合同</w:t>
      </w:r>
      <w:r>
        <w:rPr>
          <w:rFonts w:hint="eastAsia" w:ascii="宋体" w:hAnsi="宋体" w:cs="宋体"/>
          <w:bCs/>
          <w:color w:val="auto"/>
          <w:highlight w:val="none"/>
        </w:rPr>
        <w:t xml:space="preserve">涉及商品包装、快递包装的，</w:t>
      </w:r>
      <w:r>
        <w:rPr>
          <w:rFonts w:hint="eastAsia" w:ascii="宋体" w:hAnsi="宋体" w:cs="宋体"/>
          <w:color w:val="auto"/>
          <w:highlight w:val="none"/>
        </w:rPr>
        <w:t xml:space="preserve">除</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另有约定外，</w:t>
      </w:r>
      <w:r>
        <w:rPr>
          <w:rFonts w:hint="eastAsia" w:ascii="宋体" w:hAnsi="宋体" w:cs="宋体"/>
          <w:color w:val="auto"/>
          <w:highlight w:val="none"/>
        </w:rPr>
        <w:t xml:space="preserve">包装应适应远距离运输、防潮、防震、防锈和防野蛮装卸等要求，确保货物安全无损地运抵</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约定的</w:t>
      </w:r>
      <w:r>
        <w:rPr>
          <w:rFonts w:hint="eastAsia" w:ascii="宋体" w:hAnsi="宋体" w:cs="宋体"/>
          <w:color w:val="auto"/>
          <w:highlight w:val="none"/>
        </w:rPr>
        <w:t xml:space="preserve">指定现场。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7.2 除</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另有约定外，</w:t>
      </w:r>
      <w:r>
        <w:rPr>
          <w:rFonts w:hint="eastAsia" w:ascii="宋体" w:hAnsi="宋体" w:cs="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7.3 货物保险要求按</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规定执行</w:t>
      </w:r>
      <w:r>
        <w:rPr>
          <w:rFonts w:hint="eastAsia" w:ascii="宋体" w:hAnsi="宋体" w:cs="宋体"/>
          <w:color w:val="auto"/>
          <w:highlight w:val="none"/>
        </w:rPr>
        <w:t xml:space="preserve">。</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7.5 乙方在运输到达之前应提前通知甲方，并提示货物运输装卸的注意事项，甲方配合乙方做好货物的接收工作。</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8. 质量标准和保证</w:t>
      </w:r>
      <w:r/>
    </w:p>
    <w:p>
      <w:pPr>
        <w:pStyle w:val="1157"/>
        <w:ind w:firstLine="420"/>
        <w:jc w:val="left"/>
        <w:spacing w:line="400" w:lineRule="exact"/>
        <w:rPr>
          <w:rFonts w:hAnsi="宋体" w:cs="宋体"/>
          <w:b/>
          <w:color w:val="auto"/>
          <w:highlight w:val="none"/>
        </w:rPr>
      </w:pPr>
      <w:r>
        <w:rPr>
          <w:rFonts w:hint="eastAsia" w:hAnsi="宋体" w:cs="宋体"/>
          <w:color w:val="auto"/>
          <w:highlight w:val="none"/>
        </w:rPr>
        <w:t xml:space="preserve">8.1 质量标准</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57"/>
        <w:ind w:firstLine="420"/>
        <w:jc w:val="left"/>
        <w:spacing w:line="400" w:lineRule="exact"/>
        <w:rPr>
          <w:rFonts w:hAnsi="宋体" w:cs="宋体"/>
          <w:color w:val="auto"/>
          <w:highlight w:val="none"/>
        </w:rPr>
      </w:pPr>
      <w:r>
        <w:rPr>
          <w:rFonts w:hint="eastAsia" w:hAnsi="宋体" w:cs="宋体"/>
          <w:color w:val="auto"/>
          <w:highlight w:val="none"/>
        </w:rPr>
        <w:t xml:space="preserve">（2）采用中华人民共和国法定计量单位。</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（3）乙方所提供的货物应符合国家有关安全、环保、卫生的规定。</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8.2 保证</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（2）在质量保证期内所发现的缺陷，甲方应尽快以书面形式通知乙方。</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（3）乙方收到通知后，应在</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9. 权利瑕疵担保</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9.1 乙方保证对其出售的货物享有合法的权利。</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9.3 如甲方使用上述货物构成对第三人侵权的，则由乙方承担全部责任。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10. 知识产权保护</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color w:val="auto"/>
          <w:highlight w:val="none"/>
        </w:rPr>
        <w:t xml:space="preserve">。</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12. 合同价款支付</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12.1 合同价款支付按照国库集中支付制度及财政管理相关规定执行。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】中约定。</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13. 履约保证金</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13.3 甲方在项目通过验收后按照</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规定的时间内将履约保证金退还乙方；逾期退还的，乙方可要求甲方支付违约金，违约金按照</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规定支付。</w:t>
      </w:r>
      <w:r/>
    </w:p>
    <w:p>
      <w:pPr>
        <w:jc w:val="left"/>
        <w:spacing w:line="400" w:lineRule="exact"/>
        <w:rPr>
          <w:rFonts w:ascii="宋体" w:hAnsi="宋体" w:cs="宋体"/>
          <w:b/>
          <w:color w:val="auto"/>
          <w:sz w:val="24"/>
          <w:highlight w:val="none"/>
        </w:rPr>
      </w:pPr>
      <w:r>
        <w:rPr>
          <w:rFonts w:hint="eastAsia" w:ascii="宋体" w:hAnsi="宋体" w:cs="宋体"/>
          <w:b/>
          <w:bCs/>
          <w:color w:val="auto"/>
          <w:sz w:val="24"/>
          <w:highlight w:val="none"/>
        </w:rPr>
        <w:t xml:space="preserve">14. </w:t>
      </w:r>
      <w:r>
        <w:rPr>
          <w:rFonts w:hint="eastAsia" w:ascii="宋体" w:hAnsi="宋体" w:cs="宋体"/>
          <w:b/>
          <w:color w:val="auto"/>
          <w:sz w:val="24"/>
          <w:highlight w:val="none"/>
        </w:rPr>
        <w:t xml:space="preserve">售后服务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（1）货物的现场移动、安装、调试、启动监督及技术支持；</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（2）提供货物组装和维修所需的专用工具和辅助材料；</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115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规定由乙方提供的其他服务。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14.2 乙方提供的售后服务的费用已包含在合同价款中，甲方不再另行支付。</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15. 违约责任</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15.1质量瑕疵的违约责任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乙方提供的产品不符合合同约定的质量标准或存在产品质量缺陷，甲方有权要求乙方根据</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要求</w:t>
      </w:r>
      <w:r>
        <w:rPr>
          <w:rFonts w:hint="eastAsia" w:ascii="宋体" w:hAnsi="宋体" w:cs="宋体"/>
          <w:color w:val="auto"/>
          <w:highlight w:val="none"/>
        </w:rPr>
        <w:t xml:space="preserve">及时修理、重作、更换，并承担由此给甲方造成的损失。</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15.2 迟延交货的违约责任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15.3 迟延支付的违约责任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甲方存在迟延支付乙方合同款项的，应当承担</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规定的逾期付款利息。</w:t>
      </w:r>
      <w:r/>
    </w:p>
    <w:p>
      <w:pPr>
        <w:ind w:firstLine="420"/>
        <w:jc w:val="left"/>
        <w:spacing w:line="400" w:lineRule="exact"/>
        <w:rPr>
          <w:rFonts w:ascii="宋体" w:hAnsi="宋体" w:cs="宋体"/>
          <w:color w:val="auto"/>
          <w:highlight w:val="none"/>
        </w:rPr>
      </w:pPr>
      <w:r>
        <w:rPr>
          <w:rFonts w:hint="eastAsia" w:ascii="宋体" w:hAnsi="宋体" w:cs="宋体"/>
          <w:bCs/>
          <w:color w:val="auto"/>
          <w:highlight w:val="none"/>
        </w:rPr>
        <w:t xml:space="preserve">15.4其他违约责任根据项目实际需要按</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规定执行。</w:t>
      </w:r>
      <w:r/>
    </w:p>
    <w:p>
      <w:pPr>
        <w:numPr>
          <w:ilvl w:val="0"/>
          <w:numId w:val="12"/>
        </w:num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合同变更、中止与终止</w:t>
      </w:r>
      <w:r/>
    </w:p>
    <w:p>
      <w:pPr>
        <w:jc w:val="left"/>
        <w:spacing w:line="400" w:lineRule="exact"/>
        <w:rPr>
          <w:rFonts w:ascii="宋体" w:hAnsi="宋体" w:cs="宋体"/>
          <w:color w:val="auto"/>
          <w:highlight w:val="none"/>
        </w:rPr>
      </w:pPr>
      <w:r>
        <w:rPr>
          <w:rFonts w:hint="eastAsia" w:ascii="宋体" w:hAnsi="宋体" w:cs="宋体"/>
          <w:color w:val="auto"/>
          <w:highlight w:val="none"/>
        </w:rPr>
        <w:t xml:space="preserve">    16.1合同的变更</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16.2合同的中止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16.3合同的终止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（1）合同因有效期限届满而终止；</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（2）乙方未按合同约定履行，构成根本性违约的，甲方有权终止合同，并追究乙方的违约责任。</w:t>
      </w:r>
      <w:r/>
    </w:p>
    <w:p>
      <w:pPr>
        <w:pStyle w:val="1156"/>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17. 合同分包</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18. 不可抗力</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18.1 不可抗力是指合同双方不能预见、不能避免且不能克服的客观情况。</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19. 解决争议的方法</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auto"/>
          <w:sz w:val="24"/>
          <w:highlight w:val="none"/>
        </w:rPr>
      </w:pPr>
      <w:r>
        <w:rPr>
          <w:rFonts w:hint="eastAsia" w:ascii="宋体" w:hAnsi="宋体" w:cs="宋体"/>
          <w:b/>
          <w:color w:val="auto"/>
          <w:sz w:val="24"/>
          <w:highlight w:val="none"/>
        </w:rPr>
        <w:t xml:space="preserve">20. 政府采购政策</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20.2 本合同依法执行政府采购政策的方式和内容，属于合同履约验收的范围。甲乙双方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highlight w:val="none"/>
        </w:rPr>
        <w:t xml:space="preserve">，有过错的一方应当承担赔偿责任，双方都有过错的，各自承担相应的责任。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21. 法律适用</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22. 通知</w:t>
      </w:r>
      <w:r/>
    </w:p>
    <w:p>
      <w:pPr>
        <w:pStyle w:val="115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156"/>
        <w:ind w:firstLine="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22.4通知以送达之日或通知书中规定的生效之日起生效，两者中以较迟之日为准。</w:t>
      </w:r>
      <w:r/>
    </w:p>
    <w:p>
      <w:pPr>
        <w:numPr>
          <w:ilvl w:val="0"/>
          <w:numId w:val="13"/>
        </w:num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合同未尽事项</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23.1合同未尽事项见</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w:t>
      </w:r>
      <w:r/>
    </w:p>
    <w:p>
      <w:pPr>
        <w:jc w:val="left"/>
        <w:spacing w:line="400" w:lineRule="exact"/>
        <w:rPr>
          <w:rFonts w:ascii="宋体" w:hAnsi="宋体" w:cs="宋体"/>
          <w:color w:val="auto"/>
          <w:sz w:val="28"/>
          <w:szCs w:val="28"/>
          <w:highlight w:val="none"/>
        </w:rPr>
      </w:pPr>
      <w:r>
        <w:rPr>
          <w:rFonts w:hint="eastAsia" w:ascii="宋体" w:hAnsi="宋体" w:cs="宋体"/>
          <w:bCs/>
          <w:color w:val="auto"/>
          <w:highlight w:val="none"/>
        </w:rPr>
        <w:t xml:space="preserve">    23.2 合同附件与合同正文具有同等的法律效力。</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第三节 政府采购合同专用条款</w:t>
      </w:r>
      <w:r/>
    </w:p>
    <w:tbl>
      <w:tblPr>
        <w:tblStyle w:val="828"/>
        <w:tblW w:w="8519" w:type="dxa"/>
        <w:tblInd w:w="-68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第1.2（6）项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联合体具体要求</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本项目不接受联合体</w:t>
            </w:r>
            <w:r/>
          </w:p>
        </w:tc>
      </w:tr>
      <w:tr>
        <w:trPr>
          <w:trHeight w:val="60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第1.2（7）项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其他术语解释</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第4.4款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履约验收中甲方提出异议或作出说明的期限</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履约验收中甲方提出异议的期限：3个工作日。</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第4.6款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约定甲方承担的其他义务和责任</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第5.4款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约定乙方承担的其他义务和责任</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乙方保证所交付的货物（包含与货物相关的服务）的所有权完全属于乙方且无任何抵押、查封等产权瑕疵；</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乙方所供货物质量不符合规定的，由其负责包换或包修，并承担修理、调换或退货而支付的实际费用；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第6.1款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履行合同义务的顺序</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（1）政府采购合同协议书及其变更、补充协议；</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（2）政府采购合同专用条款；</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（3）政府采购合同通用条款；</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（4）中标（成交）通知书；</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（5）投标（响应）文件；</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（6）采购文件；</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（7）有关技术文件，图纸；</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包装特殊要求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rPr>
                <w:rFonts w:ascii="仿宋" w:hAnsi="仿宋" w:eastAsia="仿宋" w:cs="仿宋"/>
                <w:color w:val="auto"/>
                <w:highlight w:val="none"/>
              </w:rPr>
            </w:pPr>
            <w:r>
              <w:rPr>
                <w:rFonts w:hint="eastAsia" w:ascii="仿宋" w:hAnsi="仿宋" w:eastAsia="仿宋" w:cs="仿宋"/>
                <w:color w:val="auto"/>
                <w:highlight w:val="none"/>
              </w:rPr>
              <w:t xml:space="preserve">1.商品包装环保要求</w:t>
            </w:r>
            <w:r/>
          </w:p>
          <w:p>
            <w:pPr>
              <w:rPr>
                <w:rFonts w:ascii="仿宋" w:hAnsi="仿宋" w:eastAsia="仿宋" w:cs="仿宋"/>
                <w:color w:val="auto"/>
                <w:highlight w:val="none"/>
              </w:rPr>
            </w:pPr>
            <w:r>
              <w:rPr>
                <w:rFonts w:hint="eastAsia" w:ascii="仿宋" w:hAnsi="仿宋" w:eastAsia="仿宋" w:cs="仿宋"/>
                <w:color w:val="auto"/>
                <w:highlight w:val="none"/>
              </w:rPr>
              <w:t xml:space="preserve">（1）商品包装层数不得超过3 层，空隙率不大于 40%； </w:t>
            </w:r>
            <w:r/>
          </w:p>
          <w:p>
            <w:pPr>
              <w:rPr>
                <w:rFonts w:ascii="仿宋" w:hAnsi="仿宋" w:eastAsia="仿宋" w:cs="仿宋"/>
                <w:color w:val="auto"/>
                <w:highlight w:val="none"/>
              </w:rPr>
            </w:pPr>
            <w:r>
              <w:rPr>
                <w:rFonts w:hint="eastAsia" w:ascii="仿宋" w:hAnsi="仿宋" w:eastAsia="仿宋" w:cs="仿宋"/>
                <w:color w:val="auto"/>
                <w:highlight w:val="none"/>
              </w:rPr>
              <w:t xml:space="preserve">（2）商品包装尽可能使用单一材质的包装材料，如因功能 需求必须使用不同材质，不同材质间应便于分离； </w:t>
            </w:r>
            <w:r/>
          </w:p>
          <w:p>
            <w:pPr>
              <w:rPr>
                <w:rFonts w:ascii="仿宋" w:hAnsi="仿宋" w:eastAsia="仿宋" w:cs="仿宋"/>
                <w:color w:val="auto"/>
                <w:highlight w:val="none"/>
              </w:rPr>
            </w:pPr>
            <w:r>
              <w:rPr>
                <w:rFonts w:hint="eastAsia" w:ascii="仿宋" w:hAnsi="仿宋" w:eastAsia="仿宋" w:cs="仿宋"/>
                <w:color w:val="auto"/>
                <w:highlight w:val="none"/>
              </w:rPr>
              <w:t xml:space="preserve">（3）商品包装中铅、汞、镉、六价铬的总含量应不大于 100mg/kg； </w:t>
            </w:r>
            <w:r/>
          </w:p>
          <w:p>
            <w:pPr>
              <w:rPr>
                <w:rFonts w:ascii="仿宋" w:hAnsi="仿宋" w:eastAsia="仿宋" w:cs="仿宋"/>
                <w:color w:val="auto"/>
                <w:highlight w:val="none"/>
              </w:rPr>
            </w:pPr>
            <w:r>
              <w:rPr>
                <w:rFonts w:hint="eastAsia" w:ascii="仿宋" w:hAnsi="仿宋" w:eastAsia="仿宋" w:cs="仿宋"/>
                <w:color w:val="auto"/>
                <w:highlight w:val="none"/>
              </w:rPr>
              <w:t xml:space="preserve">（4）商品包装印刷使用的油墨中挥发性有机化合物(VOCs) 含量应不大于 5%（以重量计）； </w:t>
            </w:r>
            <w:r/>
          </w:p>
          <w:p>
            <w:pPr>
              <w:rPr>
                <w:rFonts w:ascii="仿宋" w:hAnsi="仿宋" w:eastAsia="仿宋" w:cs="仿宋"/>
                <w:color w:val="auto"/>
                <w:highlight w:val="none"/>
              </w:rPr>
            </w:pPr>
            <w:r>
              <w:rPr>
                <w:rFonts w:hint="eastAsia" w:ascii="仿宋" w:hAnsi="仿宋" w:eastAsia="仿宋" w:cs="仿宋"/>
                <w:color w:val="auto"/>
                <w:highlight w:val="none"/>
              </w:rPr>
              <w:t xml:space="preserve">（5）塑料材质商品包装上呈现的印刷颜色不得超过 6 色； </w:t>
            </w:r>
            <w:r/>
          </w:p>
          <w:p>
            <w:pPr>
              <w:rPr>
                <w:rFonts w:ascii="仿宋" w:hAnsi="仿宋" w:eastAsia="仿宋" w:cs="仿宋"/>
                <w:color w:val="auto"/>
                <w:highlight w:val="none"/>
              </w:rPr>
            </w:pPr>
            <w:r>
              <w:rPr>
                <w:rFonts w:hint="eastAsia" w:ascii="仿宋" w:hAnsi="仿宋" w:eastAsia="仿宋" w:cs="仿宋"/>
                <w:color w:val="auto"/>
                <w:highlight w:val="none"/>
              </w:rPr>
              <w:t xml:space="preserve">（6）纸质商品包装应使用 75%以上的可再生纤维原料生产； </w:t>
            </w:r>
            <w:r/>
          </w:p>
          <w:p>
            <w:pPr>
              <w:rPr>
                <w:rFonts w:ascii="仿宋" w:hAnsi="仿宋" w:eastAsia="仿宋" w:cs="仿宋"/>
                <w:color w:val="auto"/>
                <w:highlight w:val="none"/>
              </w:rPr>
            </w:pPr>
            <w:r>
              <w:rPr>
                <w:rFonts w:hint="eastAsia" w:ascii="仿宋" w:hAnsi="仿宋" w:eastAsia="仿宋" w:cs="仿宋"/>
                <w:color w:val="auto"/>
                <w:highlight w:val="none"/>
              </w:rPr>
              <w:t xml:space="preserve">（7）木质商品包装的原料应来源于可持续性森林。 </w:t>
            </w:r>
            <w:r/>
          </w:p>
          <w:p>
            <w:pPr>
              <w:rPr>
                <w:rFonts w:ascii="仿宋" w:hAnsi="仿宋" w:eastAsia="仿宋" w:cs="仿宋"/>
                <w:color w:val="auto"/>
                <w:highlight w:val="none"/>
              </w:rPr>
            </w:pPr>
            <w:r>
              <w:rPr>
                <w:rFonts w:hint="eastAsia" w:ascii="仿宋" w:hAnsi="仿宋" w:eastAsia="仿宋" w:cs="仿宋"/>
                <w:color w:val="auto"/>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rPr>
                <w:rFonts w:ascii="仿宋" w:hAnsi="仿宋" w:eastAsia="仿宋" w:cs="仿宋"/>
                <w:color w:val="auto"/>
                <w:highlight w:val="none"/>
              </w:rPr>
            </w:pPr>
            <w:r>
              <w:rPr>
                <w:rFonts w:hint="eastAsia" w:ascii="仿宋" w:hAnsi="仿宋" w:eastAsia="仿宋" w:cs="仿宋"/>
                <w:color w:val="auto"/>
                <w:highlight w:val="none"/>
              </w:rPr>
              <w:t xml:space="preserve">2.快递包装环保要求</w:t>
            </w:r>
            <w:r/>
          </w:p>
          <w:p>
            <w:pPr>
              <w:rPr>
                <w:rFonts w:ascii="仿宋" w:hAnsi="仿宋" w:eastAsia="仿宋" w:cs="仿宋"/>
                <w:color w:val="auto"/>
                <w:highlight w:val="none"/>
              </w:rPr>
            </w:pPr>
            <w:r>
              <w:rPr>
                <w:rFonts w:hint="eastAsia" w:ascii="仿宋" w:hAnsi="仿宋" w:eastAsia="仿宋" w:cs="仿宋"/>
                <w:color w:val="auto"/>
                <w:highlight w:val="none"/>
              </w:rPr>
              <w:t xml:space="preserve">（1）快递包装中重金属（铅、汞、镉、六价铬）总量应不大于100mg/kg；</w:t>
            </w:r>
            <w:r/>
          </w:p>
          <w:p>
            <w:pPr>
              <w:rPr>
                <w:rFonts w:ascii="仿宋" w:hAnsi="仿宋" w:eastAsia="仿宋" w:cs="仿宋"/>
                <w:color w:val="auto"/>
                <w:highlight w:val="none"/>
              </w:rPr>
            </w:pPr>
            <w:r>
              <w:rPr>
                <w:rFonts w:hint="eastAsia" w:ascii="仿宋" w:hAnsi="仿宋" w:eastAsia="仿宋" w:cs="仿宋"/>
                <w:color w:val="auto"/>
                <w:highlight w:val="none"/>
              </w:rPr>
              <w:t xml:space="preserve">（2）快递包装印刷使用的油墨中不应添加邻苯二甲酸酯，其挥发性有机化合物(VOCs)含量应不大于5%（以重量计）；</w:t>
            </w:r>
            <w:r/>
          </w:p>
          <w:p>
            <w:pPr>
              <w:rPr>
                <w:rFonts w:ascii="仿宋" w:hAnsi="仿宋" w:eastAsia="仿宋" w:cs="仿宋"/>
                <w:color w:val="auto"/>
                <w:highlight w:val="none"/>
              </w:rPr>
            </w:pPr>
            <w:r>
              <w:rPr>
                <w:rFonts w:hint="eastAsia" w:ascii="仿宋" w:hAnsi="仿宋" w:eastAsia="仿宋" w:cs="仿宋"/>
                <w:color w:val="auto"/>
                <w:highlight w:val="none"/>
              </w:rPr>
              <w:t xml:space="preserve">（3）快递包装中使用纸基材的包装材料，纸基材中的有机氯的含量应不大于150 mg/kg；</w:t>
            </w:r>
            <w:r/>
          </w:p>
          <w:p>
            <w:pPr>
              <w:rPr>
                <w:rFonts w:ascii="仿宋" w:hAnsi="仿宋" w:eastAsia="仿宋" w:cs="仿宋"/>
                <w:color w:val="auto"/>
                <w:highlight w:val="none"/>
              </w:rPr>
            </w:pPr>
            <w:r>
              <w:rPr>
                <w:rFonts w:hint="eastAsia" w:ascii="仿宋" w:hAnsi="仿宋" w:eastAsia="仿宋" w:cs="仿宋"/>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rPr>
                <w:rFonts w:ascii="仿宋" w:hAnsi="仿宋" w:eastAsia="仿宋" w:cs="仿宋"/>
                <w:color w:val="auto"/>
                <w:highlight w:val="none"/>
              </w:rPr>
            </w:pPr>
            <w:r>
              <w:rPr>
                <w:rFonts w:hint="eastAsia" w:ascii="仿宋" w:hAnsi="仿宋" w:eastAsia="仿宋" w:cs="仿宋"/>
                <w:color w:val="auto"/>
                <w:highlight w:val="none"/>
              </w:rPr>
              <w:t xml:space="preserve">（5）快递中使用的塑料包装袋不得使用聚氯乙烯作为原料，且原料应为单一材质制成，生物分解率大于60%；</w:t>
            </w:r>
            <w:r/>
          </w:p>
          <w:p>
            <w:pPr>
              <w:rPr>
                <w:rFonts w:ascii="仿宋" w:hAnsi="仿宋" w:eastAsia="仿宋" w:cs="仿宋"/>
                <w:color w:val="auto"/>
                <w:highlight w:val="none"/>
              </w:rPr>
            </w:pPr>
            <w:r>
              <w:rPr>
                <w:rFonts w:hint="eastAsia" w:ascii="仿宋" w:hAnsi="仿宋" w:eastAsia="仿宋" w:cs="仿宋"/>
                <w:color w:val="auto"/>
                <w:highlight w:val="none"/>
              </w:rPr>
              <w:t xml:space="preserve">（6）快递中使用的充气类填充物不得使用聚氯乙烯作为原料，且原料为单一材质制成，生物分解率大于60%；</w:t>
            </w:r>
            <w:r/>
          </w:p>
          <w:p>
            <w:pPr>
              <w:rPr>
                <w:rFonts w:ascii="仿宋" w:hAnsi="仿宋" w:eastAsia="仿宋" w:cs="仿宋"/>
                <w:color w:val="auto"/>
                <w:highlight w:val="none"/>
              </w:rPr>
            </w:pPr>
            <w:r>
              <w:rPr>
                <w:rFonts w:hint="eastAsia" w:ascii="仿宋" w:hAnsi="仿宋" w:eastAsia="仿宋" w:cs="仿宋"/>
                <w:color w:val="auto"/>
                <w:highlight w:val="none"/>
              </w:rPr>
              <w:t xml:space="preserve">（7）快递中使用的集装袋应为单一材质制成，其重复使用次数应不小于80 次；</w:t>
            </w:r>
            <w:r/>
          </w:p>
          <w:p>
            <w:pPr>
              <w:rPr>
                <w:rFonts w:ascii="仿宋" w:hAnsi="仿宋" w:eastAsia="仿宋" w:cs="仿宋"/>
                <w:color w:val="auto"/>
                <w:highlight w:val="none"/>
              </w:rPr>
            </w:pPr>
            <w:r>
              <w:rPr>
                <w:rFonts w:hint="eastAsia" w:ascii="仿宋" w:hAnsi="仿宋" w:eastAsia="仿宋" w:cs="仿宋"/>
                <w:color w:val="auto"/>
                <w:highlight w:val="none"/>
              </w:rPr>
              <w:t xml:space="preserve">（8）快递中应使用幅宽不大于45mm的生物降解胶带；</w:t>
            </w:r>
            <w:r/>
          </w:p>
          <w:p>
            <w:pPr>
              <w:rPr>
                <w:rFonts w:ascii="仿宋" w:hAnsi="仿宋" w:eastAsia="仿宋" w:cs="仿宋"/>
                <w:color w:val="auto"/>
                <w:highlight w:val="none"/>
              </w:rPr>
            </w:pPr>
            <w:r>
              <w:rPr>
                <w:rFonts w:hint="eastAsia" w:ascii="仿宋" w:hAnsi="仿宋" w:eastAsia="仿宋" w:cs="仿宋"/>
                <w:color w:val="auto"/>
                <w:highlight w:val="none"/>
              </w:rPr>
              <w:t xml:space="preserve">（9）快递包装中不得使用溶剂型胶粘剂；</w:t>
            </w:r>
            <w:r/>
          </w:p>
          <w:p>
            <w:pPr>
              <w:rPr>
                <w:rFonts w:ascii="仿宋" w:hAnsi="仿宋" w:eastAsia="仿宋" w:cs="仿宋"/>
                <w:color w:val="auto"/>
                <w:highlight w:val="none"/>
              </w:rPr>
            </w:pPr>
            <w:r>
              <w:rPr>
                <w:rFonts w:hint="eastAsia" w:ascii="仿宋" w:hAnsi="仿宋" w:eastAsia="仿宋" w:cs="仿宋"/>
                <w:color w:val="auto"/>
                <w:highlight w:val="none"/>
              </w:rPr>
              <w:t xml:space="preserve">（10）快递应使用电子面单；</w:t>
            </w:r>
            <w:r/>
          </w:p>
          <w:p>
            <w:pPr>
              <w:rPr>
                <w:rFonts w:ascii="仿宋" w:hAnsi="仿宋" w:eastAsia="仿宋" w:cs="仿宋"/>
                <w:color w:val="auto"/>
                <w:highlight w:val="none"/>
              </w:rPr>
            </w:pPr>
            <w:r>
              <w:rPr>
                <w:rFonts w:hint="eastAsia" w:ascii="仿宋" w:hAnsi="仿宋" w:eastAsia="仿宋" w:cs="仿宋"/>
                <w:color w:val="auto"/>
                <w:highlight w:val="none"/>
              </w:rPr>
              <w:t xml:space="preserve">（11）直接使用商品包装作为快递包装的商品，其商品包装满足《商品包装政府采购需求标准（试行）》即可；</w:t>
            </w:r>
            <w:r/>
          </w:p>
          <w:p>
            <w:pPr>
              <w:rPr>
                <w:rFonts w:ascii="仿宋" w:hAnsi="仿宋" w:eastAsia="仿宋" w:cs="仿宋"/>
                <w:color w:val="auto"/>
                <w:highlight w:val="none"/>
              </w:rPr>
            </w:pPr>
            <w:r>
              <w:rPr>
                <w:rFonts w:hint="eastAsia" w:ascii="仿宋" w:hAnsi="仿宋" w:eastAsia="仿宋" w:cs="仿宋"/>
                <w:color w:val="auto"/>
                <w:highlight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指定现场</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甲方指定的项目现场。</w:t>
            </w:r>
            <w:r/>
          </w:p>
        </w:tc>
      </w:tr>
      <w:tr>
        <w:trPr>
          <w:trHeight w:val="772"/>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运输特殊要求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保险要求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第8.2（1）项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质量保证期</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1.乙方负责标的物的现场安装、启动、调试、监督。</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2.乙方免费提供标的物组装和一般维修所必需的工具。</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3.乙方在合同规定的期限内对所提供的标的物实行现场维护，随时处理存在的故障，如现场不能维修解决的故障问题，须提供故障不能排除时的解决方案。</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4.乙方接到使用方通知后1小时内响应，2小时内上门服务，24小时内解决好问题。</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5.本项目质保期年，在质保期内正常使用情况下，乙方须承诺全部免费保修。乙方须承诺质保期满后提供终身维修服务，保证零配件供应，维修费用按照材料成本收取。</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6.乙方应对甲方技术人员进行维护、维修、培训，确保使用者了解维护方法和进行简单的维修操作。</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7.乙方提供现场技术培训，保证甲方使用人员能够正常操作产品的各种功能。</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第8.2（3）项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货物质量缺陷</w:t>
            </w:r>
            <w:r/>
          </w:p>
          <w:p>
            <w:pPr>
              <w:jc w:val="left"/>
              <w:rPr>
                <w:rFonts w:ascii="宋体" w:hAnsi="宋体" w:cs="宋体"/>
                <w:color w:val="auto"/>
                <w:highlight w:val="none"/>
              </w:rPr>
            </w:pPr>
            <w:r>
              <w:rPr>
                <w:rFonts w:hint="eastAsia" w:ascii="宋体" w:hAnsi="宋体" w:cs="宋体"/>
                <w:color w:val="auto"/>
                <w:highlight w:val="none"/>
              </w:rPr>
              <w:t xml:space="preserve">响应时间</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乙方接到使用方通知后小时内响应，小时内上门服务，小时内解决好问题。</w:t>
            </w:r>
            <w:r>
              <w:rPr>
                <w:rFonts w:hint="eastAsia" w:ascii="仿宋" w:hAnsi="仿宋" w:eastAsia="仿宋" w:cs="仿宋"/>
                <w:b/>
                <w:bCs/>
                <w:color w:val="auto"/>
                <w:highlight w:val="none"/>
              </w:rPr>
              <w:t xml:space="preserve">备注：签订合同时根据乙方响应文件响应内容调整。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pStyle w:val="1156"/>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其他应当保密的信息</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合同价款支付时间</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合同签订，乙方完成供货及安装调试结束，待验收合格后由乙方开具发票，甲方收到发票后10个工作日内一次性支付至合同价的100%。</w:t>
            </w:r>
            <w:r/>
          </w:p>
        </w:tc>
      </w:tr>
      <w:tr>
        <w:trPr>
          <w:trHeight w:val="69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第13.2款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履约保证金不予退还的情形</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第13.3款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履约保证金退还时间及逾期退还的违约金</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乙方在按要求保质保量的完成该项目合同并通过验收后，甲方凭乙方提交的申请，一次性退还该合同项目的履约保证金。</w:t>
            </w:r>
            <w:r/>
          </w:p>
        </w:tc>
      </w:tr>
      <w:tr>
        <w:trPr>
          <w:trHeight w:val="78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第14.1（3）项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运行监督、维修期限</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年（自货物最终交付验收合格之日计算）。</w:t>
            </w:r>
            <w:r/>
          </w:p>
        </w:tc>
      </w:tr>
      <w:tr>
        <w:trPr>
          <w:trHeight w:val="78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第14.1（5）项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货物回收的约定</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由甲乙双方合议定价。</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第14.1（6）项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乙方提供的其他服务</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详见响应文件。</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修理、重作、更换相关具体规定</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1.乙方应按招标文件规定的货物性能、技术要求、质量标准向甲方提供未经使用的全新产品。</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2.乙方提供的货物在售后服务期内因货物本身的质量问题发生故障，乙方应负责免费更换。对达不到技术要求者，根据实际情况，经双方协商，可按以下办法处理：</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⑴修理、重作、更换：由乙方承担所发生的全部费用。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⑵贬值处理：由甲乙双方合议定价。</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⑶退货处理：乙方应退还甲方支付的合同款，同时应承担该货物的直接费用（运输、保险、检验、货款利息及银行手续费等）。</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3.乙方须提供产品出现故障后的维修服务，在接甲方维修联系通知后小时内响应，小时内维修完毕。</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在售后服务期内，乙方应对货物出现的质量及安全问题负责处理解决并承担一切费用。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4.售后服务期为年（自货物最终交付验收合格之日计算），因人为因素出现的故障不在售后服务期范围内。超过售后服务期的设备，终生维修，维修时只收部件成本费。</w:t>
            </w:r>
            <w:r/>
          </w:p>
          <w:p>
            <w:pPr>
              <w:jc w:val="left"/>
              <w:rPr>
                <w:rFonts w:ascii="仿宋" w:hAnsi="仿宋" w:eastAsia="仿宋" w:cs="仿宋"/>
                <w:color w:val="auto"/>
                <w:highlight w:val="none"/>
              </w:rPr>
            </w:pPr>
            <w:r>
              <w:rPr>
                <w:rFonts w:hint="eastAsia" w:ascii="仿宋" w:hAnsi="仿宋" w:eastAsia="仿宋" w:cs="仿宋"/>
                <w:b/>
                <w:bCs/>
                <w:color w:val="auto"/>
                <w:highlight w:val="none"/>
              </w:rPr>
              <w:t xml:space="preserve">备注：签订合同时根据中标人投标文件响应内容调整。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第15.2（2）项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迟延交货赔偿费</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逾期付款利息</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其他违约责任</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第19.2款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解决争议的方法</w:t>
            </w:r>
            <w:r/>
          </w:p>
        </w:tc>
        <w:tc>
          <w:tcPr>
            <w:tcW w:w="5170" w:type="dxa"/>
            <w:vAlign w:val="center"/>
            <w:textDirection w:val="lrTb"/>
            <w:noWrap w:val="false"/>
          </w:tcPr>
          <w:p>
            <w:pPr>
              <w:jc w:val="left"/>
              <w:rPr>
                <w:rFonts w:ascii="仿宋" w:hAnsi="仿宋" w:eastAsia="仿宋" w:cs="仿宋"/>
                <w:iCs/>
                <w:color w:val="auto"/>
                <w:highlight w:val="none"/>
              </w:rPr>
            </w:pPr>
            <w:r>
              <w:rPr>
                <w:rFonts w:hint="eastAsia" w:ascii="仿宋" w:hAnsi="仿宋" w:eastAsia="仿宋" w:cs="仿宋"/>
                <w:iCs/>
                <w:color w:val="auto"/>
                <w:highlight w:val="none"/>
              </w:rPr>
              <w:t xml:space="preserve">因本合同及合同有关事项发生的争议，按下列第</w:t>
            </w:r>
            <w:r>
              <w:rPr>
                <w:rFonts w:hint="eastAsia" w:ascii="仿宋" w:hAnsi="仿宋" w:eastAsia="仿宋" w:cs="仿宋"/>
                <w:iCs/>
                <w:color w:val="auto"/>
                <w:highlight w:val="none"/>
                <w:u w:val="single"/>
              </w:rPr>
              <w:t xml:space="preserve">（2）</w:t>
            </w:r>
            <w:r>
              <w:rPr>
                <w:rFonts w:hint="eastAsia" w:ascii="仿宋" w:hAnsi="仿宋" w:eastAsia="仿宋" w:cs="仿宋"/>
                <w:iCs/>
                <w:color w:val="auto"/>
                <w:highlight w:val="none"/>
              </w:rPr>
              <w:t xml:space="preserve">种方式解决：</w:t>
            </w:r>
            <w:r/>
          </w:p>
          <w:p>
            <w:pPr>
              <w:jc w:val="left"/>
              <w:rPr>
                <w:rFonts w:ascii="仿宋" w:hAnsi="仿宋" w:eastAsia="仿宋" w:cs="仿宋"/>
                <w:iCs/>
                <w:color w:val="auto"/>
                <w:highlight w:val="none"/>
              </w:rPr>
            </w:pPr>
            <w:r>
              <w:rPr>
                <w:rFonts w:hint="eastAsia" w:ascii="仿宋" w:hAnsi="仿宋" w:eastAsia="仿宋" w:cs="仿宋"/>
                <w:iCs/>
                <w:color w:val="auto"/>
                <w:highlight w:val="none"/>
              </w:rPr>
              <w:t xml:space="preserve">（1）向</w:t>
            </w:r>
            <w:r>
              <w:rPr>
                <w:rFonts w:hint="eastAsia" w:ascii="仿宋" w:hAnsi="仿宋" w:eastAsia="仿宋" w:cs="仿宋"/>
                <w:iCs/>
                <w:color w:val="auto"/>
                <w:highlight w:val="none"/>
                <w:u w:val="single"/>
              </w:rPr>
              <w:t xml:space="preserve">         /           </w:t>
            </w:r>
            <w:r>
              <w:rPr>
                <w:rFonts w:hint="eastAsia" w:ascii="仿宋" w:hAnsi="仿宋" w:eastAsia="仿宋" w:cs="仿宋"/>
                <w:iCs/>
                <w:color w:val="auto"/>
                <w:highlight w:val="none"/>
              </w:rPr>
              <w:t xml:space="preserve">仲裁委员会申请仲裁，仲裁地点为</w:t>
            </w:r>
            <w:r>
              <w:rPr>
                <w:rFonts w:hint="eastAsia" w:ascii="仿宋" w:hAnsi="仿宋" w:eastAsia="仿宋" w:cs="仿宋"/>
                <w:iCs/>
                <w:color w:val="auto"/>
                <w:highlight w:val="none"/>
                <w:u w:val="single"/>
              </w:rPr>
              <w:t xml:space="preserve">    /       </w:t>
            </w:r>
            <w:r>
              <w:rPr>
                <w:rFonts w:hint="eastAsia" w:ascii="仿宋" w:hAnsi="仿宋" w:eastAsia="仿宋" w:cs="仿宋"/>
                <w:iCs/>
                <w:color w:val="auto"/>
                <w:highlight w:val="none"/>
              </w:rPr>
              <w:t xml:space="preserve">；</w:t>
            </w:r>
            <w:r/>
          </w:p>
          <w:p>
            <w:pPr>
              <w:jc w:val="left"/>
              <w:rPr>
                <w:rFonts w:ascii="仿宋" w:hAnsi="仿宋" w:eastAsia="仿宋" w:cs="仿宋"/>
                <w:color w:val="auto"/>
                <w:highlight w:val="none"/>
                <w:u w:val="single"/>
              </w:rPr>
            </w:pPr>
            <w:r>
              <w:rPr>
                <w:rFonts w:hint="eastAsia" w:ascii="仿宋" w:hAnsi="仿宋" w:eastAsia="仿宋" w:cs="仿宋"/>
                <w:iCs/>
                <w:color w:val="auto"/>
                <w:highlight w:val="none"/>
              </w:rPr>
              <w:t xml:space="preserve">（2）向</w:t>
            </w:r>
            <w:r>
              <w:rPr>
                <w:rFonts w:hint="eastAsia" w:ascii="仿宋" w:hAnsi="仿宋" w:eastAsia="仿宋" w:cs="仿宋"/>
                <w:iCs/>
                <w:color w:val="auto"/>
                <w:highlight w:val="none"/>
                <w:u w:val="single"/>
              </w:rPr>
              <w:t xml:space="preserve">   甲方所在地   </w:t>
            </w:r>
            <w:r>
              <w:rPr>
                <w:rFonts w:hint="eastAsia" w:ascii="仿宋" w:hAnsi="仿宋" w:eastAsia="仿宋" w:cs="仿宋"/>
                <w:iCs/>
                <w:color w:val="auto"/>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第23.1款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其他专用条款</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p>
        </w:tc>
      </w:tr>
    </w:tbl>
    <w:p>
      <w:pPr>
        <w:jc w:val="center"/>
        <w:spacing w:line="520" w:lineRule="exact"/>
        <w:rPr>
          <w:rFonts w:ascii="宋体" w:hAnsi="宋体" w:cs="宋体"/>
          <w:bCs/>
          <w:color w:val="auto"/>
          <w:sz w:val="44"/>
          <w:highlight w:val="none"/>
        </w:rPr>
      </w:pPr>
      <w:r>
        <w:rPr>
          <w:rFonts w:ascii="宋体" w:hAnsi="宋体" w:cs="宋体"/>
          <w:bCs/>
          <w:color w:val="auto"/>
          <w:sz w:val="44"/>
          <w:highlight w:val="none"/>
        </w:rPr>
      </w:r>
      <w:r/>
    </w:p>
    <w:p>
      <w:pPr>
        <w:jc w:val="center"/>
        <w:spacing w:line="520" w:lineRule="exact"/>
        <w:rPr>
          <w:rFonts w:ascii="宋体" w:hAnsi="宋体" w:cs="宋体"/>
          <w:bCs/>
          <w:color w:val="auto"/>
          <w:sz w:val="44"/>
          <w:highlight w:val="none"/>
        </w:rPr>
      </w:pPr>
      <w:r>
        <w:rPr>
          <w:rFonts w:ascii="宋体" w:hAnsi="宋体" w:cs="宋体"/>
          <w:bCs/>
          <w:color w:val="auto"/>
          <w:sz w:val="44"/>
          <w:highlight w:val="none"/>
        </w:rPr>
      </w:r>
      <w:r/>
    </w:p>
    <w:p>
      <w:pPr>
        <w:jc w:val="center"/>
        <w:spacing w:line="520" w:lineRule="exact"/>
        <w:rPr>
          <w:rFonts w:ascii="宋体" w:hAnsi="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Cs/>
          <w:color w:val="auto"/>
          <w:sz w:val="44"/>
          <w:highlight w:val="none"/>
        </w:rPr>
      </w:r>
      <w:r/>
    </w:p>
    <w:p>
      <w:pPr>
        <w:jc w:val="center"/>
        <w:spacing w:line="520" w:lineRule="exact"/>
        <w:rPr>
          <w:rFonts w:ascii="宋体" w:hAnsi="宋体" w:cs="宋体"/>
          <w:color w:val="auto"/>
          <w:sz w:val="24"/>
          <w:szCs w:val="24"/>
          <w:highlight w:val="none"/>
        </w:rPr>
      </w:pPr>
      <w:r>
        <w:rPr>
          <w:rFonts w:hint="eastAsia" w:ascii="宋体" w:hAnsi="宋体" w:cs="宋体"/>
          <w:bCs/>
          <w:color w:val="auto"/>
          <w:sz w:val="44"/>
          <w:highlight w:val="none"/>
        </w:rPr>
        <w:t xml:space="preserve">第</w:t>
      </w:r>
      <w:bookmarkEnd w:id="191"/>
      <w:r>
        <w:rPr>
          <w:rFonts w:hint="eastAsia" w:ascii="宋体" w:hAnsi="宋体" w:cs="宋体"/>
          <w:bCs/>
          <w:color w:val="auto"/>
          <w:sz w:val="44"/>
          <w:highlight w:val="none"/>
        </w:rPr>
        <w:t xml:space="preserve">四章 采购需求</w:t>
      </w:r>
      <w:bookmarkEnd w:id="192"/>
      <w:r/>
      <w:bookmarkEnd w:id="193"/>
      <w:r/>
      <w:bookmarkEnd w:id="194"/>
      <w:r/>
      <w:r/>
    </w:p>
    <w:p>
      <w:pPr>
        <w:ind w:firstLine="480"/>
        <w:spacing w:line="520" w:lineRule="exact"/>
        <w:rPr>
          <w:rFonts w:ascii="宋体" w:hAnsi="宋体" w:cs="宋体"/>
          <w:color w:val="auto"/>
          <w:sz w:val="24"/>
          <w:szCs w:val="24"/>
          <w:highlight w:val="none"/>
        </w:rPr>
      </w:pPr>
      <w:r/>
      <w:bookmarkStart w:id="197" w:name="_Toc49090575"/>
      <w:r/>
      <w:bookmarkStart w:id="198" w:name="_Toc26554093"/>
      <w:r>
        <w:rPr>
          <w:rFonts w:hint="eastAsia" w:ascii="宋体" w:hAnsi="宋体" w:cs="宋体"/>
          <w:color w:val="auto"/>
          <w:sz w:val="24"/>
          <w:szCs w:val="24"/>
          <w:highlight w:val="none"/>
        </w:rPr>
        <w:t xml:space="preserve">项目属性:货物类项目。</w:t>
      </w:r>
      <w:r/>
    </w:p>
    <w:p>
      <w:pPr>
        <w:ind w:firstLine="422"/>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一、采购标的清单</w:t>
      </w:r>
      <w:r/>
    </w:p>
    <w:tbl>
      <w:tblPr>
        <w:tblStyle w:val="828"/>
        <w:tblW w:w="9164" w:type="dxa"/>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693" w:type="dxa"/>
            <w:vAlign w:val="center"/>
            <w:textDirection w:val="lrTb"/>
            <w:noWrap/>
          </w:tcPr>
          <w:p>
            <w:pPr>
              <w:ind w:firstLine="600"/>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采购标的</w:t>
            </w:r>
            <w:r/>
          </w:p>
        </w:tc>
        <w:tc>
          <w:tcPr>
            <w:tcW w:w="1107"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876"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962"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对应中小企业划分标准所属行业</w:t>
            </w:r>
            <w:r/>
          </w:p>
        </w:tc>
        <w:tc>
          <w:tcPr>
            <w:tcW w:w="912"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是否主要标的</w:t>
            </w:r>
            <w:r/>
          </w:p>
        </w:tc>
        <w:tc>
          <w:tcPr>
            <w:tcW w:w="1020"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是否强制节能</w:t>
            </w:r>
            <w:r/>
          </w:p>
        </w:tc>
      </w:tr>
      <w:tr>
        <w:trPr>
          <w:cantSplit/>
          <w:trHeight w:val="291"/>
        </w:trPr>
        <w:tc>
          <w:tcPr>
            <w:tcW w:w="594" w:type="dxa"/>
            <w:vAlign w:val="center"/>
            <w:textDirection w:val="lrTb"/>
            <w:noWrap/>
          </w:tcPr>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    </w:t>
            </w:r>
            <w:r/>
          </w:p>
        </w:tc>
        <w:tc>
          <w:tcPr>
            <w:tcW w:w="2693" w:type="dxa"/>
            <w:vAlign w:val="center"/>
            <w:textDirection w:val="lrTb"/>
            <w:noWrap/>
          </w:tcPr>
          <w:p>
            <w:pPr>
              <w:jc w:val="left"/>
              <w:spacing w:line="520" w:lineRule="exact"/>
              <w:tabs>
                <w:tab w:val="left" w:pos="20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仿宋" w:hAnsi="仿宋" w:eastAsia="仿宋" w:cs="仿宋"/>
                <w:color w:val="auto"/>
                <w:sz w:val="28"/>
                <w:szCs w:val="28"/>
                <w:highlight w:val="none"/>
              </w:rPr>
              <w:t xml:space="preserve">无机房客梯</w:t>
            </w:r>
            <w:r/>
          </w:p>
        </w:tc>
        <w:tc>
          <w:tcPr>
            <w:tcW w:w="1107" w:type="dxa"/>
            <w:vAlign w:val="center"/>
            <w:textDirection w:val="lrTb"/>
            <w:noWrap/>
          </w:tcPr>
          <w:p>
            <w:pPr>
              <w:ind w:firstLine="480"/>
              <w:jc w:val="left"/>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            </w:t>
            </w:r>
            <w:r/>
          </w:p>
        </w:tc>
        <w:tc>
          <w:tcPr>
            <w:tcW w:w="876" w:type="dxa"/>
            <w:vAlign w:val="center"/>
            <w:textDirection w:val="lrTb"/>
            <w:noWrap/>
          </w:tcPr>
          <w:p>
            <w:pPr>
              <w:ind w:firstLine="24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W w:w="1962" w:type="dxa"/>
            <w:vAlign w:val="center"/>
            <w:textDirection w:val="lrTb"/>
            <w:noWrap/>
          </w:tcPr>
          <w:p>
            <w:pPr>
              <w:ind w:firstLine="60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工业</w:t>
            </w:r>
            <w:r/>
          </w:p>
        </w:tc>
        <w:tc>
          <w:tcPr>
            <w:tcW w:w="912" w:type="dxa"/>
            <w:vAlign w:val="center"/>
            <w:textDirection w:val="lrTb"/>
            <w:noWrap/>
          </w:tcPr>
          <w:p>
            <w:pPr>
              <w:ind w:firstLine="24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是</w:t>
            </w:r>
            <w:r/>
          </w:p>
        </w:tc>
        <w:tc>
          <w:tcPr>
            <w:tcW w:w="1020" w:type="dxa"/>
            <w:vAlign w:val="center"/>
            <w:textDirection w:val="lrTb"/>
            <w:noWrap/>
          </w:tcPr>
          <w:p>
            <w:pPr>
              <w:ind w:firstLine="241"/>
              <w:jc w:val="left"/>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否</w:t>
            </w:r>
            <w:r/>
          </w:p>
        </w:tc>
      </w:tr>
    </w:tbl>
    <w:p>
      <w:pPr>
        <w:keepLines/>
        <w:keepNext/>
        <w:spacing w:line="40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 </w:t>
      </w:r>
      <w:r>
        <w:rPr>
          <w:rFonts w:ascii="宋体" w:hAnsi="宋体" w:cs="宋体"/>
          <w:bCs/>
          <w:color w:val="auto"/>
          <w:sz w:val="28"/>
          <w:szCs w:val="28"/>
          <w:highlight w:val="none"/>
        </w:rPr>
        <w:t xml:space="preserve"> </w:t>
      </w:r>
      <w:r/>
    </w:p>
    <w:p>
      <w:pPr>
        <w:ind w:firstLine="422"/>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二、政府采购中实施本国产品标准及相关政策</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1.本项目对采购本国产品给予政策支持，具体内容见招标文件“第五章 评标方法与评标标准”。</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52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三、技术要求</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技术要求是指对采购标的功能和质量要求，包括性能、材料、结构、外观、安全，或者服务内容和标准等。</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aps/>
          <w:color w:val="auto"/>
          <w:sz w:val="28"/>
          <w:szCs w:val="28"/>
          <w:highlight w:val="none"/>
        </w:rPr>
        <w:t xml:space="preserve">采购标的需实现的功能或者目标，以及为落实政府采购政策需满足的要求；</w:t>
      </w:r>
      <w:r/>
    </w:p>
    <w:p>
      <w:pPr>
        <w:ind w:firstLine="420"/>
        <w:rPr>
          <w:rFonts w:ascii="仿宋" w:hAnsi="仿宋" w:eastAsia="仿宋" w:cs="仿宋"/>
          <w:color w:val="auto"/>
          <w:sz w:val="28"/>
          <w:szCs w:val="28"/>
          <w:highlight w:val="none"/>
        </w:rPr>
      </w:pPr>
      <w:r>
        <w:rPr>
          <w:rFonts w:hint="eastAsia" w:ascii="宋体" w:hAnsi="宋体" w:cs="宋体"/>
          <w:bCs/>
          <w:color w:val="auto"/>
          <w:highlight w:val="none"/>
        </w:rPr>
        <w:t xml:space="preserve"> </w:t>
      </w:r>
      <w:bookmarkStart w:id="199" w:name="OLE_LINK32"/>
      <w:r>
        <w:rPr>
          <w:rFonts w:hint="eastAsia" w:ascii="宋体" w:hAnsi="宋体" w:cs="宋体"/>
          <w:caps/>
          <w:color w:val="auto"/>
          <w:highlight w:val="none"/>
        </w:rPr>
        <w:t xml:space="preserve"> </w:t>
      </w:r>
      <w:r>
        <w:rPr>
          <w:rFonts w:hint="eastAsia" w:ascii="宋体" w:hAnsi="宋体" w:cs="宋体"/>
          <w:bCs/>
          <w:color w:val="auto"/>
          <w:sz w:val="24"/>
          <w:szCs w:val="24"/>
          <w:highlight w:val="none"/>
        </w:rPr>
        <w:t xml:space="preserve">本项目为通师二附情境教育推广中心加装电梯，无机房客梯1台，载重1000kg，速度1.0米/秒，停站为5层4站4门，错层贯通</w:t>
      </w:r>
      <w:r>
        <w:rPr>
          <w:rFonts w:hint="eastAsia" w:ascii="宋体" w:hAnsi="宋体" w:cs="宋体"/>
          <w:bCs/>
          <w:color w:val="auto"/>
          <w:sz w:val="24"/>
          <w:szCs w:val="24"/>
          <w:highlight w:val="none"/>
        </w:rPr>
        <w:t xml:space="preserve">，具体以现场数据为准基，开门要求：贯通门（尺寸参数仅供参考，具体尺寸参数由中标单位结合现场实际情况精准测算，轿厢尺寸按照最大化进行深化）。包含电梯设备采购、安装及质保期内的维保，钢结构(外包米黄色铝板及玻璃)，基坑、连廊、电梯及电梯井、空调、厅门刷卡开门，电梯监控随行电缆（5×10的电缆线100米）及电梯监控、电梯无线五方对讲等土建施工（见施工图），具体现场踏勘，采购人不再另行增加费用。中标供应商进场后不得以不了解现场为由提出增加费用的要求。中标人不得拒绝完成采购人在施工地点范围内变更或要求增加的工程内容。</w:t>
      </w:r>
      <w:r>
        <w:rPr>
          <w:rFonts w:hint="eastAsia" w:ascii="宋体" w:hAnsi="宋体" w:cs="仿宋"/>
          <w:color w:val="auto"/>
          <w:sz w:val="24"/>
          <w:szCs w:val="24"/>
          <w:highlight w:val="none"/>
        </w:rPr>
        <w:t xml:space="preserve">合同签订后</w:t>
      </w:r>
      <w:r>
        <w:rPr>
          <w:rFonts w:hint="eastAsia" w:ascii="宋体" w:hAnsi="宋体" w:cs="宋体"/>
          <w:bCs/>
          <w:color w:val="auto"/>
          <w:sz w:val="24"/>
          <w:szCs w:val="24"/>
          <w:highlight w:val="none"/>
        </w:rPr>
        <w:t xml:space="preserve">7个日历天内提供深化效果图供采购人确认无误后方可施工。</w:t>
      </w:r>
      <w:bookmarkEnd w:id="199"/>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品目清单见《关于印发环境标志产品政府采购品目清单的通知》（财库〔2019〕18号）、《关于印发节能产品政府采购品目清单的通知》（财库〔2019〕19号）。</w:t>
      </w:r>
      <w:r/>
    </w:p>
    <w:p>
      <w:pPr>
        <w:ind w:firstLine="480"/>
        <w:spacing w:line="420" w:lineRule="exact"/>
        <w:rPr>
          <w:rFonts w:ascii="宋体" w:hAnsi="宋体" w:cs="宋体"/>
          <w:color w:val="auto"/>
          <w:highlight w:val="none"/>
        </w:rPr>
      </w:pPr>
      <w:r>
        <w:rPr>
          <w:rFonts w:hint="eastAsia" w:ascii="宋体" w:hAnsi="宋体" w:cs="宋体"/>
          <w:bCs/>
          <w:color w:val="auto"/>
          <w:sz w:val="24"/>
          <w:szCs w:val="24"/>
          <w:highlight w:val="none"/>
        </w:rPr>
        <w:t xml:space="preserve">需求标准见《商品包装政府采购需求标准（试行）》《快递包装政府采购需求标准（试行）》（财办库〔2020〕123号）、《绿色数据中心政府采购需求标准（试行）》（财库〔2023〕7号）。</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color w:val="auto"/>
          <w:highlight w:val="none"/>
        </w:rPr>
        <w:t xml:space="preserve"> </w:t>
      </w:r>
      <w:r>
        <w:rPr>
          <w:rFonts w:hint="eastAsia" w:ascii="宋体" w:hAnsi="宋体" w:cs="宋体"/>
          <w:b/>
          <w:bCs/>
          <w:caps/>
          <w:color w:val="auto"/>
          <w:sz w:val="28"/>
          <w:szCs w:val="28"/>
          <w:highlight w:val="none"/>
        </w:rPr>
        <w:t xml:space="preserve">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电梯设备制造、安装、验收的技术及质量标准：</w:t>
      </w:r>
      <w:r>
        <w:rPr>
          <w:rFonts w:hint="eastAsia" w:ascii="宋体" w:hAnsi="宋体" w:cs="宋体"/>
          <w:bCs/>
          <w:color w:val="auto"/>
          <w:sz w:val="24"/>
          <w:szCs w:val="24"/>
          <w:highlight w:val="none"/>
        </w:rPr>
        <w:t xml:space="preserve">合格</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电梯制造与安装安全规范：GB/T7588.1/2-2020 或电梯制造单位所提供的企业标准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电梯技术条件：GB/T10058-20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电梯试验方法：GB/T10059-20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电梯安装验收规范：GB</w:t>
      </w:r>
      <w:r>
        <w:rPr>
          <w:rFonts w:hint="eastAsia" w:ascii="宋体" w:hAnsi="宋体" w:cs="宋体"/>
          <w:bCs/>
          <w:color w:val="auto"/>
          <w:sz w:val="24"/>
          <w:szCs w:val="24"/>
          <w:highlight w:val="none"/>
        </w:rPr>
        <w:t xml:space="preserve">/T</w:t>
      </w:r>
      <w:r>
        <w:rPr>
          <w:rFonts w:hint="eastAsia" w:ascii="宋体" w:hAnsi="宋体" w:cs="宋体"/>
          <w:bCs/>
          <w:color w:val="auto"/>
          <w:sz w:val="24"/>
          <w:szCs w:val="24"/>
          <w:highlight w:val="none"/>
          <w:lang w:val="zh-CN"/>
        </w:rPr>
        <w:t xml:space="preserve">10060-20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《电梯、自动扶梯、自动人行道术语》：GB/T7024-20</w:t>
      </w:r>
      <w:r>
        <w:rPr>
          <w:rFonts w:hint="eastAsia" w:ascii="宋体" w:hAnsi="宋体" w:cs="宋体"/>
          <w:bCs/>
          <w:color w:val="auto"/>
          <w:sz w:val="24"/>
          <w:szCs w:val="24"/>
          <w:highlight w:val="none"/>
        </w:rPr>
        <w:t xml:space="preserve">25</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电梯T型导轨：</w:t>
      </w:r>
      <w:r>
        <w:rPr>
          <w:rFonts w:hint="eastAsia" w:ascii="宋体" w:hAnsi="宋体" w:cs="宋体"/>
          <w:bCs/>
          <w:color w:val="auto"/>
          <w:sz w:val="24"/>
          <w:szCs w:val="24"/>
          <w:highlight w:val="none"/>
        </w:rPr>
        <w:t xml:space="preserve">GB/T22562-2008</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电梯曳引机：GB</w:t>
      </w:r>
      <w:r>
        <w:rPr>
          <w:rFonts w:hint="eastAsia" w:ascii="宋体" w:hAnsi="宋体" w:cs="宋体"/>
          <w:bCs/>
          <w:color w:val="auto"/>
          <w:sz w:val="24"/>
          <w:szCs w:val="24"/>
          <w:highlight w:val="none"/>
        </w:rPr>
        <w:t xml:space="preserve">/T24</w:t>
      </w:r>
      <w:r>
        <w:rPr>
          <w:rFonts w:hint="eastAsia"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rPr>
        <w:t xml:space="preserve">78</w:t>
      </w:r>
      <w:r>
        <w:rPr>
          <w:rFonts w:hint="eastAsia" w:ascii="宋体" w:hAnsi="宋体" w:cs="宋体"/>
          <w:bCs/>
          <w:color w:val="auto"/>
          <w:sz w:val="24"/>
          <w:szCs w:val="24"/>
          <w:highlight w:val="none"/>
          <w:lang w:val="zh-CN"/>
        </w:rPr>
        <w:t xml:space="preserve">-20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电梯主参数及轿厢、井道、机房的型式与尺寸：GB/T7025.1-</w:t>
      </w:r>
      <w:r>
        <w:rPr>
          <w:rFonts w:hint="eastAsia" w:ascii="宋体" w:hAnsi="宋体" w:cs="宋体"/>
          <w:bCs/>
          <w:color w:val="auto"/>
          <w:sz w:val="24"/>
          <w:szCs w:val="24"/>
          <w:highlight w:val="none"/>
        </w:rPr>
        <w:t xml:space="preserve">2023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电梯主参数及轿厢、井道、机房的型式与尺寸GB/T7025.2-</w:t>
      </w:r>
      <w:r>
        <w:rPr>
          <w:rFonts w:hint="eastAsia" w:ascii="宋体" w:hAnsi="宋体" w:cs="宋体"/>
          <w:bCs/>
          <w:color w:val="auto"/>
          <w:sz w:val="24"/>
          <w:szCs w:val="24"/>
          <w:highlight w:val="none"/>
        </w:rPr>
        <w:t xml:space="preserve">2008</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电梯主参数及轿厢、井道、机房的型式与尺寸GB/T7025.3-</w:t>
      </w:r>
      <w:r>
        <w:rPr>
          <w:rFonts w:hint="eastAsia" w:ascii="宋体" w:hAnsi="宋体" w:cs="宋体"/>
          <w:bCs/>
          <w:color w:val="auto"/>
          <w:sz w:val="24"/>
          <w:szCs w:val="24"/>
          <w:highlight w:val="none"/>
        </w:rPr>
        <w:t xml:space="preserve">2008</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电梯装置安装工程电梯电气装置施工及验收规范GB50310-2002</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电梯工程施工质量验收规范：GB50310-2002</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江苏省防火部门的条例及相关的中国国家防火规则</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电梯运行的限速要求符合国家最新颁布的技术规范</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上述要求与国家电梯验收方面最新相关强制标准规范相冲突时，以最新标准为准，保证满足验收部门要求。</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供应商采用其它标准和规范时，应在响应文件注明是采用何种标准，并应保证设备达到或优于国家规定的现行相关标准。</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采购标的需满足的质量、安全、技术规格、物理特性等要求；</w:t>
      </w:r>
      <w:r/>
    </w:p>
    <w:p>
      <w:pPr>
        <w:ind w:firstLine="420"/>
        <w:rPr>
          <w:rFonts w:ascii="宋体" w:hAnsi="宋体" w:cs="宋体"/>
          <w:bCs/>
          <w:iCs/>
          <w:color w:val="auto"/>
          <w:sz w:val="24"/>
          <w:szCs w:val="24"/>
          <w:highlight w:val="none"/>
        </w:rPr>
      </w:pPr>
      <w:r>
        <w:rPr>
          <w:rFonts w:hint="eastAsia" w:ascii="宋体" w:hAnsi="宋体" w:cs="宋体"/>
          <w:caps/>
          <w:color w:val="auto"/>
          <w:highlight w:val="none"/>
        </w:rPr>
        <w:t xml:space="preserve">  </w:t>
      </w:r>
      <w:r>
        <w:rPr>
          <w:rFonts w:hint="eastAsia" w:ascii="宋体" w:hAnsi="宋体" w:cs="宋体"/>
          <w:bCs/>
          <w:iCs/>
          <w:color w:val="auto"/>
          <w:sz w:val="24"/>
          <w:szCs w:val="24"/>
          <w:highlight w:val="none"/>
        </w:rPr>
        <w:t xml:space="preserve">1、本次采购范围电梯部分应包括但不限于：（1）电梯的供货、安装、调试、直至取得验收合格证书、以及免费维保期至少3</w:t>
      </w:r>
      <w:r>
        <w:rPr>
          <w:rFonts w:ascii="宋体" w:hAnsi="宋体" w:cs="宋体"/>
          <w:bCs/>
          <w:iCs/>
          <w:color w:val="auto"/>
          <w:sz w:val="24"/>
          <w:szCs w:val="24"/>
          <w:highlight w:val="none"/>
        </w:rPr>
        <w:t xml:space="preserve">年</w:t>
      </w:r>
      <w:r>
        <w:rPr>
          <w:rFonts w:hint="eastAsia" w:ascii="宋体" w:hAnsi="宋体" w:cs="宋体"/>
          <w:bCs/>
          <w:iCs/>
          <w:color w:val="auto"/>
          <w:sz w:val="24"/>
          <w:szCs w:val="24"/>
          <w:highlight w:val="none"/>
        </w:rPr>
        <w:t xml:space="preserve">，整机原厂质保期不低于5年；（</w:t>
      </w:r>
      <w:r>
        <w:rPr>
          <w:rFonts w:ascii="宋体" w:hAnsi="宋体" w:cs="宋体"/>
          <w:bCs/>
          <w:iCs/>
          <w:color w:val="auto"/>
          <w:sz w:val="24"/>
          <w:szCs w:val="24"/>
          <w:highlight w:val="none"/>
        </w:rPr>
        <w:t xml:space="preserve">2</w:t>
      </w:r>
      <w:r>
        <w:rPr>
          <w:rFonts w:hint="eastAsia" w:ascii="宋体" w:hAnsi="宋体" w:cs="宋体"/>
          <w:bCs/>
          <w:iCs/>
          <w:color w:val="auto"/>
          <w:sz w:val="24"/>
          <w:szCs w:val="24"/>
          <w:highlight w:val="none"/>
        </w:rPr>
        <w:t xml:space="preserve">）电梯的电源、照明、空调、高清监控等；（</w:t>
      </w:r>
      <w:r>
        <w:rPr>
          <w:rFonts w:ascii="宋体" w:hAnsi="宋体" w:cs="宋体"/>
          <w:bCs/>
          <w:iCs/>
          <w:color w:val="auto"/>
          <w:sz w:val="24"/>
          <w:szCs w:val="24"/>
          <w:highlight w:val="none"/>
        </w:rPr>
        <w:t xml:space="preserve">3</w:t>
      </w:r>
      <w:r>
        <w:rPr>
          <w:rFonts w:hint="eastAsia" w:ascii="宋体" w:hAnsi="宋体" w:cs="宋体"/>
          <w:bCs/>
          <w:iCs/>
          <w:color w:val="auto"/>
          <w:sz w:val="24"/>
          <w:szCs w:val="24"/>
          <w:highlight w:val="none"/>
        </w:rPr>
        <w:t xml:space="preserve">）本项目为交钥匙工程，中标人须完成所有勘察、深化设计、施工，并将完整的电梯、电梯井道交付采购人，采购人不再承担任何其他费用。</w:t>
      </w:r>
      <w:r/>
    </w:p>
    <w:p>
      <w:pPr>
        <w:ind w:firstLine="480"/>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2、本次采购范围土建部分（详见施工图纸）应包括但不限于：现场涉及到土建施工部分的有：（1）原有建筑的墙体、门窗等拆除及修复、地上及地下给排水管道改造、窨井改造、地面修复；（2）电梯钢结构井道的制作、安装（包含基坑的开挖、基坑桩基础等）；（3）电梯门洞的制作（电梯召唤盒与层显的孔洞开凿及修复）；（</w:t>
      </w:r>
      <w:r>
        <w:rPr>
          <w:rFonts w:ascii="宋体" w:hAnsi="宋体" w:cs="宋体"/>
          <w:bCs/>
          <w:iCs/>
          <w:color w:val="auto"/>
          <w:sz w:val="24"/>
          <w:szCs w:val="24"/>
          <w:highlight w:val="none"/>
        </w:rPr>
        <w:t xml:space="preserve">4</w:t>
      </w:r>
      <w:r>
        <w:rPr>
          <w:rFonts w:hint="eastAsia" w:ascii="宋体" w:hAnsi="宋体" w:cs="宋体"/>
          <w:bCs/>
          <w:iCs/>
          <w:color w:val="auto"/>
          <w:sz w:val="24"/>
          <w:szCs w:val="24"/>
          <w:highlight w:val="none"/>
        </w:rPr>
        <w:t xml:space="preserve">）电梯井道外部装饰：喷涂，与原建筑一致。供应商自行到现场进行实地勘察，充分了解施工现场实际情况及工程详细概况，中标供应商进场后不得以不了解现场为由提出任何增加费用的要求。</w:t>
      </w:r>
      <w:r/>
    </w:p>
    <w:p>
      <w:pPr>
        <w:ind w:firstLine="480"/>
        <w:rPr>
          <w:rFonts w:ascii="宋体" w:hAnsi="宋体" w:cs="宋体"/>
          <w:bCs/>
          <w:i/>
          <w:color w:val="auto"/>
          <w:sz w:val="24"/>
          <w:szCs w:val="24"/>
          <w:highlight w:val="none"/>
          <w:u w:val="single"/>
        </w:rPr>
      </w:pPr>
      <w:r>
        <w:rPr>
          <w:rFonts w:hint="eastAsia" w:ascii="宋体" w:hAnsi="宋体" w:cs="宋体"/>
          <w:bCs/>
          <w:iCs/>
          <w:color w:val="auto"/>
          <w:sz w:val="24"/>
          <w:szCs w:val="24"/>
          <w:highlight w:val="none"/>
        </w:rPr>
        <w:t xml:space="preserve">3、</w:t>
      </w:r>
      <w:r>
        <w:rPr>
          <w:rFonts w:hint="eastAsia" w:ascii="宋体" w:hAnsi="宋体" w:cs="宋体"/>
          <w:bCs/>
          <w:i/>
          <w:color w:val="auto"/>
          <w:sz w:val="24"/>
          <w:szCs w:val="24"/>
          <w:highlight w:val="none"/>
          <w:u w:val="single"/>
        </w:rPr>
        <w:t xml:space="preserve">本次采购范围需包括二次深化设计部分：合同签订后7日内完成本项目内容范围内的所有专业工程二次（深化）设计，设计应满足现行相关设计标准，按采购人要求按时按质提交设计成果。</w:t>
      </w:r>
      <w:r/>
    </w:p>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4、设备参数要求及制作要求</w:t>
      </w:r>
      <w:r/>
    </w:p>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（1）土建项目 （详见施工图纸要求）</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7049"/>
      </w:tblGrid>
      <w:tr>
        <w:trPr>
          <w:jc w:val="center"/>
        </w:trPr>
        <w:tc>
          <w:tcPr>
            <w:tcW w:w="1924" w:type="dxa"/>
            <w:vAlign w:val="center"/>
            <w:textDirection w:val="lrTb"/>
            <w:noWrap w:val="false"/>
          </w:tcPr>
          <w:p>
            <w:pPr>
              <w:pStyle w:val="1131"/>
              <w:ind w:left="0"/>
              <w:jc w:val="center"/>
              <w:spacing w:line="480" w:lineRule="exact"/>
              <w:tabs>
                <w:tab w:val="left" w:pos="1588" w:leader="none"/>
              </w:tabs>
              <w:rPr>
                <w:rFonts w:ascii="仿宋" w:hAnsi="仿宋" w:eastAsia="仿宋" w:cs="仿宋"/>
                <w:i/>
                <w:color w:val="auto"/>
                <w:highlight w:val="none"/>
                <w:u w:val="single"/>
              </w:rPr>
            </w:pPr>
            <w:r>
              <w:rPr>
                <w:rFonts w:hint="eastAsia" w:ascii="仿宋" w:hAnsi="仿宋" w:eastAsia="仿宋" w:cs="仿宋"/>
                <w:bCs/>
                <w:i/>
                <w:color w:val="auto"/>
                <w:highlight w:val="none"/>
                <w:u w:val="single"/>
              </w:rPr>
              <w:t xml:space="preserve">主体结构</w:t>
            </w:r>
            <w:r/>
          </w:p>
        </w:tc>
        <w:tc>
          <w:tcPr>
            <w:tcW w:w="7173" w:type="dxa"/>
            <w:textDirection w:val="lrTb"/>
            <w:noWrap w:val="false"/>
          </w:tcPr>
          <w:p>
            <w:pPr>
              <w:pStyle w:val="1131"/>
              <w:ind w:left="0"/>
              <w:spacing w:line="480" w:lineRule="exact"/>
              <w:tabs>
                <w:tab w:val="left" w:pos="1588" w:leader="none"/>
              </w:tabs>
              <w:rPr>
                <w:rFonts w:ascii="仿宋" w:hAnsi="仿宋" w:eastAsia="仿宋" w:cs="仿宋"/>
                <w:i/>
                <w:color w:val="auto"/>
                <w:highlight w:val="none"/>
                <w:u w:val="single"/>
                <w:lang w:eastAsia="zh-CN"/>
              </w:rPr>
            </w:pPr>
            <w:r>
              <w:rPr>
                <w:rFonts w:hint="eastAsia" w:ascii="仿宋" w:hAnsi="仿宋" w:eastAsia="仿宋" w:cs="仿宋"/>
                <w:bCs/>
                <w:i/>
                <w:color w:val="auto"/>
                <w:spacing w:val="-10"/>
                <w:highlight w:val="none"/>
                <w:u w:val="single"/>
                <w:lang w:eastAsia="zh-CN"/>
              </w:rPr>
              <w:t xml:space="preserve">包含基础预埋件、主体钢结构井道和连廊。</w:t>
            </w:r>
            <w:r>
              <w:rPr>
                <w:rFonts w:hint="eastAsia" w:ascii="仿宋" w:hAnsi="仿宋" w:eastAsia="仿宋" w:cs="仿宋"/>
                <w:bCs/>
                <w:i/>
                <w:color w:val="auto"/>
                <w:spacing w:val="-4"/>
                <w:highlight w:val="none"/>
                <w:u w:val="single"/>
                <w:lang w:eastAsia="zh-CN"/>
              </w:rPr>
              <w:t xml:space="preserve">其中钢结构井道</w:t>
            </w:r>
            <w:r>
              <w:rPr>
                <w:rFonts w:hint="eastAsia" w:ascii="仿宋" w:hAnsi="仿宋" w:eastAsia="仿宋" w:cs="仿宋"/>
                <w:bCs/>
                <w:i/>
                <w:color w:val="auto"/>
                <w:spacing w:val="-5"/>
                <w:highlight w:val="none"/>
                <w:u w:val="single"/>
                <w:lang w:eastAsia="zh-CN"/>
              </w:rPr>
              <w:t xml:space="preserve">幕墙。设备进场前须提供钢结构合格证。井道钢结构框架、装饰层经厂内焊接整合，模块化装配工艺。装饰层</w:t>
            </w:r>
            <w:r>
              <w:rPr>
                <w:rFonts w:hint="eastAsia" w:ascii="仿宋" w:hAnsi="仿宋" w:eastAsia="仿宋" w:cs="仿宋"/>
                <w:bCs/>
                <w:i/>
                <w:color w:val="auto"/>
                <w:spacing w:val="-6"/>
                <w:highlight w:val="none"/>
                <w:u w:val="single"/>
                <w:lang w:eastAsia="zh-CN"/>
              </w:rPr>
              <w:t xml:space="preserve">为:烤漆铝板(铝板效果图与单体立面匹配，实施前送样确认)+ </w:t>
            </w:r>
            <w:r>
              <w:rPr>
                <w:rFonts w:hint="eastAsia" w:ascii="仿宋" w:hAnsi="仿宋" w:eastAsia="仿宋" w:cs="仿宋"/>
                <w:bCs/>
                <w:i/>
                <w:color w:val="auto"/>
                <w:spacing w:val="-10"/>
                <w:highlight w:val="none"/>
                <w:u w:val="single"/>
                <w:lang w:eastAsia="zh-CN"/>
              </w:rPr>
              <w:t xml:space="preserve">防火岩棉保温层+两层防火涂料</w:t>
            </w:r>
            <w:r>
              <w:rPr>
                <w:rFonts w:hint="eastAsia" w:ascii="仿宋" w:hAnsi="仿宋" w:eastAsia="仿宋" w:cs="仿宋"/>
                <w:bCs/>
                <w:i/>
                <w:color w:val="auto"/>
                <w:spacing w:val="-4"/>
                <w:highlight w:val="none"/>
                <w:u w:val="single"/>
                <w:lang w:eastAsia="zh-CN"/>
              </w:rPr>
              <w:t xml:space="preserve">。</w:t>
            </w:r>
            <w:r/>
          </w:p>
        </w:tc>
      </w:tr>
      <w:tr>
        <w:trPr>
          <w:jc w:val="center"/>
        </w:trPr>
        <w:tc>
          <w:tcPr>
            <w:tcW w:w="1924" w:type="dxa"/>
            <w:vAlign w:val="center"/>
            <w:textDirection w:val="lrTb"/>
            <w:noWrap w:val="false"/>
          </w:tcPr>
          <w:p>
            <w:pPr>
              <w:pStyle w:val="1131"/>
              <w:ind w:left="0"/>
              <w:jc w:val="center"/>
              <w:spacing w:line="480" w:lineRule="exact"/>
              <w:tabs>
                <w:tab w:val="left" w:pos="1588" w:leader="none"/>
              </w:tabs>
              <w:rPr>
                <w:rFonts w:ascii="仿宋" w:hAnsi="仿宋" w:eastAsia="仿宋" w:cs="仿宋"/>
                <w:i/>
                <w:color w:val="auto"/>
                <w:highlight w:val="none"/>
                <w:u w:val="single"/>
              </w:rPr>
            </w:pPr>
            <w:r>
              <w:rPr>
                <w:rFonts w:hint="eastAsia" w:ascii="仿宋" w:hAnsi="仿宋" w:eastAsia="仿宋" w:cs="仿宋"/>
                <w:bCs/>
                <w:i/>
                <w:color w:val="auto"/>
                <w:highlight w:val="none"/>
                <w:u w:val="single"/>
              </w:rPr>
              <w:t xml:space="preserve">规格材质</w:t>
            </w:r>
            <w:r/>
          </w:p>
        </w:tc>
        <w:tc>
          <w:tcPr>
            <w:tcW w:w="7173" w:type="dxa"/>
            <w:textDirection w:val="lrTb"/>
            <w:noWrap w:val="false"/>
          </w:tcPr>
          <w:p>
            <w:pPr>
              <w:pStyle w:val="1165"/>
              <w:ind w:left="112" w:right="63"/>
              <w:spacing w:before="50" w:line="480" w:lineRule="exact"/>
              <w:rPr>
                <w:rFonts w:ascii="仿宋" w:hAnsi="仿宋" w:eastAsia="仿宋" w:cs="仿宋"/>
                <w:i/>
                <w:color w:val="auto"/>
                <w:sz w:val="24"/>
                <w:szCs w:val="24"/>
                <w:highlight w:val="none"/>
                <w:u w:val="single"/>
              </w:rPr>
            </w:pPr>
            <w:r>
              <w:rPr>
                <w:rFonts w:hint="eastAsia" w:ascii="仿宋" w:hAnsi="仿宋" w:eastAsia="仿宋" w:cs="仿宋"/>
                <w:bCs/>
                <w:i/>
                <w:color w:val="auto"/>
                <w:spacing w:val="-8"/>
                <w:sz w:val="24"/>
                <w:szCs w:val="24"/>
                <w:highlight w:val="none"/>
                <w:u w:val="single"/>
              </w:rPr>
              <w:t xml:space="preserve">主材及连接件：</w:t>
            </w:r>
            <w:r>
              <w:rPr>
                <w:rFonts w:hint="eastAsia" w:ascii="仿宋" w:hAnsi="仿宋" w:eastAsia="仿宋" w:cs="仿宋"/>
                <w:bCs/>
                <w:i/>
                <w:color w:val="auto"/>
                <w:spacing w:val="-16"/>
                <w:sz w:val="24"/>
                <w:szCs w:val="24"/>
                <w:highlight w:val="none"/>
                <w:u w:val="single"/>
              </w:rPr>
              <w:t xml:space="preserve">H</w:t>
            </w:r>
            <w:r>
              <w:rPr>
                <w:rFonts w:hint="eastAsia" w:ascii="仿宋" w:hAnsi="仿宋" w:eastAsia="仿宋" w:cs="仿宋"/>
                <w:bCs/>
                <w:i/>
                <w:color w:val="auto"/>
                <w:spacing w:val="-7"/>
                <w:sz w:val="24"/>
                <w:szCs w:val="24"/>
                <w:highlight w:val="none"/>
                <w:u w:val="single"/>
              </w:rPr>
              <w:t xml:space="preserve"> 型钢或方钢，均需采用热镀锌国标钢材，材</w:t>
            </w:r>
            <w:r>
              <w:rPr>
                <w:rFonts w:hint="eastAsia" w:ascii="仿宋" w:hAnsi="仿宋" w:eastAsia="仿宋" w:cs="仿宋"/>
                <w:bCs/>
                <w:i/>
                <w:color w:val="auto"/>
                <w:spacing w:val="-16"/>
                <w:sz w:val="24"/>
                <w:szCs w:val="24"/>
                <w:highlight w:val="none"/>
                <w:u w:val="single"/>
              </w:rPr>
              <w:t xml:space="preserve">料规格、结构、节点均依据项目情况使用专用结构设计软件进行</w:t>
            </w:r>
            <w:r>
              <w:rPr>
                <w:rFonts w:hint="eastAsia" w:ascii="仿宋" w:hAnsi="仿宋" w:eastAsia="仿宋" w:cs="仿宋"/>
                <w:bCs/>
                <w:i/>
                <w:color w:val="auto"/>
                <w:spacing w:val="-18"/>
                <w:sz w:val="24"/>
                <w:szCs w:val="24"/>
                <w:highlight w:val="none"/>
                <w:u w:val="single"/>
              </w:rPr>
              <w:t xml:space="preserve">验算，个性化设计，保证结构安全性、合理性。所有材料、构件</w:t>
            </w:r>
            <w:r>
              <w:rPr>
                <w:rFonts w:hint="eastAsia" w:ascii="仿宋" w:hAnsi="仿宋" w:eastAsia="仿宋" w:cs="仿宋"/>
                <w:bCs/>
                <w:i/>
                <w:color w:val="auto"/>
                <w:spacing w:val="-22"/>
                <w:sz w:val="24"/>
                <w:szCs w:val="24"/>
                <w:highlight w:val="none"/>
                <w:u w:val="single"/>
              </w:rPr>
              <w:t xml:space="preserve">选用均需符合国标要求。</w:t>
            </w:r>
            <w:r>
              <w:rPr>
                <w:rFonts w:hint="eastAsia" w:ascii="仿宋" w:hAnsi="仿宋" w:eastAsia="仿宋" w:cs="仿宋"/>
                <w:bCs/>
                <w:i/>
                <w:color w:val="auto"/>
                <w:spacing w:val="-8"/>
                <w:sz w:val="24"/>
                <w:szCs w:val="24"/>
                <w:highlight w:val="none"/>
                <w:u w:val="single"/>
                <w:lang w:eastAsia="zh-CN"/>
              </w:rPr>
              <w:t xml:space="preserve">其中</w:t>
            </w:r>
            <w:r>
              <w:rPr>
                <w:rFonts w:hint="eastAsia" w:ascii="仿宋" w:hAnsi="仿宋" w:eastAsia="仿宋" w:cs="仿宋"/>
                <w:bCs/>
                <w:i/>
                <w:color w:val="auto"/>
                <w:spacing w:val="-8"/>
                <w:sz w:val="24"/>
                <w:szCs w:val="24"/>
                <w:highlight w:val="none"/>
                <w:u w:val="single"/>
                <w:lang w:val="en-US" w:eastAsia="zh-CN"/>
              </w:rPr>
              <w:t xml:space="preserve">钢结构井道，材质为Q235B,井道三边铝板,铝板3.0mm厚，氟碳喷涂,电梯1.5mm厚不锈钢门套,井道顶铝板，铝板3.0mm厚，氟碳喷涂</w:t>
            </w:r>
            <w:r>
              <w:rPr>
                <w:rFonts w:hint="eastAsia" w:ascii="仿宋" w:hAnsi="仿宋" w:eastAsia="仿宋" w:cs="仿宋"/>
                <w:bCs/>
                <w:i/>
                <w:color w:val="auto"/>
                <w:spacing w:val="-8"/>
                <w:sz w:val="24"/>
                <w:szCs w:val="24"/>
                <w:highlight w:val="none"/>
                <w:u w:val="single"/>
              </w:rPr>
              <w:t xml:space="preserve">（</w:t>
            </w:r>
            <w:r>
              <w:rPr>
                <w:rFonts w:hint="eastAsia" w:ascii="仿宋" w:hAnsi="仿宋" w:eastAsia="仿宋" w:cs="仿宋"/>
                <w:bCs/>
                <w:i/>
                <w:color w:val="auto"/>
                <w:spacing w:val="-8"/>
                <w:sz w:val="24"/>
                <w:szCs w:val="24"/>
                <w:highlight w:val="none"/>
                <w:u w:val="single"/>
                <w:lang w:val="en-US" w:eastAsia="zh-CN"/>
              </w:rPr>
              <w:t xml:space="preserve">材料进场前需</w:t>
            </w:r>
            <w:r>
              <w:rPr>
                <w:rFonts w:hint="eastAsia" w:ascii="仿宋" w:hAnsi="仿宋" w:eastAsia="仿宋" w:cs="仿宋"/>
                <w:bCs/>
                <w:i/>
                <w:color w:val="auto"/>
                <w:spacing w:val="-8"/>
                <w:sz w:val="24"/>
                <w:szCs w:val="24"/>
                <w:highlight w:val="none"/>
                <w:u w:val="single"/>
              </w:rPr>
              <w:t xml:space="preserve">提供钢材原材料力学性能检验</w:t>
            </w:r>
            <w:r>
              <w:rPr>
                <w:rFonts w:hint="eastAsia" w:ascii="仿宋" w:hAnsi="仿宋" w:eastAsia="仿宋" w:cs="仿宋"/>
                <w:bCs/>
                <w:i/>
                <w:color w:val="auto"/>
                <w:sz w:val="24"/>
                <w:szCs w:val="24"/>
                <w:highlight w:val="none"/>
                <w:u w:val="single"/>
              </w:rPr>
              <w:t xml:space="preserve">检测报告</w:t>
            </w:r>
            <w:r>
              <w:rPr>
                <w:rFonts w:hint="eastAsia" w:ascii="仿宋" w:hAnsi="仿宋" w:eastAsia="仿宋" w:cs="仿宋"/>
                <w:bCs/>
                <w:i/>
                <w:color w:val="auto"/>
                <w:sz w:val="24"/>
                <w:szCs w:val="24"/>
                <w:highlight w:val="none"/>
                <w:u w:val="single"/>
                <w:lang w:eastAsia="zh-CN"/>
              </w:rPr>
              <w:t xml:space="preserve">，</w:t>
            </w:r>
            <w:r>
              <w:rPr>
                <w:rFonts w:hint="eastAsia" w:ascii="仿宋" w:hAnsi="仿宋" w:eastAsia="仿宋" w:cs="仿宋"/>
                <w:bCs/>
                <w:i/>
                <w:color w:val="auto"/>
                <w:sz w:val="24"/>
                <w:szCs w:val="24"/>
                <w:highlight w:val="none"/>
                <w:u w:val="single"/>
                <w:lang w:val="en-US" w:eastAsia="zh-CN"/>
              </w:rPr>
              <w:t xml:space="preserve">并经采购人认可</w:t>
            </w:r>
            <w:r>
              <w:rPr>
                <w:rFonts w:hint="eastAsia" w:ascii="仿宋" w:hAnsi="仿宋" w:eastAsia="仿宋" w:cs="仿宋"/>
                <w:bCs/>
                <w:i/>
                <w:color w:val="auto"/>
                <w:sz w:val="24"/>
                <w:szCs w:val="24"/>
                <w:highlight w:val="none"/>
                <w:u w:val="single"/>
              </w:rPr>
              <w:t xml:space="preserve">） </w:t>
            </w:r>
            <w:r/>
          </w:p>
        </w:tc>
      </w:tr>
    </w:tbl>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（2）电梯及配套部分</w:t>
      </w:r>
      <w:r/>
    </w:p>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A.设备基本参数</w:t>
      </w:r>
      <w:r/>
    </w:p>
    <w:tbl>
      <w:tblPr>
        <w:tblStyle w:val="828"/>
        <w:tblW w:w="50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0" w:type="dxa"/>
          <w:right w:w="0" w:type="dxa"/>
          <w:bottom w:w="0" w:type="dxa"/>
        </w:tblCellMar>
        <w:tblLook w:val="04A0" w:firstRow="1" w:lastRow="0" w:firstColumn="1" w:lastColumn="0" w:noHBand="0" w:noVBand="1"/>
      </w:tblPr>
      <w:tblGrid>
        <w:gridCol w:w="603"/>
        <w:gridCol w:w="432"/>
        <w:gridCol w:w="2528"/>
        <w:gridCol w:w="5401"/>
      </w:tblGrid>
      <w:tr>
        <w:trPr>
          <w:jc w:val="center"/>
          <w:trHeight w:val="565" w:hRule="exact"/>
        </w:trPr>
        <w:tc>
          <w:tcPr>
            <w:tcW w:w="606" w:type="dxa"/>
            <w:textDirection w:val="lrTb"/>
            <w:noWrap w:val="false"/>
          </w:tcPr>
          <w:p>
            <w:pPr>
              <w:ind w:left="-141"/>
              <w:jc w:val="center"/>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序号</w:t>
            </w:r>
            <w:r/>
          </w:p>
        </w:tc>
        <w:tc>
          <w:tcPr>
            <w:gridSpan w:val="3"/>
            <w:tcW w:w="8424" w:type="dxa"/>
            <w:vAlign w:val="center"/>
            <w:textDirection w:val="lrTb"/>
            <w:noWrap/>
          </w:tcPr>
          <w:p>
            <w:pPr>
              <w:ind w:left="420" w:firstLine="2160"/>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电梯技术要求</w:t>
            </w:r>
            <w:r/>
          </w:p>
        </w:tc>
      </w:tr>
      <w:tr>
        <w:trPr>
          <w:jc w:val="center"/>
          <w:trHeight w:val="56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类 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无机房客梯</w:t>
            </w:r>
            <w:r/>
          </w:p>
        </w:tc>
      </w:tr>
      <w:tr>
        <w:trPr>
          <w:jc w:val="center"/>
          <w:trHeight w:val="58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数 量：</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w:t>
            </w:r>
            <w:r/>
          </w:p>
        </w:tc>
      </w:tr>
      <w:tr>
        <w:trPr>
          <w:jc w:val="center"/>
          <w:trHeight w:val="56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载 重（公 斤）：</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≥1000公斤</w:t>
            </w:r>
            <w:r/>
          </w:p>
        </w:tc>
      </w:tr>
      <w:tr>
        <w:trPr>
          <w:jc w:val="center"/>
          <w:trHeight w:val="56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速 度（米/秒）：</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≥1.0米/秒</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层 站 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5层4站4门（错层贯通）</w:t>
            </w:r>
            <w:r/>
          </w:p>
        </w:tc>
      </w:tr>
      <w:tr>
        <w:trPr>
          <w:jc w:val="center"/>
          <w:trHeight w:val="57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≥2400</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提 升 高 度（米）：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现场实测</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2300 左右，具体以现场实测为准</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2050 左右，具体以现场实测为准</w:t>
            </w:r>
            <w:r/>
          </w:p>
        </w:tc>
      </w:tr>
      <w:tr>
        <w:trPr>
          <w:jc w:val="center"/>
          <w:trHeight w:val="56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顶 层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4200 左右，具体以现场实测为准</w:t>
            </w:r>
            <w:r/>
          </w:p>
        </w:tc>
      </w:tr>
      <w:tr>
        <w:trPr>
          <w:jc w:val="center"/>
          <w:trHeight w:val="56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底 坑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1200 左右，具体以现场实测为准</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1600左右，具体以现场实测为准</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1500左右，具体以现场实测为准</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门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≥900，具体以现场实测为准</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门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≥2100，具体以现场实测为准</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驱 动 系 统：</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交流调频调压驱动</w:t>
            </w:r>
            <w:r/>
          </w:p>
        </w:tc>
      </w:tr>
      <w:tr>
        <w:trPr>
          <w:jc w:val="center"/>
          <w:trHeight w:val="257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曳引系统：</w:t>
            </w:r>
            <w:r/>
          </w:p>
        </w:tc>
        <w:tc>
          <w:tcPr>
            <w:tcW w:w="5442" w:type="dxa"/>
            <w:vAlign w:val="center"/>
            <w:textDirection w:val="lrTb"/>
            <w:noWrap/>
          </w:tcPr>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永磁同步无齿轮曳引机；</w:t>
            </w:r>
            <w:r/>
          </w:p>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曳引机制动器正常工作条件下，曳引机制动器额定工作动作次数符合GB/T24478-2022的要求（不少于2</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万次动作实验）；</w:t>
            </w:r>
            <w:r/>
          </w:p>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曳引机实测温升符合GB/T24478-2023要求。</w:t>
            </w:r>
            <w:r/>
          </w:p>
        </w:tc>
      </w:tr>
      <w:tr>
        <w:trPr>
          <w:jc w:val="center"/>
          <w:trHeight w:val="99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电气控制系统：</w:t>
            </w:r>
            <w:r/>
          </w:p>
        </w:tc>
        <w:tc>
          <w:tcPr>
            <w:tcW w:w="5442" w:type="dxa"/>
            <w:vAlign w:val="center"/>
            <w:textDirection w:val="lrTb"/>
            <w:noWrap/>
          </w:tcPr>
          <w:p>
            <w:pPr>
              <w:ind w:left="33"/>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全集选微机控制串行通讯系统，控制柜外壳防护等级不低于IP2X。</w:t>
            </w:r>
            <w:r/>
          </w:p>
        </w:tc>
      </w:tr>
      <w:tr>
        <w:trPr>
          <w:jc w:val="center"/>
          <w:trHeight w:val="57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控制方式：</w:t>
            </w:r>
            <w:r/>
          </w:p>
        </w:tc>
        <w:tc>
          <w:tcPr>
            <w:tcW w:w="5442" w:type="dxa"/>
            <w:vAlign w:val="center"/>
            <w:textDirection w:val="lrTb"/>
            <w:noWrap/>
          </w:tcPr>
          <w:p>
            <w:pPr>
              <w:ind w:left="420"/>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单控 </w:t>
            </w:r>
            <w:r/>
          </w:p>
        </w:tc>
      </w:tr>
      <w:tr>
        <w:trPr>
          <w:jc w:val="center"/>
          <w:trHeight w:val="207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0</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电梯按钮</w:t>
            </w:r>
            <w:r/>
          </w:p>
        </w:tc>
        <w:tc>
          <w:tcPr>
            <w:tcW w:w="5442" w:type="dxa"/>
            <w:vAlign w:val="center"/>
            <w:textDirection w:val="lrTb"/>
            <w:noWrap/>
          </w:tcPr>
          <w:p>
            <w:pPr>
              <w:ind w:left="34" w:firstLine="420"/>
              <w:spacing w:line="400" w:lineRule="exact"/>
              <w:rPr>
                <w:rFonts w:ascii="仿宋" w:hAnsi="仿宋" w:eastAsia="仿宋" w:cs="仿宋"/>
                <w:i/>
                <w:color w:val="auto"/>
                <w:sz w:val="24"/>
                <w:szCs w:val="24"/>
                <w:highlight w:val="none"/>
                <w:u w:val="single"/>
              </w:rPr>
            </w:pPr>
            <w:r/>
            <w:bookmarkStart w:id="200" w:name="OLE_LINK34"/>
            <w:r/>
            <w:bookmarkStart w:id="201" w:name="OLE_LINK33"/>
            <w:r>
              <w:rPr>
                <w:rFonts w:hint="eastAsia" w:ascii="仿宋" w:hAnsi="仿宋" w:eastAsia="仿宋" w:cs="仿宋"/>
                <w:i/>
                <w:color w:val="auto"/>
                <w:sz w:val="24"/>
                <w:szCs w:val="24"/>
                <w:highlight w:val="none"/>
                <w:u w:val="single"/>
              </w:rPr>
              <w:t xml:space="preserve">电梯按钮在动作力为2</w:t>
            </w:r>
            <w:r>
              <w:rPr>
                <w:rFonts w:ascii="仿宋" w:hAnsi="仿宋" w:eastAsia="仿宋" w:cs="仿宋"/>
                <w:i/>
                <w:color w:val="auto"/>
                <w:sz w:val="24"/>
                <w:szCs w:val="24"/>
                <w:highlight w:val="none"/>
                <w:u w:val="single"/>
              </w:rPr>
              <w:t xml:space="preserve">.5N—8</w:t>
            </w:r>
            <w:r>
              <w:rPr>
                <w:rFonts w:hint="eastAsia" w:ascii="仿宋" w:hAnsi="仿宋" w:eastAsia="仿宋" w:cs="仿宋"/>
                <w:i/>
                <w:color w:val="auto"/>
                <w:sz w:val="24"/>
                <w:szCs w:val="24"/>
                <w:highlight w:val="none"/>
                <w:u w:val="single"/>
              </w:rPr>
              <w:t xml:space="preserve">N,在该动作力下，完成100万次机械寿命试验后，按键启闭动作顺畅正常，外观无开裂、无变形、无卡滞，电气通断性能稳定可靠，符合T/CEA 0012—2020相关技术规范。</w:t>
            </w:r>
            <w:bookmarkEnd w:id="200"/>
            <w:r/>
            <w:bookmarkEnd w:id="201"/>
            <w:r/>
            <w:r/>
          </w:p>
        </w:tc>
      </w:tr>
      <w:tr>
        <w:trPr>
          <w:jc w:val="center"/>
          <w:trHeight w:val="98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轿门开门装置</w:t>
            </w:r>
            <w:r/>
          </w:p>
        </w:tc>
        <w:tc>
          <w:tcPr>
            <w:tcW w:w="5442" w:type="dxa"/>
            <w:vAlign w:val="center"/>
            <w:textDirection w:val="lrTb"/>
            <w:noWrap/>
          </w:tcPr>
          <w:p>
            <w:pPr>
              <w:ind w:left="33" w:firstLine="48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轿门开门装置动态载重状态下能正常运行满足</w:t>
            </w:r>
            <w:r>
              <w:rPr>
                <w:rFonts w:ascii="仿宋" w:hAnsi="仿宋" w:eastAsia="仿宋" w:cs="仿宋"/>
                <w:i/>
                <w:color w:val="auto"/>
                <w:sz w:val="24"/>
                <w:szCs w:val="24"/>
                <w:highlight w:val="none"/>
                <w:u w:val="single"/>
              </w:rPr>
              <w:t xml:space="preserve">100</w:t>
            </w:r>
            <w:r>
              <w:rPr>
                <w:rFonts w:hint="eastAsia" w:ascii="仿宋" w:hAnsi="仿宋" w:eastAsia="仿宋" w:cs="仿宋"/>
                <w:i/>
                <w:color w:val="auto"/>
                <w:sz w:val="24"/>
                <w:szCs w:val="24"/>
                <w:highlight w:val="none"/>
                <w:u w:val="single"/>
              </w:rPr>
              <w:t xml:space="preserve">万次。 </w:t>
            </w:r>
            <w:r>
              <w:rPr>
                <w:rFonts w:ascii="仿宋" w:hAnsi="仿宋" w:eastAsia="仿宋" w:cs="仿宋"/>
                <w:i/>
                <w:color w:val="auto"/>
                <w:sz w:val="24"/>
                <w:szCs w:val="24"/>
                <w:highlight w:val="none"/>
                <w:u w:val="single"/>
              </w:rPr>
              <w:t xml:space="preserve"> </w:t>
            </w:r>
            <w:r/>
          </w:p>
          <w:p>
            <w:pPr>
              <w:pStyle w:val="829"/>
              <w:rPr>
                <w:color w:val="auto"/>
                <w:highlight w:val="none"/>
              </w:rPr>
            </w:pPr>
            <w:r>
              <w:rPr>
                <w:color w:val="auto"/>
                <w:highlight w:val="none"/>
              </w:rPr>
            </w:r>
            <w:r/>
          </w:p>
        </w:tc>
      </w:tr>
      <w:tr>
        <w:trPr>
          <w:jc w:val="center"/>
          <w:trHeight w:val="265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轿门联动组件</w:t>
            </w:r>
            <w:r/>
          </w:p>
        </w:tc>
        <w:tc>
          <w:tcPr>
            <w:tcW w:w="5442" w:type="dxa"/>
            <w:vAlign w:val="center"/>
            <w:textDirection w:val="lrTb"/>
            <w:noWrap/>
          </w:tcPr>
          <w:p>
            <w:pPr>
              <w:ind w:left="33" w:firstLine="386"/>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轿门联动组件（门电动机、变频器、轿门门锁、厅门门锁、厅门、轿门）等耐久性测试，符合GB/T10058-20</w:t>
            </w:r>
            <w:r>
              <w:rPr>
                <w:rFonts w:ascii="仿宋" w:hAnsi="仿宋" w:eastAsia="仿宋" w:cs="仿宋"/>
                <w:i/>
                <w:color w:val="auto"/>
                <w:sz w:val="24"/>
                <w:szCs w:val="24"/>
                <w:highlight w:val="none"/>
                <w:u w:val="single"/>
              </w:rPr>
              <w:t xml:space="preserve">23</w:t>
            </w:r>
            <w:r>
              <w:rPr>
                <w:rFonts w:hint="eastAsia" w:ascii="仿宋" w:hAnsi="仿宋" w:eastAsia="仿宋" w:cs="仿宋"/>
                <w:i/>
                <w:color w:val="auto"/>
                <w:sz w:val="24"/>
                <w:szCs w:val="24"/>
                <w:highlight w:val="none"/>
                <w:u w:val="single"/>
              </w:rPr>
              <w:t xml:space="preserve">要求（≥1</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万次）</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3</w:t>
            </w:r>
            <w:r/>
          </w:p>
        </w:tc>
        <w:tc>
          <w:tcPr>
            <w:tcW w:w="435" w:type="dxa"/>
            <w:vAlign w:val="center"/>
            <w:vMerge w:val="restart"/>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箱 内 装 饰</w:t>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吊 顶</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发纹不锈钢，LED 照明(自动控制)</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4</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后壁板装饰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5</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侧壁板装饰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6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6</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前壁板/门楣装饰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464"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7</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7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8</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轿内操作面板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198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9</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操纵箱显示类型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发纹不锈钢轿内操纵盘，安装在轿厢前壁，微动式不锈钢盲文按钮，带楼层显示，方向显示，报警按钮。5.7英寸黑底白光断码LCD显示</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30</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操纵箱面板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31</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地 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PVC耐磨地板</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厅 门 装 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58"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厅门门框装饰：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外呼面板材料：</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56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电梯空调</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电梯空调1</w:t>
            </w:r>
            <w:r>
              <w:rPr>
                <w:rFonts w:ascii="仿宋" w:hAnsi="仿宋" w:eastAsia="仿宋" w:cs="仿宋"/>
                <w:i/>
                <w:color w:val="auto"/>
                <w:sz w:val="24"/>
                <w:szCs w:val="24"/>
                <w:highlight w:val="none"/>
                <w:u w:val="single"/>
              </w:rPr>
              <w:t xml:space="preserve">.5</w:t>
            </w:r>
            <w:r>
              <w:rPr>
                <w:rFonts w:hint="eastAsia" w:ascii="仿宋" w:hAnsi="仿宋" w:eastAsia="仿宋" w:cs="仿宋"/>
                <w:i/>
                <w:color w:val="auto"/>
                <w:sz w:val="24"/>
                <w:szCs w:val="24"/>
                <w:highlight w:val="none"/>
                <w:u w:val="single"/>
              </w:rPr>
              <w:t xml:space="preserve">匹，国产品牌</w:t>
            </w:r>
            <w:r/>
          </w:p>
        </w:tc>
      </w:tr>
      <w:tr>
        <w:trPr>
          <w:jc w:val="center"/>
          <w:trHeight w:val="114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楼层召唤器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一体式不锈钢厅外召唤，安装在墙体表面，面板坚固且不易变形。带楼层显示、方向显示、锁梯开关。LED显示。</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扶手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轿厢扁型扶手。</w:t>
            </w:r>
            <w:r/>
          </w:p>
        </w:tc>
      </w:tr>
      <w:tr>
        <w:trPr>
          <w:jc w:val="center"/>
          <w:trHeight w:val="113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监控设备</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万像素以上的电梯专用摄像机（接入学校监控系统）。</w:t>
            </w:r>
            <w:r/>
          </w:p>
        </w:tc>
      </w:tr>
      <w:tr>
        <w:trPr>
          <w:jc w:val="center"/>
          <w:trHeight w:val="240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其他</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1.电梯底坑防水，需满足GB 26465-2011中第5.3条中的相关防水保护。</w:t>
            </w:r>
            <w:r/>
          </w:p>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2.以上功能为标准配置，本项目为交钥匙工程。验收需要的其他功能均包含在内。</w:t>
            </w:r>
            <w:r/>
          </w:p>
        </w:tc>
      </w:tr>
    </w:tbl>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B.设备功能参数</w:t>
      </w:r>
      <w:r/>
    </w:p>
    <w:tbl>
      <w:tblPr>
        <w:tblStyle w:val="8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7939"/>
      </w:tblGrid>
      <w:tr>
        <w:trPr>
          <w:jc w:val="center"/>
          <w:trHeight w:val="413"/>
        </w:trPr>
        <w:tc>
          <w:tcPr>
            <w:tcW w:w="1013" w:type="dxa"/>
            <w:vAlign w:val="center"/>
            <w:textDirection w:val="lrTb"/>
            <w:noWrap w:val="false"/>
          </w:tcPr>
          <w:p>
            <w:pPr>
              <w:jc w:val="cente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lang w:val="en-GB"/>
              </w:rPr>
              <w:t xml:space="preserve">功能名称</w:t>
            </w:r>
            <w:r/>
          </w:p>
        </w:tc>
        <w:tc>
          <w:tcPr>
            <w:tcW w:w="3986" w:type="dxa"/>
            <w:vAlign w:val="center"/>
            <w:textDirection w:val="lrTb"/>
            <w:noWrap w:val="false"/>
          </w:tcPr>
          <w:p>
            <w:pPr>
              <w:jc w:val="cente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lang w:val="en-GB"/>
              </w:rPr>
              <w:t xml:space="preserve">功能说明</w:t>
            </w:r>
            <w:r/>
          </w:p>
        </w:tc>
      </w:tr>
      <w:tr>
        <w:trPr>
          <w:jc w:val="center"/>
          <w:trHeight w:val="182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防捣乱保护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避免空梯运行，电脑通过对载重量进行逻辑判断把不正常的指令作消号处理。此功能可避免恶作剧和错误的轿内指令。如果有一名乘客在轿厢内，这时又有过多的请求被登记，骚扰被发觉后所有的命令请求都会被取消，并响应正确的楼层信号。电梯可接受的命令数量是可编程改变的，典型数值为3，客运负荷值设定为10 ％的电梯额定负载值。</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安全停靠</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电梯因故停在门区外，且位置未丢失时，控制系统进行安全检测，若符合启动要求，则电梯就近停层开门或完成本次运行指令。</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启动时力矩补偿</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为使电梯起动时获得更好的舒适感，系统对轿厢内载荷进行计算，并通过起动时的力矩补偿给予优化。</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开关门按钮灯</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按下开、关门按钮的同时将点亮按钮灯以提示成功应答。</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自动返回基站</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单台电梯时，可根据大楼实际需求设定运行基站，在预定时间内如果没有召唤或指令登记，轿厢将自动返回基站，关门待机，基站一般设在交通流量大的楼层或一楼大厅。</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满载直驶</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当轿厢内载荷达到满载预设值（乘客装载值被设置为80%额定载荷）时，即进入满载直驶状态，电梯将不再应答厅外召唤而直接响应轿内指令直达指定楼层。</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全集选</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电梯对大楼内上、下召唤信号、轿内选层指令及各种信号进行综合分析判断后，将自动优选与电梯运行方向一致的信号进行依次应答。</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轿顶检修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电梯轿顶设有检修箱，使检修维护更为安全快捷。</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超载保护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当轿厢的载重量超出额定允许的载重时，超载蜂鸣器会鸣响以提示超载。此时显示超载，轿厢不关门，电梯不能起动。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开、关门按钮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电梯轿厢操纵面板上设有控制开关门的微动按钮，以方便乘客根据需要灵活掌握开关门的时间，</w:t>
            </w:r>
            <w:r>
              <w:rPr>
                <w:rFonts w:hint="eastAsia" w:ascii="宋体" w:hAnsi="宋体" w:cs="宋体"/>
                <w:b/>
                <w:bCs/>
                <w:i/>
                <w:color w:val="auto"/>
                <w:sz w:val="24"/>
                <w:szCs w:val="24"/>
                <w:highlight w:val="none"/>
                <w:u w:val="single"/>
              </w:rPr>
              <w:t xml:space="preserve">厅门刷卡开门</w:t>
            </w:r>
            <w:r>
              <w:rPr>
                <w:rFonts w:hint="eastAsia" w:ascii="仿宋" w:hAnsi="仿宋" w:eastAsia="仿宋" w:cs="仿宋"/>
                <w:i/>
                <w:color w:val="auto"/>
                <w:sz w:val="24"/>
                <w:szCs w:val="32"/>
                <w:highlight w:val="none"/>
                <w:u w:val="single"/>
              </w:rPr>
              <w:t xml:space="preserve">。</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内部通话装置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用于在特殊情况下通过设置在轿厢操纵面板、轿顶、轿底上的对讲装置保持与机房及监控中心的语音联系。</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警铃</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供在特殊情况下乘客通过按动轿厢内报警按钮，及时通知外界。</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反向指令自动消除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在向上或向下运行时，对于与当前运行方向相反的指令可自动消除。</w:t>
            </w:r>
            <w:r/>
          </w:p>
        </w:tc>
      </w:tr>
      <w:tr>
        <w:trPr>
          <w:jc w:val="center"/>
          <w:trHeight w:val="92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错误指令取消</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当轿厢指令登记后，在电梯未起动前可通过连续点按此按钮以取消已登记的指令。电梯起动后，为保证乘客的人身安全，系统不允许取消已登记信号。</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终端楼层保护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当电梯运行到终端楼层时，运行速度没有减至预设值时，系统将强迫减速，保护电梯的安全运行。</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自动泊梯</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群控组内电梯在大楼内所有电梯均处于空闲状态时，会自动停泊于大楼的不同层楼以提高电梯组对召唤的响应速度。</w:t>
            </w:r>
            <w:r/>
          </w:p>
        </w:tc>
      </w:tr>
      <w:tr>
        <w:trPr>
          <w:jc w:val="center"/>
          <w:trHeight w:val="62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紧急电动操作</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电梯机房的控制柜内设有紧急电动操作装置，可用紧急情况时的救援。</w:t>
            </w:r>
            <w:r/>
          </w:p>
        </w:tc>
      </w:tr>
      <w:tr>
        <w:trPr>
          <w:jc w:val="center"/>
          <w:trHeight w:val="92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恢复运行</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当电梯因非安全故障丢失位置时，在平层装置允许进行平层的前提下，先救援运行至最近的服务楼层释放乘客，再复位运行至端站进行位置恢复。</w:t>
            </w:r>
            <w:r/>
          </w:p>
        </w:tc>
      </w:tr>
      <w:tr>
        <w:trPr>
          <w:jc w:val="center"/>
          <w:trHeight w:val="126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故障就近平层操作（非电源故障或安全回路故障）</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在非电源故障或安全回路故障情况下，设备就近平层，并开门疏散乘客。</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手动应急疏散装置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当因停电等情况乘客被困轿厢时,用来紧急救援</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重新初始化运行</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当电源因中断而恢复后，电梯位置信号未能保留或不能确定轿厢位置时，电梯将驶向端站重新定位。定位后位置显示器显示电梯所在的层楼位置，并恢复正常运行。</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紧急照明</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在轿内设置的紧急照明装置，停电时启用。</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语音安抚</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在特定状态下对轿厢内乘客进行语音安抚。</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开门动车保护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当电梯处于平层位置且门打开时，如果电梯出现意外移动，UCM安全装置马上启动保护，停止电梯运行。</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厅/轿门分别控制</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经过统计由厅外召唤引起的开门等待时间会比由轿内指令引起的开门等待时间要长，此功能通过独立调整电梯在响应召唤和指令时的开门保持时间，来提高整体的运行效率。</w:t>
            </w:r>
            <w:r/>
          </w:p>
        </w:tc>
      </w:tr>
      <w:tr>
        <w:trPr>
          <w:jc w:val="center"/>
          <w:trHeight w:val="70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本层厅外开门</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在正常关门过程中，厅外与电梯同向的召唤按钮被按下时，电梯将重新开门。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关门等待取消</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自动状态下，在门保持全开状态并且处于开门延时阶段时，按关门按钮可立即执行提前关门</w:t>
            </w:r>
            <w:r/>
          </w:p>
        </w:tc>
      </w:tr>
      <w:tr>
        <w:trPr>
          <w:jc w:val="center"/>
          <w:trHeight w:val="126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轿厢关门延迟保护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开门时间由于外呼按钮被按住或其他因素而超过预定时间时，电梯会强迫关门来应答其他信号。当电梯强迫关门重复几次仍未关紧，电梯将停止运转并开门，内外呼信号会自动取消。当电梯监测到门已正常关闭时，电梯恢复正常操作。</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关门力矩保护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当关门时受到反向阻力，超过预设的力矩值时，电梯将重新开门。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厅外及轿内方向指示</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为方便乘客了解电梯的运行方向，在轿内操纵面板和厅外召唤面板上有箭头状指示灯提示运行方向。</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大厅、轿内位置显示</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为方便乘客了解电梯的运行方向，在轿内操纵面板和厅外召唤面板上有箭头状指示灯提示运行位置。</w:t>
            </w:r>
            <w:r/>
          </w:p>
        </w:tc>
      </w:tr>
      <w:tr>
        <w:trPr>
          <w:jc w:val="center"/>
          <w:trHeight w:val="638"/>
        </w:trPr>
        <w:tc>
          <w:tcPr>
            <w:gridSpan w:val="2"/>
            <w:tcW w:w="9169"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pacing w:val="-4"/>
                <w:sz w:val="24"/>
                <w:szCs w:val="24"/>
                <w:highlight w:val="none"/>
                <w:u w:val="single"/>
              </w:rPr>
              <w:t xml:space="preserve">其他电梯运行必备的基本功能</w:t>
            </w:r>
            <w:r/>
          </w:p>
        </w:tc>
      </w:tr>
    </w:tbl>
    <w:p>
      <w:pPr>
        <w:ind w:firstLine="482"/>
        <w:rPr>
          <w:rFonts w:ascii="仿宋" w:hAnsi="仿宋" w:eastAsia="仿宋" w:cs="仿宋"/>
          <w:i/>
          <w:caps/>
          <w:color w:val="auto"/>
          <w:sz w:val="24"/>
          <w:szCs w:val="24"/>
          <w:highlight w:val="none"/>
          <w:u w:val="single"/>
        </w:rPr>
      </w:pPr>
      <w:r>
        <w:rPr>
          <w:rFonts w:hint="eastAsia" w:ascii="仿宋" w:hAnsi="仿宋" w:eastAsia="仿宋" w:cs="仿宋"/>
          <w:b/>
          <w:bCs/>
          <w:i/>
          <w:caps/>
          <w:color w:val="auto"/>
          <w:sz w:val="24"/>
          <w:szCs w:val="24"/>
          <w:highlight w:val="none"/>
          <w:u w:val="single"/>
        </w:rPr>
        <w:t xml:space="preserve">说明</w:t>
      </w:r>
      <w:r>
        <w:rPr>
          <w:rFonts w:hint="eastAsia" w:ascii="仿宋" w:hAnsi="仿宋" w:eastAsia="仿宋" w:cs="仿宋"/>
          <w:i/>
          <w:caps/>
          <w:color w:val="auto"/>
          <w:sz w:val="24"/>
          <w:szCs w:val="24"/>
          <w:highlight w:val="none"/>
          <w:u w:val="single"/>
        </w:rPr>
        <w:t xml:space="preserve">：以上设备参数要求及制作要求需在实质性要求响应及偏离表中逐条做出明确响应，不得有缺陷或漏项，否则将被视为未实质性响应招标文件要求而作无效投标处理。</w:t>
      </w:r>
      <w:r>
        <w:rPr>
          <w:rFonts w:hint="eastAsia" w:ascii="仿宋" w:hAnsi="仿宋" w:eastAsia="仿宋" w:cs="仿宋"/>
          <w:bCs/>
          <w:i/>
          <w:color w:val="auto"/>
          <w:sz w:val="24"/>
          <w:szCs w:val="24"/>
          <w:highlight w:val="none"/>
          <w:u w:val="single"/>
          <w:lang w:val="zh-CN"/>
        </w:rPr>
        <w:t xml:space="preserve">响应供应商应当按照要求提供产品的规格表和功能表</w:t>
      </w:r>
      <w:r>
        <w:rPr>
          <w:rFonts w:hint="eastAsia" w:ascii="仿宋" w:hAnsi="仿宋" w:eastAsia="仿宋" w:cs="仿宋"/>
          <w:bCs/>
          <w:i/>
          <w:color w:val="auto"/>
          <w:sz w:val="24"/>
          <w:szCs w:val="24"/>
          <w:highlight w:val="none"/>
          <w:u w:val="single"/>
        </w:rPr>
        <w:t xml:space="preserve">等</w:t>
      </w:r>
      <w:r>
        <w:rPr>
          <w:rFonts w:hint="eastAsia" w:ascii="仿宋" w:hAnsi="仿宋" w:eastAsia="仿宋" w:cs="仿宋"/>
          <w:bCs/>
          <w:i/>
          <w:color w:val="auto"/>
          <w:sz w:val="24"/>
          <w:szCs w:val="24"/>
          <w:highlight w:val="none"/>
          <w:u w:val="single"/>
          <w:lang w:val="zh-CN"/>
        </w:rPr>
        <w:t xml:space="preserve">相关证明</w:t>
      </w:r>
      <w:r>
        <w:rPr>
          <w:rFonts w:hint="eastAsia" w:ascii="仿宋" w:hAnsi="仿宋" w:eastAsia="仿宋" w:cs="仿宋"/>
          <w:i/>
          <w:color w:val="auto"/>
          <w:sz w:val="24"/>
          <w:highlight w:val="none"/>
          <w:u w:val="single"/>
          <w:lang w:val="zh-CN"/>
        </w:rPr>
        <w:t xml:space="preserve">材料或承诺函说明（证明材料均需是原件的扫描件加盖投标单位公章，承诺函加盖投标单位公章）。</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采购标的的其他技术要求</w:t>
      </w:r>
      <w:r/>
    </w:p>
    <w:p>
      <w:pPr>
        <w:pStyle w:val="1162"/>
        <w:numPr>
          <w:ilvl w:val="0"/>
          <w:numId w:val="15"/>
        </w:numPr>
        <w:ind w:left="0" w:firstLine="480"/>
        <w:rPr>
          <w:rFonts w:ascii="宋体" w:hAnsi="宋体" w:cs="宋体"/>
          <w:bCs/>
          <w:color w:val="auto"/>
          <w:highlight w:val="none"/>
          <w:lang w:val="zh-CN"/>
        </w:rPr>
      </w:pPr>
      <w:r>
        <w:rPr>
          <w:rFonts w:hint="eastAsia" w:ascii="宋体" w:hAnsi="宋体" w:cs="宋体"/>
          <w:bCs/>
          <w:color w:val="auto"/>
          <w:highlight w:val="none"/>
          <w:lang w:val="zh-CN"/>
        </w:rPr>
        <w:t xml:space="preserve">本项目为交钥匙工程，项目包含二次深化设计、井道、连廊、基坑、钢结构等以及在图纸清单中未曾反映的工程量的土建项目、货物制作、安装、施工、运输、调试验收相关的技术指导和售后服务、检测试验费、利润、保险、税金、以及所包含的风险、责任、安装施工过程中门套损坏修补等所有费用均包含在报价内，请各响应供应商认真考虑其各种风险。除合同另有规定之外，伴随服务的费用均已含在合同价款中，采购人不再另行支付。</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技术响应文件应能明确载明：产品生产厂家、品牌、规格、外形和尺寸、产品功能简介</w:t>
      </w:r>
      <w:r>
        <w:rPr>
          <w:rFonts w:hint="eastAsia" w:ascii="宋体" w:hAnsi="宋体" w:cs="宋体"/>
          <w:bCs/>
          <w:color w:val="auto"/>
          <w:sz w:val="24"/>
          <w:szCs w:val="24"/>
          <w:highlight w:val="none"/>
        </w:rPr>
        <w:t xml:space="preserve">等。</w:t>
      </w:r>
      <w:r>
        <w:rPr>
          <w:rFonts w:hint="eastAsia" w:ascii="宋体" w:hAnsi="宋体" w:cs="宋体"/>
          <w:bCs/>
          <w:color w:val="auto"/>
          <w:sz w:val="24"/>
          <w:szCs w:val="24"/>
          <w:highlight w:val="none"/>
          <w:lang w:val="zh-CN"/>
        </w:rPr>
        <w:t xml:space="preserve">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供应商应保证提供的产品不得侵犯第三方专利权、商标权和工业设计权、版权等。否则，中标人应负全部责任，并承担由此引起的一切后果。</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供应商应保证其货物在正确安装、正常使用和保养条件下，在其使用寿命期内应具有满意的性能。</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供应商应采取必要的安全措施保证货物的运输及安装的安全，并承担货物的运输及安装过程中产生的风险。</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供应商必须保证所提供的产品符合国家相应质量要求，供货时必须随产品提供出厂材料，包括但不限于检验报告（复印件）、产品合格证（原件）以及设备的测试、运行、保养手册。</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7、设备材料的包装均应有良好的防湿、防锈、防潮、防雨、防腐及防碰撞的措施，</w:t>
      </w:r>
      <w:r>
        <w:rPr>
          <w:rFonts w:hint="eastAsia" w:ascii="宋体" w:hAnsi="宋体" w:cs="宋体"/>
          <w:bCs/>
          <w:color w:val="auto"/>
          <w:sz w:val="24"/>
          <w:szCs w:val="24"/>
          <w:highlight w:val="none"/>
          <w:lang w:val="zh-CN"/>
        </w:rPr>
        <w:t xml:space="preserve">包装</w:t>
      </w:r>
      <w:r>
        <w:rPr>
          <w:rFonts w:hint="eastAsia" w:ascii="宋体" w:hAnsi="宋体" w:cs="宋体"/>
          <w:bCs/>
          <w:color w:val="auto"/>
          <w:sz w:val="24"/>
          <w:szCs w:val="24"/>
          <w:highlight w:val="none"/>
        </w:rPr>
        <w:t xml:space="preserve">如</w:t>
      </w:r>
      <w:r>
        <w:rPr>
          <w:rFonts w:hint="eastAsia" w:ascii="宋体" w:hAnsi="宋体" w:cs="宋体"/>
          <w:bCs/>
          <w:color w:val="auto"/>
          <w:sz w:val="24"/>
          <w:szCs w:val="24"/>
          <w:highlight w:val="none"/>
          <w:lang w:val="zh-CN"/>
        </w:rPr>
        <w:t xml:space="preserve">国家或行业主管部门有规定的，按规定执行。</w:t>
      </w:r>
      <w:r>
        <w:rPr>
          <w:rFonts w:hint="eastAsia" w:ascii="宋体" w:hAnsi="宋体" w:cs="宋体"/>
          <w:bCs/>
          <w:color w:val="auto"/>
          <w:sz w:val="24"/>
          <w:szCs w:val="24"/>
          <w:highlight w:val="none"/>
        </w:rPr>
        <w:t xml:space="preserve">凡由于包装不良造成的损失和由此产生的费用均由响应供应商承担，响应供应商可先到项目地点充分了解地理位置、情况、道路、储存空间、装卸限制及施工配合等任何其他足以影响响应报价的情况，任何因忽视或误解项目现场而导致的索赔或工期延长申请将不被批准。</w:t>
      </w:r>
      <w:r/>
    </w:p>
    <w:p>
      <w:pP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四、商务要求</w:t>
      </w:r>
      <w:r/>
    </w:p>
    <w:p>
      <w:pPr>
        <w:ind w:firstLine="601"/>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采购标的的数量、采购项目交付或者实施的时间和地点；</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采购标的的数量：</w:t>
      </w:r>
      <w:r>
        <w:rPr>
          <w:rFonts w:hint="eastAsia" w:ascii="宋体" w:hAnsi="宋体" w:cs="宋体"/>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详见采购需求清单</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采购项目交付时间：</w:t>
      </w:r>
      <w:r>
        <w:rPr>
          <w:rFonts w:hint="eastAsia" w:ascii="宋体" w:hAnsi="宋体" w:cs="宋体"/>
          <w:color w:val="auto"/>
          <w:sz w:val="24"/>
          <w:szCs w:val="24"/>
          <w:highlight w:val="none"/>
          <w:u w:val="single"/>
        </w:rPr>
        <w:t xml:space="preserve"> </w:t>
      </w:r>
      <w:r>
        <w:rPr>
          <w:rFonts w:hint="eastAsia" w:ascii="仿宋" w:hAnsi="仿宋" w:eastAsia="仿宋" w:cs="仿宋"/>
          <w:i/>
          <w:iCs/>
          <w:color w:val="auto"/>
          <w:spacing w:val="-2"/>
          <w:sz w:val="24"/>
          <w:szCs w:val="24"/>
          <w:highlight w:val="none"/>
          <w:u w:val="single"/>
        </w:rPr>
        <w:t xml:space="preserve">60日历天（其中合同</w:t>
      </w:r>
      <w:r>
        <w:rPr>
          <w:rFonts w:hint="eastAsia" w:ascii="仿宋" w:hAnsi="仿宋" w:eastAsia="仿宋" w:cs="仿宋"/>
          <w:i/>
          <w:iCs/>
          <w:color w:val="auto"/>
          <w:spacing w:val="-3"/>
          <w:sz w:val="24"/>
          <w:szCs w:val="24"/>
          <w:highlight w:val="none"/>
          <w:u w:val="single"/>
        </w:rPr>
        <w:t xml:space="preserve">签订后</w:t>
      </w:r>
      <w:r>
        <w:rPr>
          <w:rFonts w:hint="eastAsia" w:ascii="仿宋" w:hAnsi="仿宋" w:eastAsia="仿宋" w:cs="仿宋"/>
          <w:i/>
          <w:iCs/>
          <w:color w:val="auto"/>
          <w:spacing w:val="-45"/>
          <w:sz w:val="24"/>
          <w:szCs w:val="24"/>
          <w:highlight w:val="none"/>
          <w:u w:val="single"/>
        </w:rPr>
        <w:t xml:space="preserve">7</w:t>
      </w:r>
      <w:r>
        <w:rPr>
          <w:rFonts w:hint="eastAsia" w:ascii="仿宋" w:hAnsi="仿宋" w:eastAsia="仿宋" w:cs="仿宋"/>
          <w:i/>
          <w:iCs/>
          <w:color w:val="auto"/>
          <w:spacing w:val="-3"/>
          <w:sz w:val="24"/>
          <w:szCs w:val="24"/>
          <w:highlight w:val="none"/>
          <w:u w:val="single"/>
        </w:rPr>
        <w:t xml:space="preserve">个日历天内必须完成勘察、二次深化</w:t>
      </w:r>
      <w:r>
        <w:rPr>
          <w:rFonts w:hint="eastAsia" w:ascii="仿宋" w:hAnsi="仿宋" w:eastAsia="仿宋" w:cs="仿宋"/>
          <w:i/>
          <w:iCs/>
          <w:color w:val="auto"/>
          <w:spacing w:val="-1"/>
          <w:sz w:val="24"/>
          <w:szCs w:val="24"/>
          <w:highlight w:val="none"/>
          <w:u w:val="single"/>
        </w:rPr>
        <w:t xml:space="preserve">设计、方案优化及施工效果图设计并经采购人审查通过）</w:t>
      </w:r>
      <w:r>
        <w:rPr>
          <w:rFonts w:hint="eastAsia" w:ascii="仿宋" w:hAnsi="仿宋" w:eastAsia="仿宋" w:cs="仿宋"/>
          <w:i/>
          <w:iCs/>
          <w:color w:val="auto"/>
          <w:sz w:val="24"/>
          <w:szCs w:val="24"/>
          <w:highlight w:val="none"/>
          <w:u w:val="single"/>
        </w:rPr>
        <w:t xml:space="preserve">全部供货及安装完毕，</w:t>
      </w:r>
      <w:r>
        <w:rPr>
          <w:rFonts w:hint="eastAsia" w:ascii="仿宋" w:hAnsi="仿宋" w:eastAsia="仿宋" w:cs="仿宋"/>
          <w:i/>
          <w:iCs/>
          <w:color w:val="auto"/>
          <w:spacing w:val="-1"/>
          <w:sz w:val="24"/>
          <w:szCs w:val="24"/>
          <w:highlight w:val="none"/>
          <w:u w:val="single"/>
        </w:rPr>
        <w:t xml:space="preserve">经南通市市场监督管理局验收合格，颁发使用许可证，</w:t>
      </w:r>
      <w:r>
        <w:rPr>
          <w:rFonts w:hint="eastAsia" w:ascii="仿宋" w:hAnsi="仿宋" w:eastAsia="仿宋" w:cs="仿宋"/>
          <w:i/>
          <w:iCs/>
          <w:color w:val="auto"/>
          <w:sz w:val="24"/>
          <w:szCs w:val="24"/>
          <w:highlight w:val="none"/>
          <w:u w:val="single"/>
        </w:rPr>
        <w:t xml:space="preserve">并完成全部验收工作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采购项目交付地点：</w:t>
      </w:r>
      <w:r>
        <w:rPr>
          <w:rFonts w:hint="eastAsia" w:ascii="宋体" w:hAnsi="宋体" w:cs="宋体"/>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采购人指定地点。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采购标的需满足的服务标准、期限、效率等要求；</w:t>
      </w:r>
      <w:r/>
    </w:p>
    <w:p>
      <w:pPr>
        <w:pStyle w:val="1162"/>
        <w:numPr>
          <w:ilvl w:val="0"/>
          <w:numId w:val="18"/>
        </w:numPr>
        <w:ind w:left="0"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项目施工管理</w:t>
      </w:r>
      <w:r/>
    </w:p>
    <w:p>
      <w:pPr>
        <w:ind w:firstLine="480"/>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（1）项目施工人员要求：供应商须按</w:t>
      </w:r>
      <w:r>
        <w:rPr>
          <w:rFonts w:ascii="宋体" w:hAnsi="宋体" w:cs="宋体"/>
          <w:bCs/>
          <w:i/>
          <w:iCs/>
          <w:color w:val="auto"/>
          <w:sz w:val="24"/>
          <w:szCs w:val="24"/>
          <w:highlight w:val="none"/>
          <w:u w:val="single"/>
        </w:rPr>
        <w:t xml:space="preserve">TSG 07</w:t>
      </w:r>
      <w:r>
        <w:rPr>
          <w:rFonts w:hint="eastAsia" w:ascii="MS Gothic" w:hAnsi="MS Gothic" w:eastAsia="MS Gothic" w:cs="MS Gothic"/>
          <w:bCs/>
          <w:i/>
          <w:iCs/>
          <w:color w:val="auto"/>
          <w:sz w:val="24"/>
          <w:szCs w:val="24"/>
          <w:highlight w:val="none"/>
          <w:u w:val="single"/>
        </w:rPr>
        <w:t xml:space="preserve">‑</w:t>
      </w:r>
      <w:r>
        <w:rPr>
          <w:rFonts w:ascii="宋体" w:hAnsi="宋体" w:cs="宋体"/>
          <w:bCs/>
          <w:i/>
          <w:iCs/>
          <w:color w:val="auto"/>
          <w:sz w:val="24"/>
          <w:szCs w:val="24"/>
          <w:highlight w:val="none"/>
          <w:u w:val="single"/>
        </w:rPr>
        <w:t xml:space="preserve">2019</w:t>
      </w:r>
      <w:r>
        <w:rPr>
          <w:rFonts w:hint="eastAsia" w:ascii="宋体" w:hAnsi="宋体" w:cs="宋体"/>
          <w:bCs/>
          <w:i/>
          <w:iCs/>
          <w:color w:val="auto"/>
          <w:sz w:val="24"/>
          <w:szCs w:val="24"/>
          <w:highlight w:val="none"/>
          <w:u w:val="single"/>
        </w:rPr>
        <w:t xml:space="preserve">配置专业人员不少于6人的施工团队。其中项目负责人1名须提供机电建造师</w:t>
      </w:r>
      <w:r>
        <w:rPr>
          <w:rFonts w:ascii="宋体" w:hAnsi="宋体" w:cs="宋体"/>
          <w:bCs/>
          <w:i/>
          <w:iCs/>
          <w:color w:val="auto"/>
          <w:sz w:val="24"/>
          <w:szCs w:val="24"/>
          <w:highlight w:val="none"/>
          <w:u w:val="single"/>
        </w:rPr>
        <w:t xml:space="preserve">+B</w:t>
      </w:r>
      <w:r>
        <w:rPr>
          <w:rFonts w:hint="eastAsia" w:ascii="宋体" w:hAnsi="宋体" w:cs="宋体"/>
          <w:bCs/>
          <w:i/>
          <w:iCs/>
          <w:color w:val="auto"/>
          <w:sz w:val="24"/>
          <w:szCs w:val="24"/>
          <w:highlight w:val="none"/>
          <w:u w:val="single"/>
        </w:rPr>
        <w:t xml:space="preserve">证，具备</w:t>
      </w:r>
      <w:r>
        <w:rPr>
          <w:rFonts w:ascii="宋体" w:hAnsi="宋体" w:cs="宋体"/>
          <w:bCs/>
          <w:i/>
          <w:iCs/>
          <w:color w:val="auto"/>
          <w:sz w:val="24"/>
          <w:szCs w:val="24"/>
          <w:highlight w:val="none"/>
          <w:u w:val="single"/>
        </w:rPr>
        <w:t xml:space="preserve">2</w:t>
      </w:r>
      <w:r>
        <w:rPr>
          <w:rFonts w:hint="eastAsia" w:ascii="宋体" w:hAnsi="宋体" w:cs="宋体"/>
          <w:bCs/>
          <w:i/>
          <w:iCs/>
          <w:color w:val="auto"/>
          <w:sz w:val="24"/>
          <w:szCs w:val="24"/>
          <w:highlight w:val="none"/>
          <w:u w:val="single"/>
        </w:rPr>
        <w:t xml:space="preserve">年以上电梯安装项目管理经验（在合同或验收单中证明）；井道内作业人员不少于4人，其中现场安装调试人员全部持有有效电梯修理</w:t>
      </w:r>
      <w:r>
        <w:rPr>
          <w:rFonts w:ascii="宋体" w:hAnsi="宋体" w:cs="宋体"/>
          <w:bCs/>
          <w:i/>
          <w:iCs/>
          <w:color w:val="auto"/>
          <w:sz w:val="24"/>
          <w:szCs w:val="24"/>
          <w:highlight w:val="none"/>
          <w:u w:val="single"/>
        </w:rPr>
        <w:t xml:space="preserve">T</w:t>
      </w:r>
      <w:r>
        <w:rPr>
          <w:rFonts w:hint="eastAsia" w:ascii="宋体" w:hAnsi="宋体" w:cs="宋体"/>
          <w:bCs/>
          <w:i/>
          <w:iCs/>
          <w:color w:val="auto"/>
          <w:sz w:val="24"/>
          <w:szCs w:val="24"/>
          <w:highlight w:val="none"/>
          <w:u w:val="single"/>
        </w:rPr>
        <w:t xml:space="preserve">证；电气接线人员配备低压电工证。井道外配合及安全管控人员不少于1人。以上所有人员均为本单位在职人员并提供社保证明；提供无特种设备安全责任事故记录证明。</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（2）中标供应商在施工中做到项目负责人全程现场管理。</w:t>
      </w:r>
      <w:r/>
    </w:p>
    <w:p>
      <w:pPr>
        <w:pStyle w:val="1159"/>
        <w:ind w:firstLine="480"/>
        <w:spacing w:before="0" w:after="0" w:line="240" w:lineRule="auto"/>
        <w:rPr>
          <w:rFonts w:cs="宋体"/>
          <w:bCs/>
          <w:caps w:val="0"/>
          <w:color w:val="auto"/>
          <w:highlight w:val="none"/>
        </w:rPr>
      </w:pPr>
      <w:r>
        <w:rPr>
          <w:rFonts w:hint="eastAsia" w:cs="宋体"/>
          <w:bCs/>
          <w:caps w:val="0"/>
          <w:color w:val="auto"/>
          <w:highlight w:val="none"/>
        </w:rPr>
        <w:t xml:space="preserve">（</w:t>
      </w:r>
      <w:r>
        <w:rPr>
          <w:rFonts w:cs="宋体"/>
          <w:bCs/>
          <w:caps w:val="0"/>
          <w:color w:val="auto"/>
          <w:highlight w:val="none"/>
        </w:rPr>
        <w:t xml:space="preserve">3</w:t>
      </w:r>
      <w:r>
        <w:rPr>
          <w:rFonts w:hint="eastAsia" w:cs="宋体"/>
          <w:bCs/>
          <w:caps w:val="0"/>
          <w:color w:val="auto"/>
          <w:highlight w:val="none"/>
        </w:rPr>
        <w:t xml:space="preserve">）文明施工：由于施工现场为学校，施工期间不得影响学校师生日常工作与学习。每天施工结束后及时清理施工现场垃圾，对安装造成的污迹进行修复。严格按照校园安全管理要求进入校园施工。中标供应商必须遵守政府有关主管部门对施工噪音、环境保护和安全生产等的管理规定，如因中标供应商的原因，导致扰民投诉及相关部门罚款的，均由中标供应商负责处理，费用自理。</w:t>
      </w:r>
      <w:r/>
    </w:p>
    <w:p>
      <w:pPr>
        <w:pStyle w:val="1162"/>
        <w:ind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安全责任：中标供应商在项目施工中必须严格遵守相关的法规、规范和现场采购人的规定，应采取安全措施，加强施工安全管理，督促现场施工人员规范操作，采取严格有力的安全防护措施，做好安全防护工作（包括施工现场防护等），确保施工安全，相关专业技术岗位必须持证上岗，项目在安装、调试、运维过程中一切安全责任由中标供应商承担。中标供应商必须为施工人员购买意外伤害险，以保证施工的平安，顺畅，按期完工。因本项目施工产生的施工人员和学校师生人生安全问题由中标供应商承担全部责任。</w:t>
      </w:r>
      <w:bookmarkStart w:id="202" w:name="bookmark9"/>
      <w:r/>
      <w:bookmarkEnd w:id="202"/>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)其他要求：安装队伍</w:t>
      </w:r>
      <w:r>
        <w:rPr>
          <w:rFonts w:hint="eastAsia" w:ascii="宋体" w:hAnsi="宋体" w:cs="宋体"/>
          <w:bCs/>
          <w:color w:val="auto"/>
          <w:sz w:val="24"/>
          <w:szCs w:val="24"/>
          <w:highlight w:val="none"/>
        </w:rPr>
        <w:t xml:space="preserve">必须加强管理，遵守现场的一切规章制度，文明安装，注意安全；安装期间，中标供应商必须服从采购人管理，货物进场须经采购人验货后才能安装，采购单位有权拒绝不合格材料及产品进场；中标供应商安装人员、安装机械或在运输装卸途中对其他设备及邻近管线等造成损坏，应由中标供应商负责修复及承担一切费用；施工期间的水、电费用由中标供应商负责；无论安装期间或退换过程中，中标供应商负责及时清理施工场地，垃圾必须清理离场，竣工时对施工场所全面打扫；发生自身的人身伤害、伤亡等，由此所引起的一切责任由响应供应商自负，采购人不承担任何责任。</w:t>
      </w:r>
      <w:r/>
    </w:p>
    <w:p>
      <w:pPr>
        <w:pStyle w:val="1162"/>
        <w:numPr>
          <w:ilvl w:val="0"/>
          <w:numId w:val="18"/>
        </w:numPr>
        <w:ind w:left="0"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售后服务</w:t>
      </w:r>
      <w:r/>
    </w:p>
    <w:p>
      <w:pPr>
        <w:pStyle w:val="1166"/>
        <w:ind w:left="0" w:firstLine="480"/>
        <w:spacing w:line="360" w:lineRule="auto"/>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1）免费维保期：本次项目范围内的所有产品均纳入免费维保范围内，免费维保期至少3年，最终期限以投标文件为准，维保期自验收合格双方签字之日起计算。在免费维保期内，中标供应商负责处理解决货物出现的质量及安全问题并承担一切费用。</w:t>
      </w:r>
      <w:r/>
    </w:p>
    <w:p>
      <w:pPr>
        <w:pStyle w:val="1063"/>
        <w:ind w:firstLine="480"/>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整机质保期：本次项目范围内的所有产品原厂质保不低于5年，设备投入使用后5年内，所有非故意性损坏以及正常使用范围内造成的损坏均在质保期内全部免费更换，中标供应商对设备的控制软件应给予动态的、最新的免费升级服务。</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（2）日常保养要求</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应提供完善的售后服务体系及配套的管理制度，定期派出持证专业人员对电梯进行保养，每月进行常规维护保养不少于两次，由派出的专业人员对每台设备进行保养、检查、维护、调整、加油、润滑，使设备保持安全、正常状态，每次保养应经采购人签字确认。</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中标供应商固定一名以上安装维护人员对本项目后期使用过程中出现的使用问题予以技术支持服务。因设备制造原因出现的质量问题，中标供应商应负责更换或维修，由此产生的一切费用由中标供应商承担。</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维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（3）售后服务响应时间要求</w:t>
      </w:r>
      <w:r/>
    </w:p>
    <w:p>
      <w:pPr>
        <w:pStyle w:val="1162"/>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付款方式</w:t>
      </w:r>
      <w:r/>
    </w:p>
    <w:p>
      <w:pPr>
        <w:ind w:firstLine="480"/>
        <w:spacing w:line="400" w:lineRule="exact"/>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 </w:t>
      </w:r>
      <w:r>
        <w:rPr>
          <w:rFonts w:hint="eastAsia" w:ascii="宋体" w:hAnsi="宋体" w:cs="宋体"/>
          <w:bCs/>
          <w:i/>
          <w:iCs/>
          <w:color w:val="auto"/>
          <w:sz w:val="24"/>
          <w:szCs w:val="24"/>
          <w:highlight w:val="none"/>
          <w:u w:val="single"/>
          <w:lang w:val="zh-CN"/>
        </w:rPr>
        <w:t xml:space="preserve">所有项目完工、电梯设备安装后通过南通市市场监督管理局专业检测合格且</w:t>
      </w:r>
      <w:r>
        <w:rPr>
          <w:rFonts w:hint="eastAsia" w:ascii="宋体" w:hAnsi="宋体" w:cs="宋体"/>
          <w:bCs/>
          <w:i/>
          <w:iCs/>
          <w:color w:val="auto"/>
          <w:sz w:val="24"/>
          <w:szCs w:val="24"/>
          <w:highlight w:val="none"/>
          <w:u w:val="single"/>
        </w:rPr>
        <w:t xml:space="preserve">项目</w:t>
      </w:r>
      <w:r>
        <w:rPr>
          <w:rFonts w:hint="eastAsia" w:ascii="宋体" w:hAnsi="宋体" w:cs="宋体"/>
          <w:bCs/>
          <w:i/>
          <w:iCs/>
          <w:color w:val="auto"/>
          <w:sz w:val="24"/>
          <w:szCs w:val="24"/>
          <w:highlight w:val="none"/>
          <w:u w:val="single"/>
          <w:lang w:val="zh-CN"/>
        </w:rPr>
        <w:t xml:space="preserve">验收合格（包括所有装潢到位）并提供完整资料，交付电梯钥匙后，支付合同价的</w:t>
      </w:r>
      <w:r>
        <w:rPr>
          <w:rFonts w:hint="eastAsia" w:ascii="宋体" w:hAnsi="宋体" w:cs="宋体"/>
          <w:bCs/>
          <w:i/>
          <w:iCs/>
          <w:color w:val="auto"/>
          <w:sz w:val="24"/>
          <w:szCs w:val="24"/>
          <w:highlight w:val="none"/>
          <w:u w:val="single"/>
        </w:rPr>
        <w:t xml:space="preserve">90</w:t>
      </w:r>
      <w:r>
        <w:rPr>
          <w:rFonts w:hint="eastAsia" w:ascii="宋体" w:hAnsi="宋体" w:cs="宋体"/>
          <w:bCs/>
          <w:i/>
          <w:iCs/>
          <w:color w:val="auto"/>
          <w:sz w:val="24"/>
          <w:szCs w:val="24"/>
          <w:highlight w:val="none"/>
          <w:u w:val="single"/>
          <w:lang w:val="zh-CN"/>
        </w:rPr>
        <w:t xml:space="preserve">%，余款</w:t>
      </w:r>
      <w:r>
        <w:rPr>
          <w:rFonts w:hint="eastAsia" w:ascii="宋体" w:hAnsi="宋体" w:cs="宋体"/>
          <w:bCs/>
          <w:i/>
          <w:iCs/>
          <w:color w:val="auto"/>
          <w:sz w:val="24"/>
          <w:szCs w:val="24"/>
          <w:highlight w:val="none"/>
          <w:u w:val="single"/>
        </w:rPr>
        <w:t xml:space="preserve">10</w:t>
      </w:r>
      <w:r>
        <w:rPr>
          <w:rFonts w:hint="eastAsia" w:ascii="宋体" w:hAnsi="宋体" w:cs="宋体"/>
          <w:bCs/>
          <w:i/>
          <w:iCs/>
          <w:color w:val="auto"/>
          <w:sz w:val="24"/>
          <w:szCs w:val="24"/>
          <w:highlight w:val="none"/>
          <w:u w:val="single"/>
          <w:lang w:val="zh-CN"/>
        </w:rPr>
        <w:t xml:space="preserve">%在验收合格且无质量问题后 </w:t>
      </w:r>
      <w:r>
        <w:rPr>
          <w:rFonts w:hint="eastAsia" w:ascii="宋体" w:hAnsi="宋体" w:cs="宋体"/>
          <w:bCs/>
          <w:i/>
          <w:iCs/>
          <w:color w:val="auto"/>
          <w:sz w:val="24"/>
          <w:szCs w:val="24"/>
          <w:highlight w:val="none"/>
          <w:u w:val="single"/>
        </w:rPr>
        <w:t xml:space="preserve">60</w:t>
      </w:r>
      <w:r>
        <w:rPr>
          <w:rFonts w:hint="eastAsia" w:ascii="宋体" w:hAnsi="宋体" w:cs="宋体"/>
          <w:bCs/>
          <w:i/>
          <w:iCs/>
          <w:color w:val="auto"/>
          <w:sz w:val="24"/>
          <w:szCs w:val="24"/>
          <w:highlight w:val="none"/>
          <w:u w:val="single"/>
          <w:lang w:val="zh-CN"/>
        </w:rPr>
        <w:t xml:space="preserve">日内一次结清。</w:t>
      </w:r>
      <w:r>
        <w:rPr>
          <w:rFonts w:hint="eastAsia" w:ascii="宋体" w:hAnsi="宋体" w:cs="宋体"/>
          <w:bCs/>
          <w:i/>
          <w:iCs/>
          <w:color w:val="auto"/>
          <w:sz w:val="24"/>
          <w:szCs w:val="24"/>
          <w:highlight w:val="none"/>
          <w:u w:val="single"/>
        </w:rPr>
        <w:t xml:space="preserve">甲方</w:t>
      </w:r>
      <w:r>
        <w:rPr>
          <w:rFonts w:hint="eastAsia" w:ascii="宋体" w:hAnsi="宋体" w:cs="宋体"/>
          <w:bCs/>
          <w:i/>
          <w:iCs/>
          <w:color w:val="auto"/>
          <w:sz w:val="24"/>
          <w:szCs w:val="24"/>
          <w:highlight w:val="none"/>
          <w:u w:val="single"/>
          <w:lang w:val="zh-CN"/>
        </w:rPr>
        <w:t xml:space="preserve">应在收到发票后</w:t>
      </w:r>
      <w:r>
        <w:rPr>
          <w:rFonts w:hint="eastAsia" w:ascii="宋体" w:hAnsi="宋体" w:cs="宋体"/>
          <w:bCs/>
          <w:i/>
          <w:iCs/>
          <w:color w:val="auto"/>
          <w:sz w:val="24"/>
          <w:szCs w:val="24"/>
          <w:highlight w:val="none"/>
          <w:u w:val="single"/>
        </w:rPr>
        <w:t xml:space="preserve">10个工作日内将资金支付到乙方账户。 </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履约保证金要求</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1、履约保证金是否收取： 是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2、履约保证金的数额： 本项目中标后的履约保证金为项目中标价的 </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 %。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3、缴纳履约保证金时间：中标供应商在中标通知书发出之日起</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日内。</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4、缴纳履约保证金形式：支票、汇票、本票或者金融机构、担保机构出具的保函、履约保证金保险  等非现金形式。</w:t>
      </w:r>
      <w:r/>
    </w:p>
    <w:p>
      <w:pPr>
        <w:ind w:left="525" w:firstLine="480"/>
        <w:spacing w:line="480" w:lineRule="exact"/>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207645</wp:posOffset>
                </wp:positionV>
                <wp:extent cx="5615940" cy="0"/>
                <wp:effectExtent l="0" t="0" r="381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0.8pt,16.3pt" to="442.9pt,16.3pt" filled="f" strokecolor="#000000">
                <v:stroke dashstyle="dash"/>
              </v:line>
            </w:pict>
          </mc:Fallback>
        </mc:AlternateContent>
      </w:r>
      <w:r>
        <w:rPr>
          <w:rFonts w:hint="eastAsia" w:ascii="宋体" w:hAnsi="宋体" w:cs="宋体"/>
          <w:color w:val="auto"/>
          <w:sz w:val="24"/>
          <w:szCs w:val="24"/>
          <w:highlight w:val="none"/>
        </w:rPr>
        <w:t xml:space="preserve">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5、退还履约保证金时间： 中标供应商在按要求保质保量的完成该项目合同并经验收合格后。</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6、退还履约保证金方式： 根据中标供应商缴纳的履约保证金对应具体退还形式一次性退还该合同项目的履约保证金。</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7、退还履约保证金条件：中标供应商在按要求保质保量的完成该项目合同并通过验收后，采购人凭中标供应商提交的申请，一次性退还该合同项目的履约保证金。</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left="525" w:firstLine="480"/>
        <w:spacing w:line="480" w:lineRule="exact"/>
        <w:rPr>
          <w:rFonts w:ascii="宋体" w:hAnsi="宋体" w:cs="宋体"/>
          <w:b/>
          <w:bCs/>
          <w:color w:val="auto"/>
          <w:sz w:val="28"/>
          <w:szCs w:val="28"/>
          <w:highlight w:val="none"/>
        </w:rPr>
      </w:pPr>
      <w:r>
        <w:rPr>
          <w:rFonts w:hint="eastAsia" w:ascii="宋体" w:hAnsi="宋体" w:cs="宋体"/>
          <w:color w:val="auto"/>
          <w:sz w:val="24"/>
          <w:szCs w:val="24"/>
          <w:highlight w:val="none"/>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hint="eastAsia" w:ascii="宋体" w:hAnsi="宋体" w:cs="宋体"/>
          <w:color w:val="auto"/>
          <w:sz w:val="24"/>
          <w:szCs w:val="24"/>
          <w:highlight w:val="none"/>
        </w:rPr>
        <w:t xml:space="preserve">http://ggzyjy.nantong.gov.cn/NTdzbhweb/supermarket/</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）“履约保证保险”模块在线申请履约保证保险投保。</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采购标的的验收标准</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1、验收标准及规范</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电梯安装验收规范：GB10060-2011</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电梯装置安装工程电梯电气装置施工及验收规范GB50310-2002</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电梯工程施工质量验收规范：GB50310-2002</w:t>
      </w:r>
      <w:r/>
    </w:p>
    <w:p>
      <w:pPr>
        <w:ind w:left="141" w:firstLine="480"/>
        <w:spacing w:line="48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、验收方法</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货物全部到达安装地点后，需当场开箱验货，如发现货物短缺、质次、损坏、产地不符等问题，应作详细记录，先由中标供应商立即无条件为采购人调换或补充，再检查原因，追究责任。货物工地的保管由中标供应商自行负责。</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安装、调试及试运行完毕后，先经采购人及上级相关单位初验认可，再由中标供应商及安装单位向技术质监部门申报验收，并负责通过验收，将取得的电梯安全使用许可证交予采购人。取得的电梯安全使用许可证后，由中标供应商提出整体验收申请，采购人收到验收申请后7个工作日内组织验收并签字确认。</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如三方对验收结果有分歧，则以采购人所在地的市级技术监督局的检验结果为准，检验费用由过错的一方承担。</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3、安装结束，中标供应商先行调试检测；符合标准后中标供应商负责向法定主管部门申报验收，费用由中标供应商负责。 验收合格取得使用证后中标供应商应提供免费培训服务（ 1-2 名人员）。响应供应商应向采购人提供详细出厂质量检验标准、质量证明、出厂合格证、验收手册、安装调试报告及检测数据。</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验收通过并不因此免除在以后货物的使用中中标供应商对其货物质量缺陷所应承担的责任。供应商所供货物最终验收后，中标供应商应对由于设计、工艺或材料的缺陷而发生的任何不足或故障负责，并承担由此引起的一切后果。</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非单一产品采购项目，采购标的中的核心产品</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5021"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核心产品</w:t>
            </w:r>
            <w:r/>
          </w:p>
        </w:tc>
      </w:tr>
      <w:tr>
        <w:trPr>
          <w:jc w:val="center"/>
        </w:trPr>
        <w:tc>
          <w:tcPr>
            <w:tcW w:w="1216"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5021"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仿宋" w:hAnsi="仿宋" w:eastAsia="仿宋" w:cs="仿宋"/>
                <w:color w:val="auto"/>
                <w:sz w:val="28"/>
                <w:szCs w:val="28"/>
                <w:highlight w:val="none"/>
              </w:rPr>
              <w:t xml:space="preserve">无机房客梯</w:t>
            </w:r>
            <w:r/>
          </w:p>
        </w:tc>
      </w:tr>
    </w:tbl>
    <w:p>
      <w:pPr>
        <w:pStyle w:val="1113"/>
        <w:ind w:firstLine="0"/>
        <w:rPr>
          <w:rFonts w:ascii="宋体" w:hAnsi="宋体" w:eastAsia="宋体" w:cs="宋体"/>
          <w:color w:val="auto"/>
          <w:highlight w:val="none"/>
        </w:rPr>
      </w:pPr>
      <w:r>
        <w:rPr>
          <w:rFonts w:ascii="宋体" w:hAnsi="宋体" w:eastAsia="宋体" w:cs="宋体"/>
          <w:color w:val="auto"/>
          <w:highlight w:val="none"/>
        </w:rPr>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样品</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无</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演示讲解</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无 </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 不 </w:t>
      </w:r>
      <w:r>
        <w:rPr>
          <w:rFonts w:hint="eastAsia" w:ascii="宋体" w:hAnsi="宋体" w:cs="宋体"/>
          <w:b/>
          <w:bCs/>
          <w:color w:val="auto"/>
          <w:sz w:val="28"/>
          <w:szCs w:val="28"/>
          <w:highlight w:val="none"/>
        </w:rPr>
        <w:t xml:space="preserve">接受进口产品投标</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采购标的的其他服务要求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技术要求(规格)只是对产品的一些原则性要求，并不是详尽的要求，响应供应商有责任依据相关设计技术规范和有关行业国家标准执行。中标供应商应对响应内容所涉及的专利承担一切后果，由此引起的纠纷与采购单位无关。</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2、所报配置为主要配置，其他按标准配置配备；不得在原厂标准配置的基础上减少或降低技术配置。报价含交付使用前一切费用，不接受选择性报价。</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3、中标供应商不得以设置密码、远程监控、技术垄断等任何影响建设（使用）单位后续更换维保单位的权利。应积极配合当面交接以及提供必要的技术支持等业务。</w:t>
      </w:r>
      <w:r/>
    </w:p>
    <w:p>
      <w:pPr>
        <w:ind w:firstLine="480"/>
        <w:rPr>
          <w:rFonts w:ascii="宋体" w:hAnsi="宋体" w:cs="宋体"/>
          <w:color w:val="auto"/>
          <w:sz w:val="24"/>
          <w:szCs w:val="24"/>
          <w:highlight w:val="none"/>
        </w:rPr>
      </w:pPr>
      <w:r>
        <w:rPr>
          <w:rFonts w:hint="eastAsia" w:ascii="宋体" w:hAnsi="宋体" w:cs="宋体"/>
          <w:bCs/>
          <w:color w:val="auto"/>
          <w:sz w:val="24"/>
          <w:szCs w:val="24"/>
          <w:highlight w:val="none"/>
        </w:rPr>
        <w:t xml:space="preserve">4、响应供应商需提供完整的售后服务方案、培训方案、项目实施方案和质量保证措施，按常规或为了确保设备正常使用、维护，中标供应商需向采购人提供的备品备件及专用工具。中标供应商应免费对采购人技术人员进行操作、保养、维修等方面的培训，并且提供免费的技术咨询服务，制定详细的培训计划，确保使用人员熟练操作设备及相关软件功能。</w:t>
      </w:r>
      <w:r/>
    </w:p>
    <w:p>
      <w:pPr>
        <w:ind w:firstLine="480"/>
        <w:rPr>
          <w:rFonts w:ascii="宋体" w:hAnsi="宋体" w:cs="宋体"/>
          <w:color w:val="auto"/>
          <w:highlight w:val="none"/>
        </w:rPr>
      </w:pPr>
      <w:r>
        <w:rPr>
          <w:rFonts w:hint="eastAsia" w:ascii="宋体" w:hAnsi="宋体" w:cs="宋体"/>
          <w:bCs/>
          <w:color w:val="auto"/>
          <w:sz w:val="24"/>
          <w:szCs w:val="24"/>
          <w:highlight w:val="none"/>
        </w:rPr>
        <w:t xml:space="preserve">4、本项目中标后不允许转包。</w:t>
      </w:r>
      <w:r/>
    </w:p>
    <w:p>
      <w:pPr>
        <w:ind w:firstLine="360"/>
        <w:spacing w:line="400" w:lineRule="exact"/>
        <w:rPr>
          <w:rFonts w:ascii="宋体" w:hAnsi="宋体" w:cs="宋体"/>
          <w:bCs/>
          <w:i/>
          <w:color w:val="auto"/>
          <w:sz w:val="24"/>
          <w:highlight w:val="none"/>
          <w:u w:val="single"/>
        </w:rPr>
      </w:pPr>
      <w:r>
        <w:rPr>
          <w:rFonts w:hint="eastAsia" w:ascii="宋体" w:hAnsi="宋体" w:cs="宋体"/>
          <w:b/>
          <w:color w:val="auto"/>
          <w:sz w:val="30"/>
          <w:szCs w:val="30"/>
          <w:highlight w:val="none"/>
        </w:rPr>
        <w:t xml:space="preserve">五、采购需求中必须满足的实质性要求</w:t>
      </w:r>
      <w:r>
        <w:rPr>
          <w:rFonts w:hint="eastAsia" w:ascii="宋体" w:hAnsi="宋体" w:cs="宋体"/>
          <w:b/>
          <w:bCs/>
          <w:color w:val="auto"/>
          <w:sz w:val="24"/>
          <w:highlight w:val="none"/>
        </w:rPr>
        <w:t xml:space="preserve">（本招标文件中</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或加*号条款为实质性要求）</w:t>
      </w:r>
      <w:r>
        <w:rPr>
          <w:rFonts w:hint="eastAsia" w:ascii="宋体" w:hAnsi="宋体" w:cs="宋体"/>
          <w:b/>
          <w:color w:val="auto"/>
          <w:sz w:val="30"/>
          <w:szCs w:val="30"/>
          <w:highlight w:val="none"/>
        </w:rPr>
        <w:t xml:space="preserve">。</w:t>
      </w:r>
      <w:r/>
    </w:p>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（一）技术部分实质性要求（请单独列出并加斜体下划线）</w:t>
      </w:r>
      <w:r/>
    </w:p>
    <w:tbl>
      <w:tblPr>
        <w:tblStyle w:val="828"/>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1</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设备参数要求及制作</w:t>
            </w:r>
            <w:r>
              <w:rPr>
                <w:rFonts w:hint="eastAsia" w:ascii="仿宋" w:hAnsi="仿宋" w:eastAsia="仿宋" w:cs="仿宋"/>
                <w:bCs/>
                <w:i/>
                <w:color w:val="auto"/>
                <w:sz w:val="24"/>
                <w:szCs w:val="24"/>
                <w:highlight w:val="none"/>
                <w:u w:val="single"/>
                <w:lang w:val="zh-CN"/>
              </w:rPr>
              <w:t xml:space="preserve">要求</w:t>
            </w:r>
            <w:r>
              <w:rPr>
                <w:rFonts w:hint="eastAsia" w:ascii="仿宋" w:hAnsi="仿宋" w:eastAsia="仿宋" w:cs="仿宋"/>
                <w:b/>
                <w:i/>
                <w:color w:val="auto"/>
                <w:sz w:val="24"/>
                <w:szCs w:val="24"/>
                <w:highlight w:val="none"/>
                <w:u w:val="single"/>
              </w:rPr>
              <w:t xml:space="preserve">（依据要求提供相关佐证材料及承诺函，作书面承诺的，格式自拟）</w:t>
            </w:r>
            <w:r/>
          </w:p>
        </w:tc>
        <w:tc>
          <w:tcPr>
            <w:tcW w:w="5641"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供应商须对技术要求（三）中4、设备参数要求及制作</w:t>
            </w:r>
            <w:r>
              <w:rPr>
                <w:rFonts w:hint="eastAsia" w:ascii="仿宋" w:hAnsi="仿宋" w:eastAsia="仿宋" w:cs="仿宋"/>
                <w:bCs/>
                <w:i/>
                <w:color w:val="auto"/>
                <w:sz w:val="24"/>
                <w:szCs w:val="24"/>
                <w:highlight w:val="none"/>
                <w:u w:val="single"/>
                <w:lang w:val="zh-CN"/>
              </w:rPr>
              <w:t xml:space="preserve">要求</w:t>
            </w:r>
            <w:r>
              <w:rPr>
                <w:rFonts w:hint="eastAsia" w:ascii="仿宋" w:hAnsi="仿宋" w:eastAsia="仿宋" w:cs="仿宋"/>
                <w:bCs/>
                <w:i/>
                <w:color w:val="auto"/>
                <w:sz w:val="24"/>
                <w:szCs w:val="24"/>
                <w:highlight w:val="none"/>
                <w:u w:val="single"/>
              </w:rPr>
              <w:t xml:space="preserve">中</w:t>
            </w:r>
            <w:r>
              <w:rPr>
                <w:rFonts w:hint="eastAsia" w:ascii="仿宋" w:hAnsi="仿宋" w:eastAsia="仿宋" w:cs="仿宋"/>
                <w:b/>
                <w:i/>
                <w:color w:val="auto"/>
                <w:sz w:val="24"/>
                <w:szCs w:val="24"/>
                <w:highlight w:val="none"/>
                <w:u w:val="single"/>
                <w:lang w:val="zh-CN"/>
              </w:rPr>
              <w:t xml:space="preserve">土建项目、电梯及配套部分</w:t>
            </w:r>
            <w:r>
              <w:rPr>
                <w:rFonts w:hint="eastAsia" w:ascii="仿宋" w:hAnsi="仿宋" w:eastAsia="仿宋" w:cs="仿宋"/>
                <w:bCs/>
                <w:i/>
                <w:color w:val="auto"/>
                <w:sz w:val="24"/>
                <w:szCs w:val="24"/>
                <w:highlight w:val="none"/>
                <w:u w:val="single"/>
              </w:rPr>
              <w:t xml:space="preserve">逐一</w:t>
            </w:r>
            <w:r>
              <w:rPr>
                <w:rFonts w:hint="eastAsia" w:ascii="仿宋" w:hAnsi="仿宋" w:eastAsia="仿宋" w:cs="仿宋"/>
                <w:bCs/>
                <w:i/>
                <w:color w:val="auto"/>
                <w:sz w:val="24"/>
                <w:szCs w:val="24"/>
                <w:highlight w:val="none"/>
                <w:u w:val="single"/>
                <w:lang w:val="zh-CN"/>
              </w:rPr>
              <w:t xml:space="preserve">作</w:t>
            </w:r>
            <w:r>
              <w:rPr>
                <w:rFonts w:hint="eastAsia" w:ascii="仿宋" w:hAnsi="仿宋" w:eastAsia="仿宋" w:cs="仿宋"/>
                <w:bCs/>
                <w:i/>
                <w:color w:val="auto"/>
                <w:sz w:val="24"/>
                <w:szCs w:val="24"/>
                <w:highlight w:val="none"/>
                <w:u w:val="single"/>
              </w:rPr>
              <w:t xml:space="preserve">出响应，必须达到或优于采购文件要求。</w:t>
            </w:r>
            <w:r>
              <w:rPr>
                <w:rFonts w:hint="eastAsia" w:ascii="仿宋" w:hAnsi="仿宋" w:eastAsia="仿宋" w:cs="仿宋"/>
                <w:bCs/>
                <w:i/>
                <w:color w:val="auto"/>
                <w:sz w:val="24"/>
                <w:szCs w:val="24"/>
                <w:highlight w:val="none"/>
                <w:u w:val="single"/>
                <w:lang w:val="zh-CN"/>
              </w:rPr>
              <w:t xml:space="preserve">响应供应商应当按照要求提供产品的规格表和功能表</w:t>
            </w:r>
            <w:r>
              <w:rPr>
                <w:rFonts w:hint="eastAsia" w:ascii="仿宋" w:hAnsi="仿宋" w:eastAsia="仿宋" w:cs="仿宋"/>
                <w:bCs/>
                <w:i/>
                <w:color w:val="auto"/>
                <w:sz w:val="24"/>
                <w:szCs w:val="24"/>
                <w:highlight w:val="none"/>
                <w:u w:val="single"/>
              </w:rPr>
              <w:t xml:space="preserve">等</w:t>
            </w:r>
            <w:r>
              <w:rPr>
                <w:rFonts w:hint="eastAsia" w:ascii="仿宋" w:hAnsi="仿宋" w:eastAsia="仿宋" w:cs="仿宋"/>
                <w:bCs/>
                <w:i/>
                <w:color w:val="auto"/>
                <w:sz w:val="24"/>
                <w:szCs w:val="24"/>
                <w:highlight w:val="none"/>
                <w:u w:val="single"/>
                <w:lang w:val="zh-CN"/>
              </w:rPr>
              <w:t xml:space="preserve">相关证明材料或承诺函说明（证明材料均需是原件的扫描件加盖投标单位公章，承诺函加盖投标单位公章）。</w:t>
            </w:r>
            <w:r>
              <w:rPr>
                <w:rFonts w:hint="eastAsia" w:ascii="仿宋" w:hAnsi="仿宋" w:eastAsia="仿宋" w:cs="仿宋"/>
                <w:bCs/>
                <w:i/>
                <w:color w:val="auto"/>
                <w:sz w:val="24"/>
                <w:szCs w:val="24"/>
                <w:highlight w:val="none"/>
                <w:u w:val="single"/>
              </w:rPr>
              <w:t xml:space="preserve">供应商响应内容不全或响应内容不明确或不满足要求的，均视为未实质性响应。</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ascii="宋体" w:hAnsi="宋体" w:cs="宋体"/>
                <w:bCs/>
                <w:i/>
                <w:color w:val="auto"/>
                <w:sz w:val="24"/>
                <w:szCs w:val="24"/>
                <w:highlight w:val="none"/>
                <w:u w:val="single"/>
              </w:rPr>
              <w:t xml:space="preserve">2</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二次深化设计承诺</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合同签订后7日内完成本项目内容范围内的所有专业工程二次（深化）设计，设计应满足现行相关设计标准，按采购人要求按时按质提交设计成果。</w:t>
            </w:r>
            <w:r/>
          </w:p>
        </w:tc>
      </w:tr>
    </w:tbl>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（二）商务部分实质性要求（请单独列出并加斜体下划线）</w:t>
      </w:r>
      <w:r/>
    </w:p>
    <w:tbl>
      <w:tblPr>
        <w:tblStyle w:val="828"/>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1</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交付时间响应</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cs="仿宋"/>
                <w:bCs/>
                <w:i/>
                <w:color w:val="auto"/>
                <w:sz w:val="24"/>
                <w:szCs w:val="24"/>
                <w:highlight w:val="none"/>
                <w:u w:val="single"/>
              </w:rPr>
            </w:pPr>
            <w:r>
              <w:rPr>
                <w:rFonts w:hint="eastAsia" w:ascii="仿宋" w:hAnsi="仿宋" w:eastAsia="仿宋" w:cs="仿宋"/>
                <w:i/>
                <w:iCs/>
                <w:color w:val="auto"/>
                <w:spacing w:val="-2"/>
                <w:sz w:val="24"/>
                <w:szCs w:val="24"/>
                <w:highlight w:val="none"/>
                <w:u w:val="single"/>
              </w:rPr>
              <w:t xml:space="preserve">60日历天（其中合同</w:t>
            </w:r>
            <w:r>
              <w:rPr>
                <w:rFonts w:hint="eastAsia" w:ascii="仿宋" w:hAnsi="仿宋" w:eastAsia="仿宋" w:cs="仿宋"/>
                <w:i/>
                <w:iCs/>
                <w:color w:val="auto"/>
                <w:spacing w:val="-3"/>
                <w:sz w:val="24"/>
                <w:szCs w:val="24"/>
                <w:highlight w:val="none"/>
                <w:u w:val="single"/>
              </w:rPr>
              <w:t xml:space="preserve">签订后</w:t>
            </w:r>
            <w:r>
              <w:rPr>
                <w:rFonts w:hint="eastAsia" w:ascii="仿宋" w:hAnsi="仿宋" w:eastAsia="仿宋" w:cs="仿宋"/>
                <w:i/>
                <w:iCs/>
                <w:color w:val="auto"/>
                <w:spacing w:val="-45"/>
                <w:sz w:val="24"/>
                <w:szCs w:val="24"/>
                <w:highlight w:val="none"/>
                <w:u w:val="single"/>
              </w:rPr>
              <w:t xml:space="preserve">7</w:t>
            </w:r>
            <w:r>
              <w:rPr>
                <w:rFonts w:hint="eastAsia" w:ascii="仿宋" w:hAnsi="仿宋" w:eastAsia="仿宋" w:cs="仿宋"/>
                <w:i/>
                <w:iCs/>
                <w:color w:val="auto"/>
                <w:spacing w:val="-3"/>
                <w:sz w:val="24"/>
                <w:szCs w:val="24"/>
                <w:highlight w:val="none"/>
                <w:u w:val="single"/>
              </w:rPr>
              <w:t xml:space="preserve">个日历天内必须完成勘察、二次深化</w:t>
            </w:r>
            <w:r>
              <w:rPr>
                <w:rFonts w:hint="eastAsia" w:ascii="仿宋" w:hAnsi="仿宋" w:eastAsia="仿宋" w:cs="仿宋"/>
                <w:i/>
                <w:iCs/>
                <w:color w:val="auto"/>
                <w:spacing w:val="-1"/>
                <w:sz w:val="24"/>
                <w:szCs w:val="24"/>
                <w:highlight w:val="none"/>
                <w:u w:val="single"/>
              </w:rPr>
              <w:t xml:space="preserve">设计、方案优化及施工效果图设计并经采购人审查通过）</w:t>
            </w:r>
            <w:r>
              <w:rPr>
                <w:rFonts w:hint="eastAsia" w:ascii="仿宋" w:hAnsi="仿宋" w:eastAsia="仿宋" w:cs="仿宋"/>
                <w:i/>
                <w:iCs/>
                <w:color w:val="auto"/>
                <w:sz w:val="24"/>
                <w:szCs w:val="24"/>
                <w:highlight w:val="none"/>
                <w:u w:val="single"/>
              </w:rPr>
              <w:t xml:space="preserve">全部供货及安装完毕，</w:t>
            </w:r>
            <w:r>
              <w:rPr>
                <w:rFonts w:hint="eastAsia" w:ascii="仿宋" w:hAnsi="仿宋" w:eastAsia="仿宋" w:cs="仿宋"/>
                <w:i/>
                <w:iCs/>
                <w:color w:val="auto"/>
                <w:spacing w:val="-1"/>
                <w:sz w:val="24"/>
                <w:szCs w:val="24"/>
                <w:highlight w:val="none"/>
                <w:u w:val="single"/>
              </w:rPr>
              <w:t xml:space="preserve">经南通市市场监督管理局验收合格，颁发使用许可证，</w:t>
            </w:r>
            <w:r>
              <w:rPr>
                <w:rFonts w:hint="eastAsia" w:ascii="仿宋" w:hAnsi="仿宋" w:eastAsia="仿宋" w:cs="仿宋"/>
                <w:i/>
                <w:iCs/>
                <w:color w:val="auto"/>
                <w:sz w:val="24"/>
                <w:szCs w:val="24"/>
                <w:highlight w:val="none"/>
                <w:u w:val="single"/>
              </w:rPr>
              <w:t xml:space="preserve">并完成全部验收工作</w:t>
            </w:r>
            <w:r>
              <w:rPr>
                <w:rFonts w:hint="eastAsia" w:ascii="宋体" w:hAnsi="宋体" w:cs="宋体"/>
                <w:color w:val="auto"/>
                <w:sz w:val="24"/>
                <w:szCs w:val="24"/>
                <w:highlight w:val="none"/>
                <w:u w:val="single"/>
              </w:rPr>
              <w:t xml:space="preserve"> 。</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2</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售后服务响应</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eastAsia="仿宋" w:cs="仿宋"/>
                <w:i/>
                <w:color w:val="auto"/>
                <w:sz w:val="24"/>
                <w:szCs w:val="24"/>
                <w:highlight w:val="none"/>
                <w:u w:val="single"/>
                <w:lang w:val="zh-CN"/>
              </w:rPr>
            </w:pPr>
            <w:r>
              <w:rPr>
                <w:rFonts w:hint="eastAsia" w:ascii="仿宋" w:hAnsi="仿宋" w:eastAsia="仿宋" w:cs="仿宋"/>
                <w:bCs/>
                <w:i/>
                <w:color w:val="auto"/>
                <w:sz w:val="24"/>
                <w:szCs w:val="24"/>
                <w:highlight w:val="none"/>
                <w:u w:val="single"/>
              </w:rPr>
              <w:t xml:space="preserve">供应商须售后服务中3年免费维保及整机原厂质保5年作出响应，必须达到或优于采购文件要求。供应商响应内容不全或响应内容不明确或不满足要求的，均视为未实质性响应。</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3</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项目施工人员要求（</w:t>
            </w:r>
            <w:r>
              <w:rPr>
                <w:rFonts w:hint="eastAsia" w:ascii="仿宋" w:hAnsi="仿宋" w:eastAsia="仿宋" w:cs="仿宋"/>
                <w:b/>
                <w:i/>
                <w:color w:val="auto"/>
                <w:sz w:val="24"/>
                <w:szCs w:val="24"/>
                <w:highlight w:val="none"/>
                <w:u w:val="single"/>
              </w:rPr>
              <w:t xml:space="preserve">请做出书面承诺，</w:t>
            </w:r>
            <w:r>
              <w:rPr>
                <w:rFonts w:hint="eastAsia" w:ascii="宋体" w:hAnsi="宋体" w:cs="宋体"/>
                <w:bCs/>
                <w:i/>
                <w:iCs/>
                <w:color w:val="auto"/>
                <w:sz w:val="24"/>
                <w:szCs w:val="24"/>
                <w:highlight w:val="none"/>
                <w:u w:val="single"/>
              </w:rPr>
              <w:t xml:space="preserve">响应文件中应提供相关人员的配备情况和相关证件、证明材料。</w:t>
            </w:r>
            <w:r>
              <w:rPr>
                <w:rFonts w:hint="eastAsia" w:ascii="仿宋" w:hAnsi="仿宋" w:eastAsia="仿宋" w:cs="仿宋"/>
                <w:b/>
                <w:i/>
                <w:color w:val="auto"/>
                <w:sz w:val="24"/>
                <w:szCs w:val="24"/>
                <w:highlight w:val="none"/>
                <w:u w:val="single"/>
              </w:rPr>
              <w:t xml:space="preserve">格式自拟</w:t>
            </w:r>
            <w:r>
              <w:rPr>
                <w:rFonts w:hint="eastAsia" w:ascii="宋体" w:hAnsi="宋体" w:cs="宋体"/>
                <w:bCs/>
                <w:i/>
                <w:color w:val="auto"/>
                <w:sz w:val="24"/>
                <w:szCs w:val="24"/>
                <w:highlight w:val="none"/>
                <w:u w:val="single"/>
              </w:rPr>
              <w:t xml:space="preserve">）</w:t>
            </w:r>
            <w:r/>
          </w:p>
        </w:tc>
        <w:tc>
          <w:tcPr>
            <w:tcW w:w="5641" w:type="dxa"/>
            <w:textDirection w:val="lrTb"/>
            <w:noWrap w:val="false"/>
          </w:tcPr>
          <w:p>
            <w:pPr>
              <w:spacing w:line="400" w:lineRule="exact"/>
              <w:rPr>
                <w:rFonts w:ascii="仿宋" w:hAnsi="仿宋" w:eastAsia="仿宋" w:cs="仿宋"/>
                <w:i/>
                <w:color w:val="auto"/>
                <w:sz w:val="24"/>
                <w:szCs w:val="24"/>
                <w:highlight w:val="none"/>
                <w:u w:val="single"/>
              </w:rPr>
            </w:pPr>
            <w:r>
              <w:rPr>
                <w:rFonts w:hint="eastAsia" w:ascii="宋体" w:hAnsi="宋体" w:cs="宋体"/>
                <w:bCs/>
                <w:i/>
                <w:iCs/>
                <w:color w:val="auto"/>
                <w:sz w:val="24"/>
                <w:szCs w:val="24"/>
                <w:highlight w:val="none"/>
                <w:u w:val="single"/>
              </w:rPr>
              <w:t xml:space="preserve">项目施工人员要求：供应商须按</w:t>
            </w:r>
            <w:r>
              <w:rPr>
                <w:rFonts w:ascii="宋体" w:hAnsi="宋体" w:cs="宋体"/>
                <w:bCs/>
                <w:i/>
                <w:iCs/>
                <w:color w:val="auto"/>
                <w:sz w:val="24"/>
                <w:szCs w:val="24"/>
                <w:highlight w:val="none"/>
                <w:u w:val="single"/>
              </w:rPr>
              <w:t xml:space="preserve">TSG 07</w:t>
            </w:r>
            <w:r>
              <w:rPr>
                <w:rFonts w:hint="eastAsia" w:ascii="MS Gothic" w:hAnsi="MS Gothic" w:eastAsia="MS Gothic" w:cs="MS Gothic"/>
                <w:bCs/>
                <w:i/>
                <w:iCs/>
                <w:color w:val="auto"/>
                <w:sz w:val="24"/>
                <w:szCs w:val="24"/>
                <w:highlight w:val="none"/>
                <w:u w:val="single"/>
              </w:rPr>
              <w:t xml:space="preserve">‑</w:t>
            </w:r>
            <w:r>
              <w:rPr>
                <w:rFonts w:ascii="宋体" w:hAnsi="宋体" w:cs="宋体"/>
                <w:bCs/>
                <w:i/>
                <w:iCs/>
                <w:color w:val="auto"/>
                <w:sz w:val="24"/>
                <w:szCs w:val="24"/>
                <w:highlight w:val="none"/>
                <w:u w:val="single"/>
              </w:rPr>
              <w:t xml:space="preserve">2019</w:t>
            </w:r>
            <w:r>
              <w:rPr>
                <w:rFonts w:hint="eastAsia" w:ascii="宋体" w:hAnsi="宋体" w:cs="宋体"/>
                <w:bCs/>
                <w:i/>
                <w:iCs/>
                <w:color w:val="auto"/>
                <w:sz w:val="24"/>
                <w:szCs w:val="24"/>
                <w:highlight w:val="none"/>
                <w:u w:val="single"/>
              </w:rPr>
              <w:t xml:space="preserve">配置专业人员不少于6人的施工团队。其中项目负责人1名须提供机电建造师</w:t>
            </w:r>
            <w:r>
              <w:rPr>
                <w:rFonts w:ascii="宋体" w:hAnsi="宋体" w:cs="宋体"/>
                <w:bCs/>
                <w:i/>
                <w:iCs/>
                <w:color w:val="auto"/>
                <w:sz w:val="24"/>
                <w:szCs w:val="24"/>
                <w:highlight w:val="none"/>
                <w:u w:val="single"/>
              </w:rPr>
              <w:t xml:space="preserve">+B</w:t>
            </w:r>
            <w:r>
              <w:rPr>
                <w:rFonts w:hint="eastAsia" w:ascii="宋体" w:hAnsi="宋体" w:cs="宋体"/>
                <w:bCs/>
                <w:i/>
                <w:iCs/>
                <w:color w:val="auto"/>
                <w:sz w:val="24"/>
                <w:szCs w:val="24"/>
                <w:highlight w:val="none"/>
                <w:u w:val="single"/>
              </w:rPr>
              <w:t xml:space="preserve">证，具备</w:t>
            </w:r>
            <w:r>
              <w:rPr>
                <w:rFonts w:ascii="宋体" w:hAnsi="宋体" w:cs="宋体"/>
                <w:bCs/>
                <w:i/>
                <w:iCs/>
                <w:color w:val="auto"/>
                <w:sz w:val="24"/>
                <w:szCs w:val="24"/>
                <w:highlight w:val="none"/>
                <w:u w:val="single"/>
              </w:rPr>
              <w:t xml:space="preserve">2</w:t>
            </w:r>
            <w:r>
              <w:rPr>
                <w:rFonts w:hint="eastAsia" w:ascii="宋体" w:hAnsi="宋体" w:cs="宋体"/>
                <w:bCs/>
                <w:i/>
                <w:iCs/>
                <w:color w:val="auto"/>
                <w:sz w:val="24"/>
                <w:szCs w:val="24"/>
                <w:highlight w:val="none"/>
                <w:u w:val="single"/>
              </w:rPr>
              <w:t xml:space="preserve">年以上电梯安装项目管理经验（在合同或验收单中证明）；井道内作业人员不少于4人，其中现场安装调试人员全部持有有效电梯修理</w:t>
            </w:r>
            <w:r>
              <w:rPr>
                <w:rFonts w:ascii="宋体" w:hAnsi="宋体" w:cs="宋体"/>
                <w:bCs/>
                <w:i/>
                <w:iCs/>
                <w:color w:val="auto"/>
                <w:sz w:val="24"/>
                <w:szCs w:val="24"/>
                <w:highlight w:val="none"/>
                <w:u w:val="single"/>
              </w:rPr>
              <w:t xml:space="preserve">T</w:t>
            </w:r>
            <w:r>
              <w:rPr>
                <w:rFonts w:hint="eastAsia" w:ascii="宋体" w:hAnsi="宋体" w:cs="宋体"/>
                <w:bCs/>
                <w:i/>
                <w:iCs/>
                <w:color w:val="auto"/>
                <w:sz w:val="24"/>
                <w:szCs w:val="24"/>
                <w:highlight w:val="none"/>
                <w:u w:val="single"/>
              </w:rPr>
              <w:t xml:space="preserve">证；电气接线人员配备低压电工证。井道外配合及安全管控人员不少于1人。以上所有人员均为本单位在职人员并提供社保证明；提供无特种设备安全责任事故记录证明。</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4</w:t>
            </w:r>
            <w:r/>
          </w:p>
        </w:tc>
        <w:tc>
          <w:tcPr>
            <w:tcW w:w="2050"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付款方式（</w:t>
            </w:r>
            <w:r>
              <w:rPr>
                <w:rFonts w:hint="eastAsia" w:ascii="仿宋" w:hAnsi="仿宋" w:eastAsia="仿宋" w:cs="仿宋"/>
                <w:b/>
                <w:i/>
                <w:color w:val="auto"/>
                <w:sz w:val="24"/>
                <w:szCs w:val="24"/>
                <w:highlight w:val="none"/>
                <w:u w:val="single"/>
              </w:rPr>
              <w:t xml:space="preserve">请做出书面承诺，格式自拟</w:t>
            </w:r>
            <w:r>
              <w:rPr>
                <w:rFonts w:hint="eastAsia" w:ascii="宋体" w:hAnsi="宋体" w:cs="宋体"/>
                <w:bCs/>
                <w:i/>
                <w:color w:val="auto"/>
                <w:sz w:val="24"/>
                <w:szCs w:val="24"/>
                <w:highlight w:val="none"/>
                <w:u w:val="single"/>
              </w:rPr>
              <w:t xml:space="preserve">）</w:t>
            </w:r>
            <w:r/>
          </w:p>
        </w:tc>
        <w:tc>
          <w:tcPr>
            <w:tcW w:w="5641" w:type="dxa"/>
            <w:textDirection w:val="lrTb"/>
            <w:noWrap w:val="false"/>
          </w:tcPr>
          <w:p>
            <w:pPr>
              <w:spacing w:line="400" w:lineRule="exact"/>
              <w:rPr>
                <w:rFonts w:ascii="宋体" w:hAnsi="宋体" w:cs="宋体"/>
                <w:bCs/>
                <w:i/>
                <w:color w:val="auto"/>
                <w:sz w:val="24"/>
                <w:szCs w:val="24"/>
                <w:highlight w:val="none"/>
                <w:u w:val="single"/>
                <w:lang w:val="zh-CN"/>
              </w:rPr>
            </w:pPr>
            <w:r>
              <w:rPr>
                <w:rFonts w:hint="eastAsia" w:ascii="仿宋" w:hAnsi="仿宋" w:eastAsia="仿宋" w:cs="仿宋"/>
                <w:i/>
                <w:color w:val="auto"/>
                <w:sz w:val="24"/>
                <w:szCs w:val="24"/>
                <w:highlight w:val="none"/>
                <w:u w:val="single"/>
                <w:lang w:val="zh-CN"/>
              </w:rPr>
              <w:t xml:space="preserve">所有项目完工、电梯设备安装后通过</w:t>
            </w:r>
            <w:r>
              <w:rPr>
                <w:rFonts w:hint="eastAsia" w:ascii="宋体" w:hAnsi="宋体" w:cs="宋体"/>
                <w:bCs/>
                <w:i/>
                <w:iCs/>
                <w:color w:val="auto"/>
                <w:sz w:val="24"/>
                <w:szCs w:val="24"/>
                <w:highlight w:val="none"/>
                <w:u w:val="single"/>
                <w:lang w:val="zh-CN"/>
              </w:rPr>
              <w:t xml:space="preserve">南通市市场监督管理局</w:t>
            </w:r>
            <w:r>
              <w:rPr>
                <w:rFonts w:hint="eastAsia" w:ascii="仿宋" w:hAnsi="仿宋" w:eastAsia="仿宋" w:cs="仿宋"/>
                <w:i/>
                <w:color w:val="auto"/>
                <w:sz w:val="24"/>
                <w:szCs w:val="24"/>
                <w:highlight w:val="none"/>
                <w:u w:val="single"/>
                <w:lang w:val="zh-CN"/>
              </w:rPr>
              <w:t xml:space="preserve">检测合格且</w:t>
            </w:r>
            <w:r>
              <w:rPr>
                <w:rFonts w:hint="eastAsia" w:ascii="仿宋" w:hAnsi="仿宋" w:eastAsia="仿宋" w:cs="仿宋"/>
                <w:i/>
                <w:color w:val="auto"/>
                <w:sz w:val="24"/>
                <w:szCs w:val="24"/>
                <w:highlight w:val="none"/>
                <w:u w:val="single"/>
              </w:rPr>
              <w:t xml:space="preserve">项目</w:t>
            </w:r>
            <w:r>
              <w:rPr>
                <w:rFonts w:hint="eastAsia" w:ascii="仿宋" w:hAnsi="仿宋" w:eastAsia="仿宋" w:cs="仿宋"/>
                <w:i/>
                <w:color w:val="auto"/>
                <w:sz w:val="24"/>
                <w:szCs w:val="24"/>
                <w:highlight w:val="none"/>
                <w:u w:val="single"/>
                <w:lang w:val="zh-CN"/>
              </w:rPr>
              <w:t xml:space="preserve">验收合格（包括所有装潢到位）并提供完整资料，交付电梯钥匙后，支付合同价的</w:t>
            </w:r>
            <w:r>
              <w:rPr>
                <w:rFonts w:hint="eastAsia" w:ascii="仿宋" w:hAnsi="仿宋" w:eastAsia="仿宋" w:cs="仿宋"/>
                <w:i/>
                <w:color w:val="auto"/>
                <w:sz w:val="24"/>
                <w:szCs w:val="24"/>
                <w:highlight w:val="none"/>
                <w:u w:val="single"/>
              </w:rPr>
              <w:t xml:space="preserve">90</w:t>
            </w:r>
            <w:r>
              <w:rPr>
                <w:rFonts w:hint="eastAsia" w:ascii="仿宋" w:hAnsi="仿宋" w:eastAsia="仿宋" w:cs="仿宋"/>
                <w:i/>
                <w:color w:val="auto"/>
                <w:sz w:val="24"/>
                <w:szCs w:val="24"/>
                <w:highlight w:val="none"/>
                <w:u w:val="single"/>
                <w:lang w:val="zh-CN"/>
              </w:rPr>
              <w:t xml:space="preserve">%，余款</w:t>
            </w:r>
            <w:r>
              <w:rPr>
                <w:rFonts w:hint="eastAsia" w:ascii="仿宋" w:hAnsi="仿宋" w:eastAsia="仿宋" w:cs="仿宋"/>
                <w:i/>
                <w:color w:val="auto"/>
                <w:sz w:val="24"/>
                <w:szCs w:val="24"/>
                <w:highlight w:val="none"/>
                <w:u w:val="single"/>
              </w:rPr>
              <w:t xml:space="preserve">10</w:t>
            </w:r>
            <w:r>
              <w:rPr>
                <w:rFonts w:hint="eastAsia" w:ascii="仿宋" w:hAnsi="仿宋" w:eastAsia="仿宋" w:cs="仿宋"/>
                <w:i/>
                <w:color w:val="auto"/>
                <w:sz w:val="24"/>
                <w:szCs w:val="24"/>
                <w:highlight w:val="none"/>
                <w:u w:val="single"/>
                <w:lang w:val="zh-CN"/>
              </w:rPr>
              <w:t xml:space="preserve">%在验收合格且无质量问题后 </w:t>
            </w:r>
            <w:r>
              <w:rPr>
                <w:rFonts w:hint="eastAsia" w:ascii="仿宋" w:hAnsi="仿宋" w:eastAsia="仿宋" w:cs="仿宋"/>
                <w:i/>
                <w:color w:val="auto"/>
                <w:sz w:val="24"/>
                <w:szCs w:val="24"/>
                <w:highlight w:val="none"/>
                <w:u w:val="single"/>
              </w:rPr>
              <w:t xml:space="preserve">60</w:t>
            </w:r>
            <w:r>
              <w:rPr>
                <w:rFonts w:hint="eastAsia" w:ascii="仿宋" w:hAnsi="仿宋" w:eastAsia="仿宋" w:cs="仿宋"/>
                <w:i/>
                <w:color w:val="auto"/>
                <w:sz w:val="24"/>
                <w:szCs w:val="24"/>
                <w:highlight w:val="none"/>
                <w:u w:val="single"/>
                <w:lang w:val="zh-CN"/>
              </w:rPr>
              <w:t xml:space="preserve">日内一次结清。</w:t>
            </w:r>
            <w:r>
              <w:rPr>
                <w:rFonts w:hint="eastAsia" w:ascii="仿宋" w:hAnsi="仿宋" w:eastAsia="仿宋" w:cs="仿宋"/>
                <w:i/>
                <w:color w:val="auto"/>
                <w:sz w:val="24"/>
                <w:szCs w:val="24"/>
                <w:highlight w:val="none"/>
                <w:u w:val="single"/>
              </w:rPr>
              <w:t xml:space="preserve">甲方</w:t>
            </w:r>
            <w:r>
              <w:rPr>
                <w:rFonts w:hint="eastAsia" w:ascii="仿宋" w:hAnsi="仿宋" w:eastAsia="仿宋" w:cs="仿宋"/>
                <w:i/>
                <w:color w:val="auto"/>
                <w:sz w:val="24"/>
                <w:szCs w:val="24"/>
                <w:highlight w:val="none"/>
                <w:u w:val="single"/>
                <w:lang w:val="zh-CN"/>
              </w:rPr>
              <w:t xml:space="preserve">应在收到发票后</w:t>
            </w:r>
            <w:r>
              <w:rPr>
                <w:rFonts w:hint="eastAsia" w:ascii="仿宋" w:hAnsi="仿宋" w:eastAsia="仿宋" w:cs="仿宋"/>
                <w:i/>
                <w:color w:val="auto"/>
                <w:sz w:val="24"/>
                <w:szCs w:val="24"/>
                <w:highlight w:val="none"/>
                <w:u w:val="single"/>
              </w:rPr>
              <w:t xml:space="preserve">10个工作日内将资金支付到乙方账户。</w:t>
            </w:r>
            <w:r/>
          </w:p>
        </w:tc>
      </w:tr>
    </w:tbl>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（三）报价要求（请单独列出并加斜体下划线）</w:t>
      </w:r>
      <w:r/>
    </w:p>
    <w:tbl>
      <w:tblPr>
        <w:tblStyle w:val="828"/>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1</w:t>
            </w:r>
            <w:r/>
          </w:p>
        </w:tc>
        <w:tc>
          <w:tcPr>
            <w:tcW w:w="2050"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投标人的报价不得超过采购预算或最高限价，且投标报价具备合理性</w:t>
            </w:r>
            <w:r/>
          </w:p>
        </w:tc>
        <w:tc>
          <w:tcPr>
            <w:tcW w:w="5641"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本项目设定最高限价为40万元，超过最高限价的视为未实质响应。</w:t>
            </w:r>
            <w:r/>
          </w:p>
        </w:tc>
      </w:tr>
    </w:tbl>
    <w:p>
      <w:pPr>
        <w:pStyle w:val="1087"/>
        <w:rPr>
          <w:rFonts w:cs="宋体"/>
          <w:color w:val="auto"/>
          <w:highlight w:val="none"/>
        </w:rPr>
      </w:pPr>
      <w:r>
        <w:rPr>
          <w:rFonts w:cs="宋体"/>
          <w:color w:val="auto"/>
          <w:highlight w:val="none"/>
        </w:rPr>
      </w:r>
      <w:r/>
    </w:p>
    <w:p>
      <w:pPr>
        <w:spacing w:line="520" w:lineRule="exact"/>
        <w:rPr>
          <w:rFonts w:ascii="宋体" w:hAnsi="宋体" w:cs="宋体"/>
          <w:color w:val="auto"/>
          <w:highlight w:val="none"/>
        </w:rPr>
      </w:pPr>
      <w:r/>
      <w:bookmarkStart w:id="203" w:name="_Toc120614281"/>
      <w:r>
        <w:rPr>
          <w:rFonts w:hint="eastAsia" w:ascii="宋体" w:hAnsi="宋体" w:cs="宋体"/>
          <w:color w:val="auto"/>
          <w:highlight w:val="none"/>
        </w:rPr>
        <w:t xml:space="preserve">   </w:t>
      </w:r>
      <w:r/>
    </w:p>
    <w:p>
      <w:pPr>
        <w:pStyle w:val="1038"/>
        <w:rPr>
          <w:rFonts w:ascii="宋体" w:hAnsi="宋体" w:eastAsia="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bCs/>
          <w:color w:val="auto"/>
          <w:sz w:val="44"/>
          <w:highlight w:val="none"/>
        </w:rPr>
      </w:r>
      <w:r/>
    </w:p>
    <w:p>
      <w:pPr>
        <w:pStyle w:val="1038"/>
        <w:rPr>
          <w:rFonts w:ascii="宋体" w:hAnsi="宋体" w:eastAsia="宋体" w:cs="宋体"/>
          <w:bCs/>
          <w:color w:val="auto"/>
          <w:sz w:val="44"/>
          <w:highlight w:val="none"/>
        </w:rPr>
      </w:pPr>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 xml:space="preserve">评标方法与评标标准</w:t>
      </w:r>
      <w:r/>
    </w:p>
    <w:p>
      <w:pPr>
        <w:rPr>
          <w:rFonts w:ascii="宋体" w:hAnsi="宋体" w:cs="宋体"/>
          <w:color w:val="auto"/>
          <w:highlight w:val="none"/>
        </w:rPr>
      </w:pPr>
      <w:r>
        <w:rPr>
          <w:rFonts w:ascii="宋体" w:hAnsi="宋体" w:cs="宋体"/>
          <w:color w:val="auto"/>
          <w:highlight w:val="none"/>
        </w:rPr>
      </w:r>
      <w:r/>
    </w:p>
    <w:p>
      <w:pPr>
        <w:ind w:firstLine="384"/>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p>
    <w:p>
      <w:pPr>
        <w:pStyle w:val="1126"/>
        <w:ind w:firstLine="441"/>
        <w:rPr>
          <w:rFonts w:ascii="宋体" w:hAnsi="宋体" w:cs="宋体"/>
          <w:b/>
          <w:color w:val="auto"/>
          <w:highlight w:val="none"/>
        </w:rPr>
      </w:pPr>
      <w:r>
        <w:rPr>
          <w:rFonts w:hint="eastAsia" w:ascii="宋体" w:hAnsi="宋体" w:cs="宋体"/>
          <w:b/>
          <w:color w:val="auto"/>
          <w:highlight w:val="none"/>
        </w:rPr>
        <w:t xml:space="preserve">政府采购政策功能落实</w:t>
      </w:r>
      <w:r>
        <w:rPr>
          <w:rFonts w:hint="eastAsia" w:ascii="宋体" w:hAnsi="宋体" w:cs="宋体"/>
          <w:color w:val="auto"/>
          <w:highlight w:val="none"/>
        </w:rPr>
        <w:t xml:space="preserve">（备注：如果该项目专门面向中小微型企业采购，则供应商不再享受以下“政府采购政策功能落实”中1-6项小微型企业价格扣除）</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1、小微型企业价格扣除</w:t>
      </w:r>
      <w:r/>
    </w:p>
    <w:p>
      <w:pPr>
        <w:pStyle w:val="1126"/>
        <w:ind w:firstLine="360"/>
        <w:spacing w:line="400" w:lineRule="exact"/>
        <w:rPr>
          <w:rFonts w:ascii="宋体" w:hAnsi="宋体" w:cs="宋体"/>
          <w:color w:val="auto"/>
          <w:highlight w:val="none"/>
        </w:rPr>
      </w:pPr>
      <w:r>
        <w:rPr>
          <w:rFonts w:hint="eastAsia" w:ascii="宋体" w:hAnsi="宋体" w:cs="宋体"/>
          <w:color w:val="auto"/>
          <w:highlight w:val="none"/>
        </w:rPr>
        <w:t xml:space="preserve">（1）本项目对小型和微型企业提供的服务给予</w:t>
      </w:r>
      <w:r>
        <w:rPr>
          <w:rFonts w:hint="eastAsia" w:ascii="宋体" w:hAnsi="宋体" w:cs="宋体"/>
          <w:color w:val="auto"/>
          <w:highlight w:val="none"/>
          <w:u w:val="single"/>
        </w:rPr>
        <w:t xml:space="preserve"> 10%</w:t>
      </w:r>
      <w:r>
        <w:rPr>
          <w:rFonts w:hint="eastAsia" w:ascii="宋体" w:hAnsi="宋体" w:cs="宋体"/>
          <w:color w:val="auto"/>
          <w:highlight w:val="none"/>
        </w:rPr>
        <w:t xml:space="preserve">的扣除价格，用扣除后的价格参与评审。</w:t>
      </w:r>
      <w:r/>
    </w:p>
    <w:p>
      <w:pPr>
        <w:pStyle w:val="1126"/>
        <w:ind w:firstLine="360"/>
        <w:spacing w:line="400" w:lineRule="exact"/>
        <w:rPr>
          <w:rFonts w:ascii="宋体" w:hAnsi="宋体" w:cs="宋体"/>
          <w:color w:val="auto"/>
          <w:highlight w:val="none"/>
        </w:rPr>
      </w:pPr>
      <w:r>
        <w:rPr>
          <w:rFonts w:hint="eastAsia" w:ascii="宋体" w:hAnsi="宋体" w:cs="宋体"/>
          <w:color w:val="auto"/>
          <w:highlight w:val="none"/>
        </w:rPr>
        <w:t xml:space="preserve">（2）供应商需按照采购文件的要求提供相应的《小微企业声明函》。</w:t>
      </w:r>
      <w:r/>
    </w:p>
    <w:p>
      <w:pPr>
        <w:pStyle w:val="1126"/>
        <w:ind w:firstLine="360"/>
        <w:spacing w:line="400" w:lineRule="exact"/>
        <w:rPr>
          <w:rFonts w:ascii="宋体" w:hAnsi="宋体" w:cs="宋体"/>
          <w:color w:val="auto"/>
          <w:highlight w:val="none"/>
        </w:rPr>
      </w:pPr>
      <w:r>
        <w:rPr>
          <w:rFonts w:hint="eastAsia" w:ascii="宋体" w:hAnsi="宋体" w:cs="宋体"/>
          <w:color w:val="auto"/>
          <w:highlight w:val="none"/>
        </w:rPr>
        <w:t xml:space="preserve">（3）企业标准请参照《关于印发中小企业划型标准规定的通知》（工信部联企业[2011]300号）文件规定自行填写。</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2、残疾人福利单位价格扣除</w:t>
      </w:r>
      <w:r/>
    </w:p>
    <w:p>
      <w:pPr>
        <w:pStyle w:val="1126"/>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（1）本项目对残疾人福利性单位视同小型、微型企业，给予</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的价格扣除，用扣除后的价格参与评审。</w:t>
      </w:r>
      <w:r/>
    </w:p>
    <w:p>
      <w:pPr>
        <w:pStyle w:val="1126"/>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pStyle w:val="1126"/>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3、监狱和戒毒企业价格扣除</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的价格扣除，用扣除后的价格参与评审。</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pStyle w:val="1126"/>
        <w:spacing w:line="400" w:lineRule="exact"/>
        <w:rPr>
          <w:rFonts w:ascii="宋体" w:hAnsi="宋体" w:cs="宋体"/>
          <w:color w:val="auto"/>
          <w:highlight w:val="none"/>
        </w:rPr>
      </w:pPr>
      <w:r/>
      <w:bookmarkStart w:id="204" w:name="OLE_LINK23"/>
      <w:r>
        <w:rPr>
          <w:rFonts w:hint="eastAsia" w:ascii="宋体" w:hAnsi="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5" w:name="OLE_LINK24"/>
      <w:r>
        <w:rPr>
          <w:rFonts w:hint="eastAsia" w:ascii="宋体" w:hAnsi="宋体" w:cs="宋体"/>
          <w:color w:val="auto"/>
          <w:highlight w:val="none"/>
        </w:rPr>
        <w:t xml:space="preserve">的</w:t>
      </w:r>
      <w:bookmarkStart w:id="206" w:name="OLE_LINK22"/>
      <w:r>
        <w:rPr>
          <w:rFonts w:hint="eastAsia" w:ascii="宋体" w:hAnsi="宋体" w:cs="宋体"/>
          <w:color w:val="auto"/>
          <w:highlight w:val="none"/>
        </w:rPr>
        <w:t xml:space="preserve">合同份额占到合同总金额30%以上的，给予联合体或者大中型企业</w:t>
      </w:r>
      <w:r>
        <w:rPr>
          <w:rFonts w:hint="eastAsia" w:ascii="宋体" w:hAnsi="宋体" w:cs="宋体"/>
          <w:color w:val="auto"/>
          <w:highlight w:val="none"/>
          <w:u w:val="single"/>
        </w:rPr>
        <w:t xml:space="preserve"> </w:t>
      </w:r>
      <w:r>
        <w:rPr>
          <w:rFonts w:ascii="宋体" w:hAnsi="宋体" w:cs="宋体"/>
          <w:color w:val="auto"/>
          <w:highlight w:val="none"/>
          <w:u w:val="single"/>
        </w:rPr>
        <w:t xml:space="preserve">4</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的价格扣</w:t>
      </w:r>
      <w:bookmarkStart w:id="207" w:name="OLE_LINK25"/>
      <w:r>
        <w:rPr>
          <w:rFonts w:hint="eastAsia" w:ascii="宋体" w:hAnsi="宋体" w:cs="宋体"/>
          <w:color w:val="auto"/>
          <w:highlight w:val="none"/>
        </w:rPr>
        <w:t xml:space="preserve">除，用扣除后的价格参与评审。</w:t>
      </w:r>
      <w:r/>
    </w:p>
    <w:p>
      <w:pPr>
        <w:pStyle w:val="1126"/>
        <w:spacing w:line="400" w:lineRule="exact"/>
        <w:rPr>
          <w:rFonts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价格扣除，用扣除后的价格参与评审。</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7、采购本国产品的支持政策</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 本项目政府采购活动中既有本国产品又有非本国产品参与竞争的，依法对本国产品给予价格评审优惠，对本国产品的报价给予</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 xml:space="preserve">的价格扣除，用扣除后的价格参与评审。</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 w:val="24"/>
          <w:szCs w:val="24"/>
          <w:highlight w:val="none"/>
          <w:u w:val="single"/>
        </w:rPr>
        <w:t xml:space="preserve"> 80% </w:t>
      </w:r>
      <w:r>
        <w:rPr>
          <w:rFonts w:hint="eastAsia" w:ascii="宋体" w:hAnsi="宋体" w:cs="宋体"/>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 xml:space="preserve">的价格扣除，用扣除后的价格参与评审。供应商未填写比例数值，或比例数值未达到</w:t>
      </w:r>
      <w:r>
        <w:rPr>
          <w:rFonts w:hint="eastAsia" w:ascii="宋体" w:hAnsi="宋体" w:cs="宋体"/>
          <w:color w:val="auto"/>
          <w:sz w:val="24"/>
          <w:szCs w:val="24"/>
          <w:highlight w:val="none"/>
          <w:u w:val="single"/>
        </w:rPr>
        <w:t xml:space="preserve"> 80% </w:t>
      </w:r>
      <w:r>
        <w:rPr>
          <w:rFonts w:hint="eastAsia" w:ascii="宋体" w:hAnsi="宋体" w:cs="宋体"/>
          <w:color w:val="auto"/>
          <w:sz w:val="24"/>
          <w:szCs w:val="24"/>
          <w:highlight w:val="none"/>
        </w:rPr>
        <w:t xml:space="preserve">的，将不享受本国产品价格评审优惠。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6"/>
        <w:ind w:firstLine="472"/>
        <w:spacing w:line="400" w:lineRule="exact"/>
        <w:rPr>
          <w:rFonts w:ascii="宋体" w:hAnsi="宋体" w:cs="宋体"/>
          <w:color w:val="auto"/>
          <w:highlight w:val="none"/>
          <w:lang w:val="zh-CN"/>
        </w:rPr>
      </w:pPr>
      <w:r/>
      <w:bookmarkStart w:id="208" w:name="OLE_LINK4"/>
      <w:r/>
      <w:bookmarkStart w:id="209" w:name="OLE_LINK3"/>
      <w:r/>
      <w:bookmarkStart w:id="210" w:name="OLE_LINK1"/>
      <w:r>
        <w:rPr>
          <w:rFonts w:hint="eastAsia" w:ascii="宋体" w:hAnsi="宋体" w:cs="宋体"/>
          <w:color w:val="auto"/>
          <w:highlight w:val="none"/>
        </w:rPr>
        <w:t xml:space="preserve">8、</w:t>
      </w:r>
      <w:bookmarkStart w:id="211" w:name="OLE_LINK14"/>
      <w:r>
        <w:rPr>
          <w:rFonts w:hint="eastAsia" w:ascii="宋体" w:hAnsi="宋体" w:cs="宋体"/>
          <w:color w:val="auto"/>
          <w:highlight w:val="none"/>
          <w:lang w:val="zh-CN"/>
        </w:rPr>
        <w:t xml:space="preserve">强制采购节能产品。政府强制采购节能产品是指</w:t>
      </w:r>
      <w:bookmarkStart w:id="212" w:name="OLE_LINK209"/>
      <w:r>
        <w:rPr>
          <w:rFonts w:hint="eastAsia" w:ascii="宋体" w:hAnsi="宋体" w:cs="宋体"/>
          <w:color w:val="auto"/>
          <w:highlight w:val="none"/>
          <w:lang w:val="zh-CN"/>
        </w:rPr>
        <w:t xml:space="preserve">列入财政部、发展改革委联合公布的最新《节能产品政府采购品目清单》（具体品目以“★”标注），且获得由国家确</w:t>
      </w:r>
      <w:bookmarkStart w:id="213" w:name="OLE_LINK11"/>
      <w:r>
        <w:rPr>
          <w:rFonts w:hint="eastAsia" w:ascii="宋体" w:hAnsi="宋体" w:cs="宋体"/>
          <w:color w:val="auto"/>
          <w:highlight w:val="none"/>
          <w:lang w:val="zh-CN"/>
        </w:rPr>
        <w:t xml:space="preserve">定的认证机构出具的、处于有效期之内的节能产品认证证书的节能产品</w:t>
      </w:r>
      <w:bookmarkEnd w:id="212"/>
      <w:r>
        <w:rPr>
          <w:rFonts w:hint="eastAsia" w:ascii="宋体" w:hAnsi="宋体" w:cs="宋体"/>
          <w:color w:val="auto"/>
          <w:highlight w:val="none"/>
          <w:lang w:val="zh-CN"/>
        </w:rPr>
        <w:t xml:space="preserve">；本项目中</w:t>
      </w:r>
      <w:bookmarkEnd w:id="204"/>
      <w:r>
        <w:rPr>
          <w:rFonts w:hint="eastAsia" w:ascii="宋体" w:hAnsi="宋体" w:cs="宋体"/>
          <w:color w:val="auto"/>
          <w:highlight w:val="none"/>
          <w:lang w:val="zh-CN"/>
        </w:rPr>
        <w:t xml:space="preserve">涉及到强制采购产品的，供应商须按照上述要求提供相关产品的证明材料，否则响应无效。</w:t>
      </w:r>
      <w:bookmarkEnd w:id="211"/>
      <w:r/>
      <w:bookmarkStart w:id="214" w:name="OLE_LINK210"/>
      <w:r/>
      <w:bookmarkEnd w:id="214"/>
      <w:r/>
      <w:r/>
    </w:p>
    <w:p>
      <w:pPr>
        <w:pStyle w:val="1126"/>
        <w:ind w:left="120" w:firstLine="360"/>
        <w:spacing w:line="400" w:lineRule="exact"/>
        <w:rPr>
          <w:rFonts w:ascii="宋体" w:hAnsi="宋体" w:cs="宋体"/>
          <w:color w:val="auto"/>
          <w:highlight w:val="none"/>
          <w:lang w:val="zh-CN"/>
        </w:rPr>
      </w:pPr>
      <w:r/>
      <w:bookmarkStart w:id="215" w:name="OLE_LINK21"/>
      <w:r/>
      <w:bookmarkStart w:id="216" w:name="OLE_LINK20"/>
      <w:r/>
      <w:bookmarkStart w:id="217" w:name="OLE_LINK10"/>
      <w:r/>
      <w:bookmarkStart w:id="218" w:name="OLE_LINK9"/>
      <w:r>
        <w:rPr>
          <w:rFonts w:hint="eastAsia" w:ascii="宋体" w:hAnsi="宋体" w:cs="宋体"/>
          <w:color w:val="auto"/>
          <w:highlight w:val="none"/>
        </w:rPr>
        <w:t xml:space="preserve">9、</w:t>
      </w:r>
      <w:r>
        <w:rPr>
          <w:rFonts w:hint="eastAsia" w:ascii="宋体" w:hAnsi="宋体" w:cs="宋体"/>
          <w:color w:val="auto"/>
          <w:highlight w:val="none"/>
          <w:lang w:val="zh-CN"/>
        </w:rPr>
        <w:t xml:space="preserve">商品包装环保要求：</w:t>
      </w:r>
      <w:r/>
    </w:p>
    <w:p>
      <w:pPr>
        <w:pStyle w:val="1126"/>
        <w:ind w:left="120" w:firstLine="360"/>
        <w:spacing w:line="400" w:lineRule="exact"/>
        <w:rPr>
          <w:rFonts w:ascii="宋体" w:hAnsi="宋体" w:cs="宋体"/>
          <w:color w:val="auto"/>
          <w:highlight w:val="none"/>
          <w:lang w:val="zh-CN"/>
        </w:rPr>
      </w:pPr>
      <w:r/>
      <w:bookmarkStart w:id="219" w:name="OLE_LINK2"/>
      <w:r/>
      <w:bookmarkStart w:id="220" w:name="OLE_LINK18"/>
      <w:r>
        <w:rPr>
          <w:rFonts w:hint="eastAsia" w:ascii="宋体" w:hAnsi="宋体" w:cs="宋体"/>
          <w:color w:val="auto"/>
          <w:highlight w:val="none"/>
          <w:lang w:val="zh-CN"/>
        </w:rPr>
        <w:t xml:space="preserve">（1</w:t>
      </w:r>
      <w:bookmarkStart w:id="221" w:name="OLE_LINK19"/>
      <w:r>
        <w:rPr>
          <w:rFonts w:hint="eastAsia" w:ascii="宋体" w:hAnsi="宋体" w:cs="宋体"/>
          <w:color w:val="auto"/>
          <w:highlight w:val="none"/>
          <w:lang w:val="zh-CN"/>
        </w:rPr>
        <w:t xml:space="preserve">）商品包装层数不得超过 </w:t>
      </w:r>
      <w:bookmarkStart w:id="222" w:name="OLE_LINK15"/>
      <w:r>
        <w:rPr>
          <w:rFonts w:hint="eastAsia" w:ascii="宋体" w:hAnsi="宋体" w:cs="宋体"/>
          <w:color w:val="auto"/>
          <w:highlight w:val="none"/>
          <w:lang w:val="zh-CN"/>
        </w:rPr>
        <w:t xml:space="preserve">3 层，空隙率不大于 40%；</w:t>
      </w:r>
      <w:bookmarkEnd w:id="205"/>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（2）商品包装</w:t>
      </w:r>
      <w:bookmarkStart w:id="223" w:name="OLE_LINK17"/>
      <w:r>
        <w:rPr>
          <w:rFonts w:hint="eastAsia" w:ascii="宋体" w:hAnsi="宋体" w:cs="宋体"/>
          <w:color w:val="auto"/>
          <w:highlight w:val="none"/>
          <w:lang w:val="zh-CN"/>
        </w:rPr>
        <w:t xml:space="preserve">尽可能使用单一材质的包装</w:t>
      </w:r>
      <w:bookmarkStart w:id="224" w:name="OLE_LINK16"/>
      <w:r>
        <w:rPr>
          <w:rFonts w:hint="eastAsia" w:ascii="宋体" w:hAnsi="宋体" w:cs="宋体"/>
          <w:color w:val="auto"/>
          <w:highlight w:val="none"/>
          <w:lang w:val="zh-CN"/>
        </w:rPr>
        <w:t xml:space="preserve">材料，如因功能需求必需使用不同材质，不同材质间应便于分离；</w:t>
      </w:r>
      <w:bookmarkEnd w:id="206"/>
      <w:r/>
      <w:bookmarkEnd w:id="207"/>
      <w:r/>
      <w:bookmarkEnd w:id="208"/>
      <w:r/>
      <w:bookmarkEnd w:id="209"/>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（3）商品包装中铅、汞、镉、六价铬的总含量应不大于100mg/kg；</w:t>
      </w:r>
      <w:bookmarkEnd w:id="210"/>
      <w:r/>
      <w:bookmarkEnd w:id="219"/>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（4）商品包装印刷使用的油墨中挥发性有机化合物(VOCs)含量应不大于 5%（以重量计）；</w:t>
      </w:r>
      <w:bookmarkEnd w:id="215"/>
      <w:r/>
      <w:bookmarkEnd w:id="216"/>
      <w:r/>
      <w:bookmarkEnd w:id="220"/>
      <w:r/>
      <w:bookmarkEnd w:id="221"/>
      <w:r/>
      <w:bookmarkEnd w:id="222"/>
      <w:r/>
      <w:bookmarkEnd w:id="223"/>
      <w:r/>
      <w:bookmarkEnd w:id="224"/>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（5）塑料材质商品包装上呈现的印刷颜色不得超过 6 色；</w:t>
      </w:r>
      <w:bookmarkEnd w:id="217"/>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（6）纸质商品包装应使用 75%以上的可再生纤维原料生产；</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（7）木质商品包装的原料应来源于可持续性森林。</w:t>
      </w:r>
      <w:bookmarkEnd w:id="213"/>
      <w:r/>
      <w:r/>
    </w:p>
    <w:p>
      <w:pPr>
        <w:pStyle w:val="1126"/>
        <w:ind w:left="120" w:firstLine="360"/>
        <w:spacing w:line="400" w:lineRule="exact"/>
        <w:rPr>
          <w:rFonts w:ascii="宋体" w:hAnsi="宋体" w:cs="宋体"/>
          <w:color w:val="auto"/>
          <w:highlight w:val="none"/>
          <w:lang w:val="zh-CN"/>
        </w:rPr>
      </w:pPr>
      <w:r/>
      <w:bookmarkStart w:id="225" w:name="OLE_LINK12"/>
      <w:r/>
      <w:bookmarkStart w:id="226" w:name="OLE_LINK8"/>
      <w:r>
        <w:rPr>
          <w:rFonts w:hint="eastAsia" w:ascii="宋体" w:hAnsi="宋体" w:cs="宋体"/>
          <w:color w:val="auto"/>
          <w:highlight w:val="none"/>
        </w:rPr>
        <w:t xml:space="preserve">10、</w:t>
      </w:r>
      <w:r>
        <w:rPr>
          <w:rFonts w:hint="eastAsia" w:ascii="宋体" w:hAnsi="宋体" w:cs="宋体"/>
          <w:color w:val="auto"/>
          <w:highlight w:val="none"/>
          <w:lang w:val="zh-CN"/>
        </w:rPr>
        <w:t xml:space="preserve">快递包装环保要求：</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（1）快递包装中重金属（铅、汞、镉、六价铬）总量应不大于 100mg/kg；</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（2）快递包装印刷使用的油墨中不应添加邻苯二甲酸酯，其挥发性有机化合物(VOCs)含量应不大于5%（以重量计）；</w:t>
      </w:r>
      <w:r/>
    </w:p>
    <w:p>
      <w:pPr>
        <w:pStyle w:val="1126"/>
        <w:ind w:left="120" w:firstLine="360"/>
        <w:spacing w:line="400" w:lineRule="exact"/>
        <w:rPr>
          <w:rFonts w:ascii="宋体" w:hAnsi="宋体" w:cs="宋体"/>
          <w:color w:val="auto"/>
          <w:highlight w:val="none"/>
          <w:lang w:val="zh-CN"/>
        </w:rPr>
      </w:pPr>
      <w:r/>
      <w:bookmarkStart w:id="227" w:name="OLE_LINK7"/>
      <w:r>
        <w:rPr>
          <w:rFonts w:hint="eastAsia" w:ascii="宋体" w:hAnsi="宋体" w:cs="宋体"/>
          <w:color w:val="auto"/>
          <w:highlight w:val="none"/>
          <w:lang w:val="zh-CN"/>
        </w:rPr>
        <w:t xml:space="preserve">（3）快递包装中使用纸基材的包装材料，纸基材中的有机氯的含量应不大于 150 </w:t>
      </w:r>
      <w:bookmarkEnd w:id="225"/>
      <w:r>
        <w:rPr>
          <w:rFonts w:hint="eastAsia" w:ascii="宋体" w:hAnsi="宋体" w:cs="宋体"/>
          <w:color w:val="auto"/>
          <w:highlight w:val="none"/>
          <w:lang w:val="zh-CN"/>
        </w:rPr>
        <w:t xml:space="preserve">mg/kg；</w:t>
      </w:r>
      <w:bookmarkEnd w:id="218"/>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（4）快递包装中使用塑料基材的包装材料不得使用邻苯二甲酸二异壬酯、邻苯二甲酸二正辛酯、邻苯二甲酸二(2-乙基)己酯、邻苯二甲酸二异癸酯、邻苯二甲酸丁基</w:t>
      </w:r>
      <w:bookmarkStart w:id="228" w:name="OLE_LINK6"/>
      <w:r>
        <w:rPr>
          <w:rFonts w:hint="eastAsia" w:ascii="宋体" w:hAnsi="宋体" w:cs="宋体"/>
          <w:color w:val="auto"/>
          <w:highlight w:val="none"/>
          <w:lang w:val="zh-CN"/>
        </w:rPr>
        <w:t xml:space="preserve">苄基酯、邻苯二甲酸二丁酯等作为增塑剂；</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（5）快递中使用的塑料包装袋不得使用聚氯乙烯作为原料，且原料应为单一材质制成，生物分解率大于60%；</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（6）快递中使用的充气类填充物不得使用聚氯乙烯作为 原料，且原料为单一材质制成，生物分解率大于60%；</w:t>
      </w:r>
      <w:bookmarkEnd w:id="226"/>
      <w:r/>
      <w:bookmarkEnd w:id="227"/>
      <w:r/>
      <w:bookmarkEnd w:id="228"/>
      <w:r/>
      <w:r/>
    </w:p>
    <w:p>
      <w:pPr>
        <w:pStyle w:val="1126"/>
        <w:ind w:left="120" w:firstLine="360"/>
        <w:spacing w:line="400" w:lineRule="exact"/>
        <w:rPr>
          <w:rFonts w:ascii="宋体" w:hAnsi="宋体" w:cs="宋体"/>
          <w:color w:val="auto"/>
          <w:highlight w:val="none"/>
          <w:lang w:val="zh-CN"/>
        </w:rPr>
      </w:pPr>
      <w:r/>
      <w:bookmarkStart w:id="229" w:name="OLE_LINK5"/>
      <w:r>
        <w:rPr>
          <w:rFonts w:hint="eastAsia" w:ascii="宋体" w:hAnsi="宋体" w:cs="宋体"/>
          <w:color w:val="auto"/>
          <w:highlight w:val="none"/>
          <w:lang w:val="zh-CN"/>
        </w:rPr>
        <w:t xml:space="preserve">（7）快递中使用的集装袋应为单一材质制成，其重复使用次数应不小于 80 次；</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（8）快递中应使用幅宽不大于45mm 的生物降解胶带；</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（9）快递包装中不得使用溶剂型胶粘剂；</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（11）快递应使用电子面单；</w:t>
      </w:r>
      <w:bookmarkEnd w:id="229"/>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（12）直接使用商品包装作为快递包装的商品，其商品包装满足《商品包装政府采购需求标准（试行）》即可；</w:t>
      </w:r>
      <w:r/>
    </w:p>
    <w:p>
      <w:pPr>
        <w:pStyle w:val="1126"/>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（13）快递包装产品质量和封装方式应符合相关国家或行业标准技术指标要求。</w:t>
      </w:r>
      <w:r/>
    </w:p>
    <w:p>
      <w:pPr>
        <w:pStyle w:val="1126"/>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11、</w:t>
      </w:r>
      <w:r>
        <w:rPr>
          <w:rFonts w:hint="eastAsia" w:ascii="宋体" w:hAnsi="宋体" w:cs="宋体"/>
          <w:color w:val="auto"/>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126"/>
        <w:ind w:firstLine="482"/>
        <w:spacing w:before="360" w:line="0" w:lineRule="atLeast"/>
        <w:rPr>
          <w:rFonts w:ascii="宋体" w:hAnsi="宋体" w:cs="宋体"/>
          <w:b/>
          <w:color w:val="auto"/>
          <w:highlight w:val="none"/>
        </w:rPr>
      </w:pPr>
      <w:r>
        <w:rPr>
          <w:rFonts w:hint="eastAsia" w:ascii="宋体" w:hAnsi="宋体" w:cs="宋体"/>
          <w:b/>
          <w:color w:val="auto"/>
          <w:highlight w:val="none"/>
        </w:rPr>
        <w:t xml:space="preserve">评标方法与评标标准</w:t>
      </w:r>
      <w:r/>
    </w:p>
    <w:p>
      <w:pPr>
        <w:pStyle w:val="1126"/>
        <w:numPr>
          <w:ilvl w:val="0"/>
          <w:numId w:val="19"/>
        </w:numPr>
        <w:ind w:firstLine="482"/>
        <w:spacing w:line="0" w:lineRule="atLeast"/>
        <w:rPr>
          <w:rFonts w:ascii="宋体" w:hAnsi="宋体" w:cs="宋体"/>
          <w:b/>
          <w:color w:val="auto"/>
          <w:highlight w:val="none"/>
        </w:rPr>
      </w:pPr>
      <w:r>
        <w:rPr>
          <w:rFonts w:hint="eastAsia" w:ascii="宋体" w:hAnsi="宋体" w:cs="宋体"/>
          <w:b/>
          <w:color w:val="auto"/>
          <w:highlight w:val="none"/>
        </w:rPr>
        <w:t xml:space="preserve">价格分：</w:t>
      </w:r>
      <w:r>
        <w:rPr>
          <w:rFonts w:ascii="宋体" w:hAnsi="宋体" w:cs="宋体"/>
          <w:b/>
          <w:color w:val="auto"/>
          <w:highlight w:val="none"/>
        </w:rPr>
        <w:t xml:space="preserve">3</w:t>
      </w:r>
      <w:r>
        <w:rPr>
          <w:rFonts w:hint="eastAsia" w:ascii="宋体" w:hAnsi="宋体" w:cs="宋体"/>
          <w:b/>
          <w:color w:val="auto"/>
          <w:highlight w:val="none"/>
        </w:rPr>
        <w:t xml:space="preserve">3分</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价格分统一采用低价优先法计算，即满足采购文件要求且报价最低的供应商的价格为评标准价，其价格分为满分。其他供应商的价格分统一按照下列公式计算：</w:t>
      </w:r>
      <w:r/>
    </w:p>
    <w:p>
      <w:pPr>
        <w:pStyle w:val="1126"/>
        <w:ind w:left="482" w:firstLine="0"/>
        <w:spacing w:line="0" w:lineRule="atLeast"/>
        <w:rPr>
          <w:rFonts w:ascii="宋体" w:hAnsi="宋体" w:cs="宋体"/>
          <w:b/>
          <w:color w:val="auto"/>
          <w:highlight w:val="none"/>
        </w:rPr>
      </w:pPr>
      <w:r>
        <w:rPr>
          <w:rFonts w:hint="eastAsia" w:ascii="宋体" w:hAnsi="宋体" w:cs="宋体"/>
          <w:color w:val="auto"/>
          <w:highlight w:val="none"/>
        </w:rPr>
        <w:t xml:space="preserve">投标报价得分=（评标基准价/投标人报价）×价格权值×100</w:t>
      </w:r>
      <w:r/>
    </w:p>
    <w:p>
      <w:pPr>
        <w:pStyle w:val="1126"/>
        <w:numPr>
          <w:ilvl w:val="0"/>
          <w:numId w:val="19"/>
        </w:numPr>
        <w:ind w:firstLine="482"/>
        <w:spacing w:before="240" w:line="0" w:lineRule="atLeast"/>
        <w:rPr>
          <w:rFonts w:ascii="宋体" w:hAnsi="宋体" w:cs="宋体"/>
          <w:b/>
          <w:color w:val="auto"/>
          <w:highlight w:val="none"/>
        </w:rPr>
      </w:pPr>
      <w:r>
        <w:rPr>
          <w:rFonts w:hint="eastAsia" w:ascii="宋体" w:hAnsi="宋体" w:cs="宋体"/>
          <w:b/>
          <w:color w:val="auto"/>
          <w:highlight w:val="none"/>
        </w:rPr>
        <w:t xml:space="preserve">技术分：</w:t>
      </w:r>
      <w:r>
        <w:rPr>
          <w:rFonts w:ascii="宋体" w:hAnsi="宋体" w:cs="宋体"/>
          <w:b/>
          <w:color w:val="auto"/>
          <w:highlight w:val="none"/>
        </w:rPr>
        <w:t xml:space="preserve"> 5</w:t>
      </w:r>
      <w:r>
        <w:rPr>
          <w:rFonts w:hint="eastAsia" w:ascii="宋体" w:hAnsi="宋体" w:cs="宋体"/>
          <w:b/>
          <w:color w:val="auto"/>
          <w:highlight w:val="none"/>
        </w:rPr>
        <w:t xml:space="preserve">1分</w:t>
      </w:r>
      <w:r/>
    </w:p>
    <w:tbl>
      <w:tblPr>
        <w:tblStyle w:val="828"/>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序号</w:t>
            </w:r>
            <w:r/>
          </w:p>
        </w:tc>
        <w:tc>
          <w:tcPr>
            <w:tcW w:w="1525"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评分点名称</w:t>
            </w:r>
            <w:r/>
          </w:p>
        </w:tc>
        <w:tc>
          <w:tcPr>
            <w:tcW w:w="3951"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评审标准</w:t>
            </w:r>
            <w:r/>
          </w:p>
        </w:tc>
        <w:tc>
          <w:tcPr>
            <w:tcW w:w="992"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最高分</w:t>
            </w:r>
            <w:r/>
          </w:p>
        </w:tc>
        <w:tc>
          <w:tcPr>
            <w:tcW w:w="992"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最低分</w:t>
            </w:r>
            <w:r/>
          </w:p>
        </w:tc>
        <w:tc>
          <w:tcPr>
            <w:tcW w:w="1418"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主/客观分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主要部件品牌一致</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bCs/>
                <w:color w:val="auto"/>
                <w:highlight w:val="none"/>
              </w:rPr>
              <w:t xml:space="preserve">1.所投电梯的控制柜、曳引机、门机、安全钳、限速器、缓冲器以及轿门锁装置、层门锁装置的制造品牌与所投电梯品牌均一致的得</w:t>
            </w:r>
            <w:r>
              <w:rPr>
                <w:rFonts w:ascii="仿宋" w:hAnsi="仿宋" w:eastAsia="仿宋" w:cs="仿宋"/>
                <w:bCs/>
                <w:color w:val="auto"/>
                <w:highlight w:val="none"/>
              </w:rPr>
              <w:t xml:space="preserve">8</w:t>
            </w:r>
            <w:r>
              <w:rPr>
                <w:rFonts w:hint="eastAsia" w:ascii="仿宋" w:hAnsi="仿宋" w:eastAsia="仿宋" w:cs="仿宋"/>
                <w:bCs/>
                <w:color w:val="auto"/>
                <w:highlight w:val="none"/>
              </w:rPr>
              <w:t xml:space="preserve">分；供应商需提供证明材料，未提供或提供不全不得分。</w:t>
            </w:r>
            <w:r>
              <w:rPr>
                <w:rFonts w:hint="eastAsia" w:ascii="仿宋" w:hAnsi="仿宋" w:eastAsia="仿宋" w:cs="仿宋"/>
                <w:b/>
                <w:bCs/>
                <w:color w:val="auto"/>
                <w:highlight w:val="none"/>
              </w:rPr>
              <w:t xml:space="preserve">（提供原件的扫描件加盖投标单位公章）</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8</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2</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曳引机</w:t>
            </w:r>
            <w:r>
              <w:rPr>
                <w:rFonts w:hint="eastAsia" w:ascii="仿宋" w:hAnsi="仿宋" w:eastAsia="仿宋" w:cs="仿宋"/>
                <w:color w:val="auto"/>
                <w:spacing w:val="7"/>
                <w:sz w:val="21"/>
                <w:szCs w:val="21"/>
                <w:highlight w:val="none"/>
              </w:rPr>
              <w:t xml:space="preserve">制动器动作次数</w:t>
            </w:r>
            <w:r/>
          </w:p>
        </w:tc>
        <w:tc>
          <w:tcPr>
            <w:tcW w:w="3951" w:type="dxa"/>
            <w:vAlign w:val="center"/>
            <w:textDirection w:val="lrTb"/>
            <w:noWrap/>
          </w:tcPr>
          <w:p>
            <w:pPr>
              <w:rPr>
                <w:rFonts w:ascii="仿宋" w:hAnsi="仿宋" w:eastAsia="仿宋" w:cs="仿宋"/>
                <w:bCs/>
                <w:color w:val="auto"/>
                <w:highlight w:val="none"/>
              </w:rPr>
            </w:pPr>
            <w:r>
              <w:rPr>
                <w:rFonts w:ascii="仿宋" w:hAnsi="仿宋" w:eastAsia="仿宋" w:cs="仿宋"/>
                <w:color w:val="auto"/>
                <w:spacing w:val="7"/>
                <w:highlight w:val="none"/>
              </w:rPr>
              <w:t xml:space="preserve">2.</w:t>
            </w:r>
            <w:r>
              <w:rPr>
                <w:rFonts w:hint="eastAsia" w:ascii="仿宋" w:hAnsi="仿宋" w:eastAsia="仿宋" w:cs="仿宋"/>
                <w:color w:val="auto"/>
                <w:spacing w:val="7"/>
                <w:highlight w:val="none"/>
              </w:rPr>
              <w:t xml:space="preserve">曳引机制动器正常工作条件下，≥1000万次以上</w:t>
            </w:r>
            <w:r>
              <w:rPr>
                <w:rFonts w:hint="eastAsia" w:ascii="仿宋" w:hAnsi="仿宋" w:eastAsia="仿宋" w:cs="仿宋"/>
                <w:color w:val="auto"/>
                <w:spacing w:val="6"/>
                <w:highlight w:val="none"/>
              </w:rPr>
              <w:t xml:space="preserve">的得</w:t>
            </w:r>
            <w:r>
              <w:rPr>
                <w:rFonts w:hint="eastAsia" w:ascii="仿宋" w:hAnsi="仿宋" w:eastAsia="仿宋" w:cs="仿宋"/>
                <w:color w:val="auto"/>
                <w:spacing w:val="-37"/>
                <w:highlight w:val="none"/>
              </w:rPr>
              <w:t xml:space="preserve"> </w:t>
            </w:r>
            <w:r>
              <w:rPr>
                <w:rFonts w:hint="eastAsia" w:ascii="仿宋" w:hAnsi="仿宋" w:eastAsia="仿宋" w:cs="仿宋"/>
                <w:color w:val="auto"/>
                <w:spacing w:val="6"/>
                <w:highlight w:val="none"/>
              </w:rPr>
              <w:t xml:space="preserve">3分，500（含）万次-1000（不含）万次的得</w:t>
            </w:r>
            <w:r>
              <w:rPr>
                <w:rFonts w:ascii="仿宋" w:hAnsi="仿宋" w:eastAsia="仿宋" w:cs="仿宋"/>
                <w:color w:val="auto"/>
                <w:spacing w:val="6"/>
                <w:highlight w:val="none"/>
              </w:rPr>
              <w:t xml:space="preserve">1</w:t>
            </w:r>
            <w:r>
              <w:rPr>
                <w:rFonts w:hint="eastAsia" w:ascii="仿宋" w:hAnsi="仿宋" w:eastAsia="仿宋" w:cs="仿宋"/>
                <w:color w:val="auto"/>
                <w:spacing w:val="6"/>
                <w:highlight w:val="none"/>
              </w:rPr>
              <w:t xml:space="preserve">分，低于500（不含）万次</w:t>
            </w:r>
            <w:r>
              <w:rPr>
                <w:rFonts w:hint="eastAsia" w:ascii="仿宋" w:hAnsi="仿宋" w:eastAsia="仿宋" w:cs="仿宋"/>
                <w:color w:val="auto"/>
                <w:spacing w:val="5"/>
                <w:highlight w:val="none"/>
              </w:rPr>
              <w:t xml:space="preserve">以下</w:t>
            </w:r>
            <w:r>
              <w:rPr>
                <w:rFonts w:hint="eastAsia" w:ascii="仿宋" w:hAnsi="仿宋" w:eastAsia="仿宋" w:cs="仿宋"/>
                <w:color w:val="auto"/>
                <w:spacing w:val="8"/>
                <w:highlight w:val="none"/>
              </w:rPr>
              <w:t xml:space="preserve">的不得分，</w:t>
            </w:r>
            <w:r>
              <w:rPr>
                <w:rFonts w:hint="eastAsia" w:ascii="仿宋" w:hAnsi="仿宋" w:eastAsia="仿宋" w:cs="仿宋"/>
                <w:bCs/>
                <w:color w:val="auto"/>
                <w:highlight w:val="none"/>
              </w:rPr>
              <w:t xml:space="preserve">未提供有效检测报告不得分。响应文件中须提供具有CMA认证或CNAS认证的第三方检测机构出具的检测报告</w:t>
            </w:r>
            <w:r>
              <w:rPr>
                <w:rFonts w:hint="eastAsia" w:ascii="仿宋" w:hAnsi="仿宋" w:eastAsia="仿宋" w:cs="仿宋"/>
                <w:b/>
                <w:bCs/>
                <w:color w:val="auto"/>
                <w:spacing w:val="8"/>
                <w:highlight w:val="none"/>
              </w:rPr>
              <w:t xml:space="preserve">（提供</w:t>
            </w:r>
            <w:r>
              <w:rPr>
                <w:rFonts w:hint="eastAsia" w:ascii="仿宋" w:hAnsi="仿宋" w:eastAsia="仿宋" w:cs="仿宋"/>
                <w:b/>
                <w:bCs/>
                <w:color w:val="auto"/>
                <w:spacing w:val="9"/>
                <w:highlight w:val="none"/>
              </w:rPr>
              <w:t xml:space="preserve">原件扫描件并加盖投标人公章）</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1525" w:type="dxa"/>
            <w:vAlign w:val="center"/>
            <w:textDirection w:val="lrTb"/>
            <w:noWrap/>
          </w:tcPr>
          <w:p>
            <w:pPr>
              <w:pStyle w:val="1126"/>
              <w:ind w:firstLine="0"/>
              <w:jc w:val="both"/>
              <w:spacing w:line="0" w:lineRule="atLeast"/>
              <w:rPr>
                <w:rFonts w:ascii="仿宋" w:hAnsi="仿宋" w:eastAsia="仿宋" w:cs="仿宋"/>
                <w:color w:val="auto"/>
                <w:spacing w:val="5"/>
                <w:sz w:val="21"/>
                <w:szCs w:val="21"/>
                <w:highlight w:val="none"/>
              </w:rPr>
            </w:pPr>
            <w:r>
              <w:rPr>
                <w:rFonts w:hint="eastAsia" w:ascii="仿宋" w:hAnsi="仿宋" w:eastAsia="仿宋" w:cs="仿宋"/>
                <w:bCs/>
                <w:color w:val="auto"/>
                <w:sz w:val="21"/>
                <w:szCs w:val="21"/>
                <w:highlight w:val="none"/>
              </w:rPr>
              <w:t xml:space="preserve">曳引机实测温升</w:t>
            </w:r>
            <w:r/>
          </w:p>
        </w:tc>
        <w:tc>
          <w:tcPr>
            <w:tcW w:w="3951" w:type="dxa"/>
            <w:vAlign w:val="center"/>
            <w:textDirection w:val="lrTb"/>
            <w:noWrap/>
          </w:tcPr>
          <w:p>
            <w:pPr>
              <w:rPr>
                <w:rFonts w:ascii="仿宋" w:hAnsi="仿宋" w:eastAsia="仿宋" w:cs="仿宋"/>
                <w:color w:val="auto"/>
                <w:spacing w:val="5"/>
                <w:highlight w:val="none"/>
              </w:rPr>
            </w:pPr>
            <w:r>
              <w:rPr>
                <w:rFonts w:hint="eastAsia" w:ascii="仿宋" w:hAnsi="仿宋" w:eastAsia="仿宋" w:cs="仿宋"/>
                <w:bCs/>
                <w:color w:val="auto"/>
                <w:highlight w:val="none"/>
              </w:rPr>
              <w:t xml:space="preserve">3</w:t>
            </w:r>
            <w:r>
              <w:rPr>
                <w:rFonts w:ascii="仿宋" w:hAnsi="仿宋" w:eastAsia="仿宋" w:cs="仿宋"/>
                <w:bCs/>
                <w:color w:val="auto"/>
                <w:highlight w:val="none"/>
              </w:rPr>
              <w:t xml:space="preserve">.</w:t>
            </w:r>
            <w:r>
              <w:rPr>
                <w:rFonts w:hint="eastAsia" w:ascii="仿宋" w:hAnsi="仿宋" w:eastAsia="仿宋" w:cs="仿宋"/>
                <w:bCs/>
                <w:color w:val="auto"/>
                <w:highlight w:val="none"/>
              </w:rPr>
              <w:t xml:space="preserve">所投电梯采用的永磁同步无齿轮曳引机，机壳和滚动轴承实测温升不超过45K，电机绕组（F级）温升不超过9</w:t>
            </w:r>
            <w:r>
              <w:rPr>
                <w:rFonts w:ascii="仿宋" w:hAnsi="仿宋" w:eastAsia="仿宋" w:cs="仿宋"/>
                <w:bCs/>
                <w:color w:val="auto"/>
                <w:highlight w:val="none"/>
              </w:rPr>
              <w:t xml:space="preserve">0K</w:t>
            </w:r>
            <w:r>
              <w:rPr>
                <w:rFonts w:hint="eastAsia" w:ascii="仿宋" w:hAnsi="仿宋" w:eastAsia="仿宋" w:cs="仿宋"/>
                <w:bCs/>
                <w:color w:val="auto"/>
                <w:highlight w:val="none"/>
              </w:rPr>
              <w:t xml:space="preserve">的得</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分；机壳和滚动轴承实测温升不超过</w:t>
            </w:r>
            <w:r>
              <w:rPr>
                <w:rFonts w:ascii="仿宋" w:hAnsi="仿宋" w:eastAsia="仿宋" w:cs="仿宋"/>
                <w:bCs/>
                <w:color w:val="auto"/>
                <w:highlight w:val="none"/>
              </w:rPr>
              <w:t xml:space="preserve">6</w:t>
            </w:r>
            <w:r>
              <w:rPr>
                <w:rFonts w:hint="eastAsia" w:ascii="仿宋" w:hAnsi="仿宋" w:eastAsia="仿宋" w:cs="仿宋"/>
                <w:bCs/>
                <w:color w:val="auto"/>
                <w:highlight w:val="none"/>
              </w:rPr>
              <w:t xml:space="preserve">0K，电机绕组温升不超过100</w:t>
            </w:r>
            <w:r>
              <w:rPr>
                <w:rFonts w:ascii="仿宋" w:hAnsi="仿宋" w:eastAsia="仿宋" w:cs="仿宋"/>
                <w:bCs/>
                <w:color w:val="auto"/>
                <w:highlight w:val="none"/>
              </w:rPr>
              <w:t xml:space="preserve">K</w:t>
            </w:r>
            <w:r>
              <w:rPr>
                <w:rFonts w:hint="eastAsia" w:ascii="仿宋" w:hAnsi="仿宋" w:eastAsia="仿宋" w:cs="仿宋"/>
                <w:bCs/>
                <w:color w:val="auto"/>
                <w:highlight w:val="none"/>
              </w:rPr>
              <w:t xml:space="preserve">的得</w:t>
            </w:r>
            <w:r>
              <w:rPr>
                <w:rFonts w:ascii="仿宋" w:hAnsi="仿宋" w:eastAsia="仿宋" w:cs="仿宋"/>
                <w:bCs/>
                <w:color w:val="auto"/>
                <w:highlight w:val="none"/>
              </w:rPr>
              <w:t xml:space="preserve">1</w:t>
            </w:r>
            <w:r>
              <w:rPr>
                <w:rFonts w:hint="eastAsia" w:ascii="仿宋" w:hAnsi="仿宋" w:eastAsia="仿宋" w:cs="仿宋"/>
                <w:bCs/>
                <w:color w:val="auto"/>
                <w:highlight w:val="none"/>
              </w:rPr>
              <w:t xml:space="preserve">分；不满足以上任一档次指标本项不得分，未提供有效检测报告本项不得分。响应文件内需附具备CMA或CNAS资质第三方检测机构出具的温升专项检测报告扫描件，并加盖投标人公章。（</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4</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轿门开门装置</w:t>
            </w:r>
            <w:r/>
          </w:p>
        </w:tc>
        <w:tc>
          <w:tcPr>
            <w:tcW w:w="3951" w:type="dxa"/>
            <w:vAlign w:val="center"/>
            <w:textDirection w:val="lrTb"/>
            <w:noWrap/>
          </w:tcPr>
          <w:p>
            <w:pPr>
              <w:pStyle w:val="1162"/>
              <w:ind w:right="102"/>
              <w:spacing w:before="1"/>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4</w:t>
            </w:r>
            <w:r>
              <w:rPr>
                <w:rFonts w:ascii="仿宋" w:hAnsi="仿宋" w:eastAsia="仿宋" w:cs="仿宋"/>
                <w:color w:val="auto"/>
                <w:spacing w:val="5"/>
                <w:sz w:val="21"/>
                <w:szCs w:val="21"/>
                <w:highlight w:val="none"/>
              </w:rPr>
              <w:t xml:space="preserve">.</w:t>
            </w:r>
            <w:r>
              <w:rPr>
                <w:rFonts w:hint="eastAsia" w:ascii="仿宋" w:hAnsi="仿宋" w:eastAsia="仿宋" w:cs="仿宋"/>
                <w:bCs/>
                <w:color w:val="auto"/>
                <w:sz w:val="21"/>
                <w:szCs w:val="21"/>
                <w:highlight w:val="none"/>
              </w:rPr>
              <w:t xml:space="preserve">轿门开门装置动态载重状态下能正常运行满足6</w:t>
            </w:r>
            <w:r>
              <w:rPr>
                <w:rFonts w:ascii="仿宋" w:hAnsi="仿宋" w:eastAsia="仿宋" w:cs="仿宋"/>
                <w:bCs/>
                <w:color w:val="auto"/>
                <w:sz w:val="21"/>
                <w:szCs w:val="21"/>
                <w:highlight w:val="none"/>
              </w:rPr>
              <w:t xml:space="preserve">00</w:t>
            </w:r>
            <w:r>
              <w:rPr>
                <w:rFonts w:hint="eastAsia" w:ascii="仿宋" w:hAnsi="仿宋" w:eastAsia="仿宋" w:cs="仿宋"/>
                <w:bCs/>
                <w:color w:val="auto"/>
                <w:sz w:val="21"/>
                <w:szCs w:val="21"/>
                <w:highlight w:val="none"/>
              </w:rPr>
              <w:t xml:space="preserve">（含）万次及以上的得3分，</w:t>
            </w:r>
            <w:r>
              <w:rPr>
                <w:rFonts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 xml:space="preserve">5</w:t>
            </w:r>
            <w:r>
              <w:rPr>
                <w:rFonts w:ascii="仿宋" w:hAnsi="仿宋" w:eastAsia="仿宋" w:cs="仿宋"/>
                <w:bCs/>
                <w:color w:val="auto"/>
                <w:sz w:val="21"/>
                <w:szCs w:val="21"/>
                <w:highlight w:val="none"/>
              </w:rPr>
              <w:t xml:space="preserve">0</w:t>
            </w:r>
            <w:r>
              <w:rPr>
                <w:rFonts w:hint="eastAsia" w:ascii="仿宋" w:hAnsi="仿宋" w:eastAsia="仿宋" w:cs="仿宋"/>
                <w:bCs/>
                <w:color w:val="auto"/>
                <w:sz w:val="21"/>
                <w:szCs w:val="21"/>
                <w:highlight w:val="none"/>
              </w:rPr>
              <w:t xml:space="preserve">（含）万次-6</w:t>
            </w:r>
            <w:r>
              <w:rPr>
                <w:rFonts w:ascii="仿宋" w:hAnsi="仿宋" w:eastAsia="仿宋" w:cs="仿宋"/>
                <w:bCs/>
                <w:color w:val="auto"/>
                <w:sz w:val="21"/>
                <w:szCs w:val="21"/>
                <w:highlight w:val="none"/>
              </w:rPr>
              <w:t xml:space="preserve">00</w:t>
            </w:r>
            <w:r>
              <w:rPr>
                <w:rFonts w:hint="eastAsia" w:ascii="仿宋" w:hAnsi="仿宋" w:eastAsia="仿宋" w:cs="仿宋"/>
                <w:bCs/>
                <w:color w:val="auto"/>
                <w:sz w:val="21"/>
                <w:szCs w:val="21"/>
                <w:highlight w:val="none"/>
              </w:rPr>
              <w:t xml:space="preserve">（不含）万次的得</w:t>
            </w:r>
            <w:r>
              <w:rPr>
                <w:rFonts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 xml:space="preserve">分；小于</w:t>
            </w:r>
            <w:r>
              <w:rPr>
                <w:rFonts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 xml:space="preserve">5</w:t>
            </w:r>
            <w:r>
              <w:rPr>
                <w:rFonts w:ascii="仿宋" w:hAnsi="仿宋" w:eastAsia="仿宋" w:cs="仿宋"/>
                <w:bCs/>
                <w:color w:val="auto"/>
                <w:sz w:val="21"/>
                <w:szCs w:val="21"/>
                <w:highlight w:val="none"/>
              </w:rPr>
              <w:t xml:space="preserve">0</w:t>
            </w:r>
            <w:r>
              <w:rPr>
                <w:rFonts w:hint="eastAsia" w:ascii="仿宋" w:hAnsi="仿宋" w:eastAsia="仿宋" w:cs="仿宋"/>
                <w:bCs/>
                <w:color w:val="auto"/>
                <w:sz w:val="21"/>
                <w:szCs w:val="21"/>
                <w:highlight w:val="none"/>
              </w:rPr>
              <w:t xml:space="preserve">（不含）万次以下的或未提供有效检测报告不得分。响应文件中须提供具有CMA认证或CNAS认证的第三方检测机构出具的检测报告（</w:t>
            </w:r>
            <w:r>
              <w:rPr>
                <w:rFonts w:hint="eastAsia" w:ascii="仿宋" w:hAnsi="仿宋" w:eastAsia="仿宋" w:cs="仿宋"/>
                <w:b/>
                <w:bCs/>
                <w:color w:val="auto"/>
                <w:sz w:val="21"/>
                <w:szCs w:val="21"/>
                <w:highlight w:val="none"/>
              </w:rPr>
              <w:t xml:space="preserve">提供原件的扫描件并加盖投标人公章</w:t>
            </w:r>
            <w:r>
              <w:rPr>
                <w:rFonts w:hint="eastAsia" w:ascii="仿宋" w:hAnsi="仿宋" w:eastAsia="仿宋" w:cs="仿宋"/>
                <w:bCs/>
                <w:color w:val="auto"/>
                <w:sz w:val="21"/>
                <w:szCs w:val="21"/>
                <w:highlight w:val="none"/>
              </w:rPr>
              <w:t xml:space="preserve">）</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5</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轿门联动组件耐久性测试</w:t>
            </w:r>
            <w:r/>
          </w:p>
        </w:tc>
        <w:tc>
          <w:tcPr>
            <w:tcW w:w="3951" w:type="dxa"/>
            <w:vAlign w:val="center"/>
            <w:textDirection w:val="lrTb"/>
            <w:noWrap/>
          </w:tcPr>
          <w:p>
            <w:pPr>
              <w:rPr>
                <w:color w:val="auto"/>
                <w:highlight w:val="none"/>
              </w:rPr>
            </w:pPr>
            <w:r>
              <w:rPr>
                <w:rFonts w:hint="eastAsia" w:ascii="仿宋" w:hAnsi="仿宋" w:eastAsia="仿宋" w:cs="仿宋"/>
                <w:bCs/>
                <w:color w:val="auto"/>
                <w:highlight w:val="none"/>
              </w:rPr>
              <w:t xml:space="preserve">5所投产品须针对</w:t>
            </w:r>
            <w:bookmarkStart w:id="230" w:name="OLE_LINK39"/>
            <w:r>
              <w:rPr>
                <w:rFonts w:hint="eastAsia" w:ascii="仿宋" w:hAnsi="仿宋" w:eastAsia="仿宋" w:cs="仿宋"/>
                <w:bCs/>
                <w:color w:val="auto"/>
                <w:highlight w:val="none"/>
              </w:rPr>
              <w:t xml:space="preserve">轿门系统联动组件（含门电动机、变频器、轿门门锁、厅门门锁、厅门、轿门等）出具耐久性测试报告</w:t>
            </w:r>
            <w:bookmarkEnd w:id="230"/>
            <w:r>
              <w:rPr>
                <w:rFonts w:hint="eastAsia" w:ascii="仿宋" w:hAnsi="仿宋" w:eastAsia="仿宋" w:cs="仿宋"/>
                <w:bCs/>
                <w:color w:val="auto"/>
                <w:highlight w:val="none"/>
              </w:rPr>
              <w:t xml:space="preserve">。耐久性测试运行次数 ≥600万次，得 3分；耐久性测试运行次数在</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5</w:t>
            </w:r>
            <w:r>
              <w:rPr>
                <w:rFonts w:ascii="仿宋" w:hAnsi="仿宋" w:eastAsia="仿宋" w:cs="仿宋"/>
                <w:bCs/>
                <w:color w:val="auto"/>
                <w:highlight w:val="none"/>
              </w:rPr>
              <w:t xml:space="preserve">0</w:t>
            </w:r>
            <w:r>
              <w:rPr>
                <w:rFonts w:hint="eastAsia" w:ascii="仿宋" w:hAnsi="仿宋" w:eastAsia="仿宋" w:cs="仿宋"/>
                <w:bCs/>
                <w:color w:val="auto"/>
                <w:highlight w:val="none"/>
              </w:rPr>
              <w:t xml:space="preserve">万次（含）至600万次（不含）之间，得 </w:t>
            </w:r>
            <w:r>
              <w:rPr>
                <w:rFonts w:ascii="仿宋" w:hAnsi="仿宋" w:eastAsia="仿宋" w:cs="仿宋"/>
                <w:bCs/>
                <w:color w:val="auto"/>
                <w:highlight w:val="none"/>
              </w:rPr>
              <w:t xml:space="preserve">1</w:t>
            </w:r>
            <w:r>
              <w:rPr>
                <w:rFonts w:hint="eastAsia" w:ascii="仿宋" w:hAnsi="仿宋" w:eastAsia="仿宋" w:cs="仿宋"/>
                <w:bCs/>
                <w:color w:val="auto"/>
                <w:highlight w:val="none"/>
              </w:rPr>
              <w:t xml:space="preserve">分；耐久性测试运行次数在低于</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5</w:t>
            </w:r>
            <w:r>
              <w:rPr>
                <w:rFonts w:ascii="仿宋" w:hAnsi="仿宋" w:eastAsia="仿宋" w:cs="仿宋"/>
                <w:bCs/>
                <w:color w:val="auto"/>
                <w:highlight w:val="none"/>
              </w:rPr>
              <w:t xml:space="preserve">0</w:t>
            </w:r>
            <w:r>
              <w:rPr>
                <w:rFonts w:hint="eastAsia" w:ascii="仿宋" w:hAnsi="仿宋" w:eastAsia="仿宋" w:cs="仿宋"/>
                <w:bCs/>
                <w:color w:val="auto"/>
                <w:highlight w:val="none"/>
              </w:rPr>
              <w:t xml:space="preserve">万次或未提供有效检测报告的，不得分。响应文件中须提供具有CMA认证或CNAS认证的第三方检测机构出具的检测报告（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6</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电梯按钮</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spacing w:val="5"/>
                <w:highlight w:val="none"/>
              </w:rPr>
              <w:t xml:space="preserve">6</w:t>
            </w:r>
            <w:r>
              <w:rPr>
                <w:rFonts w:ascii="仿宋" w:hAnsi="仿宋" w:eastAsia="仿宋" w:cs="仿宋"/>
                <w:color w:val="auto"/>
                <w:spacing w:val="5"/>
                <w:highlight w:val="none"/>
              </w:rPr>
              <w:t xml:space="preserve">.</w:t>
            </w:r>
            <w:r>
              <w:rPr>
                <w:rFonts w:hint="eastAsia" w:ascii="仿宋" w:hAnsi="仿宋" w:eastAsia="仿宋" w:cs="仿宋"/>
                <w:color w:val="auto"/>
                <w:spacing w:val="5"/>
                <w:highlight w:val="none"/>
              </w:rPr>
              <w:t xml:space="preserve">电梯按钮在动作力</w:t>
            </w:r>
            <w:r>
              <w:rPr>
                <w:rFonts w:ascii="仿宋" w:hAnsi="仿宋" w:eastAsia="仿宋" w:cs="仿宋"/>
                <w:color w:val="auto"/>
                <w:spacing w:val="5"/>
                <w:highlight w:val="none"/>
              </w:rPr>
              <w:t xml:space="preserve">20</w:t>
            </w:r>
            <w:r>
              <w:rPr>
                <w:rFonts w:hint="eastAsia" w:ascii="仿宋" w:hAnsi="仿宋" w:eastAsia="仿宋" w:cs="仿宋"/>
                <w:color w:val="auto"/>
                <w:spacing w:val="5"/>
                <w:highlight w:val="none"/>
              </w:rPr>
              <w:t xml:space="preserve">N的条件下，动作600万次及以上寿命试验后能满足按钮动作正常，无裂纹无变形的得3分，动作350万次及以上，少于600万次寿命试验后能满足按钮动作正常，无裂纹无变形的得</w:t>
            </w:r>
            <w:r>
              <w:rPr>
                <w:rFonts w:ascii="仿宋" w:hAnsi="仿宋" w:eastAsia="仿宋" w:cs="仿宋"/>
                <w:color w:val="auto"/>
                <w:spacing w:val="5"/>
                <w:highlight w:val="none"/>
              </w:rPr>
              <w:t xml:space="preserve">1</w:t>
            </w:r>
            <w:r>
              <w:rPr>
                <w:rFonts w:hint="eastAsia" w:ascii="仿宋" w:hAnsi="仿宋" w:eastAsia="仿宋" w:cs="仿宋"/>
                <w:color w:val="auto"/>
                <w:spacing w:val="5"/>
                <w:highlight w:val="none"/>
              </w:rPr>
              <w:t xml:space="preserve">分，动作小于35</w:t>
            </w:r>
            <w:r>
              <w:rPr>
                <w:rFonts w:ascii="仿宋" w:hAnsi="仿宋" w:eastAsia="仿宋" w:cs="仿宋"/>
                <w:color w:val="auto"/>
                <w:spacing w:val="5"/>
                <w:highlight w:val="none"/>
              </w:rPr>
              <w:t xml:space="preserve">0</w:t>
            </w:r>
            <w:r>
              <w:rPr>
                <w:rFonts w:hint="eastAsia" w:ascii="仿宋" w:hAnsi="仿宋" w:eastAsia="仿宋" w:cs="仿宋"/>
                <w:color w:val="auto"/>
                <w:spacing w:val="5"/>
                <w:highlight w:val="none"/>
              </w:rPr>
              <w:t xml:space="preserve">万次不得分，</w:t>
            </w:r>
            <w:r>
              <w:rPr>
                <w:rFonts w:hint="eastAsia" w:ascii="仿宋" w:hAnsi="仿宋" w:eastAsia="仿宋" w:cs="仿宋"/>
                <w:bCs/>
                <w:color w:val="auto"/>
                <w:highlight w:val="none"/>
              </w:rPr>
              <w:t xml:space="preserve">未提供有效检测报告不得分</w:t>
            </w:r>
            <w:r>
              <w:rPr>
                <w:rFonts w:hint="eastAsia" w:ascii="仿宋" w:hAnsi="仿宋" w:eastAsia="仿宋" w:cs="仿宋"/>
                <w:color w:val="auto"/>
                <w:spacing w:val="5"/>
                <w:highlight w:val="none"/>
              </w:rPr>
              <w:t xml:space="preserve">。</w:t>
            </w:r>
            <w:r>
              <w:rPr>
                <w:rFonts w:hint="eastAsia" w:ascii="仿宋" w:hAnsi="仿宋" w:eastAsia="仿宋" w:cs="仿宋"/>
                <w:bCs/>
                <w:color w:val="auto"/>
                <w:highlight w:val="none"/>
              </w:rPr>
              <w:t xml:space="preserve">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7</w:t>
            </w:r>
            <w:r/>
          </w:p>
        </w:tc>
        <w:tc>
          <w:tcPr>
            <w:tcW w:w="1525" w:type="dxa"/>
            <w:vAlign w:val="center"/>
            <w:textDirection w:val="lrTb"/>
            <w:noWrap/>
          </w:tcPr>
          <w:p>
            <w:pPr>
              <w:pStyle w:val="1126"/>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控制柜外壳防护等级</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spacing w:val="5"/>
                <w:highlight w:val="none"/>
              </w:rPr>
              <w:t xml:space="preserve">7</w:t>
            </w:r>
            <w:r>
              <w:rPr>
                <w:rFonts w:ascii="仿宋" w:hAnsi="仿宋" w:eastAsia="仿宋" w:cs="仿宋"/>
                <w:color w:val="auto"/>
                <w:spacing w:val="5"/>
                <w:highlight w:val="none"/>
              </w:rPr>
              <w:t xml:space="preserve">.</w:t>
            </w:r>
            <w:r>
              <w:rPr>
                <w:rFonts w:hint="eastAsia" w:ascii="仿宋" w:hAnsi="仿宋" w:eastAsia="仿宋" w:cs="仿宋"/>
                <w:bCs/>
                <w:color w:val="auto"/>
                <w:highlight w:val="none"/>
              </w:rPr>
              <w:t xml:space="preserve">所投电梯控制柜外壳防护等级达到IP</w:t>
            </w:r>
            <w:r>
              <w:rPr>
                <w:rFonts w:ascii="仿宋" w:hAnsi="仿宋" w:eastAsia="仿宋" w:cs="仿宋"/>
                <w:bCs/>
                <w:color w:val="auto"/>
                <w:highlight w:val="none"/>
              </w:rPr>
              <w:t xml:space="preserve">4</w:t>
            </w:r>
            <w:r>
              <w:rPr>
                <w:rFonts w:hint="eastAsia" w:ascii="仿宋" w:hAnsi="仿宋" w:eastAsia="仿宋" w:cs="仿宋"/>
                <w:bCs/>
                <w:color w:val="auto"/>
                <w:highlight w:val="none"/>
              </w:rPr>
              <w:t xml:space="preserve">4及以上得3分；达到IP</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4（含）-IP4X（不含）得1分；其余不得分，未提供有效检测报告不得分。响应文件中须提供具有CMA认证或CNAS认证的第三方检测机构出具的检测报告（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8</w:t>
            </w:r>
            <w:r/>
          </w:p>
        </w:tc>
        <w:tc>
          <w:tcPr>
            <w:tcW w:w="1525" w:type="dxa"/>
            <w:vAlign w:val="center"/>
            <w:textDirection w:val="lrTb"/>
            <w:noWrap/>
          </w:tcPr>
          <w:p>
            <w:pPr>
              <w:pStyle w:val="1126"/>
              <w:ind w:firstLine="0"/>
              <w:jc w:val="both"/>
              <w:spacing w:line="0" w:lineRule="atLeast"/>
              <w:rPr>
                <w:rFonts w:ascii="仿宋" w:hAnsi="仿宋" w:eastAsia="仿宋" w:cs="宋体"/>
                <w:b/>
                <w:color w:val="auto"/>
                <w:sz w:val="21"/>
                <w:szCs w:val="21"/>
                <w:highlight w:val="none"/>
              </w:rPr>
            </w:pPr>
            <w:r>
              <w:rPr>
                <w:rFonts w:hint="eastAsia" w:ascii="仿宋" w:hAnsi="仿宋" w:eastAsia="仿宋" w:cs="仿宋"/>
                <w:color w:val="auto"/>
                <w:spacing w:val="5"/>
                <w:sz w:val="21"/>
                <w:szCs w:val="21"/>
                <w:highlight w:val="none"/>
              </w:rPr>
              <w:t xml:space="preserve">施工、采购进度计划及质量保证措施</w:t>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根据投标文件提供的施工、采购进度计划及质量保证措施方案（包括但不限于井道施工进度、供货安装进度安排、应急处置、对电梯制造（采购）、安装、调试、试运行、验收等环节的质量控制措施等内容）进行综合评分。</w:t>
            </w:r>
            <w:r/>
          </w:p>
          <w:p>
            <w:pPr>
              <w:ind w:left="-61" w:right="-29"/>
              <w:spacing w:before="1" w:line="320" w:lineRule="exact"/>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分；较为完整、比较合理、针对性一般、与采购需求有所出入的，得3分；不太完整、针对性较弱的，得1分；未提供不得分。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9</w:t>
            </w:r>
            <w:r/>
          </w:p>
        </w:tc>
        <w:tc>
          <w:tcPr>
            <w:tcW w:w="1525" w:type="dxa"/>
            <w:vAlign w:val="center"/>
            <w:textDirection w:val="lrTb"/>
            <w:noWrap/>
          </w:tcPr>
          <w:p>
            <w:pPr>
              <w:ind w:right="24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二次设计方案文件</w:t>
            </w:r>
            <w:r/>
          </w:p>
          <w:p>
            <w:pPr>
              <w:pStyle w:val="1126"/>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1.二次深化设计说明符合项目需求提出的主体结构、规格材质、连廊规格及装饰要求的条件、各专业设计全面，得</w:t>
            </w:r>
            <w:r>
              <w:rPr>
                <w:rFonts w:ascii="仿宋" w:hAnsi="仿宋" w:eastAsia="仿宋" w:cs="仿宋"/>
                <w:color w:val="auto"/>
                <w:spacing w:val="5"/>
                <w:highlight w:val="none"/>
              </w:rPr>
              <w:t xml:space="preserve">1</w:t>
            </w:r>
            <w:r>
              <w:rPr>
                <w:rFonts w:hint="eastAsia" w:ascii="仿宋" w:hAnsi="仿宋" w:eastAsia="仿宋" w:cs="仿宋"/>
                <w:color w:val="auto"/>
                <w:spacing w:val="5"/>
                <w:highlight w:val="none"/>
              </w:rPr>
              <w:t xml:space="preserve">分，未提供或不合理不得分；</w:t>
            </w:r>
            <w:r/>
          </w:p>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2.有总平面布局图，总平面布置设计合理得2分，未提供或不合理不得分； </w:t>
            </w:r>
            <w:r/>
          </w:p>
          <w:p>
            <w:pPr>
              <w:ind w:left="-61" w:right="-29" w:firstLine="228"/>
              <w:spacing w:before="1"/>
              <w:rPr>
                <w:rFonts w:ascii="仿宋" w:hAnsi="仿宋" w:eastAsia="仿宋" w:cs="宋体"/>
                <w:bCs/>
                <w:color w:val="auto"/>
                <w:highlight w:val="none"/>
              </w:rPr>
            </w:pPr>
            <w:r>
              <w:rPr>
                <w:rFonts w:hint="eastAsia" w:ascii="仿宋" w:hAnsi="仿宋" w:eastAsia="仿宋" w:cs="仿宋"/>
                <w:color w:val="auto"/>
                <w:spacing w:val="5"/>
                <w:highlight w:val="none"/>
              </w:rPr>
              <w:t xml:space="preserve">3.设计与构筑物效果、周边环境、原有建筑和谐、协调，得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分，未提供或不协调不得分；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5</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10</w:t>
            </w:r>
            <w:r/>
          </w:p>
        </w:tc>
        <w:tc>
          <w:tcPr>
            <w:tcW w:w="1525" w:type="dxa"/>
            <w:vAlign w:val="center"/>
            <w:textDirection w:val="lrTb"/>
            <w:noWrap/>
          </w:tcPr>
          <w:p>
            <w:pPr>
              <w:ind w:right="248"/>
              <w:spacing w:before="1"/>
              <w:tabs>
                <w:tab w:val="left" w:pos="1043" w:leader="none"/>
              </w:tabs>
              <w:rPr>
                <w:rFonts w:ascii="仿宋" w:hAnsi="仿宋" w:eastAsia="仿宋" w:cs="宋体"/>
                <w:b/>
                <w:color w:val="auto"/>
                <w:highlight w:val="none"/>
              </w:rPr>
            </w:pPr>
            <w:r>
              <w:rPr>
                <w:rFonts w:hint="eastAsia" w:ascii="仿宋" w:hAnsi="仿宋" w:eastAsia="仿宋" w:cs="仿宋"/>
                <w:color w:val="auto"/>
                <w:spacing w:val="5"/>
                <w:highlight w:val="none"/>
              </w:rPr>
              <w:t xml:space="preserve">施工管理组织方案</w:t>
            </w:r>
            <w:r/>
          </w:p>
        </w:tc>
        <w:tc>
          <w:tcPr>
            <w:tcW w:w="3951" w:type="dxa"/>
            <w:vAlign w:val="center"/>
            <w:textDirection w:val="lrTb"/>
            <w:noWrap/>
          </w:tcPr>
          <w:p>
            <w:pPr>
              <w:ind w:left="-61" w:right="-29"/>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1.有总体概述，包含对施工总承包的总体设想、组织形式、各项管理目标及控制措施、施工实施计划、设计与施工的协调措施等内容，概述全面且合理得3分，未提供或有缺项、不合理不得分； </w:t>
            </w:r>
            <w:r/>
          </w:p>
          <w:p>
            <w:pPr>
              <w:rPr>
                <w:rFonts w:ascii="仿宋" w:hAnsi="仿宋" w:eastAsia="仿宋" w:cs="宋体"/>
                <w:bCs/>
                <w:color w:val="auto"/>
                <w:highlight w:val="none"/>
              </w:rPr>
            </w:pPr>
            <w:r>
              <w:rPr>
                <w:rFonts w:hint="eastAsia" w:ascii="仿宋" w:hAnsi="仿宋" w:eastAsia="仿宋" w:cs="仿宋"/>
                <w:color w:val="auto"/>
                <w:spacing w:val="5"/>
                <w:highlight w:val="none"/>
              </w:rPr>
              <w:t xml:space="preserve">2.有施工进度、施工质量控制、施工费用控制、施工安全管理、施工现场管理等内容，内容全面且合理得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分，未提供或有缺项不得分；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11</w:t>
            </w:r>
            <w:r/>
          </w:p>
        </w:tc>
        <w:tc>
          <w:tcPr>
            <w:tcW w:w="1525" w:type="dxa"/>
            <w:vAlign w:val="center"/>
            <w:textDirection w:val="lrTb"/>
            <w:noWrap/>
          </w:tcPr>
          <w:p>
            <w:pPr>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安装方案</w:t>
            </w:r>
            <w:r/>
          </w:p>
          <w:p>
            <w:pPr>
              <w:pStyle w:val="1126"/>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根据投标文件提供的安装方案（包括但不限于整体施工方案、安全组织体系、文明施工、人员管理方案及措施、实施风险控制机制及措施、各项保证措施等内容）进行综合评分。</w:t>
            </w:r>
            <w:r/>
          </w:p>
          <w:p>
            <w:pPr>
              <w:ind w:left="-61" w:right="-29" w:firstLine="228"/>
              <w:spacing w:before="1"/>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分；较为完整、比较合理、针对性一般、与采购需求有所出入的，得3分；不太完整、针对性较弱的，得1分；未提供不得分。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12</w:t>
            </w:r>
            <w:r/>
          </w:p>
        </w:tc>
        <w:tc>
          <w:tcPr>
            <w:tcW w:w="1525" w:type="dxa"/>
            <w:vAlign w:val="center"/>
            <w:textDirection w:val="lrTb"/>
            <w:noWrap/>
          </w:tcPr>
          <w:p>
            <w:pPr>
              <w:ind w:right="-155"/>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售后服务方案</w:t>
            </w:r>
            <w:r/>
          </w:p>
          <w:p>
            <w:pPr>
              <w:pStyle w:val="1126"/>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评委根据投标文件提供的售后服务方案（包括但不限于服务体系、服务内容、管理制度、技术力量配备、应急响应时间等内容）进行综合评分。</w:t>
            </w:r>
            <w:r/>
          </w:p>
          <w:p>
            <w:pPr>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w:t>
            </w:r>
            <w:r>
              <w:rPr>
                <w:rFonts w:ascii="仿宋" w:hAnsi="仿宋" w:eastAsia="仿宋" w:cs="仿宋"/>
                <w:color w:val="auto"/>
                <w:spacing w:val="5"/>
                <w:highlight w:val="none"/>
              </w:rPr>
              <w:t xml:space="preserve">3</w:t>
            </w:r>
            <w:r>
              <w:rPr>
                <w:rFonts w:hint="eastAsia" w:ascii="仿宋" w:hAnsi="仿宋" w:eastAsia="仿宋" w:cs="仿宋"/>
                <w:color w:val="auto"/>
                <w:spacing w:val="5"/>
                <w:highlight w:val="none"/>
              </w:rPr>
              <w:t xml:space="preserve">分；不太完整、针对性较弱的，得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bl>
    <w:p>
      <w:pPr>
        <w:pStyle w:val="1126"/>
        <w:numPr>
          <w:ilvl w:val="0"/>
          <w:numId w:val="19"/>
        </w:numPr>
        <w:ind w:firstLine="482"/>
        <w:spacing w:before="240" w:line="0" w:lineRule="atLeast"/>
        <w:rPr>
          <w:rFonts w:ascii="宋体" w:hAnsi="宋体" w:cs="宋体"/>
          <w:color w:val="auto"/>
          <w:highlight w:val="none"/>
        </w:rPr>
      </w:pPr>
      <w:r>
        <w:rPr>
          <w:rFonts w:hint="eastAsia" w:ascii="宋体" w:hAnsi="宋体" w:cs="宋体"/>
          <w:b/>
          <w:color w:val="auto"/>
          <w:highlight w:val="none"/>
        </w:rPr>
        <w:t xml:space="preserve">商务分：</w:t>
      </w:r>
      <w:r>
        <w:rPr>
          <w:rFonts w:ascii="宋体" w:hAnsi="宋体" w:cs="宋体"/>
          <w:b/>
          <w:color w:val="auto"/>
          <w:highlight w:val="none"/>
        </w:rPr>
        <w:t xml:space="preserve">16</w:t>
      </w:r>
      <w:r>
        <w:rPr>
          <w:rFonts w:hint="eastAsia" w:ascii="宋体" w:hAnsi="宋体" w:cs="宋体"/>
          <w:b/>
          <w:color w:val="auto"/>
          <w:highlight w:val="none"/>
        </w:rPr>
        <w:t xml:space="preserve">分</w:t>
      </w:r>
      <w:r/>
    </w:p>
    <w:tbl>
      <w:tblPr>
        <w:tblStyle w:val="828"/>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序号</w:t>
            </w:r>
            <w:r/>
          </w:p>
        </w:tc>
        <w:tc>
          <w:tcPr>
            <w:tcW w:w="1505"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评分点名称</w:t>
            </w:r>
            <w:r/>
          </w:p>
        </w:tc>
        <w:tc>
          <w:tcPr>
            <w:tcW w:w="3969"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评审标准</w:t>
            </w:r>
            <w:r/>
          </w:p>
        </w:tc>
        <w:tc>
          <w:tcPr>
            <w:tcW w:w="992"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最高分</w:t>
            </w:r>
            <w:r/>
          </w:p>
        </w:tc>
        <w:tc>
          <w:tcPr>
            <w:tcW w:w="992"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最低分</w:t>
            </w:r>
            <w:r/>
          </w:p>
        </w:tc>
        <w:tc>
          <w:tcPr>
            <w:tcW w:w="1418" w:type="dxa"/>
            <w:vAlign w:val="center"/>
            <w:textDirection w:val="lrTb"/>
            <w:noWrap/>
          </w:tcPr>
          <w:p>
            <w:pPr>
              <w:pStyle w:val="1126"/>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主/客观分</w:t>
            </w:r>
            <w:r/>
          </w:p>
        </w:tc>
      </w:tr>
      <w:tr>
        <w:trPr>
          <w:trHeight w:val="513"/>
        </w:trPr>
        <w:tc>
          <w:tcPr>
            <w:tcW w:w="730" w:type="dxa"/>
            <w:vAlign w:val="center"/>
            <w:textDirection w:val="lrTb"/>
            <w:noWrap/>
          </w:tcPr>
          <w:p>
            <w:pPr>
              <w:pStyle w:val="1126"/>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p>
        </w:tc>
        <w:tc>
          <w:tcPr>
            <w:tcW w:w="1505" w:type="dxa"/>
            <w:vAlign w:val="center"/>
            <w:textDirection w:val="lrTb"/>
            <w:noWrap/>
          </w:tcPr>
          <w:p>
            <w:pPr>
              <w:pStyle w:val="1126"/>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企业实力</w:t>
            </w:r>
            <w:r/>
          </w:p>
        </w:tc>
        <w:tc>
          <w:tcPr>
            <w:tcW w:w="3969"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highlight w:val="none"/>
                <w:lang w:bidi="ar"/>
              </w:rPr>
              <w:t xml:space="preserve">1.所投产品制造商具有</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个及以上合规性测试实验室获得中国合格评定国家认可委员会(CNAS)认证的得3分；</w:t>
            </w:r>
            <w:r>
              <w:rPr>
                <w:rFonts w:ascii="仿宋" w:hAnsi="仿宋" w:eastAsia="仿宋" w:cs="仿宋"/>
                <w:color w:val="auto"/>
                <w:highlight w:val="none"/>
                <w:lang w:bidi="ar"/>
              </w:rPr>
              <w:t xml:space="preserve">制造商具备独立检测试验室（无CNAS认可，但具备全套电梯部件检测设备并附场地、设备佐证材料）得1分</w:t>
            </w:r>
            <w:r>
              <w:rPr>
                <w:rFonts w:hint="eastAsia" w:ascii="仿宋" w:hAnsi="仿宋" w:eastAsia="仿宋" w:cs="仿宋"/>
                <w:color w:val="auto"/>
                <w:highlight w:val="none"/>
                <w:lang w:bidi="ar"/>
              </w:rPr>
              <w:t xml:space="preserve">，没有不得分，未提供不得分。响应文件中须</w:t>
            </w:r>
            <w:r>
              <w:rPr>
                <w:rFonts w:hint="eastAsia" w:ascii="仿宋" w:hAnsi="仿宋" w:eastAsia="仿宋" w:cs="仿宋"/>
                <w:b/>
                <w:color w:val="auto"/>
                <w:highlight w:val="none"/>
                <w:lang w:bidi="ar"/>
              </w:rPr>
              <w:t xml:space="preserve">提供证明文件原件的扫描件加盖投标单位公章</w:t>
            </w:r>
            <w:r>
              <w:rPr>
                <w:rFonts w:hint="eastAsia" w:ascii="仿宋" w:hAnsi="仿宋" w:eastAsia="仿宋" w:cs="仿宋"/>
                <w:color w:val="auto"/>
                <w:highlight w:val="none"/>
                <w:lang w:bidi="ar"/>
              </w:rPr>
              <w:t xml:space="preserve">。</w:t>
            </w:r>
            <w:r>
              <w:rPr>
                <w:rFonts w:ascii="仿宋" w:hAnsi="仿宋" w:eastAsia="仿宋" w:cs="仿宋"/>
                <w:bCs/>
                <w:color w:val="auto"/>
                <w:highlight w:val="none"/>
              </w:rPr>
              <w:t xml:space="preserve"> </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3</w:t>
            </w:r>
            <w:r>
              <w:rPr>
                <w:rFonts w:hint="eastAsia" w:ascii="宋体" w:hAnsi="宋体" w:cs="宋体"/>
                <w:b/>
                <w:color w:val="auto"/>
                <w:highlight w:val="none"/>
              </w:rPr>
              <w:t xml:space="preserve">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126"/>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业绩</w:t>
            </w:r>
            <w:r/>
          </w:p>
        </w:tc>
        <w:tc>
          <w:tcPr>
            <w:tcW w:w="3969" w:type="dxa"/>
            <w:textDirection w:val="lrTb"/>
            <w:noWrap/>
          </w:tcPr>
          <w:p>
            <w:p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投标人提供自2023年1月1日以来（以合同签订时间为准）完成类似的业绩证明，每提供一份得</w:t>
            </w:r>
            <w:r>
              <w:rPr>
                <w:rFonts w:ascii="仿宋" w:hAnsi="仿宋" w:eastAsia="仿宋" w:cs="仿宋"/>
                <w:color w:val="auto"/>
                <w:highlight w:val="none"/>
                <w:lang w:bidi="ar"/>
              </w:rPr>
              <w:t xml:space="preserve">0.5</w:t>
            </w:r>
            <w:r>
              <w:rPr>
                <w:rFonts w:hint="eastAsia" w:ascii="仿宋" w:hAnsi="仿宋" w:eastAsia="仿宋" w:cs="仿宋"/>
                <w:color w:val="auto"/>
                <w:highlight w:val="none"/>
                <w:lang w:bidi="ar"/>
              </w:rPr>
              <w:t xml:space="preserve">分，最高</w:t>
            </w:r>
            <w:r>
              <w:rPr>
                <w:rFonts w:ascii="仿宋" w:hAnsi="仿宋" w:eastAsia="仿宋" w:cs="仿宋"/>
                <w:color w:val="auto"/>
                <w:highlight w:val="none"/>
                <w:lang w:bidi="ar"/>
              </w:rPr>
              <w:t xml:space="preserve">3</w:t>
            </w:r>
            <w:r>
              <w:rPr>
                <w:rFonts w:hint="eastAsia" w:ascii="仿宋" w:hAnsi="仿宋" w:eastAsia="仿宋" w:cs="仿宋"/>
                <w:color w:val="auto"/>
                <w:highlight w:val="none"/>
                <w:lang w:bidi="ar"/>
              </w:rPr>
              <w:t xml:space="preserve">分。</w:t>
            </w:r>
            <w:r>
              <w:rPr>
                <w:rStyle w:val="1163"/>
                <w:rFonts w:hint="default"/>
                <w:b/>
                <w:bCs/>
                <w:color w:val="auto"/>
                <w:sz w:val="21"/>
                <w:szCs w:val="21"/>
                <w:highlight w:val="none"/>
                <w:lang w:bidi="ar"/>
              </w:rPr>
              <w:t xml:space="preserve">响应时</w:t>
            </w:r>
            <w:r>
              <w:rPr>
                <w:rFonts w:hint="eastAsia" w:ascii="仿宋" w:hAnsi="仿宋" w:eastAsia="仿宋" w:cs="仿宋"/>
                <w:b/>
                <w:bCs/>
                <w:color w:val="auto"/>
                <w:highlight w:val="none"/>
                <w:lang w:bidi="ar"/>
              </w:rPr>
              <w:t xml:space="preserve">提供合同及特检院验收报告</w:t>
            </w:r>
            <w:r>
              <w:rPr>
                <w:rStyle w:val="1163"/>
                <w:rFonts w:hint="default"/>
                <w:b/>
                <w:bCs/>
                <w:color w:val="auto"/>
                <w:sz w:val="21"/>
                <w:szCs w:val="21"/>
                <w:highlight w:val="none"/>
                <w:lang w:bidi="ar"/>
              </w:rPr>
              <w:t xml:space="preserve">或相关证明材料，未提供或未按要求提供此项不得分。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3</w:t>
            </w:r>
            <w:r>
              <w:rPr>
                <w:rFonts w:hint="eastAsia" w:ascii="宋体" w:hAnsi="宋体" w:cs="宋体"/>
                <w:b/>
                <w:color w:val="auto"/>
                <w:highlight w:val="none"/>
              </w:rPr>
              <w:t xml:space="preserve">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126"/>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售后服务</w:t>
            </w:r>
            <w:r/>
          </w:p>
        </w:tc>
        <w:tc>
          <w:tcPr>
            <w:tcW w:w="3969" w:type="dxa"/>
            <w:textDirection w:val="lrTb"/>
            <w:noWrap/>
          </w:tcPr>
          <w:p>
            <w:pPr>
              <w:numPr>
                <w:ilvl w:val="0"/>
                <w:numId w:val="20"/>
              </w:num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质保期内售后服务保障能力：必须有专业的技术人员能够24小时提供应急保障服务，承诺15分钟赶到现场的得</w:t>
            </w:r>
            <w:r>
              <w:rPr>
                <w:rFonts w:ascii="仿宋" w:hAnsi="仿宋" w:eastAsia="仿宋" w:cs="仿宋"/>
                <w:color w:val="auto"/>
                <w:highlight w:val="none"/>
                <w:lang w:bidi="ar"/>
              </w:rPr>
              <w:t xml:space="preserve">3</w:t>
            </w:r>
            <w:r>
              <w:rPr>
                <w:rFonts w:hint="eastAsia" w:ascii="仿宋" w:hAnsi="仿宋" w:eastAsia="仿宋" w:cs="仿宋"/>
                <w:color w:val="auto"/>
                <w:highlight w:val="none"/>
                <w:lang w:bidi="ar"/>
              </w:rPr>
              <w:t xml:space="preserve">分，30分钟赶到现场的得</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分，未提供承诺不得分。</w:t>
            </w:r>
            <w:r/>
          </w:p>
          <w:p>
            <w:pPr>
              <w:jc w:val="left"/>
              <w:widowControl/>
              <w:rPr>
                <w:rFonts w:ascii="仿宋" w:hAnsi="仿宋" w:eastAsia="仿宋" w:cs="仿宋"/>
                <w:color w:val="auto"/>
                <w:highlight w:val="none"/>
                <w:lang w:bidi="ar"/>
              </w:rPr>
            </w:pPr>
            <w:r>
              <w:rPr>
                <w:rFonts w:hint="eastAsia" w:ascii="仿宋" w:hAnsi="仿宋" w:eastAsia="仿宋" w:cs="仿宋"/>
                <w:b/>
                <w:bCs/>
                <w:color w:val="auto"/>
                <w:highlight w:val="none"/>
                <w:lang w:bidi="ar"/>
              </w:rPr>
              <w:t xml:space="preserve">响应时提供承诺函原件，格式自拟。</w:t>
            </w:r>
            <w:r>
              <w:rPr>
                <w:rFonts w:hint="eastAsia" w:ascii="仿宋" w:hAnsi="仿宋" w:eastAsia="仿宋" w:cs="仿宋"/>
                <w:color w:val="auto"/>
                <w:highlight w:val="none"/>
                <w:lang w:bidi="ar"/>
              </w:rPr>
              <w:br w:type="textWrapping" w:clear="all"/>
            </w:r>
            <w:r>
              <w:rPr>
                <w:rFonts w:hint="eastAsia" w:ascii="仿宋" w:hAnsi="仿宋" w:eastAsia="仿宋" w:cs="仿宋"/>
                <w:color w:val="auto"/>
                <w:highlight w:val="none"/>
                <w:lang w:bidi="ar"/>
              </w:rPr>
              <w:t xml:space="preserve">2、投标供应商具有拥有电梯远程监控管理功能的系统，开通并承诺为本项目提供服务，得</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分，没有的不得分。</w:t>
            </w:r>
            <w:r/>
          </w:p>
          <w:p>
            <w:pPr>
              <w:jc w:val="left"/>
              <w:widowControl/>
              <w:rPr>
                <w:rStyle w:val="1163"/>
                <w:rFonts w:hint="default"/>
                <w:color w:val="auto"/>
                <w:sz w:val="21"/>
                <w:szCs w:val="21"/>
                <w:highlight w:val="none"/>
                <w:lang w:bidi="ar"/>
              </w:rPr>
            </w:pPr>
            <w:r>
              <w:rPr>
                <w:rFonts w:hint="eastAsia" w:ascii="仿宋" w:hAnsi="仿宋" w:eastAsia="仿宋" w:cs="仿宋"/>
                <w:b/>
                <w:bCs/>
                <w:color w:val="auto"/>
                <w:highlight w:val="none"/>
                <w:lang w:bidi="ar"/>
              </w:rPr>
              <w:t xml:space="preserve">响应时提供承诺函原件，格式自拟。</w:t>
            </w:r>
            <w:r>
              <w:rPr>
                <w:rFonts w:hint="eastAsia" w:ascii="仿宋" w:hAnsi="仿宋" w:eastAsia="仿宋" w:cs="仿宋"/>
                <w:color w:val="auto"/>
                <w:highlight w:val="none"/>
                <w:lang w:bidi="ar"/>
              </w:rPr>
              <w:br w:type="textWrapping" w:clear="all"/>
            </w:r>
            <w:r>
              <w:rPr>
                <w:rFonts w:hint="eastAsia" w:ascii="仿宋" w:hAnsi="仿宋" w:eastAsia="仿宋" w:cs="仿宋"/>
                <w:color w:val="auto"/>
                <w:highlight w:val="none"/>
                <w:lang w:bidi="ar"/>
              </w:rPr>
              <w:t xml:space="preserve">3、本项目投标产品的基础免费维保期为3</w:t>
            </w:r>
            <w:r>
              <w:rPr>
                <w:rStyle w:val="1163"/>
                <w:rFonts w:hint="default"/>
                <w:color w:val="auto"/>
                <w:sz w:val="21"/>
                <w:szCs w:val="21"/>
                <w:highlight w:val="none"/>
                <w:lang w:bidi="ar"/>
              </w:rPr>
              <w:t xml:space="preserve">年，承诺在采购文件要求的</w:t>
            </w:r>
            <w:r>
              <w:rPr>
                <w:rFonts w:hint="eastAsia" w:ascii="仿宋" w:hAnsi="仿宋" w:eastAsia="仿宋" w:cs="仿宋"/>
                <w:color w:val="auto"/>
                <w:highlight w:val="none"/>
                <w:lang w:bidi="ar"/>
              </w:rPr>
              <w:t xml:space="preserve">免费</w:t>
            </w:r>
            <w:r>
              <w:rPr>
                <w:rStyle w:val="1163"/>
                <w:rFonts w:hint="default"/>
                <w:color w:val="auto"/>
                <w:sz w:val="21"/>
                <w:szCs w:val="21"/>
                <w:highlight w:val="none"/>
                <w:lang w:bidi="ar"/>
              </w:rPr>
              <w:t xml:space="preserve">维保期（3年）基础之上每增加1年得1分，满分2分。</w:t>
            </w:r>
            <w:r/>
          </w:p>
          <w:p>
            <w:pPr>
              <w:jc w:val="left"/>
              <w:widowControl/>
              <w:rPr>
                <w:rStyle w:val="1163"/>
                <w:rFonts w:hint="default"/>
                <w:b/>
                <w:bCs/>
                <w:color w:val="auto"/>
                <w:sz w:val="21"/>
                <w:szCs w:val="21"/>
                <w:highlight w:val="none"/>
                <w:lang w:bidi="ar"/>
              </w:rPr>
            </w:pPr>
            <w:r>
              <w:rPr>
                <w:rStyle w:val="1163"/>
                <w:rFonts w:hint="default"/>
                <w:b/>
                <w:bCs/>
                <w:color w:val="auto"/>
                <w:sz w:val="21"/>
                <w:szCs w:val="21"/>
                <w:highlight w:val="none"/>
                <w:lang w:bidi="ar"/>
              </w:rPr>
              <w:t xml:space="preserve">响应时提供承诺函原件，格式自拟。</w:t>
            </w:r>
            <w:r/>
          </w:p>
          <w:p>
            <w:pPr>
              <w:pStyle w:val="1126"/>
              <w:ind w:firstLine="0"/>
              <w:jc w:val="both"/>
              <w:spacing w:before="0" w:after="0" w:line="240" w:lineRule="auto"/>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w:t>
            </w:r>
            <w:r>
              <w:rPr>
                <w:rFonts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lang w:bidi="ar"/>
              </w:rPr>
              <w:t xml:space="preserve">维保人员不少于1人，具备有效的《中华人民共和国特种设备安全管理和作业人员证》得1分；不满足或未提供证明材料的不得分。本项最高1分。</w:t>
            </w:r>
            <w:r/>
          </w:p>
          <w:p>
            <w:p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注：须提供拟派人员一览表。（</w:t>
            </w:r>
            <w:r>
              <w:rPr>
                <w:rFonts w:hint="eastAsia" w:ascii="仿宋" w:hAnsi="仿宋" w:eastAsia="仿宋" w:cs="仿宋"/>
                <w:b/>
                <w:color w:val="auto"/>
                <w:highlight w:val="none"/>
                <w:lang w:bidi="ar"/>
              </w:rPr>
              <w:t xml:space="preserve">须提供有效的资格证书及社保机构出具的投标人为其缴纳2026年3月-2026年5月中任意一个月的社会保险缴费清单扫描件并加盖投标人单位公章</w:t>
            </w:r>
            <w:r>
              <w:rPr>
                <w:rFonts w:hint="eastAsia" w:ascii="仿宋" w:hAnsi="仿宋" w:eastAsia="仿宋" w:cs="仿宋"/>
                <w:color w:val="auto"/>
                <w:highlight w:val="none"/>
                <w:lang w:bidi="ar"/>
              </w:rPr>
              <w:t xml:space="preserve">）。</w:t>
            </w:r>
            <w:r>
              <w:rPr>
                <w:rStyle w:val="1163"/>
                <w:rFonts w:hint="default"/>
                <w:color w:val="auto"/>
                <w:sz w:val="21"/>
                <w:szCs w:val="21"/>
                <w:highlight w:val="none"/>
                <w:lang w:bidi="ar"/>
              </w:rPr>
              <w:t xml:space="preserve">  </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ascii="宋体" w:hAnsi="宋体" w:cs="宋体"/>
                <w:b/>
                <w:color w:val="auto"/>
                <w:highlight w:val="none"/>
              </w:rPr>
              <w:t xml:space="preserve">7</w:t>
            </w:r>
            <w:r>
              <w:rPr>
                <w:rFonts w:hint="eastAsia" w:ascii="宋体" w:hAnsi="宋体" w:cs="宋体"/>
                <w:b/>
                <w:color w:val="auto"/>
                <w:highlight w:val="none"/>
              </w:rPr>
              <w:t xml:space="preserve">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126"/>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节能环保</w:t>
            </w:r>
            <w:r/>
          </w:p>
        </w:tc>
        <w:tc>
          <w:tcPr>
            <w:tcW w:w="3969" w:type="dxa"/>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1.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2.投标产品属于财政部、生态环境部公布的“环境标志产品品目清单”范围内的，供应商须在响应文件中提供国家确定的认证机构出具的、处于有效期内的该环保产品认证证书复印件的，有1个得0.5分，最多得1分。</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3.所投产品制造商获得由中华人民共和国工业和信息化部门颁发的《国家绿色工厂》的得1分；未提供不得分。</w:t>
            </w:r>
            <w:r/>
          </w:p>
          <w:p>
            <w:pPr>
              <w:jc w:val="left"/>
              <w:widowControl/>
              <w:rPr>
                <w:rFonts w:ascii="仿宋" w:hAnsi="仿宋" w:eastAsia="仿宋" w:cs="仿宋"/>
                <w:color w:val="auto"/>
                <w:highlight w:val="none"/>
              </w:rPr>
            </w:pPr>
            <w:r>
              <w:rPr>
                <w:rFonts w:ascii="仿宋" w:hAnsi="仿宋" w:eastAsia="仿宋" w:cs="仿宋"/>
                <w:color w:val="auto"/>
                <w:highlight w:val="none"/>
              </w:rPr>
              <w:t xml:space="preserve">上述1-2项响应文件中须提供证明文件原件的扫描件加盖投标单位公章。</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3分</w:t>
            </w:r>
            <w:r/>
          </w:p>
        </w:tc>
        <w:tc>
          <w:tcPr>
            <w:tcW w:w="992"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126"/>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bookmarkEnd w:id="195"/>
            <w:r/>
            <w:bookmarkEnd w:id="196"/>
            <w:r/>
            <w:bookmarkEnd w:id="197"/>
            <w:r/>
            <w:bookmarkEnd w:id="198"/>
            <w:r/>
            <w:bookmarkEnd w:id="203"/>
            <w:r/>
            <w:r/>
          </w:p>
        </w:tc>
      </w:tr>
    </w:tbl>
    <w:p>
      <w:pPr>
        <w:jc w:val="center"/>
        <w:rPr>
          <w:rFonts w:ascii="宋体" w:hAnsi="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Cs/>
          <w:color w:val="auto"/>
          <w:sz w:val="44"/>
          <w:highlight w:val="none"/>
        </w:rPr>
      </w:r>
      <w:r/>
    </w:p>
    <w:p>
      <w:pPr>
        <w:jc w:val="center"/>
        <w:rPr>
          <w:rFonts w:ascii="宋体" w:hAnsi="宋体" w:cs="宋体"/>
          <w:bCs/>
          <w:color w:val="auto"/>
          <w:sz w:val="44"/>
          <w:highlight w:val="none"/>
        </w:rPr>
      </w:pPr>
      <w:r>
        <w:rPr>
          <w:rFonts w:hint="eastAsia" w:ascii="宋体" w:hAnsi="宋体" w:cs="宋体"/>
          <w:bCs/>
          <w:color w:val="auto"/>
          <w:sz w:val="44"/>
          <w:highlight w:val="none"/>
        </w:rPr>
        <w:t xml:space="preserve">第六章  投标文件格式</w:t>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440" w:lineRule="exact"/>
        <w:rPr>
          <w:rFonts w:ascii="宋体" w:hAnsi="宋体" w:cs="宋体"/>
          <w:color w:val="auto"/>
          <w:highlight w:val="none"/>
        </w:rPr>
      </w:pPr>
      <w:r>
        <w:rPr>
          <w:rFonts w:ascii="宋体" w:hAnsi="宋体" w:cs="宋体"/>
          <w:color w:val="auto"/>
          <w:highlight w:val="none"/>
        </w:rPr>
      </w:r>
      <w:r/>
    </w:p>
    <w:p>
      <w:pPr>
        <w:ind w:firstLine="1084"/>
        <w:jc w:val="center"/>
        <w:rPr>
          <w:rFonts w:ascii="宋体" w:hAnsi="宋体" w:cs="宋体"/>
          <w:b/>
          <w:bCs/>
          <w:color w:val="auto"/>
          <w:sz w:val="32"/>
          <w:szCs w:val="32"/>
          <w:highlight w:val="none"/>
        </w:rPr>
      </w:pPr>
      <w:r>
        <w:rPr>
          <w:rFonts w:hint="eastAsia" w:ascii="宋体" w:hAnsi="宋体" w:cs="宋体"/>
          <w:b/>
          <w:color w:val="auto"/>
          <w:sz w:val="36"/>
          <w:highlight w:val="none"/>
          <w:u w:val="single"/>
        </w:rPr>
        <w:br w:type="page" w:clear="all"/>
      </w:r>
      <w:r>
        <w:rPr>
          <w:rFonts w:hint="eastAsia" w:ascii="宋体" w:hAnsi="宋体" w:cs="宋体"/>
          <w:b/>
          <w:bCs/>
          <w:color w:val="auto"/>
          <w:sz w:val="32"/>
          <w:szCs w:val="32"/>
          <w:highlight w:val="none"/>
        </w:rPr>
        <w:t xml:space="preserve">投标文件目录</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1.开标一览表（格式见附件1）</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2.投标分项报价表（格式见附件2）</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3.技术要求响应及偏离表（格式见附件3）</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4.商务要求响应及偏离表（格式见附件4）</w:t>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二、资格审查内容</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1.投标人符合《政府采购法》第二十二条规定条件的声明函（格式见附件5）</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2.特定资格要求的证明文件（如果本项目对投标人做出特定资格要求的，必须提供）</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3.法人授权书（格式见附件6）</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4.投标函（格式见附件7）</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5.中小微企业声明函（如果本项目专门面向中小微型企业采购，则必须提供。格式见附件8）</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20" w:firstLine="60"/>
        <w:spacing w:line="400" w:lineRule="exact"/>
        <w:rPr>
          <w:rFonts w:ascii="宋体" w:hAnsi="宋体" w:cs="宋体"/>
          <w:color w:val="auto"/>
          <w:sz w:val="24"/>
          <w:highlight w:val="none"/>
        </w:rPr>
      </w:pPr>
      <w:r>
        <w:rPr>
          <w:rFonts w:hint="eastAsia" w:ascii="宋体" w:hAnsi="宋体" w:cs="宋体"/>
          <w:color w:val="auto"/>
          <w:sz w:val="24"/>
          <w:highlight w:val="none"/>
        </w:rPr>
        <w:t xml:space="preserve">7.联合体协议（如果本项目接受联合体参加投标，投标人是联合体的，则必须提供。格式见附件10）</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总备注：上述“资格审查内容”中1、3、4条投标人必须在投标文件中提供相关材料，否则作无效投标处理；2、5、6、7条如招标文件要求必须提供相关材料而未提供的，作无效投标处理。</w:t>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三、符合性审查内容</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投标人必须对采购需求中加斜体下划线的实质性要求逐条做出响应，并按照招标文件要求提供证明材料，否则做无效投标处理。(格式见附件11）</w:t>
      </w:r>
      <w:r/>
    </w:p>
    <w:p>
      <w:pPr>
        <w:ind w:firstLine="480"/>
        <w:rPr>
          <w:rFonts w:ascii="宋体" w:hAnsi="宋体" w:cs="宋体"/>
          <w:b/>
          <w:color w:val="auto"/>
          <w:sz w:val="24"/>
          <w:highlight w:val="none"/>
        </w:rPr>
      </w:pPr>
      <w:r>
        <w:rPr>
          <w:rFonts w:hint="eastAsia" w:ascii="宋体" w:hAnsi="宋体" w:cs="宋体"/>
          <w:b/>
          <w:color w:val="auto"/>
          <w:sz w:val="24"/>
          <w:highlight w:val="none"/>
        </w:rPr>
        <w:t xml:space="preserve">四、价格扣除证明文件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1.小微企业声明函（如有格式见附件8）</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2.残疾人福利性单位声明函（如有格式见附件9）</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 关于符合本国产品标准的声明函（格式见附件12）</w:t>
      </w:r>
      <w:r/>
    </w:p>
    <w:p>
      <w:pPr>
        <w:jc w:val="center"/>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jc w:val="center"/>
        <w:rPr>
          <w:rFonts w:ascii="宋体" w:hAnsi="宋体" w:cs="宋体"/>
          <w:color w:val="auto"/>
          <w:sz w:val="24"/>
          <w:szCs w:val="20"/>
          <w:highlight w:val="none"/>
        </w:rPr>
      </w:pPr>
      <w:r>
        <w:rPr>
          <w:rFonts w:hint="eastAsia" w:ascii="宋体" w:hAnsi="宋体" w:cs="宋体"/>
          <w:b/>
          <w:color w:val="auto"/>
          <w:sz w:val="24"/>
          <w:szCs w:val="24"/>
          <w:highlight w:val="none"/>
        </w:rPr>
        <w:t xml:space="preserve">附件1 、开标一览表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招标编号：                                   采购包号：</w:t>
      </w:r>
      <w:r/>
    </w:p>
    <w:tbl>
      <w:tblPr>
        <w:tblStyle w:val="828"/>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s="宋体"/>
                <w:color w:val="auto"/>
                <w:sz w:val="24"/>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
          <w:color w:val="auto"/>
          <w:sz w:val="32"/>
          <w:szCs w:val="32"/>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附件2 、投标分项报价表</w:t>
      </w:r>
      <w:r/>
    </w:p>
    <w:tbl>
      <w:tblPr>
        <w:tblStyle w:val="828"/>
        <w:tblW w:w="9081"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投标总报价（人民币：元）</w:t>
            </w:r>
            <w:r/>
          </w:p>
        </w:tc>
        <w:tc>
          <w:tcPr>
            <w:tcW w:w="1246"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030"/>
        </w:trPr>
        <w:tc>
          <w:tcPr>
            <w:gridSpan w:val="9"/>
            <w:tcW w:w="908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jc w:val="left"/>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1.投标报价</w:t>
      </w:r>
      <w:r>
        <w:rPr>
          <w:rFonts w:hint="eastAsia" w:ascii="宋体" w:hAnsi="宋体" w:cs="宋体"/>
          <w:color w:val="auto"/>
          <w:sz w:val="24"/>
          <w:highlight w:val="none"/>
        </w:rPr>
        <w:t xml:space="preserve">采用总承包方式，“投标总报价”应已包含但不限于本项目所有产品的井道、钢结构、基坑、连廊等土建项目施工费用（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highlight w:val="none"/>
        </w:rPr>
        <w:t xml:space="preserve">.“</w:t>
      </w:r>
      <w:r>
        <w:rPr>
          <w:rFonts w:hint="eastAsia" w:ascii="宋体" w:hAnsi="宋体" w:cs="宋体"/>
          <w:color w:val="auto"/>
          <w:sz w:val="24"/>
          <w:highlight w:val="none"/>
        </w:rPr>
        <w:t xml:space="preserve">投标分项报价表</w:t>
      </w:r>
      <w:r>
        <w:rPr>
          <w:rFonts w:hint="eastAsia" w:ascii="宋体" w:hAnsi="宋体" w:cs="宋体"/>
          <w:color w:val="auto"/>
          <w:highlight w:val="none"/>
        </w:rPr>
        <w:t xml:space="preserve">”</w:t>
      </w:r>
      <w:r>
        <w:rPr>
          <w:rFonts w:hint="eastAsia" w:ascii="宋体" w:hAnsi="宋体" w:cs="宋体"/>
          <w:color w:val="auto"/>
          <w:sz w:val="24"/>
          <w:highlight w:val="none"/>
        </w:rPr>
        <w:t xml:space="preserve">中“投标总报价”数额应当与“开标一览表”中“投标总报价”数额一致。</w:t>
      </w:r>
      <w:r/>
    </w:p>
    <w:p>
      <w:pPr>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 项目经办人可以根据项目实际需要对表格结构进行调整。</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ascii="宋体" w:hAnsi="宋体" w:cs="宋体"/>
          <w:b/>
          <w:color w:val="auto"/>
          <w:sz w:val="24"/>
          <w:szCs w:val="24"/>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24"/>
          <w:szCs w:val="24"/>
          <w:highlight w:val="none"/>
        </w:rPr>
        <w:t xml:space="preserve">附件3 、技术要求响应及偏离表</w:t>
      </w:r>
      <w:r/>
    </w:p>
    <w:tbl>
      <w:tblPr>
        <w:tblStyle w:val="828"/>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p>
        </w:tc>
        <w:tc>
          <w:tcPr>
            <w:tcW w:w="319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附件3-1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1.投标人需对技术要求（未加斜体下划线的非实质性要求）逐条做出明确响应。</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2.如果招标文件要求提供证明材料，投标人需将证明材料列于该表之下。</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附件4 、商务要求响应及偏离表</w:t>
      </w:r>
      <w:r/>
    </w:p>
    <w:tbl>
      <w:tblPr>
        <w:tblStyle w:val="828"/>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招标文件商务要求 </w:t>
            </w:r>
            <w:r/>
          </w:p>
        </w:tc>
        <w:tc>
          <w:tcPr>
            <w:tcW w:w="319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附件4-1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1.投标人需对商务要求（未加斜体下划线的非实质性要求）逐条做出明确响应。</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2.如果招标文件要求提供证明材料，投标人需将证明材料列于该表之下。</w:t>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附件5、投标人符合《政府采购法》第二十二条规定条件的声明函</w:t>
      </w:r>
      <w:r/>
    </w:p>
    <w:p>
      <w:pPr>
        <w:ind w:firstLine="480"/>
        <w:spacing w:line="540" w:lineRule="exact"/>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我单位参加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（项目编号）投标活动。针对《中华人民共和国政府采购法》第二十二条规定做出如下声明：</w:t>
      </w:r>
      <w:r/>
    </w:p>
    <w:p>
      <w:pPr>
        <w:ind w:firstLine="482"/>
        <w:spacing w:line="5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1.我单位具有独立承担民事责任的能力；</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2.我单位具有良好的商业信誉和健全的财务会计制度；</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3.我单位具有履行合同所必需的设备和专业技术能力；</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4.我单位有依法缴纳税收和社会保障资金的良好记录；</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6.我单位满足法律、行政法规规定的其他条件。</w:t>
      </w:r>
      <w:r/>
    </w:p>
    <w:p>
      <w:pPr>
        <w:ind w:firstLine="482"/>
        <w:spacing w:line="5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5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5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承诺人名称（公章）：</w:t>
      </w:r>
      <w:r/>
    </w:p>
    <w:p>
      <w:pPr>
        <w:jc w:val="right"/>
        <w:spacing w:line="5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5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u w:val="single"/>
        </w:rPr>
        <w:t xml:space="preserve">_____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__ 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_ __</w:t>
      </w:r>
      <w:r>
        <w:rPr>
          <w:rFonts w:hint="eastAsia" w:ascii="宋体" w:hAnsi="宋体" w:cs="宋体"/>
          <w:bCs/>
          <w:color w:val="auto"/>
          <w:sz w:val="24"/>
          <w:szCs w:val="24"/>
          <w:highlight w:val="none"/>
        </w:rPr>
        <w:t xml:space="preserve">日</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附件6、法人授权书</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p>
    <w:p>
      <w:pPr>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829"/>
        <w:ind w:firstLine="1200"/>
        <w:rPr>
          <w:rFonts w:ascii="宋体" w:hAnsi="宋体" w:cs="宋体"/>
          <w:color w:val="auto"/>
          <w:highlight w:val="none"/>
        </w:rPr>
      </w:pPr>
      <w:r>
        <w:rPr>
          <w:rFonts w:hint="eastAsia" w:ascii="宋体" w:hAnsi="宋体" w:cs="宋体"/>
          <w:color w:val="auto"/>
          <w:sz w:val="24"/>
          <w:szCs w:val="24"/>
          <w:highlight w:val="none"/>
        </w:rPr>
        <w:t xml:space="preserve">被授权人电子邮箱：</w:t>
      </w:r>
      <w:r>
        <w:rPr>
          <w:rFonts w:hint="eastAsia" w:ascii="宋体" w:hAnsi="宋体" w:cs="宋体"/>
          <w:color w:val="auto"/>
          <w:sz w:val="24"/>
          <w:szCs w:val="24"/>
          <w:highlight w:val="none"/>
          <w:u w:val="single"/>
        </w:rPr>
        <w:t xml:space="preserve">                             </w:t>
      </w:r>
      <w:r/>
    </w:p>
    <w:p>
      <w:pPr>
        <w:ind w:firstLine="120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附件7、投标函</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致：南通市政府采购中心</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根据贵方的JSZC-</w:t>
      </w:r>
      <w:r>
        <w:rPr>
          <w:rFonts w:hint="eastAsia" w:ascii="宋体" w:hAnsi="宋体" w:cs="宋体"/>
          <w:color w:val="auto"/>
          <w:sz w:val="24"/>
          <w:highlight w:val="none"/>
          <w:u w:val="single"/>
        </w:rPr>
        <w:t xml:space="preserve">***</w:t>
      </w:r>
      <w:r>
        <w:rPr>
          <w:rFonts w:hint="eastAsia" w:ascii="宋体" w:hAnsi="宋体" w:cs="宋体"/>
          <w:b/>
          <w:color w:val="auto"/>
          <w:sz w:val="36"/>
          <w:szCs w:val="24"/>
          <w:highlight w:val="none"/>
          <w:u w:val="single"/>
        </w:rPr>
        <w:t xml:space="preserve">            </w:t>
      </w:r>
      <w:r>
        <w:rPr>
          <w:rFonts w:hint="eastAsia" w:ascii="宋体" w:hAnsi="宋体" w:cs="宋体"/>
          <w:color w:val="auto"/>
          <w:sz w:val="24"/>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日           期：________年____月____日</w:t>
      </w:r>
      <w:r/>
    </w:p>
    <w:p>
      <w:pPr>
        <w:ind w:firstLine="240"/>
        <w:jc w:val="center"/>
        <w:spacing w:line="560" w:lineRule="exact"/>
        <w:rPr>
          <w:rFonts w:ascii="宋体" w:hAnsi="宋体" w:cs="宋体"/>
          <w:bCs/>
          <w:color w:val="auto"/>
          <w:sz w:val="24"/>
          <w:highlight w:val="none"/>
        </w:rPr>
      </w:pPr>
      <w:r>
        <w:rPr>
          <w:rFonts w:ascii="宋体" w:hAnsi="宋体" w:cs="宋体"/>
          <w:bCs/>
          <w:color w:val="auto"/>
          <w:sz w:val="24"/>
          <w:highlight w:val="none"/>
        </w:rPr>
      </w:r>
      <w:r/>
    </w:p>
    <w:p>
      <w:pPr>
        <w:ind w:firstLine="240"/>
        <w:jc w:val="center"/>
        <w:spacing w:line="5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附件8、中小微企业声明函（货物）</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采购编号为JSZC-</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（项目名称）（采购包号：**）</w:t>
      </w:r>
      <w:r>
        <w:rPr>
          <w:rFonts w:hint="eastAsia" w:ascii="宋体" w:hAnsi="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5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540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3.供应商自行勾选承接企业的企业规模类型。</w:t>
      </w:r>
      <w:r/>
    </w:p>
    <w:p>
      <w:pPr>
        <w:ind w:firstLine="482"/>
        <w:jc w:val="center"/>
        <w:spacing w:line="460" w:lineRule="exact"/>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ind w:firstLine="482"/>
        <w:jc w:val="center"/>
        <w:spacing w:line="460" w:lineRule="exact"/>
        <w:rPr>
          <w:rFonts w:ascii="宋体" w:hAnsi="宋体" w:cs="宋体"/>
          <w:b/>
          <w:color w:val="auto"/>
          <w:sz w:val="32"/>
          <w:szCs w:val="32"/>
          <w:highlight w:val="none"/>
        </w:rPr>
      </w:pPr>
      <w:r>
        <w:rPr>
          <w:rFonts w:hint="eastAsia" w:ascii="宋体" w:hAnsi="宋体" w:cs="宋体"/>
          <w:b/>
          <w:color w:val="auto"/>
          <w:sz w:val="24"/>
          <w:szCs w:val="24"/>
          <w:highlight w:val="none"/>
        </w:rPr>
        <w:t xml:space="preserve">附件9、残疾人福利性单位声明函</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项目（采购包号：**）采购活动由本单位提供服务。</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ind w:firstLine="56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2.非专门面向中小微型企业采购的项目，供应商如不提供此声明函，价格将不做相应扣除。</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3.中标/成交供应商为残疾人福利性单位的，此声明函将随中标/成交结果同时公告，接受社会监督</w:t>
      </w:r>
      <w:r>
        <w:rPr>
          <w:rFonts w:hint="eastAsia" w:ascii="宋体" w:hAnsi="宋体" w:cs="宋体"/>
          <w:color w:val="auto"/>
          <w:sz w:val="24"/>
          <w:szCs w:val="24"/>
          <w:highlight w:val="none"/>
        </w:rPr>
        <w:t xml:space="preserve">。</w:t>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ind w:firstLine="624"/>
        <w:spacing w:line="588" w:lineRule="exact"/>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right="1560" w:firstLine="624"/>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p>
    <w:p>
      <w:pPr>
        <w:pStyle w:val="1102"/>
        <w:ind w:firstLine="600"/>
        <w:rPr>
          <w:rFonts w:ascii="宋体" w:hAnsi="宋体" w:eastAsia="宋体" w:cs="宋体"/>
          <w:color w:val="auto"/>
          <w:highlight w:val="none"/>
        </w:rPr>
      </w:pPr>
      <w:r>
        <w:rPr>
          <w:rFonts w:ascii="宋体" w:hAnsi="宋体" w:eastAsia="宋体" w:cs="宋体"/>
          <w:color w:val="auto"/>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附件10 联合体协议（参考格式）（采购包号：**）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（联合体中各供应商全称）在此达成以下协议：</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1、我们</w:t>
      </w:r>
      <w:r>
        <w:rPr>
          <w:rFonts w:hint="eastAsia" w:ascii="宋体" w:hAnsi="宋体" w:cs="宋体"/>
          <w:color w:val="auto"/>
          <w:sz w:val="24"/>
          <w:highlight w:val="none"/>
          <w:u w:val="single"/>
        </w:rPr>
        <w:t xml:space="preserve"> （供应商1），（供应商2） ，……</w:t>
      </w:r>
      <w:r>
        <w:rPr>
          <w:rFonts w:hint="eastAsia" w:ascii="宋体" w:hAnsi="宋体" w:cs="宋体"/>
          <w:color w:val="auto"/>
          <w:sz w:val="24"/>
          <w:highlight w:val="none"/>
        </w:rPr>
        <w:t xml:space="preserve">自愿组成联合体，参加江苏省政府采购中心组织的采购编号为</w:t>
      </w:r>
      <w:r>
        <w:rPr>
          <w:rFonts w:hint="eastAsia" w:ascii="宋体" w:hAnsi="宋体" w:cs="宋体"/>
          <w:color w:val="auto"/>
          <w:sz w:val="24"/>
          <w:highlight w:val="none"/>
          <w:u w:val="single"/>
        </w:rPr>
        <w:t xml:space="preserve">（编号全称），（项目全称）</w:t>
      </w:r>
      <w:r>
        <w:rPr>
          <w:rFonts w:hint="eastAsia" w:ascii="宋体" w:hAnsi="宋体" w:cs="宋体"/>
          <w:color w:val="auto"/>
          <w:sz w:val="24"/>
          <w:highlight w:val="none"/>
        </w:rPr>
        <w:t xml:space="preserve">项目（采购包号：**）的政府采购活动，我联合体指定</w:t>
      </w: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为牵头单位（牵头单位必须为联合体成员）。</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3、其中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56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646"/>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联合体中各供应商全称（公章）：     </w:t>
      </w:r>
      <w:r/>
    </w:p>
    <w:p>
      <w:pPr>
        <w:ind w:firstLine="646"/>
        <w:spacing w:line="400" w:lineRule="exact"/>
        <w:rPr>
          <w:rFonts w:ascii="宋体" w:hAnsi="宋体" w:cs="宋体"/>
          <w:color w:val="auto"/>
          <w:sz w:val="24"/>
          <w:highlight w:val="none"/>
        </w:rPr>
      </w:pPr>
      <w:r>
        <w:rPr>
          <w:rFonts w:hint="eastAsia" w:ascii="宋体" w:hAnsi="宋体" w:cs="宋体"/>
          <w:color w:val="auto"/>
          <w:sz w:val="24"/>
          <w:highlight w:val="none"/>
        </w:rPr>
        <w:t xml:space="preserve">                                  日期：</w:t>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备注：本招标文件中要求加盖CA电子签章的地方，仅需加盖牵头单位的CA电子签章。</w:t>
      </w:r>
      <w:r/>
    </w:p>
    <w:p>
      <w:pPr>
        <w:ind w:firstLine="645"/>
        <w:spacing w:line="56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ind w:right="72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02"/>
        <w:ind w:firstLine="0"/>
        <w:rPr>
          <w:rFonts w:ascii="宋体" w:hAnsi="宋体" w:eastAsia="宋体" w:cs="宋体"/>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highlight w:val="none"/>
        </w:rPr>
      </w:r>
      <w:r/>
    </w:p>
    <w:p>
      <w:pPr>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附件11、实质性要求响应及偏离表</w:t>
      </w:r>
      <w:r/>
    </w:p>
    <w:tbl>
      <w:tblPr>
        <w:tblStyle w:val="828"/>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609" w:type="dxa"/>
            <w:vAlign w:val="center"/>
            <w:textDirection w:val="lrTb"/>
            <w:noWrap w:val="false"/>
          </w:tcPr>
          <w:p>
            <w:pPr>
              <w:ind w:firstLine="360"/>
              <w:spacing w:line="400" w:lineRule="exact"/>
              <w:rPr>
                <w:rFonts w:ascii="宋体" w:hAnsi="宋体" w:cs="宋体"/>
                <w:bCs/>
                <w:i/>
                <w:color w:val="auto"/>
                <w:sz w:val="24"/>
                <w:highlight w:val="none"/>
                <w:u w:val="single"/>
              </w:rPr>
            </w:pPr>
            <w:r>
              <w:rPr>
                <w:rFonts w:hint="eastAsia" w:ascii="宋体" w:hAnsi="宋体" w:cs="宋体"/>
                <w:color w:val="auto"/>
                <w:sz w:val="24"/>
                <w:szCs w:val="24"/>
                <w:highlight w:val="none"/>
              </w:rPr>
              <w:t xml:space="preserve">技术要求和商务要求中的实质性要求</w:t>
            </w:r>
            <w:r>
              <w:rPr>
                <w:rFonts w:hint="eastAsia" w:ascii="宋体" w:hAnsi="宋体" w:cs="宋体"/>
                <w:b/>
                <w:bCs/>
                <w:color w:val="auto"/>
                <w:sz w:val="24"/>
                <w:szCs w:val="24"/>
                <w:highlight w:val="none"/>
              </w:rPr>
              <w:t xml:space="preserve">（</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w:t>
            </w:r>
            <w:r/>
          </w:p>
          <w:p>
            <w:pPr>
              <w:jc w:val="cente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17"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附件10-1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1.投标人必须对技术要求和商务要求中的实质性要求</w:t>
      </w:r>
      <w:r>
        <w:rPr>
          <w:rFonts w:hint="eastAsia" w:ascii="宋体" w:hAnsi="宋体" w:cs="宋体"/>
          <w:b/>
          <w:bCs/>
          <w:color w:val="auto"/>
          <w:sz w:val="24"/>
          <w:szCs w:val="24"/>
          <w:highlight w:val="none"/>
        </w:rPr>
        <w:t xml:space="preserve">（</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w:t>
      </w:r>
      <w:r>
        <w:rPr>
          <w:rFonts w:hint="eastAsia" w:ascii="宋体" w:hAnsi="宋体" w:cs="宋体"/>
          <w:color w:val="auto"/>
          <w:sz w:val="24"/>
          <w:szCs w:val="24"/>
          <w:highlight w:val="none"/>
        </w:rPr>
        <w:t xml:space="preserve">逐条做出明确响应，</w:t>
      </w:r>
      <w:r>
        <w:rPr>
          <w:rFonts w:hint="eastAsia" w:ascii="宋体" w:hAnsi="宋体" w:cs="宋体"/>
          <w:color w:val="auto"/>
          <w:sz w:val="24"/>
          <w:highlight w:val="none"/>
        </w:rPr>
        <w:t xml:space="preserve">否则作无效投标处理。</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2.如果招标文件要求提供证明材料，投标人必须将证明材料列于该表之下。</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3.投标人未对实质性要求逐条作出明确响应的，或未按招标文件要求提供证明材料的，该分包作无效投标处理。</w:t>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highlight w:val="none"/>
        </w:rPr>
      </w:r>
      <w:r/>
    </w:p>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附件12  关于符合本国产品标准的声明函（采购包号：**）</w:t>
      </w:r>
      <w:r/>
    </w:p>
    <w:p>
      <w:pPr>
        <w:pStyle w:val="1098"/>
        <w:ind w:firstLine="420"/>
        <w:spacing w:before="0" w:beforeAutospacing="0" w:after="0" w:afterAutospacing="0" w:line="0" w:lineRule="atLeast"/>
        <w:rPr>
          <w:color w:val="auto"/>
          <w:highlight w:val="none"/>
        </w:rPr>
      </w:pPr>
      <w:r>
        <w:rPr>
          <w:color w:val="auto"/>
          <w:highlight w:val="none"/>
        </w:rPr>
      </w:r>
      <w:r/>
    </w:p>
    <w:p>
      <w:pPr>
        <w:pStyle w:val="1098"/>
        <w:ind w:firstLine="420"/>
        <w:spacing w:before="0" w:beforeAutospacing="0" w:after="0" w:afterAutospacing="0" w:line="0" w:lineRule="atLeast"/>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8"/>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2166620</wp:posOffset>
                </wp:positionH>
                <wp:positionV relativeFrom="paragraph">
                  <wp:posOffset>434975</wp:posOffset>
                </wp:positionV>
                <wp:extent cx="816610" cy="147320"/>
                <wp:effectExtent l="13970" t="8890" r="7620" b="5715"/>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1002030</wp:posOffset>
                </wp:positionH>
                <wp:positionV relativeFrom="paragraph">
                  <wp:posOffset>464820</wp:posOffset>
                </wp:positionV>
                <wp:extent cx="876300" cy="120015"/>
                <wp:effectExtent l="11430" t="10160" r="7620" b="1270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4613910</wp:posOffset>
                </wp:positionH>
                <wp:positionV relativeFrom="paragraph">
                  <wp:posOffset>281305</wp:posOffset>
                </wp:positionV>
                <wp:extent cx="473075" cy="113030"/>
                <wp:effectExtent l="13335" t="7620" r="8890" b="1270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l0,0xe" coordsize="100000,100000" filled="f" strokecolor="#000000" strokeweight="0.75pt">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3282315</wp:posOffset>
                </wp:positionH>
                <wp:positionV relativeFrom="paragraph">
                  <wp:posOffset>247015</wp:posOffset>
                </wp:positionV>
                <wp:extent cx="816610" cy="103505"/>
                <wp:effectExtent l="5715" t="11430" r="6350" b="889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2124710</wp:posOffset>
                </wp:positionH>
                <wp:positionV relativeFrom="paragraph">
                  <wp:posOffset>292100</wp:posOffset>
                </wp:positionV>
                <wp:extent cx="816610" cy="76200"/>
                <wp:effectExtent l="10160" t="8890" r="11430" b="1016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13970" t="13335" r="8890" b="889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1.</w:t>
      </w:r>
      <w:r>
        <w:rPr>
          <w:rStyle w:val="1110"/>
          <w:rFonts w:hint="eastAsia"/>
          <w:i w:val="0"/>
          <w:color w:val="auto"/>
          <w:highlight w:val="none"/>
          <w:u w:val="single"/>
          <w:shd w:val="clear" w:color="auto" w:fill="ffffff"/>
        </w:rPr>
        <w:t xml:space="preserve">（产品名称1）</w:t>
      </w:r>
      <w:r>
        <w:rPr>
          <w:rStyle w:val="1110"/>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110"/>
          <w:rFonts w:hint="eastAsia"/>
          <w:i w:val="0"/>
          <w:color w:val="auto"/>
          <w:highlight w:val="none"/>
          <w:u w:val="single"/>
          <w:shd w:val="clear" w:color="auto" w:fill="ffffff"/>
        </w:rPr>
        <w:t xml:space="preserve">（厂名）</w:t>
      </w:r>
      <w:r>
        <w:rPr>
          <w:rStyle w:val="1110"/>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110"/>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110"/>
          <w:rFonts w:hint="eastAsia"/>
          <w:i w:val="0"/>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1110"/>
          <w:rFonts w:hint="eastAsia"/>
          <w:i w:val="0"/>
          <w:color w:val="auto"/>
          <w:highlight w:val="none"/>
          <w:u w:val="single"/>
          <w:shd w:val="clear" w:color="auto" w:fill="ffffff"/>
        </w:rPr>
        <w:t xml:space="preserve">（规定比例）</w:t>
      </w:r>
      <w:r>
        <w:rPr>
          <w:rStyle w:val="1110"/>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1110"/>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0"/>
          <w:rFonts w:hint="eastAsia"/>
          <w:i w:val="0"/>
          <w:color w:val="auto"/>
          <w:highlight w:val="none"/>
          <w:u w:val="single"/>
          <w:shd w:val="clear" w:color="auto" w:fill="ffffff"/>
        </w:rPr>
        <w:t xml:space="preserve">（关键组件）</w:t>
      </w:r>
      <w:r>
        <w:rPr>
          <w:rStyle w:val="1110"/>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1110"/>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0"/>
          <w:rFonts w:hint="eastAsia"/>
          <w:i w:val="0"/>
          <w:color w:val="auto"/>
          <w:highlight w:val="none"/>
          <w:u w:val="single"/>
          <w:shd w:val="clear" w:color="auto" w:fill="ffffff"/>
        </w:rPr>
        <w:t xml:space="preserve">（关键工序）</w:t>
      </w:r>
      <w:r>
        <w:rPr>
          <w:rStyle w:val="1110"/>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098"/>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1971040</wp:posOffset>
                </wp:positionH>
                <wp:positionV relativeFrom="paragraph">
                  <wp:posOffset>483235</wp:posOffset>
                </wp:positionV>
                <wp:extent cx="821690" cy="102870"/>
                <wp:effectExtent l="8890" t="12065" r="7620" b="889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772160</wp:posOffset>
                </wp:positionH>
                <wp:positionV relativeFrom="paragraph">
                  <wp:posOffset>464185</wp:posOffset>
                </wp:positionV>
                <wp:extent cx="908685" cy="140970"/>
                <wp:effectExtent l="10160" t="12065" r="5080"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4523740</wp:posOffset>
                </wp:positionH>
                <wp:positionV relativeFrom="paragraph">
                  <wp:posOffset>262255</wp:posOffset>
                </wp:positionV>
                <wp:extent cx="462280" cy="147320"/>
                <wp:effectExtent l="8890" t="10160" r="5080" b="1397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3234690</wp:posOffset>
                </wp:positionH>
                <wp:positionV relativeFrom="paragraph">
                  <wp:posOffset>229870</wp:posOffset>
                </wp:positionV>
                <wp:extent cx="849630" cy="120015"/>
                <wp:effectExtent l="5715" t="6350" r="1143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2145030</wp:posOffset>
                </wp:positionH>
                <wp:positionV relativeFrom="paragraph">
                  <wp:posOffset>233680</wp:posOffset>
                </wp:positionV>
                <wp:extent cx="843915" cy="125730"/>
                <wp:effectExtent l="11430" t="10160" r="11430" b="698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4638040</wp:posOffset>
                </wp:positionH>
                <wp:positionV relativeFrom="paragraph">
                  <wp:posOffset>78740</wp:posOffset>
                </wp:positionV>
                <wp:extent cx="718185" cy="97790"/>
                <wp:effectExtent l="8890" t="7620" r="6350"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2.</w:t>
      </w:r>
      <w:r>
        <w:rPr>
          <w:rStyle w:val="1110"/>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1110"/>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110"/>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1110"/>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1110"/>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1110"/>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1110"/>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1110"/>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0"/>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1098"/>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w:t>
      </w:r>
      <w:r/>
    </w:p>
    <w:p>
      <w:pPr>
        <w:pStyle w:val="1098"/>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098"/>
        <w:spacing w:before="30" w:beforeAutospacing="0" w:after="30" w:afterAutospacing="0" w:line="0" w:lineRule="atLeast"/>
        <w:rPr>
          <w:color w:val="auto"/>
          <w:highlight w:val="none"/>
        </w:rPr>
      </w:pPr>
      <w:r>
        <w:rPr>
          <w:color w:val="auto"/>
          <w:highlight w:val="none"/>
        </w:rPr>
      </w:r>
      <w:r/>
    </w:p>
    <w:p>
      <w:pPr>
        <w:pStyle w:val="1098"/>
        <w:ind w:right="480" w:firstLine="3720"/>
        <w:spacing w:before="30" w:beforeAutospacing="0" w:after="30" w:afterAutospacing="0" w:line="0" w:lineRule="atLeast"/>
        <w:rPr>
          <w:color w:val="auto"/>
          <w:highlight w:val="none"/>
        </w:rPr>
      </w:pPr>
      <w:r>
        <w:rPr>
          <w:rFonts w:hint="eastAsia"/>
          <w:color w:val="auto"/>
          <w:highlight w:val="none"/>
          <w:shd w:val="clear" w:color="auto" w:fill="ffffff"/>
        </w:rPr>
        <w:t xml:space="preserve">公司（单位）名称（盖章）：　        </w:t>
      </w:r>
      <w:r/>
    </w:p>
    <w:p>
      <w:pPr>
        <w:pStyle w:val="1098"/>
        <w:jc w:val="center"/>
        <w:spacing w:before="30" w:beforeAutospacing="0" w:after="30" w:afterAutospacing="0" w:line="0" w:lineRule="atLeast"/>
        <w:rPr>
          <w:color w:val="auto"/>
          <w:highlight w:val="none"/>
        </w:rPr>
      </w:pPr>
      <w:r>
        <w:rPr>
          <w:rFonts w:hint="eastAsia"/>
          <w:color w:val="auto"/>
          <w:highlight w:val="none"/>
          <w:shd w:val="clear" w:color="auto" w:fill="ffffff"/>
        </w:rPr>
        <w:t xml:space="preserve">                                日期：　   年　  月　  日         </w:t>
      </w:r>
      <w:r/>
    </w:p>
    <w:p>
      <w:pPr>
        <w:pStyle w:val="1098"/>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__________________</w:t>
      </w:r>
      <w:r/>
    </w:p>
    <w:p>
      <w:pPr>
        <w:pStyle w:val="1098"/>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1.产品如有型号，请在“产品名称”栏一并填写。</w:t>
      </w:r>
      <w:r/>
    </w:p>
    <w:p>
      <w:pPr>
        <w:pStyle w:val="1098"/>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2.生产厂名与厂址应与生产厂营业执照载明的相关信息保持一致。</w:t>
      </w:r>
      <w:r/>
    </w:p>
    <w:p>
      <w:pPr>
        <w:pStyle w:val="1098"/>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p>
    <w:p>
      <w:pPr>
        <w:pStyle w:val="1098"/>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4.该产品的关键组件要求实施前，“关键组件”栏可不填，下同。</w:t>
      </w:r>
      <w:r/>
    </w:p>
    <w:p>
      <w:pPr>
        <w:pStyle w:val="1098"/>
        <w:spacing w:before="30" w:beforeAutospacing="0" w:after="30" w:afterAutospacing="0" w:line="0" w:lineRule="atLeast"/>
        <w:rPr>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p>
    <w:p>
      <w:pPr>
        <w:pStyle w:val="1098"/>
        <w:spacing w:before="30" w:beforeAutospacing="0" w:after="30" w:afterAutospacing="0" w:line="0" w:lineRule="atLeast"/>
        <w:rPr>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pStyle w:val="1102"/>
        <w:ind w:firstLine="0"/>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邮箱：</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3.质疑供应商若对项目的某一分包进行质疑，质疑函中应列明具体采购包号。</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08"/>
      </w:rPr>
      <w:framePr w:wrap="around" w:vAnchor="text" w:hAnchor="margin" w:xAlign="center" w:y="1"/>
    </w:pPr>
    <w:r>
      <w:fldChar w:fldCharType="begin"/>
    </w:r>
    <w:r>
      <w:rPr>
        <w:rStyle w:val="1108"/>
      </w:rPr>
      <w:instrText xml:space="preserve">PAGE  </w:instrText>
    </w:r>
    <w:r>
      <w:fldChar w:fldCharType="separate"/>
    </w:r>
    <w:r>
      <w:rPr>
        <w:rStyle w:val="1108"/>
      </w:rPr>
      <w:t xml:space="preserve">1</w:t>
    </w:r>
    <w:r>
      <w:fldChar w:fldCharType="end"/>
    </w:r>
    <w:r/>
  </w:p>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w:fldChar w:fldCharType="begin"/>
    </w:r>
    <w:r>
      <w:instrText xml:space="preserve">PAGE   \* MERGEFORMAT</w:instrText>
    </w:r>
    <w:r>
      <w:fldChar w:fldCharType="separate"/>
    </w:r>
    <w:r>
      <w:rPr>
        <w:lang w:val="zh-CN"/>
      </w:rPr>
      <w:t xml:space="preserve">28</w:t>
    </w:r>
    <w:r>
      <w:fldChar w:fldCharType="end"/>
    </w:r>
    <w:r/>
  </w:p>
  <w:p>
    <w:pPr>
      <w:pStyle w:val="11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2008" w:hanging="360"/>
      </w:pPr>
      <w:rPr>
        <w:rFonts w:ascii="Courier New" w:hAnsi="Courier New" w:eastAsia="Courier New" w:cs="Courier New"/>
      </w:rPr>
    </w:lvl>
    <w:lvl w:ilvl="2">
      <w:start w:val="1"/>
      <w:numFmt w:val="bullet"/>
      <w:isLgl w:val="false"/>
      <w:suff w:val="tab"/>
      <w:lvlText w:val="§"/>
      <w:lvlJc w:val="left"/>
      <w:pPr>
        <w:ind w:left="2728" w:hanging="360"/>
      </w:pPr>
      <w:rPr>
        <w:rFonts w:ascii="Wingdings" w:hAnsi="Wingdings" w:eastAsia="Wingdings" w:cs="Wingdings"/>
      </w:rPr>
    </w:lvl>
    <w:lvl w:ilvl="3">
      <w:start w:val="1"/>
      <w:numFmt w:val="bullet"/>
      <w:isLgl w:val="false"/>
      <w:suff w:val="tab"/>
      <w:lvlText w:val="·"/>
      <w:lvlJc w:val="left"/>
      <w:pPr>
        <w:ind w:left="3448" w:hanging="360"/>
      </w:pPr>
      <w:rPr>
        <w:rFonts w:ascii="Symbol" w:hAnsi="Symbol" w:eastAsia="Symbol" w:cs="Symbol"/>
      </w:rPr>
    </w:lvl>
    <w:lvl w:ilvl="4">
      <w:start w:val="1"/>
      <w:numFmt w:val="bullet"/>
      <w:isLgl w:val="false"/>
      <w:suff w:val="tab"/>
      <w:lvlText w:val="o"/>
      <w:lvlJc w:val="left"/>
      <w:pPr>
        <w:ind w:left="4168" w:hanging="360"/>
      </w:pPr>
      <w:rPr>
        <w:rFonts w:ascii="Courier New" w:hAnsi="Courier New" w:eastAsia="Courier New" w:cs="Courier New"/>
      </w:rPr>
    </w:lvl>
    <w:lvl w:ilvl="5">
      <w:start w:val="1"/>
      <w:numFmt w:val="bullet"/>
      <w:isLgl w:val="false"/>
      <w:suff w:val="tab"/>
      <w:lvlText w:val="§"/>
      <w:lvlJc w:val="left"/>
      <w:pPr>
        <w:ind w:left="4888" w:hanging="360"/>
      </w:pPr>
      <w:rPr>
        <w:rFonts w:ascii="Wingdings" w:hAnsi="Wingdings" w:eastAsia="Wingdings" w:cs="Wingdings"/>
      </w:rPr>
    </w:lvl>
    <w:lvl w:ilvl="6">
      <w:start w:val="1"/>
      <w:numFmt w:val="bullet"/>
      <w:isLgl w:val="false"/>
      <w:suff w:val="tab"/>
      <w:lvlText w:val="·"/>
      <w:lvlJc w:val="left"/>
      <w:pPr>
        <w:ind w:left="5608" w:hanging="360"/>
      </w:pPr>
      <w:rPr>
        <w:rFonts w:ascii="Symbol" w:hAnsi="Symbol" w:eastAsia="Symbol" w:cs="Symbol"/>
      </w:rPr>
    </w:lvl>
    <w:lvl w:ilvl="7">
      <w:start w:val="1"/>
      <w:numFmt w:val="bullet"/>
      <w:isLgl w:val="false"/>
      <w:suff w:val="tab"/>
      <w:lvlText w:val="o"/>
      <w:lvlJc w:val="left"/>
      <w:pPr>
        <w:ind w:left="6328" w:hanging="360"/>
      </w:pPr>
      <w:rPr>
        <w:rFonts w:ascii="Courier New" w:hAnsi="Courier New" w:eastAsia="Courier New" w:cs="Courier New"/>
      </w:rPr>
    </w:lvl>
    <w:lvl w:ilvl="8">
      <w:start w:val="1"/>
      <w:numFmt w:val="bullet"/>
      <w:isLgl w:val="false"/>
      <w:suff w:val="tab"/>
      <w:lvlText w:val="§"/>
      <w:lvlJc w:val="left"/>
      <w:pPr>
        <w:ind w:left="7048" w:hanging="360"/>
      </w:pPr>
      <w:rPr>
        <w:rFonts w:ascii="Wingdings" w:hAnsi="Wingdings" w:eastAsia="Wingdings" w:cs="Wingdings"/>
      </w:rPr>
    </w:lvl>
  </w:abstractNum>
  <w:abstractNum w:abstractNumId="5">
    <w:multiLevelType w:val="hybridMultilevel"/>
    <w:lvl w:ilvl="0">
      <w:start w:val="1"/>
      <w:numFmt w:val="upperLetter"/>
      <w:pStyle w:val="11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6"/>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lvlOverride w:ilvl="0">
      <w:startOverride w:val="1"/>
    </w:lvlOverride>
  </w:num>
  <w:num w:numId="6">
    <w:abstractNumId w:val="12"/>
  </w:num>
  <w:num w:numId="7">
    <w:abstractNumId w:val="19"/>
  </w:num>
  <w:num w:numId="8">
    <w:abstractNumId w:val="10"/>
  </w:num>
  <w:num w:numId="9">
    <w:abstractNumId w:val="0"/>
  </w:num>
  <w:num w:numId="10">
    <w:abstractNumId w:val="13"/>
  </w:num>
  <w:num w:numId="11">
    <w:abstractNumId w:val="17"/>
  </w:num>
  <w:num w:numId="12">
    <w:abstractNumId w:val="4"/>
  </w:num>
  <w:num w:numId="13">
    <w:abstractNumId w:val="15"/>
  </w:num>
  <w:num w:numId="14">
    <w:abstractNumId w:val="8"/>
  </w:num>
  <w:num w:numId="15">
    <w:abstractNumId w:val="11"/>
  </w:num>
  <w:num w:numId="16">
    <w:abstractNumId w:val="7"/>
  </w:num>
  <w:num w:numId="17">
    <w:abstractNumId w:val="6"/>
  </w:num>
  <w:num w:numId="18">
    <w:abstractNumId w:val="1"/>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next w:val="8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8">
    <w:name w:val="Heading 1"/>
    <w:basedOn w:val="817"/>
    <w:next w:val="817"/>
    <w:link w:val="1152"/>
    <w:uiPriority w:val="9"/>
    <w:qFormat/>
    <w:pPr>
      <w:keepLines/>
      <w:keepNext/>
      <w:spacing w:before="480" w:after="200"/>
      <w:outlineLvl w:val="0"/>
    </w:pPr>
    <w:rPr>
      <w:rFonts w:ascii="Arial" w:hAnsi="Arial" w:eastAsia="Arial"/>
      <w:sz w:val="40"/>
      <w:szCs w:val="40"/>
    </w:rPr>
  </w:style>
  <w:style w:type="paragraph" w:styleId="819">
    <w:name w:val="Heading 2"/>
    <w:basedOn w:val="817"/>
    <w:next w:val="817"/>
    <w:link w:val="891"/>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92"/>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93"/>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94"/>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95"/>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97"/>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98"/>
    <w:uiPriority w:val="9"/>
    <w:unhideWhenUsed/>
    <w:qFormat/>
    <w:pPr>
      <w:keepLines/>
      <w:keepNext/>
      <w:spacing w:before="320" w:after="200"/>
      <w:outlineLvl w:val="8"/>
    </w:pPr>
    <w:rPr>
      <w:rFonts w:ascii="Arial" w:hAnsi="Arial" w:eastAsia="Arial" w:cs="Arial"/>
      <w:i/>
      <w:iCs/>
    </w:rPr>
  </w:style>
  <w:style w:type="character" w:styleId="827" w:default="1">
    <w:name w:val="Default Paragraph Font"/>
    <w:uiPriority w:val="1"/>
    <w:semiHidden/>
    <w:unhideWhenUsed/>
    <w:qFormat/>
  </w:style>
  <w:style w:type="table" w:styleId="828" w:default="1">
    <w:name w:val="Normal Table"/>
    <w:uiPriority w:val="99"/>
    <w:semiHidden/>
    <w:unhideWhenUsed/>
    <w:tblPr>
      <w:tblCellMar>
        <w:left w:w="108" w:type="dxa"/>
        <w:top w:w="0" w:type="dxa"/>
        <w:right w:w="108" w:type="dxa"/>
        <w:bottom w:w="0" w:type="dxa"/>
      </w:tblCellMar>
    </w:tblPr>
  </w:style>
  <w:style w:type="paragraph" w:styleId="829" w:customStyle="1">
    <w:name w:val="正文缩进11"/>
    <w:basedOn w:val="817"/>
    <w:link w:val="1049"/>
    <w:uiPriority w:val="0"/>
    <w:qFormat/>
    <w:pPr>
      <w:ind w:firstLine="420"/>
    </w:pPr>
    <w:rPr>
      <w:sz w:val="20"/>
    </w:rPr>
  </w:style>
  <w:style w:type="paragraph" w:styleId="830">
    <w:name w:val="toc 7"/>
    <w:basedOn w:val="817"/>
    <w:next w:val="817"/>
    <w:uiPriority w:val="39"/>
    <w:unhideWhenUsed/>
    <w:pPr>
      <w:ind w:left="1701"/>
      <w:spacing w:after="57"/>
    </w:pPr>
  </w:style>
  <w:style w:type="paragraph" w:styleId="831">
    <w:name w:val="Caption"/>
    <w:basedOn w:val="817"/>
    <w:next w:val="817"/>
    <w:uiPriority w:val="35"/>
    <w:semiHidden/>
    <w:unhideWhenUsed/>
    <w:qFormat/>
    <w:pPr>
      <w:spacing w:line="276" w:lineRule="auto"/>
    </w:pPr>
    <w:rPr>
      <w:b/>
      <w:bCs/>
      <w:color w:val="4f81bd"/>
      <w:sz w:val="18"/>
      <w:szCs w:val="18"/>
    </w:rPr>
  </w:style>
  <w:style w:type="paragraph" w:styleId="832">
    <w:name w:val="annotation text"/>
    <w:basedOn w:val="817"/>
    <w:uiPriority w:val="99"/>
    <w:semiHidden/>
    <w:unhideWhenUsed/>
    <w:pPr>
      <w:jc w:val="left"/>
    </w:pPr>
  </w:style>
  <w:style w:type="paragraph" w:styleId="833">
    <w:name w:val="toc 5"/>
    <w:basedOn w:val="817"/>
    <w:next w:val="817"/>
    <w:uiPriority w:val="39"/>
    <w:unhideWhenUsed/>
    <w:qFormat/>
    <w:pPr>
      <w:ind w:left="1134"/>
      <w:spacing w:after="57"/>
    </w:pPr>
  </w:style>
  <w:style w:type="paragraph" w:styleId="834">
    <w:name w:val="toc 3"/>
    <w:basedOn w:val="817"/>
    <w:next w:val="817"/>
    <w:uiPriority w:val="39"/>
    <w:unhideWhenUsed/>
    <w:pPr>
      <w:ind w:left="567"/>
      <w:spacing w:after="57"/>
    </w:pPr>
  </w:style>
  <w:style w:type="paragraph" w:styleId="835">
    <w:name w:val="toc 8"/>
    <w:basedOn w:val="817"/>
    <w:next w:val="817"/>
    <w:uiPriority w:val="39"/>
    <w:unhideWhenUsed/>
    <w:qFormat/>
    <w:pPr>
      <w:ind w:left="1984"/>
      <w:spacing w:after="57"/>
    </w:pPr>
  </w:style>
  <w:style w:type="paragraph" w:styleId="836">
    <w:name w:val="endnote text"/>
    <w:basedOn w:val="817"/>
    <w:link w:val="1036"/>
    <w:uiPriority w:val="99"/>
    <w:semiHidden/>
    <w:unhideWhenUsed/>
    <w:qFormat/>
    <w:rPr>
      <w:sz w:val="20"/>
    </w:rPr>
  </w:style>
  <w:style w:type="paragraph" w:styleId="837">
    <w:name w:val="Balloon Text"/>
    <w:basedOn w:val="817"/>
    <w:link w:val="1167"/>
    <w:uiPriority w:val="99"/>
    <w:semiHidden/>
    <w:unhideWhenUsed/>
    <w:rPr>
      <w:sz w:val="18"/>
      <w:szCs w:val="18"/>
    </w:rPr>
  </w:style>
  <w:style w:type="paragraph" w:styleId="838">
    <w:name w:val="Footer"/>
    <w:basedOn w:val="817"/>
    <w:link w:val="909"/>
    <w:uiPriority w:val="99"/>
    <w:unhideWhenUsed/>
    <w:qFormat/>
    <w:pPr>
      <w:tabs>
        <w:tab w:val="center" w:pos="7143" w:leader="none"/>
        <w:tab w:val="right" w:pos="14287" w:leader="none"/>
      </w:tabs>
    </w:pPr>
  </w:style>
  <w:style w:type="paragraph" w:styleId="839">
    <w:name w:val="Header"/>
    <w:basedOn w:val="817"/>
    <w:link w:val="907"/>
    <w:uiPriority w:val="99"/>
    <w:unhideWhenUsed/>
    <w:pPr>
      <w:tabs>
        <w:tab w:val="center" w:pos="7143" w:leader="none"/>
        <w:tab w:val="right" w:pos="14287" w:leader="none"/>
      </w:tabs>
    </w:pPr>
  </w:style>
  <w:style w:type="paragraph" w:styleId="840">
    <w:name w:val="toc 1"/>
    <w:basedOn w:val="817"/>
    <w:next w:val="817"/>
    <w:uiPriority w:val="39"/>
    <w:unhideWhenUsed/>
    <w:pPr>
      <w:spacing w:after="57"/>
    </w:pPr>
  </w:style>
  <w:style w:type="paragraph" w:styleId="841">
    <w:name w:val="toc 4"/>
    <w:basedOn w:val="817"/>
    <w:next w:val="817"/>
    <w:uiPriority w:val="39"/>
    <w:unhideWhenUsed/>
    <w:pPr>
      <w:ind w:left="850"/>
      <w:spacing w:after="57"/>
    </w:pPr>
  </w:style>
  <w:style w:type="paragraph" w:styleId="842">
    <w:name w:val="Subtitle"/>
    <w:basedOn w:val="817"/>
    <w:next w:val="817"/>
    <w:link w:val="902"/>
    <w:uiPriority w:val="11"/>
    <w:qFormat/>
    <w:pPr>
      <w:spacing w:before="200" w:after="200"/>
    </w:pPr>
    <w:rPr>
      <w:sz w:val="24"/>
      <w:szCs w:val="24"/>
    </w:rPr>
  </w:style>
  <w:style w:type="paragraph" w:styleId="843">
    <w:name w:val="footnote text"/>
    <w:basedOn w:val="817"/>
    <w:link w:val="1035"/>
    <w:uiPriority w:val="99"/>
    <w:semiHidden/>
    <w:unhideWhenUsed/>
    <w:pPr>
      <w:spacing w:after="40"/>
    </w:pPr>
    <w:rPr>
      <w:sz w:val="18"/>
    </w:rPr>
  </w:style>
  <w:style w:type="paragraph" w:styleId="844">
    <w:name w:val="toc 6"/>
    <w:basedOn w:val="817"/>
    <w:next w:val="817"/>
    <w:uiPriority w:val="39"/>
    <w:unhideWhenUsed/>
    <w:pPr>
      <w:ind w:left="1417"/>
      <w:spacing w:after="57"/>
    </w:pPr>
  </w:style>
  <w:style w:type="paragraph" w:styleId="845">
    <w:name w:val="table of figures"/>
    <w:basedOn w:val="817"/>
    <w:next w:val="817"/>
    <w:uiPriority w:val="99"/>
    <w:unhideWhenUsed/>
    <w:qFormat/>
  </w:style>
  <w:style w:type="paragraph" w:styleId="846">
    <w:name w:val="toc 2"/>
    <w:basedOn w:val="817"/>
    <w:next w:val="817"/>
    <w:uiPriority w:val="39"/>
    <w:unhideWhenUsed/>
    <w:pPr>
      <w:ind w:left="283"/>
      <w:spacing w:after="57"/>
    </w:pPr>
  </w:style>
  <w:style w:type="paragraph" w:styleId="847">
    <w:name w:val="toc 9"/>
    <w:basedOn w:val="817"/>
    <w:next w:val="817"/>
    <w:uiPriority w:val="39"/>
    <w:unhideWhenUsed/>
    <w:pPr>
      <w:ind w:left="2268"/>
      <w:spacing w:after="57"/>
    </w:pPr>
  </w:style>
  <w:style w:type="paragraph" w:styleId="848">
    <w:name w:val="Title"/>
    <w:basedOn w:val="817"/>
    <w:next w:val="817"/>
    <w:link w:val="901"/>
    <w:uiPriority w:val="10"/>
    <w:qFormat/>
    <w:pPr>
      <w:contextualSpacing/>
      <w:spacing w:before="300" w:after="200"/>
    </w:pPr>
    <w:rPr>
      <w:sz w:val="48"/>
      <w:szCs w:val="48"/>
    </w:rPr>
  </w:style>
  <w:style w:type="table" w:styleId="84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u w:val="single"/>
    </w:rPr>
  </w:style>
  <w:style w:type="character" w:styleId="852">
    <w:name w:val="annotation reference"/>
    <w:basedOn w:val="827"/>
    <w:uiPriority w:val="99"/>
    <w:semiHidden/>
    <w:unhideWhenUsed/>
    <w:rPr>
      <w:sz w:val="21"/>
      <w:szCs w:val="21"/>
    </w:rPr>
  </w:style>
  <w:style w:type="character" w:styleId="853">
    <w:name w:val="footnote reference"/>
    <w:uiPriority w:val="99"/>
    <w:unhideWhenUsed/>
    <w:rPr>
      <w:vertAlign w:val="superscript"/>
    </w:rPr>
  </w:style>
  <w:style w:type="character" w:styleId="854" w:customStyle="1">
    <w:name w:val="Heading 1 Char"/>
    <w:basedOn w:val="827"/>
    <w:uiPriority w:val="9"/>
    <w:rPr>
      <w:rFonts w:ascii="Arial" w:hAnsi="Arial" w:eastAsia="Arial" w:cs="Arial"/>
      <w:sz w:val="40"/>
      <w:szCs w:val="40"/>
    </w:rPr>
  </w:style>
  <w:style w:type="character" w:styleId="855" w:customStyle="1">
    <w:name w:val="Heading 2 Char"/>
    <w:basedOn w:val="827"/>
    <w:uiPriority w:val="9"/>
    <w:rPr>
      <w:rFonts w:ascii="Arial" w:hAnsi="Arial" w:eastAsia="Arial" w:cs="Arial"/>
      <w:sz w:val="34"/>
    </w:rPr>
  </w:style>
  <w:style w:type="character" w:styleId="856" w:customStyle="1">
    <w:name w:val="Heading 3 Char"/>
    <w:basedOn w:val="827"/>
    <w:uiPriority w:val="9"/>
    <w:rPr>
      <w:rFonts w:ascii="Arial" w:hAnsi="Arial" w:eastAsia="Arial" w:cs="Arial"/>
      <w:sz w:val="30"/>
      <w:szCs w:val="30"/>
    </w:rPr>
  </w:style>
  <w:style w:type="character" w:styleId="857" w:customStyle="1">
    <w:name w:val="Heading 4 Char"/>
    <w:basedOn w:val="827"/>
    <w:uiPriority w:val="9"/>
    <w:rPr>
      <w:rFonts w:ascii="Arial" w:hAnsi="Arial" w:eastAsia="Arial" w:cs="Arial"/>
      <w:b/>
      <w:bCs/>
      <w:sz w:val="26"/>
      <w:szCs w:val="26"/>
    </w:rPr>
  </w:style>
  <w:style w:type="character" w:styleId="858" w:customStyle="1">
    <w:name w:val="Heading 5 Char"/>
    <w:basedOn w:val="827"/>
    <w:uiPriority w:val="9"/>
    <w:rPr>
      <w:rFonts w:ascii="Arial" w:hAnsi="Arial" w:eastAsia="Arial" w:cs="Arial"/>
      <w:b/>
      <w:bCs/>
      <w:sz w:val="24"/>
      <w:szCs w:val="24"/>
    </w:rPr>
  </w:style>
  <w:style w:type="character" w:styleId="859" w:customStyle="1">
    <w:name w:val="Heading 6 Char"/>
    <w:basedOn w:val="827"/>
    <w:uiPriority w:val="9"/>
    <w:rPr>
      <w:rFonts w:ascii="Arial" w:hAnsi="Arial" w:eastAsia="Arial" w:cs="Arial"/>
      <w:b/>
      <w:bCs/>
      <w:sz w:val="22"/>
      <w:szCs w:val="22"/>
    </w:rPr>
  </w:style>
  <w:style w:type="character" w:styleId="860" w:customStyle="1">
    <w:name w:val="Heading 7 Char"/>
    <w:basedOn w:val="827"/>
    <w:uiPriority w:val="9"/>
    <w:rPr>
      <w:rFonts w:ascii="Arial" w:hAnsi="Arial" w:eastAsia="Arial" w:cs="Arial"/>
      <w:b/>
      <w:bCs/>
      <w:i/>
      <w:iCs/>
      <w:sz w:val="22"/>
      <w:szCs w:val="22"/>
    </w:rPr>
  </w:style>
  <w:style w:type="character" w:styleId="861" w:customStyle="1">
    <w:name w:val="Heading 8 Char"/>
    <w:basedOn w:val="827"/>
    <w:uiPriority w:val="9"/>
    <w:rPr>
      <w:rFonts w:ascii="Arial" w:hAnsi="Arial" w:eastAsia="Arial" w:cs="Arial"/>
      <w:i/>
      <w:iCs/>
      <w:sz w:val="22"/>
      <w:szCs w:val="22"/>
    </w:rPr>
  </w:style>
  <w:style w:type="character" w:styleId="862" w:customStyle="1">
    <w:name w:val="Heading 9 Char"/>
    <w:basedOn w:val="827"/>
    <w:uiPriority w:val="9"/>
    <w:rPr>
      <w:rFonts w:ascii="Arial" w:hAnsi="Arial" w:eastAsia="Arial" w:cs="Arial"/>
      <w:i/>
      <w:iCs/>
      <w:sz w:val="21"/>
      <w:szCs w:val="21"/>
    </w:rPr>
  </w:style>
  <w:style w:type="character" w:styleId="863" w:customStyle="1">
    <w:name w:val="Title Char"/>
    <w:basedOn w:val="827"/>
    <w:uiPriority w:val="10"/>
    <w:rPr>
      <w:sz w:val="48"/>
      <w:szCs w:val="48"/>
    </w:rPr>
  </w:style>
  <w:style w:type="character" w:styleId="864" w:customStyle="1">
    <w:name w:val="Subtitle Char"/>
    <w:basedOn w:val="827"/>
    <w:uiPriority w:val="11"/>
    <w:rPr>
      <w:sz w:val="24"/>
      <w:szCs w:val="24"/>
    </w:rPr>
  </w:style>
  <w:style w:type="character" w:styleId="865" w:customStyle="1">
    <w:name w:val="Quote Char"/>
    <w:uiPriority w:val="29"/>
    <w:rPr>
      <w:i/>
    </w:rPr>
  </w:style>
  <w:style w:type="character" w:styleId="866" w:customStyle="1">
    <w:name w:val="Intense Quote Char"/>
    <w:uiPriority w:val="30"/>
    <w:rPr>
      <w:i/>
    </w:rPr>
  </w:style>
  <w:style w:type="character" w:styleId="867" w:customStyle="1">
    <w:name w:val="Header Char"/>
    <w:basedOn w:val="827"/>
    <w:uiPriority w:val="99"/>
  </w:style>
  <w:style w:type="character" w:styleId="868" w:customStyle="1">
    <w:name w:val="Caption Char"/>
    <w:uiPriority w:val="99"/>
  </w:style>
  <w:style w:type="table" w:styleId="869" w:customStyle="1">
    <w:name w:val="Plain Table 1"/>
    <w:basedOn w:val="82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82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82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82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82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82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8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3"/>
    <w:basedOn w:val="8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82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5 Dark"/>
    <w:basedOn w:val="8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6 Colorful"/>
    <w:basedOn w:val="82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7 Colorful"/>
    <w:basedOn w:val="82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1 Light"/>
    <w:basedOn w:val="82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2"/>
    <w:basedOn w:val="82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3"/>
    <w:basedOn w:val="8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w:basedOn w:val="8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5 Dark"/>
    <w:basedOn w:val="82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82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7 Colorful"/>
    <w:basedOn w:val="82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8" w:customStyle="1">
    <w:name w:val="Footnote Text Char"/>
    <w:uiPriority w:val="99"/>
    <w:rPr>
      <w:sz w:val="18"/>
    </w:rPr>
  </w:style>
  <w:style w:type="character" w:styleId="889" w:customStyle="1">
    <w:name w:val="Endnote Text Char"/>
    <w:uiPriority w:val="99"/>
    <w:rPr>
      <w:sz w:val="20"/>
    </w:rPr>
  </w:style>
  <w:style w:type="paragraph" w:styleId="890" w:customStyle="1">
    <w:name w:val="TOC Heading"/>
    <w:uiPriority w:val="39"/>
    <w:unhideWhenUsed/>
    <w:rPr>
      <w:rFonts w:hint="default" w:ascii="Times New Roman" w:hAnsi="Times New Roman" w:eastAsia="宋体" w:cs="Times New Roman"/>
    </w:rPr>
  </w:style>
  <w:style w:type="character" w:styleId="891" w:customStyle="1">
    <w:name w:val="标题 2 字符1"/>
    <w:link w:val="819"/>
    <w:uiPriority w:val="9"/>
    <w:qFormat/>
    <w:rPr>
      <w:rFonts w:ascii="Arial" w:hAnsi="Arial" w:eastAsia="Arial" w:cs="Arial"/>
      <w:sz w:val="34"/>
    </w:rPr>
  </w:style>
  <w:style w:type="character" w:styleId="892" w:customStyle="1">
    <w:name w:val="标题 3 字符1"/>
    <w:link w:val="820"/>
    <w:uiPriority w:val="9"/>
    <w:qFormat/>
    <w:rPr>
      <w:rFonts w:ascii="Arial" w:hAnsi="Arial" w:eastAsia="Arial" w:cs="Arial"/>
      <w:sz w:val="30"/>
      <w:szCs w:val="30"/>
    </w:rPr>
  </w:style>
  <w:style w:type="character" w:styleId="893" w:customStyle="1">
    <w:name w:val="标题 4 字符1"/>
    <w:link w:val="821"/>
    <w:uiPriority w:val="9"/>
    <w:qFormat/>
    <w:rPr>
      <w:rFonts w:ascii="Arial" w:hAnsi="Arial" w:eastAsia="Arial" w:cs="Arial"/>
      <w:b/>
      <w:bCs/>
      <w:sz w:val="26"/>
      <w:szCs w:val="26"/>
    </w:rPr>
  </w:style>
  <w:style w:type="character" w:styleId="894" w:customStyle="1">
    <w:name w:val="标题 5 字符1"/>
    <w:link w:val="822"/>
    <w:uiPriority w:val="9"/>
    <w:qFormat/>
    <w:rPr>
      <w:rFonts w:ascii="Arial" w:hAnsi="Arial" w:eastAsia="Arial" w:cs="Arial"/>
      <w:b/>
      <w:bCs/>
      <w:sz w:val="24"/>
      <w:szCs w:val="24"/>
    </w:rPr>
  </w:style>
  <w:style w:type="character" w:styleId="895" w:customStyle="1">
    <w:name w:val="标题 6 字符1"/>
    <w:link w:val="823"/>
    <w:uiPriority w:val="9"/>
    <w:qFormat/>
    <w:rPr>
      <w:rFonts w:ascii="Arial" w:hAnsi="Arial" w:eastAsia="Arial" w:cs="Arial"/>
      <w:b/>
      <w:bCs/>
      <w:sz w:val="22"/>
      <w:szCs w:val="22"/>
    </w:rPr>
  </w:style>
  <w:style w:type="character" w:styleId="896" w:customStyle="1">
    <w:name w:val="标题 7 字符1"/>
    <w:link w:val="824"/>
    <w:uiPriority w:val="9"/>
    <w:qFormat/>
    <w:rPr>
      <w:rFonts w:ascii="Arial" w:hAnsi="Arial" w:eastAsia="Arial" w:cs="Arial"/>
      <w:b/>
      <w:bCs/>
      <w:i/>
      <w:iCs/>
      <w:sz w:val="22"/>
      <w:szCs w:val="22"/>
    </w:rPr>
  </w:style>
  <w:style w:type="character" w:styleId="897" w:customStyle="1">
    <w:name w:val="标题 8 字符1"/>
    <w:link w:val="825"/>
    <w:uiPriority w:val="9"/>
    <w:qFormat/>
    <w:rPr>
      <w:rFonts w:ascii="Arial" w:hAnsi="Arial" w:eastAsia="Arial" w:cs="Arial"/>
      <w:i/>
      <w:iCs/>
      <w:sz w:val="22"/>
      <w:szCs w:val="22"/>
    </w:rPr>
  </w:style>
  <w:style w:type="character" w:styleId="898" w:customStyle="1">
    <w:name w:val="标题 9 字符1"/>
    <w:link w:val="826"/>
    <w:uiPriority w:val="9"/>
    <w:rPr>
      <w:rFonts w:ascii="Arial" w:hAnsi="Arial" w:eastAsia="Arial" w:cs="Arial"/>
      <w:i/>
      <w:iCs/>
      <w:sz w:val="21"/>
      <w:szCs w:val="21"/>
    </w:rPr>
  </w:style>
  <w:style w:type="paragraph" w:styleId="899">
    <w:name w:val="List Paragraph"/>
    <w:basedOn w:val="817"/>
    <w:uiPriority w:val="34"/>
    <w:qFormat/>
    <w:pPr>
      <w:contextualSpacing/>
      <w:ind w:left="720"/>
    </w:pPr>
  </w:style>
  <w:style w:type="paragraph" w:styleId="900">
    <w:name w:val="No Spacing"/>
    <w:uiPriority w:val="1"/>
    <w:qFormat/>
    <w:rPr>
      <w:rFonts w:hint="default" w:ascii="Times New Roman" w:hAnsi="Times New Roman" w:eastAsia="宋体" w:cs="Times New Roman"/>
      <w:lang w:val="en-US" w:eastAsia="zh-CN" w:bidi="ar-SA"/>
    </w:rPr>
  </w:style>
  <w:style w:type="character" w:styleId="901" w:customStyle="1">
    <w:name w:val="标题 字符"/>
    <w:link w:val="848"/>
    <w:uiPriority w:val="10"/>
    <w:qFormat/>
    <w:rPr>
      <w:sz w:val="48"/>
      <w:szCs w:val="48"/>
    </w:rPr>
  </w:style>
  <w:style w:type="character" w:styleId="902" w:customStyle="1">
    <w:name w:val="副标题 字符"/>
    <w:link w:val="842"/>
    <w:uiPriority w:val="11"/>
    <w:qFormat/>
    <w:rPr>
      <w:sz w:val="24"/>
      <w:szCs w:val="24"/>
    </w:rPr>
  </w:style>
  <w:style w:type="paragraph" w:styleId="903">
    <w:name w:val="Quote"/>
    <w:basedOn w:val="817"/>
    <w:next w:val="817"/>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17"/>
    <w:next w:val="817"/>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页眉 字符1"/>
    <w:link w:val="839"/>
    <w:uiPriority w:val="99"/>
  </w:style>
  <w:style w:type="character" w:styleId="908" w:customStyle="1">
    <w:name w:val="Footer Char"/>
    <w:uiPriority w:val="99"/>
    <w:qFormat/>
  </w:style>
  <w:style w:type="character" w:styleId="909" w:customStyle="1">
    <w:name w:val="页脚 字符1"/>
    <w:link w:val="838"/>
    <w:uiPriority w:val="99"/>
    <w:qFormat/>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3" w:customStyle="1">
    <w:name w:val="无格式表格 31"/>
    <w:uiPriority w:val="99"/>
    <w:tblPr>
      <w:tblCellMar>
        <w:left w:w="0" w:type="dxa"/>
        <w:top w:w="0" w:type="dxa"/>
        <w:right w:w="0" w:type="dxa"/>
        <w:bottom w:w="0" w:type="dxa"/>
      </w:tblCellMar>
    </w:tblPr>
  </w:style>
  <w:style w:type="table" w:styleId="914" w:customStyle="1">
    <w:name w:val="无格式表格 41"/>
    <w:uiPriority w:val="99"/>
    <w:qFormat/>
    <w:tblPr>
      <w:tblCellMar>
        <w:left w:w="0" w:type="dxa"/>
        <w:top w:w="0" w:type="dxa"/>
        <w:right w:w="0" w:type="dxa"/>
        <w:bottom w:w="0" w:type="dxa"/>
      </w:tblCellMar>
    </w:tblPr>
  </w:style>
  <w:style w:type="table" w:styleId="915" w:customStyle="1">
    <w:name w:val="无格式表格 51"/>
    <w:uiPriority w:val="99"/>
    <w:qFormat/>
    <w:tblPr>
      <w:tblCellMar>
        <w:left w:w="0" w:type="dxa"/>
        <w:top w:w="0" w:type="dxa"/>
        <w:right w:w="0" w:type="dxa"/>
        <w:bottom w:w="0" w:type="dxa"/>
      </w:tblCellMar>
    </w:tblPr>
  </w:style>
  <w:style w:type="table" w:styleId="916"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7"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1"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8"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清单表 1 浅色1"/>
    <w:uiPriority w:val="99"/>
    <w:tblPr>
      <w:tblCellMar>
        <w:left w:w="0" w:type="dxa"/>
        <w:top w:w="0" w:type="dxa"/>
        <w:right w:w="0" w:type="dxa"/>
        <w:bottom w:w="0" w:type="dxa"/>
      </w:tblCellMar>
    </w:tblPr>
  </w:style>
  <w:style w:type="table" w:styleId="966" w:customStyle="1">
    <w:name w:val="List Table 1 Light - Accent 1"/>
    <w:uiPriority w:val="99"/>
    <w:tblPr>
      <w:tblCellMar>
        <w:left w:w="0" w:type="dxa"/>
        <w:top w:w="0" w:type="dxa"/>
        <w:right w:w="0" w:type="dxa"/>
        <w:bottom w:w="0" w:type="dxa"/>
      </w:tblCellMar>
    </w:tblPr>
  </w:style>
  <w:style w:type="table" w:styleId="967" w:customStyle="1">
    <w:name w:val="List Table 1 Light - Accent 2"/>
    <w:uiPriority w:val="99"/>
    <w:qFormat/>
    <w:tblPr>
      <w:tblCellMar>
        <w:left w:w="0" w:type="dxa"/>
        <w:top w:w="0" w:type="dxa"/>
        <w:right w:w="0" w:type="dxa"/>
        <w:bottom w:w="0" w:type="dxa"/>
      </w:tblCellMar>
    </w:tblPr>
  </w:style>
  <w:style w:type="table" w:styleId="968" w:customStyle="1">
    <w:name w:val="List Table 1 Light - Accent 3"/>
    <w:uiPriority w:val="99"/>
    <w:tblPr>
      <w:tblCellMar>
        <w:left w:w="0" w:type="dxa"/>
        <w:top w:w="0" w:type="dxa"/>
        <w:right w:w="0" w:type="dxa"/>
        <w:bottom w:w="0" w:type="dxa"/>
      </w:tblCellMar>
    </w:tblPr>
  </w:style>
  <w:style w:type="table" w:styleId="969" w:customStyle="1">
    <w:name w:val="List Table 1 Light - Accent 4"/>
    <w:uiPriority w:val="99"/>
    <w:qFormat/>
    <w:tblPr>
      <w:tblCellMar>
        <w:left w:w="0" w:type="dxa"/>
        <w:top w:w="0" w:type="dxa"/>
        <w:right w:w="0" w:type="dxa"/>
        <w:bottom w:w="0" w:type="dxa"/>
      </w:tblCellMar>
    </w:tblPr>
  </w:style>
  <w:style w:type="table" w:styleId="970" w:customStyle="1">
    <w:name w:val="List Table 1 Light - Accent 5"/>
    <w:uiPriority w:val="99"/>
    <w:tblPr>
      <w:tblCellMar>
        <w:left w:w="0" w:type="dxa"/>
        <w:top w:w="0" w:type="dxa"/>
        <w:right w:w="0" w:type="dxa"/>
        <w:bottom w:w="0" w:type="dxa"/>
      </w:tblCellMar>
    </w:tblPr>
  </w:style>
  <w:style w:type="table" w:styleId="971" w:customStyle="1">
    <w:name w:val="List Table 1 Light - Accent 6"/>
    <w:uiPriority w:val="99"/>
    <w:tblPr>
      <w:tblCellMar>
        <w:left w:w="0" w:type="dxa"/>
        <w:top w:w="0" w:type="dxa"/>
        <w:right w:w="0" w:type="dxa"/>
        <w:bottom w:w="0" w:type="dxa"/>
      </w:tblCellMar>
    </w:tblPr>
  </w:style>
  <w:style w:type="table" w:styleId="972"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3"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4"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5"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6"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0"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1"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2"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3"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4"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5"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6"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8"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0"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1"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2"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3"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4"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5"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6"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7"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8"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9"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0"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01"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08"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rPr>
      <w:color w:val="404040"/>
    </w:rPr>
    <w:tblPr>
      <w:tblCellMar>
        <w:left w:w="0" w:type="dxa"/>
        <w:top w:w="0" w:type="dxa"/>
        <w:right w:w="0" w:type="dxa"/>
        <w:bottom w:w="0" w:type="dxa"/>
      </w:tblCellMar>
    </w:tblPr>
  </w:style>
  <w:style w:type="table" w:styleId="1016" w:customStyle="1">
    <w:name w:val="Lined - Accent 2"/>
    <w:uiPriority w:val="99"/>
    <w:rPr>
      <w:color w:val="404040"/>
    </w:rPr>
    <w:tblPr>
      <w:tblCellMar>
        <w:left w:w="0" w:type="dxa"/>
        <w:top w:w="0" w:type="dxa"/>
        <w:right w:w="0" w:type="dxa"/>
        <w:bottom w:w="0" w:type="dxa"/>
      </w:tblCellMar>
    </w:tblPr>
  </w:style>
  <w:style w:type="table" w:styleId="1017" w:customStyle="1">
    <w:name w:val="Lined - Accent 3"/>
    <w:uiPriority w:val="99"/>
    <w:rPr>
      <w:color w:val="404040"/>
    </w:rPr>
    <w:tblPr>
      <w:tblCellMar>
        <w:left w:w="0" w:type="dxa"/>
        <w:top w:w="0" w:type="dxa"/>
        <w:right w:w="0" w:type="dxa"/>
        <w:bottom w:w="0" w:type="dxa"/>
      </w:tblCellMar>
    </w:tblPr>
  </w:style>
  <w:style w:type="table" w:styleId="1018" w:customStyle="1">
    <w:name w:val="Lined - Accent 4"/>
    <w:uiPriority w:val="99"/>
    <w:rPr>
      <w:color w:val="404040"/>
    </w:rPr>
    <w:tblPr>
      <w:tblCellMar>
        <w:left w:w="0" w:type="dxa"/>
        <w:top w:w="0" w:type="dxa"/>
        <w:right w:w="0" w:type="dxa"/>
        <w:bottom w:w="0" w:type="dxa"/>
      </w:tblCellMar>
    </w:tblPr>
  </w:style>
  <w:style w:type="table" w:styleId="1019" w:customStyle="1">
    <w:name w:val="Lined - Accent 5"/>
    <w:uiPriority w:val="99"/>
    <w:rPr>
      <w:color w:val="404040"/>
    </w:rPr>
    <w:tblPr>
      <w:tblCellMar>
        <w:left w:w="0" w:type="dxa"/>
        <w:top w:w="0" w:type="dxa"/>
        <w:right w:w="0" w:type="dxa"/>
        <w:bottom w:w="0" w:type="dxa"/>
      </w:tblCellMar>
    </w:tblPr>
  </w:style>
  <w:style w:type="table" w:styleId="1020" w:customStyle="1">
    <w:name w:val="Lined - Accent 6"/>
    <w:uiPriority w:val="99"/>
    <w:rPr>
      <w:color w:val="404040"/>
    </w:rPr>
    <w:tblPr>
      <w:tblCellMar>
        <w:left w:w="0" w:type="dxa"/>
        <w:top w:w="0" w:type="dxa"/>
        <w:right w:w="0" w:type="dxa"/>
        <w:bottom w:w="0" w:type="dxa"/>
      </w:tblCellMar>
    </w:tblPr>
  </w:style>
  <w:style w:type="table" w:styleId="1021"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5" w:customStyle="1">
    <w:name w:val="脚注文本 字符"/>
    <w:link w:val="843"/>
    <w:uiPriority w:val="99"/>
    <w:rPr>
      <w:sz w:val="18"/>
    </w:rPr>
  </w:style>
  <w:style w:type="character" w:styleId="1036" w:customStyle="1">
    <w:name w:val="尾注文本 字符"/>
    <w:link w:val="836"/>
    <w:uiPriority w:val="99"/>
    <w:rPr>
      <w:sz w:val="20"/>
    </w:rPr>
  </w:style>
  <w:style w:type="paragraph" w:styleId="1037" w:customStyle="1">
    <w:name w:val="TOC 标题1"/>
    <w:uiPriority w:val="39"/>
    <w:unhideWhenUsed/>
    <w:rPr>
      <w:rFonts w:hint="default" w:ascii="Times New Roman" w:hAnsi="Times New Roman" w:eastAsia="宋体" w:cs="Times New Roman"/>
      <w:lang w:val="en-US" w:eastAsia="zh-CN" w:bidi="ar-SA"/>
    </w:rPr>
  </w:style>
  <w:style w:type="paragraph" w:styleId="1038" w:customStyle="1">
    <w:name w:val="标题 11"/>
    <w:basedOn w:val="817"/>
    <w:next w:val="817"/>
    <w:link w:val="1050"/>
    <w:uiPriority w:val="0"/>
    <w:qFormat/>
    <w:pPr>
      <w:jc w:val="center"/>
      <w:keepNext/>
      <w:outlineLvl w:val="0"/>
    </w:pPr>
    <w:rPr>
      <w:rFonts w:ascii="楷体_GB2312" w:eastAsia="楷体_GB2312"/>
      <w:sz w:val="28"/>
      <w:szCs w:val="28"/>
    </w:rPr>
  </w:style>
  <w:style w:type="paragraph" w:styleId="1039" w:customStyle="1">
    <w:name w:val="标题 211"/>
    <w:basedOn w:val="817"/>
    <w:next w:val="829"/>
    <w:link w:val="1051"/>
    <w:uiPriority w:val="0"/>
    <w:qFormat/>
    <w:pPr>
      <w:jc w:val="center"/>
      <w:keepLines/>
      <w:keepNext/>
      <w:spacing w:before="260" w:after="260" w:line="416" w:lineRule="auto"/>
      <w:outlineLvl w:val="1"/>
    </w:pPr>
    <w:rPr>
      <w:rFonts w:ascii="Arial" w:hAnsi="Arial" w:eastAsia="幼圆"/>
      <w:b/>
      <w:bCs/>
      <w:sz w:val="44"/>
      <w:szCs w:val="44"/>
    </w:rPr>
  </w:style>
  <w:style w:type="paragraph" w:styleId="1040" w:customStyle="1">
    <w:name w:val="标题 311"/>
    <w:basedOn w:val="817"/>
    <w:next w:val="829"/>
    <w:link w:val="1052"/>
    <w:uiPriority w:val="0"/>
    <w:qFormat/>
    <w:pPr>
      <w:keepLines/>
      <w:keepNext/>
      <w:spacing w:before="260" w:after="260" w:line="416" w:lineRule="auto"/>
      <w:outlineLvl w:val="2"/>
    </w:pPr>
    <w:rPr>
      <w:b/>
      <w:bCs/>
      <w:sz w:val="32"/>
      <w:szCs w:val="32"/>
    </w:rPr>
  </w:style>
  <w:style w:type="paragraph" w:styleId="1041" w:customStyle="1">
    <w:name w:val="标题 41"/>
    <w:basedOn w:val="817"/>
    <w:next w:val="817"/>
    <w:link w:val="1053"/>
    <w:uiPriority w:val="0"/>
    <w:qFormat/>
    <w:pPr>
      <w:keepLines/>
      <w:keepNext/>
      <w:spacing w:before="280" w:after="290" w:line="376" w:lineRule="auto"/>
      <w:outlineLvl w:val="3"/>
    </w:pPr>
    <w:rPr>
      <w:rFonts w:ascii="Arial" w:hAnsi="Arial" w:eastAsia="黑体"/>
      <w:b/>
      <w:bCs/>
      <w:sz w:val="28"/>
      <w:szCs w:val="28"/>
    </w:rPr>
  </w:style>
  <w:style w:type="paragraph" w:styleId="1042" w:customStyle="1">
    <w:name w:val="标题 51"/>
    <w:basedOn w:val="817"/>
    <w:next w:val="829"/>
    <w:link w:val="1054"/>
    <w:uiPriority w:val="0"/>
    <w:qFormat/>
    <w:pPr>
      <w:keepNext/>
      <w:outlineLvl w:val="4"/>
    </w:pPr>
    <w:rPr>
      <w:rFonts w:ascii="宋体"/>
      <w:color w:val="000000"/>
      <w:sz w:val="28"/>
      <w:szCs w:val="28"/>
    </w:rPr>
  </w:style>
  <w:style w:type="paragraph" w:styleId="1043" w:customStyle="1">
    <w:name w:val="标题 61"/>
    <w:basedOn w:val="817"/>
    <w:next w:val="817"/>
    <w:link w:val="10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4" w:customStyle="1">
    <w:name w:val="标题 71"/>
    <w:basedOn w:val="817"/>
    <w:next w:val="817"/>
    <w:link w:val="1056"/>
    <w:uiPriority w:val="0"/>
    <w:qFormat/>
    <w:pPr>
      <w:numPr>
        <w:ilvl w:val="6"/>
        <w:numId w:val="1"/>
      </w:numPr>
      <w:keepLines/>
      <w:keepNext/>
      <w:spacing w:before="240" w:after="64" w:line="320" w:lineRule="auto"/>
      <w:outlineLvl w:val="6"/>
    </w:pPr>
    <w:rPr>
      <w:b/>
      <w:bCs/>
      <w:sz w:val="24"/>
      <w:szCs w:val="24"/>
    </w:rPr>
  </w:style>
  <w:style w:type="paragraph" w:styleId="1045" w:customStyle="1">
    <w:name w:val="标题 81"/>
    <w:basedOn w:val="817"/>
    <w:next w:val="817"/>
    <w:link w:val="10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6" w:customStyle="1">
    <w:name w:val="标题 91"/>
    <w:basedOn w:val="817"/>
    <w:next w:val="817"/>
    <w:link w:val="1058"/>
    <w:uiPriority w:val="0"/>
    <w:qFormat/>
    <w:pPr>
      <w:numPr>
        <w:ilvl w:val="8"/>
        <w:numId w:val="1"/>
      </w:numPr>
      <w:keepLines/>
      <w:keepNext/>
      <w:spacing w:before="240" w:after="64" w:line="320" w:lineRule="auto"/>
      <w:outlineLvl w:val="8"/>
    </w:pPr>
    <w:rPr>
      <w:rFonts w:ascii="Arial" w:hAnsi="Arial" w:eastAsia="黑体"/>
      <w:sz w:val="20"/>
    </w:rPr>
  </w:style>
  <w:style w:type="character" w:styleId="1047" w:customStyle="1">
    <w:name w:val="默认段落字体1"/>
    <w:uiPriority w:val="1"/>
    <w:unhideWhenUsed/>
  </w:style>
  <w:style w:type="table" w:styleId="1048" w:customStyle="1">
    <w:name w:val="普通表格1"/>
    <w:uiPriority w:val="99"/>
    <w:unhideWhenUsed/>
    <w:tblPr>
      <w:tblCellMar>
        <w:left w:w="0" w:type="dxa"/>
        <w:top w:w="0" w:type="dxa"/>
        <w:right w:w="0" w:type="dxa"/>
        <w:bottom w:w="0" w:type="dxa"/>
      </w:tblCellMar>
    </w:tblPr>
  </w:style>
  <w:style w:type="character" w:styleId="1049" w:customStyle="1">
    <w:name w:val="正文缩进 字符"/>
    <w:link w:val="829"/>
    <w:uiPriority w:val="0"/>
    <w:rPr>
      <w:rFonts w:ascii="Times New Roman" w:hAnsi="Times New Roman" w:eastAsia="宋体" w:cs="Times New Roman"/>
      <w:szCs w:val="21"/>
    </w:rPr>
  </w:style>
  <w:style w:type="character" w:styleId="1050" w:customStyle="1">
    <w:name w:val="标题 1 字符"/>
    <w:link w:val="1038"/>
    <w:uiPriority w:val="0"/>
    <w:rPr>
      <w:rFonts w:ascii="楷体_GB2312" w:hAnsi="Times New Roman" w:eastAsia="楷体_GB2312" w:cs="Times New Roman"/>
      <w:sz w:val="28"/>
      <w:szCs w:val="28"/>
    </w:rPr>
  </w:style>
  <w:style w:type="character" w:styleId="1051" w:customStyle="1">
    <w:name w:val="标题 2 字符"/>
    <w:link w:val="1039"/>
    <w:uiPriority w:val="0"/>
    <w:rPr>
      <w:rFonts w:ascii="Arial" w:hAnsi="Arial" w:eastAsia="幼圆" w:cs="Arial"/>
      <w:b/>
      <w:bCs/>
      <w:sz w:val="44"/>
      <w:szCs w:val="44"/>
    </w:rPr>
  </w:style>
  <w:style w:type="character" w:styleId="1052" w:customStyle="1">
    <w:name w:val="标题 3 字符"/>
    <w:link w:val="1040"/>
    <w:uiPriority w:val="0"/>
    <w:rPr>
      <w:rFonts w:ascii="Times New Roman" w:hAnsi="Times New Roman" w:eastAsia="宋体" w:cs="Times New Roman"/>
      <w:b/>
      <w:bCs/>
      <w:sz w:val="32"/>
      <w:szCs w:val="32"/>
    </w:rPr>
  </w:style>
  <w:style w:type="character" w:styleId="1053" w:customStyle="1">
    <w:name w:val="标题 4 字符"/>
    <w:link w:val="1041"/>
    <w:uiPriority w:val="0"/>
    <w:rPr>
      <w:rFonts w:ascii="Arial" w:hAnsi="Arial" w:eastAsia="黑体" w:cs="Arial"/>
      <w:b/>
      <w:bCs/>
      <w:sz w:val="28"/>
      <w:szCs w:val="28"/>
    </w:rPr>
  </w:style>
  <w:style w:type="character" w:styleId="1054" w:customStyle="1">
    <w:name w:val="标题 5 字符"/>
    <w:link w:val="1042"/>
    <w:uiPriority w:val="0"/>
    <w:rPr>
      <w:rFonts w:ascii="宋体" w:hAnsi="Times New Roman" w:eastAsia="宋体" w:cs="Times New Roman"/>
      <w:color w:val="000000"/>
      <w:sz w:val="28"/>
      <w:szCs w:val="28"/>
    </w:rPr>
  </w:style>
  <w:style w:type="character" w:styleId="1055" w:customStyle="1">
    <w:name w:val="标题 6 字符"/>
    <w:link w:val="1043"/>
    <w:uiPriority w:val="0"/>
    <w:rPr>
      <w:rFonts w:ascii="Arial" w:hAnsi="Arial" w:eastAsia="黑体" w:cs="Times New Roman"/>
      <w:b/>
      <w:bCs/>
      <w:sz w:val="24"/>
      <w:szCs w:val="24"/>
    </w:rPr>
  </w:style>
  <w:style w:type="character" w:styleId="1056" w:customStyle="1">
    <w:name w:val="标题 7 字符"/>
    <w:link w:val="1044"/>
    <w:uiPriority w:val="0"/>
    <w:rPr>
      <w:rFonts w:ascii="Times New Roman" w:hAnsi="Times New Roman" w:eastAsia="宋体" w:cs="Times New Roman"/>
      <w:b/>
      <w:bCs/>
      <w:sz w:val="24"/>
      <w:szCs w:val="24"/>
    </w:rPr>
  </w:style>
  <w:style w:type="character" w:styleId="1057" w:customStyle="1">
    <w:name w:val="标题 8 字符"/>
    <w:link w:val="1045"/>
    <w:uiPriority w:val="0"/>
    <w:rPr>
      <w:rFonts w:ascii="Arial" w:hAnsi="Arial" w:eastAsia="黑体" w:cs="Times New Roman"/>
      <w:sz w:val="24"/>
      <w:szCs w:val="24"/>
    </w:rPr>
  </w:style>
  <w:style w:type="character" w:styleId="1058" w:customStyle="1">
    <w:name w:val="标题 9 字符"/>
    <w:link w:val="1046"/>
    <w:uiPriority w:val="0"/>
    <w:rPr>
      <w:rFonts w:ascii="Arial" w:hAnsi="Arial" w:eastAsia="黑体" w:cs="Times New Roman"/>
      <w:szCs w:val="21"/>
    </w:rPr>
  </w:style>
  <w:style w:type="paragraph" w:styleId="1059" w:customStyle="1">
    <w:name w:val="列表 31"/>
    <w:basedOn w:val="817"/>
    <w:uiPriority w:val="0"/>
    <w:pPr>
      <w:ind w:left="100" w:hanging="200"/>
    </w:pPr>
  </w:style>
  <w:style w:type="paragraph" w:styleId="1060" w:customStyle="1">
    <w:name w:val="目录 71"/>
    <w:basedOn w:val="817"/>
    <w:next w:val="817"/>
    <w:uiPriority w:val="0"/>
    <w:semiHidden/>
    <w:pPr>
      <w:ind w:left="1260"/>
      <w:jc w:val="left"/>
    </w:pPr>
  </w:style>
  <w:style w:type="paragraph" w:styleId="1061" w:customStyle="1">
    <w:name w:val="文档结构图1"/>
    <w:basedOn w:val="817"/>
    <w:link w:val="1062"/>
    <w:uiPriority w:val="0"/>
    <w:semiHidden/>
    <w:pPr>
      <w:shd w:val="clear" w:color="auto" w:fill="000080"/>
    </w:pPr>
    <w:rPr>
      <w:sz w:val="20"/>
    </w:rPr>
  </w:style>
  <w:style w:type="character" w:styleId="1062" w:customStyle="1">
    <w:name w:val="文档结构图 字符"/>
    <w:link w:val="1061"/>
    <w:uiPriority w:val="0"/>
    <w:semiHidden/>
    <w:rPr>
      <w:rFonts w:ascii="Times New Roman" w:hAnsi="Times New Roman" w:eastAsia="宋体" w:cs="Times New Roman"/>
      <w:szCs w:val="21"/>
      <w:shd w:val="clear" w:color="auto" w:fill="000080"/>
    </w:rPr>
  </w:style>
  <w:style w:type="paragraph" w:styleId="1063" w:customStyle="1">
    <w:name w:val="批注文字1"/>
    <w:basedOn w:val="817"/>
    <w:link w:val="1064"/>
    <w:uiPriority w:val="0"/>
    <w:semiHidden/>
    <w:qFormat/>
    <w:pPr>
      <w:jc w:val="left"/>
    </w:pPr>
    <w:rPr>
      <w:sz w:val="20"/>
    </w:rPr>
  </w:style>
  <w:style w:type="character" w:styleId="1064" w:customStyle="1">
    <w:name w:val="批注文字 字符"/>
    <w:link w:val="1063"/>
    <w:uiPriority w:val="0"/>
    <w:semiHidden/>
    <w:rPr>
      <w:rFonts w:ascii="Times New Roman" w:hAnsi="Times New Roman" w:eastAsia="宋体" w:cs="Times New Roman"/>
      <w:szCs w:val="21"/>
    </w:rPr>
  </w:style>
  <w:style w:type="paragraph" w:styleId="1065" w:customStyle="1">
    <w:name w:val="正文文本 31"/>
    <w:basedOn w:val="817"/>
    <w:link w:val="1066"/>
    <w:uiPriority w:val="0"/>
    <w:rPr>
      <w:rFonts w:ascii="仿宋_GB2312" w:hAnsi="Arial" w:eastAsia="仿宋_GB2312"/>
      <w:sz w:val="32"/>
      <w:szCs w:val="32"/>
    </w:rPr>
  </w:style>
  <w:style w:type="character" w:styleId="1066" w:customStyle="1">
    <w:name w:val="正文文本 3 字符"/>
    <w:link w:val="1065"/>
    <w:uiPriority w:val="0"/>
    <w:rPr>
      <w:rFonts w:ascii="仿宋_GB2312" w:hAnsi="Arial" w:eastAsia="仿宋_GB2312" w:cs="Times New Roman"/>
      <w:sz w:val="32"/>
      <w:szCs w:val="32"/>
    </w:rPr>
  </w:style>
  <w:style w:type="paragraph" w:styleId="1067" w:customStyle="1">
    <w:name w:val="正文文本12"/>
    <w:basedOn w:val="817"/>
    <w:next w:val="817"/>
    <w:link w:val="1068"/>
    <w:uiPriority w:val="0"/>
    <w:rPr>
      <w:rFonts w:ascii="楷体_GB2312" w:hAnsi="Arial" w:eastAsia="楷体_GB2312"/>
      <w:sz w:val="28"/>
      <w:szCs w:val="28"/>
    </w:rPr>
  </w:style>
  <w:style w:type="character" w:styleId="1068" w:customStyle="1">
    <w:name w:val="正文文本 字符"/>
    <w:link w:val="1067"/>
    <w:uiPriority w:val="0"/>
    <w:rPr>
      <w:rFonts w:ascii="楷体_GB2312" w:hAnsi="Arial" w:eastAsia="楷体_GB2312" w:cs="Times New Roman"/>
      <w:sz w:val="28"/>
      <w:szCs w:val="28"/>
    </w:rPr>
  </w:style>
  <w:style w:type="paragraph" w:styleId="1069" w:customStyle="1">
    <w:name w:val="正文文本缩进11"/>
    <w:basedOn w:val="817"/>
    <w:link w:val="1070"/>
    <w:uiPriority w:val="0"/>
    <w:qFormat/>
    <w:pPr>
      <w:ind w:firstLine="645"/>
    </w:pPr>
    <w:rPr>
      <w:rFonts w:ascii="楷体_GB2312" w:eastAsia="楷体_GB2312"/>
      <w:sz w:val="32"/>
      <w:szCs w:val="32"/>
    </w:rPr>
  </w:style>
  <w:style w:type="character" w:styleId="1070" w:customStyle="1">
    <w:name w:val="正文文本缩进 字符"/>
    <w:link w:val="1069"/>
    <w:uiPriority w:val="0"/>
    <w:rPr>
      <w:rFonts w:ascii="楷体_GB2312" w:hAnsi="Times New Roman" w:eastAsia="楷体_GB2312" w:cs="Times New Roman"/>
      <w:sz w:val="32"/>
      <w:szCs w:val="32"/>
    </w:rPr>
  </w:style>
  <w:style w:type="paragraph" w:styleId="1071" w:customStyle="1">
    <w:name w:val="列表 21"/>
    <w:basedOn w:val="817"/>
    <w:uiPriority w:val="0"/>
    <w:pPr>
      <w:ind w:left="100" w:hanging="200"/>
    </w:pPr>
  </w:style>
  <w:style w:type="paragraph" w:styleId="1072" w:customStyle="1">
    <w:name w:val="目录 51"/>
    <w:basedOn w:val="817"/>
    <w:next w:val="817"/>
    <w:uiPriority w:val="0"/>
    <w:semiHidden/>
    <w:pPr>
      <w:ind w:left="840"/>
      <w:jc w:val="left"/>
    </w:pPr>
  </w:style>
  <w:style w:type="paragraph" w:styleId="1073" w:customStyle="1">
    <w:name w:val="目录 31"/>
    <w:basedOn w:val="817"/>
    <w:next w:val="817"/>
    <w:uiPriority w:val="0"/>
    <w:semiHidden/>
    <w:pPr>
      <w:ind w:left="420"/>
      <w:jc w:val="left"/>
    </w:pPr>
    <w:rPr>
      <w:i/>
      <w:iCs/>
      <w:szCs w:val="24"/>
    </w:rPr>
  </w:style>
  <w:style w:type="paragraph" w:styleId="1074" w:customStyle="1">
    <w:name w:val="纯文本11"/>
    <w:basedOn w:val="817"/>
    <w:link w:val="1075"/>
    <w:uiPriority w:val="0"/>
    <w:rPr>
      <w:rFonts w:ascii="宋体" w:hAnsi="Courier New"/>
      <w:sz w:val="20"/>
    </w:rPr>
  </w:style>
  <w:style w:type="character" w:styleId="1075" w:customStyle="1">
    <w:name w:val="纯文本 字符"/>
    <w:link w:val="1074"/>
    <w:uiPriority w:val="0"/>
    <w:rPr>
      <w:rFonts w:ascii="宋体" w:hAnsi="Courier New" w:eastAsia="宋体" w:cs="Courier New"/>
      <w:szCs w:val="21"/>
    </w:rPr>
  </w:style>
  <w:style w:type="paragraph" w:styleId="1076" w:customStyle="1">
    <w:name w:val="目录 81"/>
    <w:basedOn w:val="817"/>
    <w:next w:val="817"/>
    <w:uiPriority w:val="0"/>
    <w:semiHidden/>
    <w:pPr>
      <w:ind w:left="1470"/>
      <w:jc w:val="left"/>
    </w:pPr>
  </w:style>
  <w:style w:type="paragraph" w:styleId="1077" w:customStyle="1">
    <w:name w:val="日期1"/>
    <w:basedOn w:val="817"/>
    <w:next w:val="817"/>
    <w:link w:val="1078"/>
    <w:uiPriority w:val="0"/>
    <w:rPr>
      <w:sz w:val="24"/>
      <w:szCs w:val="24"/>
    </w:rPr>
  </w:style>
  <w:style w:type="character" w:styleId="1078" w:customStyle="1">
    <w:name w:val="日期 字符"/>
    <w:link w:val="1077"/>
    <w:uiPriority w:val="0"/>
    <w:rPr>
      <w:rFonts w:ascii="Times New Roman" w:hAnsi="Times New Roman" w:eastAsia="宋体" w:cs="Times New Roman"/>
      <w:sz w:val="24"/>
      <w:szCs w:val="24"/>
    </w:rPr>
  </w:style>
  <w:style w:type="paragraph" w:styleId="1079" w:customStyle="1">
    <w:name w:val="正文文本缩进 21"/>
    <w:basedOn w:val="817"/>
    <w:link w:val="1080"/>
    <w:uiPriority w:val="0"/>
    <w:pPr>
      <w:ind w:left="630" w:firstLine="645"/>
    </w:pPr>
    <w:rPr>
      <w:rFonts w:ascii="Arial" w:hAnsi="Arial" w:eastAsia="仿宋_GB2312"/>
      <w:sz w:val="32"/>
      <w:szCs w:val="32"/>
    </w:rPr>
  </w:style>
  <w:style w:type="character" w:styleId="1080" w:customStyle="1">
    <w:name w:val="正文文本缩进 2 字符"/>
    <w:link w:val="1079"/>
    <w:uiPriority w:val="0"/>
    <w:rPr>
      <w:rFonts w:ascii="Arial" w:hAnsi="Arial" w:eastAsia="仿宋_GB2312" w:cs="Arial"/>
      <w:sz w:val="32"/>
      <w:szCs w:val="32"/>
    </w:rPr>
  </w:style>
  <w:style w:type="paragraph" w:styleId="1081" w:customStyle="1">
    <w:name w:val="批注框文本1"/>
    <w:basedOn w:val="817"/>
    <w:link w:val="1082"/>
    <w:uiPriority w:val="0"/>
    <w:semiHidden/>
    <w:rPr>
      <w:sz w:val="18"/>
      <w:szCs w:val="18"/>
    </w:rPr>
  </w:style>
  <w:style w:type="character" w:styleId="1082" w:customStyle="1">
    <w:name w:val="批注框文本 字符"/>
    <w:link w:val="1081"/>
    <w:uiPriority w:val="0"/>
    <w:semiHidden/>
    <w:rPr>
      <w:rFonts w:ascii="Times New Roman" w:hAnsi="Times New Roman" w:eastAsia="宋体" w:cs="Times New Roman"/>
      <w:sz w:val="18"/>
      <w:szCs w:val="18"/>
    </w:rPr>
  </w:style>
  <w:style w:type="paragraph" w:styleId="1083" w:customStyle="1">
    <w:name w:val="页脚11"/>
    <w:basedOn w:val="817"/>
    <w:link w:val="1084"/>
    <w:uiPriority w:val="99"/>
    <w:qFormat/>
    <w:pPr>
      <w:jc w:val="left"/>
      <w:tabs>
        <w:tab w:val="center" w:pos="4153" w:leader="none"/>
        <w:tab w:val="right" w:pos="8306" w:leader="none"/>
      </w:tabs>
    </w:pPr>
    <w:rPr>
      <w:sz w:val="18"/>
      <w:szCs w:val="18"/>
    </w:rPr>
  </w:style>
  <w:style w:type="character" w:styleId="1084" w:customStyle="1">
    <w:name w:val="页脚 字符"/>
    <w:link w:val="1083"/>
    <w:uiPriority w:val="99"/>
    <w:qFormat/>
    <w:rPr>
      <w:rFonts w:ascii="Times New Roman" w:hAnsi="Times New Roman" w:eastAsia="宋体" w:cs="Times New Roman"/>
      <w:sz w:val="18"/>
      <w:szCs w:val="18"/>
    </w:rPr>
  </w:style>
  <w:style w:type="paragraph" w:styleId="1085" w:customStyle="1">
    <w:name w:val="页眉1"/>
    <w:basedOn w:val="817"/>
    <w:link w:val="1086"/>
    <w:uiPriority w:val="0"/>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
    <w:link w:val="1085"/>
    <w:uiPriority w:val="0"/>
    <w:rPr>
      <w:rFonts w:ascii="Times New Roman" w:hAnsi="Times New Roman" w:eastAsia="宋体" w:cs="Times New Roman"/>
      <w:sz w:val="18"/>
      <w:szCs w:val="18"/>
    </w:rPr>
  </w:style>
  <w:style w:type="paragraph" w:styleId="1087" w:customStyle="1">
    <w:name w:val="目录 111"/>
    <w:basedOn w:val="817"/>
    <w:next w:val="817"/>
    <w:uiPriority w:val="0"/>
    <w:semiHidden/>
    <w:pPr>
      <w:jc w:val="left"/>
      <w:spacing w:before="120" w:after="120" w:line="400" w:lineRule="exact"/>
      <w:tabs>
        <w:tab w:val="right" w:pos="8720" w:leader="dot"/>
      </w:tabs>
    </w:pPr>
    <w:rPr>
      <w:rFonts w:ascii="宋体" w:hAnsi="宋体"/>
      <w:caps/>
      <w:sz w:val="24"/>
      <w:szCs w:val="24"/>
    </w:rPr>
  </w:style>
  <w:style w:type="paragraph" w:styleId="1088" w:customStyle="1">
    <w:name w:val="目录 41"/>
    <w:basedOn w:val="817"/>
    <w:next w:val="817"/>
    <w:uiPriority w:val="0"/>
    <w:semiHidden/>
    <w:pPr>
      <w:ind w:left="630"/>
      <w:jc w:val="left"/>
    </w:pPr>
  </w:style>
  <w:style w:type="paragraph" w:styleId="1089" w:customStyle="1">
    <w:name w:val="列表1"/>
    <w:basedOn w:val="817"/>
    <w:uiPriority w:val="0"/>
    <w:pPr>
      <w:ind w:left="200" w:hanging="200"/>
    </w:pPr>
  </w:style>
  <w:style w:type="paragraph" w:styleId="1090" w:customStyle="1">
    <w:name w:val="目录 61"/>
    <w:basedOn w:val="817"/>
    <w:next w:val="817"/>
    <w:uiPriority w:val="0"/>
    <w:semiHidden/>
    <w:pPr>
      <w:ind w:left="1050"/>
      <w:jc w:val="left"/>
    </w:pPr>
  </w:style>
  <w:style w:type="paragraph" w:styleId="1091" w:customStyle="1">
    <w:name w:val="正文文本缩进 31"/>
    <w:basedOn w:val="817"/>
    <w:link w:val="1092"/>
    <w:uiPriority w:val="0"/>
    <w:pPr>
      <w:ind w:left="645" w:firstLine="645"/>
    </w:pPr>
    <w:rPr>
      <w:rFonts w:ascii="Arial" w:hAnsi="Arial" w:eastAsia="仿宋_GB2312"/>
      <w:color w:val="ffff00"/>
      <w:sz w:val="32"/>
      <w:szCs w:val="32"/>
    </w:rPr>
  </w:style>
  <w:style w:type="character" w:styleId="1092" w:customStyle="1">
    <w:name w:val="正文文本缩进 3 字符"/>
    <w:link w:val="1091"/>
    <w:uiPriority w:val="0"/>
    <w:rPr>
      <w:rFonts w:ascii="Arial" w:hAnsi="Arial" w:eastAsia="仿宋_GB2312" w:cs="Arial"/>
      <w:color w:val="ffff00"/>
      <w:sz w:val="32"/>
      <w:szCs w:val="32"/>
    </w:rPr>
  </w:style>
  <w:style w:type="paragraph" w:styleId="1093" w:customStyle="1">
    <w:name w:val="图表目录1"/>
    <w:basedOn w:val="817"/>
    <w:next w:val="817"/>
    <w:uiPriority w:val="0"/>
    <w:semiHidden/>
    <w:pPr>
      <w:ind w:left="840" w:hanging="420"/>
    </w:pPr>
  </w:style>
  <w:style w:type="paragraph" w:styleId="1094" w:customStyle="1">
    <w:name w:val="目录 21"/>
    <w:basedOn w:val="817"/>
    <w:next w:val="817"/>
    <w:uiPriority w:val="0"/>
    <w:semiHidden/>
    <w:pPr>
      <w:ind w:left="210"/>
      <w:jc w:val="left"/>
    </w:pPr>
    <w:rPr>
      <w:smallCaps/>
      <w:szCs w:val="24"/>
    </w:rPr>
  </w:style>
  <w:style w:type="paragraph" w:styleId="1095" w:customStyle="1">
    <w:name w:val="目录 91"/>
    <w:basedOn w:val="817"/>
    <w:next w:val="817"/>
    <w:uiPriority w:val="0"/>
    <w:semiHidden/>
    <w:pPr>
      <w:ind w:left="1680"/>
      <w:jc w:val="left"/>
    </w:pPr>
  </w:style>
  <w:style w:type="paragraph" w:styleId="1096" w:customStyle="1">
    <w:name w:val="正文文本 21"/>
    <w:basedOn w:val="817"/>
    <w:link w:val="1097"/>
    <w:uiPriority w:val="0"/>
    <w:pPr>
      <w:jc w:val="center"/>
      <w:widowControl/>
    </w:pPr>
    <w:rPr>
      <w:rFonts w:ascii="楷体_GB2312" w:eastAsia="楷体_GB2312"/>
      <w:sz w:val="28"/>
      <w:szCs w:val="28"/>
    </w:rPr>
  </w:style>
  <w:style w:type="character" w:styleId="1097" w:customStyle="1">
    <w:name w:val="正文文本 2 字符"/>
    <w:link w:val="1096"/>
    <w:uiPriority w:val="0"/>
    <w:rPr>
      <w:rFonts w:ascii="楷体_GB2312" w:hAnsi="Times New Roman" w:eastAsia="楷体_GB2312" w:cs="Times New Roman"/>
      <w:sz w:val="28"/>
      <w:szCs w:val="28"/>
    </w:rPr>
  </w:style>
  <w:style w:type="paragraph" w:styleId="1098" w:customStyle="1">
    <w:name w:val="普通(网站)1"/>
    <w:basedOn w:val="817"/>
    <w:uiPriority w:val="99"/>
    <w:pPr>
      <w:jc w:val="left"/>
      <w:spacing w:before="100" w:beforeAutospacing="1" w:after="100" w:afterAutospacing="1"/>
      <w:widowControl/>
    </w:pPr>
    <w:rPr>
      <w:rFonts w:ascii="宋体" w:hAnsi="宋体" w:cs="宋体"/>
      <w:sz w:val="24"/>
      <w:szCs w:val="24"/>
    </w:rPr>
  </w:style>
  <w:style w:type="paragraph" w:styleId="1099" w:customStyle="1">
    <w:name w:val="索引 11"/>
    <w:basedOn w:val="817"/>
    <w:next w:val="817"/>
    <w:uiPriority w:val="0"/>
    <w:semiHidden/>
    <w:pPr>
      <w:spacing w:line="240" w:lineRule="atLeast"/>
    </w:pPr>
    <w:rPr>
      <w:b/>
      <w:bCs/>
    </w:rPr>
  </w:style>
  <w:style w:type="paragraph" w:styleId="1100" w:customStyle="1">
    <w:name w:val="批注主题1"/>
    <w:basedOn w:val="1063"/>
    <w:next w:val="1063"/>
    <w:link w:val="1101"/>
    <w:uiPriority w:val="0"/>
    <w:semiHidden/>
    <w:rPr>
      <w:b/>
      <w:bCs/>
    </w:rPr>
  </w:style>
  <w:style w:type="character" w:styleId="1101" w:customStyle="1">
    <w:name w:val="批注主题 字符"/>
    <w:link w:val="1100"/>
    <w:uiPriority w:val="0"/>
    <w:semiHidden/>
    <w:rPr>
      <w:rFonts w:ascii="Times New Roman" w:hAnsi="Times New Roman" w:eastAsia="宋体" w:cs="Times New Roman"/>
      <w:b/>
      <w:bCs/>
      <w:szCs w:val="21"/>
    </w:rPr>
  </w:style>
  <w:style w:type="paragraph" w:styleId="1102" w:customStyle="1">
    <w:name w:val="正文首行缩进11"/>
    <w:basedOn w:val="1067"/>
    <w:link w:val="1103"/>
    <w:uiPriority w:val="0"/>
    <w:pPr>
      <w:ind w:firstLine="200"/>
      <w:spacing w:line="360" w:lineRule="auto"/>
    </w:pPr>
    <w:rPr>
      <w:rFonts w:ascii="仿宋_GB2312" w:hAnsi="Times New Roman" w:eastAsia="仿宋_GB2312"/>
      <w:sz w:val="30"/>
      <w:szCs w:val="30"/>
    </w:rPr>
  </w:style>
  <w:style w:type="character" w:styleId="1103" w:customStyle="1">
    <w:name w:val="正文首行缩进 字符"/>
    <w:link w:val="1102"/>
    <w:uiPriority w:val="0"/>
    <w:rPr>
      <w:rFonts w:ascii="仿宋_GB2312" w:hAnsi="Times New Roman" w:eastAsia="仿宋_GB2312" w:cs="Times New Roman"/>
      <w:sz w:val="30"/>
      <w:szCs w:val="30"/>
    </w:rPr>
  </w:style>
  <w:style w:type="paragraph" w:styleId="1104" w:customStyle="1">
    <w:name w:val="正文首行缩进 21"/>
    <w:basedOn w:val="1069"/>
    <w:link w:val="1105"/>
    <w:uiPriority w:val="0"/>
    <w:pPr>
      <w:ind w:firstLine="420"/>
      <w:spacing w:line="360" w:lineRule="auto"/>
    </w:pPr>
    <w:rPr>
      <w:rFonts w:ascii="宋体" w:hAnsi="宋体" w:eastAsia="宋体"/>
      <w:szCs w:val="20"/>
    </w:rPr>
  </w:style>
  <w:style w:type="character" w:styleId="1105" w:customStyle="1">
    <w:name w:val="正文首行缩进 2 字符"/>
    <w:link w:val="1104"/>
    <w:uiPriority w:val="0"/>
    <w:rPr>
      <w:rFonts w:ascii="宋体" w:hAnsi="宋体" w:eastAsia="宋体" w:cs="Times New Roman"/>
      <w:sz w:val="32"/>
      <w:szCs w:val="20"/>
    </w:rPr>
  </w:style>
  <w:style w:type="table" w:styleId="1106" w:customStyle="1">
    <w:name w:val="网格型1"/>
    <w:basedOn w:val="1048"/>
    <w:uiPriority w:val="0"/>
    <w:qFormat/>
    <w:pPr>
      <w:jc w:val="both"/>
      <w:widowControl w:val="off"/>
    </w:pPr>
    <w:tblPr/>
  </w:style>
  <w:style w:type="character" w:styleId="1107" w:customStyle="1">
    <w:name w:val="要点1"/>
    <w:uiPriority w:val="0"/>
    <w:qFormat/>
    <w:rPr>
      <w:b/>
      <w:bCs/>
    </w:rPr>
  </w:style>
  <w:style w:type="character" w:styleId="1108" w:customStyle="1">
    <w:name w:val="页码1"/>
    <w:uiPriority w:val="0"/>
  </w:style>
  <w:style w:type="character" w:styleId="1109" w:customStyle="1">
    <w:name w:val="已访问的超链接1"/>
    <w:uiPriority w:val="0"/>
    <w:rPr>
      <w:color w:val="800080"/>
      <w:u w:val="single"/>
    </w:rPr>
  </w:style>
  <w:style w:type="character" w:styleId="1110" w:customStyle="1">
    <w:name w:val="强调1"/>
    <w:uiPriority w:val="0"/>
    <w:qFormat/>
    <w:rPr>
      <w:i/>
    </w:rPr>
  </w:style>
  <w:style w:type="character" w:styleId="1111" w:customStyle="1">
    <w:name w:val="超链接1"/>
    <w:uiPriority w:val="0"/>
    <w:rPr>
      <w:color w:val="0000ff"/>
      <w:u w:val="single"/>
    </w:rPr>
  </w:style>
  <w:style w:type="character" w:styleId="1112" w:customStyle="1">
    <w:name w:val="批注引用1"/>
    <w:uiPriority w:val="99"/>
    <w:semiHidden/>
    <w:rPr>
      <w:sz w:val="21"/>
      <w:szCs w:val="21"/>
    </w:rPr>
  </w:style>
  <w:style w:type="paragraph" w:styleId="1113" w:customStyle="1">
    <w:name w:val="正文首行缩进1"/>
    <w:basedOn w:val="1114"/>
    <w:uiPriority w:val="0"/>
    <w:qFormat/>
    <w:pPr>
      <w:ind w:firstLine="200"/>
    </w:pPr>
    <w:rPr>
      <w:sz w:val="30"/>
      <w:szCs w:val="30"/>
    </w:rPr>
  </w:style>
  <w:style w:type="paragraph" w:styleId="1114" w:customStyle="1">
    <w:name w:val="正文文本11"/>
    <w:basedOn w:val="817"/>
    <w:next w:val="817"/>
    <w:uiPriority w:val="0"/>
    <w:qFormat/>
    <w:rPr>
      <w:rFonts w:ascii="仿宋_GB2312" w:eastAsia="仿宋_GB2312"/>
      <w:sz w:val="24"/>
      <w:lang w:eastAsia="en-US"/>
    </w:rPr>
  </w:style>
  <w:style w:type="paragraph" w:styleId="1115" w:customStyle="1">
    <w:name w:val="正文文本1"/>
    <w:basedOn w:val="817"/>
    <w:next w:val="817"/>
    <w:uiPriority w:val="0"/>
    <w:qFormat/>
    <w:rPr>
      <w:rFonts w:ascii="楷体_GB2312" w:hAnsi="Arial" w:eastAsia="楷体_GB2312"/>
      <w:sz w:val="28"/>
      <w:szCs w:val="28"/>
    </w:rPr>
  </w:style>
  <w:style w:type="character" w:styleId="1116" w:customStyle="1">
    <w:name w:val="font5 Char"/>
    <w:uiPriority w:val="0"/>
    <w:rPr>
      <w:rFonts w:ascii="宋体" w:hAnsi="宋体" w:eastAsia="宋体"/>
      <w:sz w:val="28"/>
      <w:szCs w:val="28"/>
      <w:lang w:val="en-US" w:eastAsia="zh-CN" w:bidi="ar-SA"/>
    </w:rPr>
  </w:style>
  <w:style w:type="character" w:styleId="1117" w:customStyle="1">
    <w:name w:val="二级目录 Char"/>
    <w:link w:val="1118"/>
    <w:uiPriority w:val="0"/>
    <w:rPr>
      <w:b/>
      <w:sz w:val="30"/>
      <w:szCs w:val="28"/>
      <w:lang w:val="en-US" w:eastAsia="zh-CN" w:bidi="ar-SA"/>
    </w:rPr>
  </w:style>
  <w:style w:type="paragraph" w:styleId="1118" w:customStyle="1">
    <w:name w:val="二级目录"/>
    <w:next w:val="817"/>
    <w:link w:val="1117"/>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9" w:customStyle="1">
    <w:name w:val="列出段落 Char"/>
    <w:link w:val="1120"/>
    <w:uiPriority w:val="0"/>
    <w:qFormat/>
    <w:rPr>
      <w:rFonts w:ascii="Calibri" w:hAnsi="Calibri"/>
      <w:sz w:val="24"/>
      <w:szCs w:val="24"/>
      <w:lang w:eastAsia="en-US" w:bidi="en-US"/>
    </w:rPr>
  </w:style>
  <w:style w:type="paragraph" w:styleId="1120" w:customStyle="1">
    <w:name w:val="列出段落1"/>
    <w:basedOn w:val="817"/>
    <w:link w:val="1119"/>
    <w:uiPriority w:val="0"/>
    <w:qFormat/>
    <w:pPr>
      <w:contextualSpacing/>
      <w:ind w:left="720"/>
      <w:jc w:val="left"/>
      <w:widowControl/>
    </w:pPr>
    <w:rPr>
      <w:rFonts w:ascii="Calibri" w:hAnsi="Calibri"/>
      <w:sz w:val="24"/>
      <w:szCs w:val="24"/>
      <w:lang w:eastAsia="en-US" w:bidi="en-US"/>
    </w:rPr>
  </w:style>
  <w:style w:type="paragraph" w:styleId="1121" w:customStyle="1">
    <w:name w:val="Body Text(ch)"/>
    <w:basedOn w:val="817"/>
    <w:next w:val="1067"/>
    <w:uiPriority w:val="0"/>
    <w:pPr>
      <w:spacing w:after="120"/>
    </w:pPr>
    <w:rPr>
      <w:rFonts w:ascii="宋体" w:hAnsi="Arial"/>
      <w:bCs/>
      <w:iCs/>
      <w:szCs w:val="24"/>
    </w:rPr>
  </w:style>
  <w:style w:type="paragraph" w:styleId="1122" w:customStyle="1">
    <w:name w:val="xl27"/>
    <w:basedOn w:val="81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6"/>
    <w:basedOn w:val="81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w:basedOn w:val="817"/>
    <w:uiPriority w:val="0"/>
    <w:pPr>
      <w:ind w:firstLine="200"/>
      <w:tabs>
        <w:tab w:val="left" w:pos="360" w:leader="none"/>
      </w:tabs>
    </w:pPr>
    <w:rPr>
      <w:sz w:val="28"/>
      <w:szCs w:val="30"/>
    </w:rPr>
  </w:style>
  <w:style w:type="paragraph" w:styleId="1125" w:customStyle="1">
    <w:name w:val="Char1"/>
    <w:basedOn w:val="1061"/>
    <w:uiPriority w:val="0"/>
    <w:rPr>
      <w:rFonts w:ascii="Tahoma" w:hAnsi="Tahoma"/>
      <w:sz w:val="24"/>
      <w:szCs w:val="24"/>
    </w:rPr>
  </w:style>
  <w:style w:type="paragraph" w:styleId="1126"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127" w:customStyle="1">
    <w:name w:val="table_lines"/>
    <w:basedOn w:val="817"/>
    <w:uiPriority w:val="0"/>
    <w:pPr>
      <w:jc w:val="left"/>
      <w:widowControl/>
    </w:pPr>
    <w:rPr>
      <w:sz w:val="20"/>
      <w:szCs w:val="20"/>
      <w:lang w:val="de-DE" w:eastAsia="de-DE"/>
    </w:rPr>
  </w:style>
  <w:style w:type="paragraph" w:styleId="1128" w:customStyle="1">
    <w:name w:val="附录1"/>
    <w:uiPriority w:val="0"/>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9" w:customStyle="1">
    <w:name w:val="font7"/>
    <w:basedOn w:val="817"/>
    <w:uiPriority w:val="0"/>
    <w:pPr>
      <w:jc w:val="left"/>
      <w:spacing w:before="100" w:beforeAutospacing="1" w:after="100" w:afterAutospacing="1"/>
      <w:widowControl/>
    </w:pPr>
    <w:rPr>
      <w:rFonts w:hint="eastAsia" w:ascii="宋体" w:hAnsi="宋体"/>
      <w:sz w:val="18"/>
      <w:szCs w:val="18"/>
    </w:rPr>
  </w:style>
  <w:style w:type="paragraph" w:styleId="1130" w:customStyle="1">
    <w:name w:val="Char Char Char Char"/>
    <w:basedOn w:val="1061"/>
    <w:uiPriority w:val="0"/>
    <w:pPr>
      <w:spacing w:line="360" w:lineRule="auto"/>
    </w:pPr>
    <w:rPr>
      <w:rFonts w:ascii="Tahoma" w:hAnsi="Tahoma"/>
      <w:sz w:val="24"/>
      <w:szCs w:val="24"/>
    </w:rPr>
  </w:style>
  <w:style w:type="paragraph" w:styleId="1131" w:customStyle="1">
    <w:name w:val="列出段落2"/>
    <w:basedOn w:val="817"/>
    <w:uiPriority w:val="1"/>
    <w:qFormat/>
    <w:pPr>
      <w:contextualSpacing/>
      <w:ind w:left="720"/>
      <w:jc w:val="left"/>
      <w:widowControl/>
    </w:pPr>
    <w:rPr>
      <w:rFonts w:ascii="Calibri" w:hAnsi="Calibri"/>
      <w:sz w:val="24"/>
      <w:szCs w:val="24"/>
      <w:lang w:eastAsia="en-US" w:bidi="en-US"/>
    </w:rPr>
  </w:style>
  <w:style w:type="paragraph" w:styleId="1132" w:customStyle="1">
    <w:name w:val="4"/>
    <w:basedOn w:val="817"/>
    <w:next w:val="1091"/>
    <w:uiPriority w:val="0"/>
    <w:pPr>
      <w:ind w:firstLine="420"/>
      <w:spacing w:line="360" w:lineRule="auto"/>
    </w:pPr>
    <w:rPr>
      <w:color w:val="ff0000"/>
      <w:sz w:val="24"/>
      <w:szCs w:val="24"/>
    </w:rPr>
  </w:style>
  <w:style w:type="paragraph" w:styleId="1133" w:customStyle="1">
    <w:name w:val="普通 (Web)"/>
    <w:basedOn w:val="817"/>
    <w:uiPriority w:val="0"/>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w:basedOn w:val="817"/>
    <w:uiPriority w:val="0"/>
    <w:pPr>
      <w:spacing w:line="360" w:lineRule="auto"/>
    </w:pPr>
    <w:rPr>
      <w:sz w:val="24"/>
      <w:szCs w:val="20"/>
    </w:rPr>
  </w:style>
  <w:style w:type="paragraph" w:styleId="1135" w:customStyle="1">
    <w:name w:val="样式1"/>
    <w:basedOn w:val="817"/>
    <w:uiPriority w:val="0"/>
    <w:pPr>
      <w:numPr>
        <w:ilvl w:val="0"/>
        <w:numId w:val="3"/>
      </w:numPr>
    </w:pPr>
    <w:rPr>
      <w:rFonts w:ascii="宋体" w:hAnsi="宋体"/>
    </w:rPr>
  </w:style>
  <w:style w:type="paragraph" w:styleId="1136" w:customStyle="1">
    <w:name w:val="font6"/>
    <w:basedOn w:val="817"/>
    <w:uiPriority w:val="0"/>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81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817"/>
    <w:next w:val="81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9" w:customStyle="1">
    <w:name w:val="标题3"/>
    <w:basedOn w:val="817"/>
    <w:next w:val="817"/>
    <w:uiPriority w:val="0"/>
    <w:pPr>
      <w:ind w:firstLine="624"/>
      <w:spacing w:line="590" w:lineRule="atLeast"/>
    </w:pPr>
    <w:rPr>
      <w:rFonts w:ascii="方正黑体_GBK" w:eastAsia="方正黑体_GBK"/>
      <w:sz w:val="32"/>
      <w:szCs w:val="32"/>
    </w:rPr>
  </w:style>
  <w:style w:type="paragraph" w:styleId="1140" w:customStyle="1">
    <w:name w:val="xl24"/>
    <w:basedOn w:val="81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817"/>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43" w:customStyle="1">
    <w:name w:val="xl28"/>
    <w:basedOn w:val="817"/>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Char Char Char Char Char Char Char Char1"/>
    <w:basedOn w:val="817"/>
    <w:uiPriority w:val="0"/>
    <w:pPr>
      <w:jc w:val="left"/>
      <w:spacing w:after="160" w:line="240" w:lineRule="exact"/>
      <w:widowControl/>
    </w:pPr>
    <w:rPr>
      <w:rFonts w:ascii="Verdana" w:hAnsi="Verdana"/>
      <w:sz w:val="20"/>
      <w:szCs w:val="20"/>
      <w:lang w:eastAsia="en-US"/>
    </w:rPr>
  </w:style>
  <w:style w:type="paragraph" w:styleId="1145"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1061"/>
    <w:uiPriority w:val="0"/>
    <w:qFormat/>
    <w:pPr>
      <w:spacing w:line="360" w:lineRule="auto"/>
    </w:pPr>
    <w:rPr>
      <w:rFonts w:ascii="Tahoma" w:hAnsi="Tahoma"/>
      <w:sz w:val="24"/>
      <w:szCs w:val="24"/>
    </w:rPr>
  </w:style>
  <w:style w:type="paragraph" w:styleId="1147" w:customStyle="1">
    <w:name w:val="table_1stline"/>
    <w:basedOn w:val="817"/>
    <w:uiPriority w:val="0"/>
    <w:qFormat/>
    <w:pPr>
      <w:jc w:val="left"/>
      <w:spacing w:before="120"/>
      <w:widowControl/>
    </w:pPr>
    <w:rPr>
      <w:bCs/>
      <w:sz w:val="20"/>
      <w:szCs w:val="20"/>
      <w:lang w:val="de-DE" w:eastAsia="de-DE"/>
    </w:rPr>
  </w:style>
  <w:style w:type="paragraph" w:styleId="1148"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17"/>
    <w:next w:val="8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52" w:customStyle="1">
    <w:name w:val="标题 1 字符1"/>
    <w:link w:val="818"/>
    <w:uiPriority w:val="9"/>
    <w:qFormat/>
    <w:rPr>
      <w:rFonts w:ascii="Arial" w:hAnsi="Arial" w:eastAsia="Arial" w:cs="Arial"/>
      <w:sz w:val="40"/>
      <w:szCs w:val="40"/>
    </w:rPr>
  </w:style>
  <w:style w:type="paragraph" w:styleId="1153" w:customStyle="1">
    <w:name w:val="标题 21"/>
    <w:basedOn w:val="817"/>
    <w:next w:val="11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4" w:customStyle="1">
    <w:name w:val="正文缩进1"/>
    <w:basedOn w:val="817"/>
    <w:uiPriority w:val="0"/>
    <w:qFormat/>
    <w:pPr>
      <w:ind w:firstLine="420"/>
    </w:pPr>
  </w:style>
  <w:style w:type="paragraph" w:styleId="1155" w:customStyle="1">
    <w:name w:val="正文文本缩进1"/>
    <w:basedOn w:val="817"/>
    <w:uiPriority w:val="0"/>
    <w:unhideWhenUsed/>
    <w:qFormat/>
    <w:pPr>
      <w:ind w:left="420"/>
      <w:spacing w:after="120"/>
    </w:pPr>
  </w:style>
  <w:style w:type="paragraph" w:styleId="11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57" w:customStyle="1">
    <w:name w:val="纯文本1"/>
    <w:basedOn w:val="817"/>
    <w:uiPriority w:val="0"/>
    <w:qFormat/>
    <w:rPr>
      <w:rFonts w:ascii="宋体" w:hAnsi="Courier New" w:cs="Courier New"/>
    </w:rPr>
  </w:style>
  <w:style w:type="paragraph" w:styleId="1158" w:customStyle="1">
    <w:name w:val="页脚1"/>
    <w:basedOn w:val="817"/>
    <w:uiPriority w:val="99"/>
    <w:qFormat/>
    <w:pPr>
      <w:jc w:val="left"/>
      <w:tabs>
        <w:tab w:val="center" w:pos="4153" w:leader="none"/>
        <w:tab w:val="right" w:pos="8306" w:leader="none"/>
      </w:tabs>
    </w:pPr>
    <w:rPr>
      <w:sz w:val="18"/>
      <w:szCs w:val="18"/>
    </w:rPr>
  </w:style>
  <w:style w:type="paragraph" w:styleId="1159" w:customStyle="1">
    <w:name w:val="目录 11"/>
    <w:basedOn w:val="817"/>
    <w:next w:val="817"/>
    <w:uiPriority w:val="0"/>
    <w:semiHidden/>
    <w:qFormat/>
    <w:pPr>
      <w:jc w:val="left"/>
      <w:spacing w:before="120" w:after="120" w:line="400" w:lineRule="exact"/>
      <w:tabs>
        <w:tab w:val="right" w:pos="8720" w:leader="dot"/>
      </w:tabs>
    </w:pPr>
    <w:rPr>
      <w:rFonts w:ascii="宋体" w:hAnsi="宋体"/>
      <w:caps/>
      <w:sz w:val="24"/>
      <w:szCs w:val="24"/>
    </w:rPr>
  </w:style>
  <w:style w:type="character" w:styleId="1160" w:customStyle="1">
    <w:name w:val="标题 3 Char"/>
    <w:link w:val="1161"/>
    <w:uiPriority w:val="0"/>
    <w:qFormat/>
    <w:rPr>
      <w:b/>
      <w:bCs/>
      <w:sz w:val="32"/>
      <w:szCs w:val="32"/>
    </w:rPr>
  </w:style>
  <w:style w:type="paragraph" w:styleId="1161" w:customStyle="1">
    <w:name w:val="标题 31"/>
    <w:basedOn w:val="817"/>
    <w:next w:val="817"/>
    <w:link w:val="1160"/>
    <w:uiPriority w:val="0"/>
    <w:qFormat/>
    <w:pPr>
      <w:keepLines/>
      <w:keepNext/>
      <w:spacing w:before="260" w:after="260" w:line="415" w:lineRule="auto"/>
      <w:outlineLvl w:val="2"/>
    </w:pPr>
    <w:rPr>
      <w:rFonts w:ascii="Calibri" w:hAnsi="Calibri"/>
      <w:b/>
      <w:bCs/>
      <w:sz w:val="32"/>
      <w:szCs w:val="32"/>
    </w:rPr>
  </w:style>
  <w:style w:type="paragraph" w:styleId="1162" w:customStyle="1">
    <w:name w:val="正文2"/>
    <w:uiPriority w:val="0"/>
    <w:qFormat/>
    <w:rPr>
      <w:rFonts w:hint="default" w:ascii="Times New Roman" w:hAnsi="Times New Roman" w:eastAsia="宋体" w:cs="Times New Roman"/>
      <w:sz w:val="24"/>
      <w:szCs w:val="24"/>
      <w:lang w:val="en-US" w:eastAsia="zh-CN" w:bidi="ar-SA"/>
    </w:rPr>
  </w:style>
  <w:style w:type="character" w:styleId="1163" w:customStyle="1">
    <w:name w:val="font21"/>
    <w:uiPriority w:val="0"/>
    <w:qFormat/>
    <w:rPr>
      <w:rFonts w:hint="eastAsia" w:ascii="仿宋" w:hAnsi="仿宋" w:eastAsia="仿宋" w:cs="仿宋"/>
      <w:color w:val="000000"/>
      <w:sz w:val="22"/>
      <w:szCs w:val="22"/>
      <w:u w:val="none"/>
    </w:rPr>
  </w:style>
  <w:style w:type="character" w:styleId="1164" w:customStyle="1">
    <w:name w:val="font51"/>
    <w:uiPriority w:val="0"/>
    <w:qFormat/>
    <w:rPr>
      <w:rFonts w:hint="eastAsia" w:ascii="仿宋" w:hAnsi="仿宋" w:eastAsia="仿宋" w:cs="仿宋"/>
      <w:b/>
      <w:bCs/>
      <w:color w:val="000000"/>
      <w:sz w:val="22"/>
      <w:szCs w:val="22"/>
      <w:u w:val="none"/>
    </w:rPr>
  </w:style>
  <w:style w:type="paragraph" w:styleId="1165" w:customStyle="1">
    <w:name w:val="Table Paragraph"/>
    <w:basedOn w:val="817"/>
    <w:uiPriority w:val="1"/>
    <w:qFormat/>
    <w:rPr>
      <w:rFonts w:ascii="宋体" w:hAnsi="宋体" w:cs="宋体"/>
      <w:szCs w:val="22"/>
      <w:lang w:val="zh-TW" w:eastAsia="zh-TW" w:bidi="zh-TW"/>
    </w:rPr>
  </w:style>
  <w:style w:type="paragraph" w:styleId="1166" w:customStyle="1">
    <w:name w:val="索引 41"/>
    <w:next w:val="817"/>
    <w:uiPriority w:val="0"/>
    <w:qFormat/>
    <w:pPr>
      <w:ind w:left="1260"/>
      <w:jc w:val="both"/>
      <w:widowControl w:val="off"/>
    </w:pPr>
    <w:rPr>
      <w:rFonts w:hint="default" w:ascii="Times New Roman" w:hAnsi="Times New Roman" w:eastAsia="宋体" w:cs="Times New Roman"/>
      <w:sz w:val="21"/>
      <w:lang w:val="en-US" w:eastAsia="zh-CN" w:bidi="ar-SA"/>
    </w:rPr>
  </w:style>
  <w:style w:type="character" w:styleId="1167" w:customStyle="1">
    <w:name w:val="批注框文本 字符1"/>
    <w:basedOn w:val="827"/>
    <w:link w:val="837"/>
    <w:uiPriority w:val="99"/>
    <w:semiHidden/>
    <w:qFormat/>
    <w:rPr>
      <w:sz w:val="18"/>
      <w:szCs w:val="18"/>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6</cp:revision>
  <dcterms:created xsi:type="dcterms:W3CDTF">2026-08-06T02:52:00Z</dcterms:created>
  <dcterms:modified xsi:type="dcterms:W3CDTF">2026-09-02T07:23:17Z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30D99A8C63674B91A2EF06E8C5F060E7</vt:lpwstr>
  </property>
  <property fmtid="{D5CDD505-2E9C-101B-9397-08002B2CF9AE}" pid="4" name="KSOTemplateDocerSaveRecord">
    <vt:lpwstr>eyJoZGlkIjoiODE0ZTk2ZDAzOTJhYzkxMzg3MzhhNTBjOWRmZGFiZWYiLCJ1c2VySWQiOiIxMDc1NjE3NzQ4In0=</vt:lpwstr>
  </property>
</Properties>
</file>