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spacing w:val="76"/>
          <w:sz w:val="96"/>
          <w:szCs w:val="96"/>
        </w:rPr>
      </w:pPr>
      <w:r>
        <w:rPr>
          <w:rFonts w:hint="eastAsia" w:ascii="宋体" w:hAnsi="宋体" w:eastAsia="宋体" w:cs="宋体"/>
          <w:b/>
          <w:spacing w:val="76"/>
          <w:sz w:val="96"/>
          <w:szCs w:val="96"/>
        </w:rPr>
      </w:r>
      <w:r/>
    </w:p>
    <w:p>
      <w:pPr>
        <w:jc w:val="center"/>
        <w:rPr>
          <w:rFonts w:hint="eastAsia" w:ascii="宋体" w:hAnsi="宋体" w:eastAsia="宋体" w:cs="宋体"/>
          <w:b/>
          <w:spacing w:val="76"/>
          <w:sz w:val="96"/>
          <w:szCs w:val="96"/>
        </w:rPr>
      </w:pPr>
      <w:r>
        <w:rPr>
          <w:rFonts w:hint="eastAsia" w:ascii="宋体" w:hAnsi="宋体" w:eastAsia="宋体" w:cs="宋体"/>
          <w:b/>
          <w:spacing w:val="76"/>
          <w:sz w:val="96"/>
          <w:szCs w:val="96"/>
        </w:rPr>
      </w:r>
      <w:r/>
    </w:p>
    <w:p>
      <w:pPr>
        <w:ind w:left="0" w:firstLine="0"/>
        <w:jc w:val="center"/>
        <w:keepLines w:val="0"/>
        <w:keepNext w:val="0"/>
        <w:pageBreakBefore w:val="0"/>
        <w:spacing w:line="1100" w:lineRule="exact"/>
        <w:widowControl w:val="off"/>
        <w:rPr>
          <w:rFonts w:hint="eastAsia" w:ascii="宋体"/>
          <w:bCs/>
          <w:color w:val="auto"/>
          <w:spacing w:val="20"/>
          <w:sz w:val="96"/>
          <w:szCs w:val="84"/>
        </w:rPr>
        <w:outlineLvl w:val="9"/>
      </w:pPr>
      <w:r/>
      <w:bookmarkStart w:id="0" w:name="_Toc26020"/>
      <w:r/>
      <w:bookmarkStart w:id="1" w:name="_Toc32591"/>
      <w:r/>
      <w:bookmarkStart w:id="2" w:name="_Toc2249"/>
      <w:r/>
      <w:bookmarkStart w:id="3" w:name="_Toc20523"/>
      <w:r>
        <w:rPr>
          <w:rFonts w:hint="eastAsia" w:ascii="宋体" w:hAnsi="宋体" w:eastAsia="宋体" w:cs="宋体"/>
          <w:b/>
          <w:spacing w:val="76"/>
          <w:sz w:val="96"/>
          <w:szCs w:val="96"/>
        </w:rPr>
        <w:t xml:space="preserve">竞争性</w:t>
      </w:r>
      <w:r>
        <w:rPr>
          <w:rFonts w:hint="eastAsia" w:ascii="宋体" w:hAnsi="宋体" w:eastAsia="宋体" w:cs="宋体"/>
          <w:b/>
          <w:spacing w:val="76"/>
          <w:sz w:val="96"/>
          <w:szCs w:val="96"/>
          <w:lang w:val="en-US" w:eastAsia="zh-CN"/>
        </w:rPr>
        <w:t xml:space="preserve">磋商</w:t>
      </w:r>
      <w:r>
        <w:rPr>
          <w:rFonts w:hint="eastAsia" w:ascii="宋体" w:hAnsi="宋体" w:eastAsia="宋体" w:cs="宋体"/>
          <w:b/>
          <w:spacing w:val="76"/>
          <w:sz w:val="96"/>
          <w:szCs w:val="96"/>
        </w:rPr>
        <w:t xml:space="preserve">文件</w:t>
      </w:r>
      <w:bookmarkEnd w:id="0"/>
      <w:r/>
      <w:bookmarkEnd w:id="1"/>
      <w:r/>
      <w:bookmarkEnd w:id="2"/>
      <w:r/>
      <w:bookmarkEnd w:id="3"/>
      <w:r/>
      <w:r/>
    </w:p>
    <w:p>
      <w:r/>
      <w:r/>
    </w:p>
    <w:p>
      <w:r/>
      <w:r/>
    </w:p>
    <w:p>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1365885</wp:posOffset>
                </wp:positionH>
                <wp:positionV relativeFrom="paragraph">
                  <wp:posOffset>16510</wp:posOffset>
                </wp:positionV>
                <wp:extent cx="2616200" cy="1950085"/>
                <wp:effectExtent l="0" t="0" r="0" b="0"/>
                <wp:wrapSquare wrapText="bothSides"/>
                <wp:docPr id="5" name="图片 6" descr="17364867857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6" descr="1736486785789"/>
                        <pic:cNvPicPr>
                          <a:picLocks noChangeAspect="1"/>
                        </pic:cNvPicPr>
                        <pic:nvPr/>
                      </pic:nvPicPr>
                      <pic:blipFill>
                        <a:blip r:embed="rId15"/>
                        <a:stretch/>
                      </pic:blipFill>
                      <pic:spPr bwMode="auto">
                        <a:xfrm>
                          <a:off x="0" y="0"/>
                          <a:ext cx="2616451" cy="1950287"/>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4" o:spid="_x0000_s4" type="#_x0000_t75" style="position:absolute;z-index:251659264;o:allowoverlap:true;o:allowincell:true;mso-position-horizontal-relative:text;margin-left:107.5pt;mso-position-horizontal:absolute;mso-position-vertical-relative:text;margin-top:1.3pt;mso-position-vertical:absolute;width:206.0pt;height:153.5pt;mso-wrap-distance-left:9.0pt;mso-wrap-distance-top:0.0pt;mso-wrap-distance-right:9.0pt;mso-wrap-distance-bottom:0.0pt;" stroked="false">
                <v:path textboxrect="0,0,0,0"/>
                <w10:wrap type="square"/>
                <v:imagedata r:id="rId15" o:title=""/>
              </v:shape>
            </w:pict>
          </mc:Fallback>
        </mc:AlternateContent>
      </w:r>
      <w:r/>
    </w:p>
    <w:p>
      <w:r/>
      <w:r/>
    </w:p>
    <w:p>
      <w:pPr>
        <w:ind w:left="0" w:right="0" w:firstLine="560"/>
        <w:keepLines w:val="0"/>
        <w:keepNext w:val="0"/>
        <w:pageBreakBefore w:val="0"/>
        <w:spacing w:line="700" w:lineRule="exact"/>
        <w:widowControl w:val="off"/>
        <w:rPr>
          <w:rFonts w:hint="eastAsia" w:ascii="楷体" w:hAnsi="楷体" w:eastAsia="楷体"/>
          <w:b/>
          <w:bCs/>
          <w:sz w:val="36"/>
          <w:lang w:eastAsia="zh-CN"/>
        </w:rPr>
      </w:pPr>
      <w:r>
        <w:rPr>
          <w:rFonts w:hint="eastAsia" w:ascii="楷体" w:hAnsi="楷体" w:eastAsia="楷体"/>
          <w:b/>
          <w:bCs/>
          <w:sz w:val="36"/>
          <w:lang w:eastAsia="zh-CN"/>
        </w:rPr>
      </w:r>
      <w:r/>
    </w:p>
    <w:p>
      <w:pPr>
        <w:ind w:left="0" w:right="0" w:firstLine="1124"/>
        <w:keepLines w:val="0"/>
        <w:keepNext w:val="0"/>
        <w:pageBreakBefore w:val="0"/>
        <w:spacing w:line="700" w:lineRule="exact"/>
        <w:widowControl w:val="off"/>
        <w:rPr>
          <w:rFonts w:hint="default" w:ascii="楷体" w:hAnsi="楷体" w:eastAsia="楷体"/>
          <w:b/>
          <w:bCs/>
          <w:sz w:val="36"/>
          <w:szCs w:val="36"/>
          <w:lang w:val="en-US" w:eastAsia="zh-CN"/>
        </w:rPr>
      </w:pPr>
      <w:r>
        <w:rPr>
          <w:rFonts w:hint="default" w:ascii="楷体" w:hAnsi="楷体" w:eastAsia="楷体"/>
          <w:b/>
          <w:bCs/>
          <w:sz w:val="36"/>
          <w:szCs w:val="36"/>
          <w:lang w:val="en-US"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szCs w:val="36"/>
          <w:highlight w:val="none"/>
          <w:lang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szCs w:val="36"/>
          <w:highlight w:val="none"/>
          <w:lang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szCs w:val="36"/>
          <w:highlight w:val="none"/>
          <w:lang w:eastAsia="zh-CN"/>
        </w:rPr>
      </w:r>
      <w:r/>
    </w:p>
    <w:p>
      <w:pPr>
        <w:ind w:left="0" w:right="0" w:firstLine="1124"/>
        <w:keepLines w:val="0"/>
        <w:keepNext w:val="0"/>
        <w:pageBreakBefore w:val="0"/>
        <w:spacing w:line="700" w:lineRule="exact"/>
        <w:widowControl w:val="off"/>
        <w:rPr>
          <w:rFonts w:hint="eastAsia" w:ascii="楷体" w:hAnsi="楷体" w:eastAsia="楷体"/>
          <w:b/>
          <w:bCs/>
          <w:sz w:val="36"/>
          <w:szCs w:val="36"/>
          <w:highlight w:val="none"/>
          <w:lang w:eastAsia="zh-CN"/>
        </w:rPr>
      </w:pPr>
      <w:r>
        <w:rPr>
          <w:rFonts w:hint="eastAsia" w:ascii="楷体" w:hAnsi="楷体" w:eastAsia="楷体"/>
          <w:b/>
          <w:bCs/>
          <w:sz w:val="36"/>
          <w:lang w:eastAsia="zh-CN"/>
        </w:rPr>
        <w:t xml:space="preserve">项目名称：兴化市“一老一小”监管平台维保服务</w:t>
      </w:r>
      <w:r/>
    </w:p>
    <w:p>
      <w:pPr>
        <w:ind w:left="0" w:firstLine="1124"/>
        <w:keepLines w:val="0"/>
        <w:keepNext w:val="0"/>
        <w:pageBreakBefore w:val="0"/>
        <w:spacing w:line="700" w:lineRule="exact"/>
        <w:widowControl w:val="off"/>
        <w:rPr>
          <w:rFonts w:hint="eastAsia" w:ascii="楷体" w:hAnsi="楷体" w:eastAsia="楷体"/>
          <w:b/>
          <w:bCs/>
          <w:sz w:val="36"/>
          <w:lang w:eastAsia="zh-CN"/>
        </w:rPr>
        <w:outlineLvl w:val="9"/>
      </w:pPr>
      <w:r/>
      <w:bookmarkStart w:id="4" w:name="_Toc2369"/>
      <w:r/>
      <w:bookmarkStart w:id="5" w:name="_Toc16746"/>
      <w:r/>
      <w:bookmarkStart w:id="6" w:name="_Toc4524"/>
      <w:r/>
      <w:bookmarkStart w:id="7" w:name="_Toc30835"/>
      <w:r>
        <w:rPr>
          <w:rFonts w:hint="eastAsia" w:ascii="楷体" w:hAnsi="楷体" w:eastAsia="楷体"/>
          <w:b/>
          <w:bCs/>
          <w:sz w:val="36"/>
          <w:lang w:eastAsia="zh-CN"/>
        </w:rPr>
        <w:t xml:space="preserve">项目编号：JSZC-321281-TZZZ-C2026-0008号</w:t>
      </w:r>
      <w:bookmarkEnd w:id="4"/>
      <w:r/>
      <w:bookmarkEnd w:id="5"/>
      <w:r/>
      <w:bookmarkEnd w:id="6"/>
      <w:r/>
      <w:bookmarkEnd w:id="7"/>
      <w:r/>
      <w:r/>
    </w:p>
    <w:p>
      <w:pPr>
        <w:ind w:left="0" w:firstLine="1124"/>
        <w:keepLines w:val="0"/>
        <w:keepNext w:val="0"/>
        <w:pageBreakBefore w:val="0"/>
        <w:spacing w:line="700" w:lineRule="exact"/>
        <w:widowControl w:val="off"/>
        <w:rPr>
          <w:rFonts w:hint="eastAsia" w:ascii="楷体" w:hAnsi="楷体" w:eastAsia="楷体"/>
          <w:b/>
          <w:bCs/>
          <w:sz w:val="36"/>
          <w:lang w:val="en-US" w:eastAsia="zh-CN"/>
        </w:rPr>
        <w:outlineLvl w:val="9"/>
      </w:pPr>
      <w:r/>
      <w:bookmarkStart w:id="8" w:name="_Toc9423"/>
      <w:r/>
      <w:bookmarkStart w:id="9" w:name="_Toc11712"/>
      <w:r/>
      <w:bookmarkStart w:id="10" w:name="_Toc4889"/>
      <w:r/>
      <w:bookmarkStart w:id="11" w:name="_Toc15464"/>
      <w:r/>
      <w:bookmarkStart w:id="12" w:name="_Toc10023"/>
      <w:r>
        <w:rPr>
          <w:rFonts w:hint="eastAsia" w:ascii="楷体" w:hAnsi="楷体" w:eastAsia="楷体"/>
          <w:b/>
          <w:bCs/>
          <w:sz w:val="36"/>
          <w:lang w:eastAsia="zh-CN"/>
        </w:rPr>
        <w:t xml:space="preserve">采 购 人：</w:t>
      </w:r>
      <w:bookmarkEnd w:id="8"/>
      <w:r/>
      <w:bookmarkEnd w:id="9"/>
      <w:r/>
      <w:bookmarkEnd w:id="10"/>
      <w:r/>
      <w:bookmarkEnd w:id="11"/>
      <w:r/>
      <w:bookmarkEnd w:id="12"/>
      <w:r>
        <w:rPr>
          <w:rFonts w:hint="eastAsia" w:ascii="楷体" w:hAnsi="楷体" w:eastAsia="楷体"/>
          <w:b/>
          <w:bCs/>
          <w:sz w:val="36"/>
          <w:lang w:val="en-US" w:eastAsia="zh-CN"/>
        </w:rPr>
        <w:t xml:space="preserve">兴化市民政局</w:t>
      </w:r>
      <w:r/>
    </w:p>
    <w:p>
      <w:pPr>
        <w:ind w:left="0" w:firstLine="1124"/>
        <w:keepLines w:val="0"/>
        <w:keepNext w:val="0"/>
        <w:pageBreakBefore w:val="0"/>
        <w:spacing w:line="700" w:lineRule="exact"/>
        <w:widowControl w:val="off"/>
        <w:rPr>
          <w:rFonts w:hint="eastAsia" w:ascii="楷体" w:hAnsi="楷体" w:eastAsia="楷体"/>
          <w:b/>
          <w:bCs/>
          <w:sz w:val="36"/>
          <w:lang w:val="en-US" w:eastAsia="zh-CN"/>
        </w:rPr>
        <w:outlineLvl w:val="9"/>
      </w:pPr>
      <w:r/>
      <w:bookmarkStart w:id="13" w:name="_Toc26483"/>
      <w:r/>
      <w:bookmarkStart w:id="14" w:name="_Toc25052"/>
      <w:r/>
      <w:bookmarkStart w:id="15" w:name="_Toc13297"/>
      <w:r/>
      <w:bookmarkStart w:id="16" w:name="_Toc28664"/>
      <w:r>
        <w:rPr>
          <w:rFonts w:hint="eastAsia" w:ascii="楷体" w:hAnsi="楷体" w:eastAsia="楷体"/>
          <w:b/>
          <w:bCs/>
          <w:sz w:val="36"/>
          <w:lang w:val="en-US" w:eastAsia="zh-CN"/>
        </w:rPr>
        <w:t xml:space="preserve">采购代理：泰州中政招投标代理有限公司</w:t>
      </w:r>
      <w:bookmarkEnd w:id="13"/>
      <w:r/>
      <w:bookmarkEnd w:id="14"/>
      <w:r/>
      <w:bookmarkEnd w:id="15"/>
      <w:r/>
      <w:bookmarkEnd w:id="16"/>
      <w:r/>
      <w:r/>
    </w:p>
    <w:p>
      <w:pPr>
        <w:ind w:left="2244" w:hanging="1684"/>
        <w:keepLines w:val="0"/>
        <w:keepNext w:val="0"/>
        <w:pageBreakBefore w:val="0"/>
        <w:spacing w:after="287"/>
        <w:widowControl w:val="off"/>
        <w:rPr>
          <w:rFonts w:hint="eastAsia" w:ascii="楷体" w:hAnsi="楷体" w:eastAsia="楷体"/>
          <w:b/>
          <w:bCs/>
          <w:sz w:val="36"/>
          <w:lang w:val="en-US" w:eastAsia="zh-CN"/>
        </w:rPr>
      </w:pPr>
      <w:r>
        <w:rPr>
          <w:rFonts w:hint="eastAsia" w:ascii="楷体" w:hAnsi="楷体" w:eastAsia="楷体"/>
          <w:b/>
          <w:bCs/>
          <w:sz w:val="36"/>
          <w:lang w:val="en-US" w:eastAsia="zh-CN"/>
        </w:rPr>
      </w:r>
      <w:r/>
    </w:p>
    <w:p>
      <w:pPr>
        <w:ind w:left="0" w:firstLine="0"/>
        <w:jc w:val="center"/>
        <w:keepLines w:val="0"/>
        <w:keepNext w:val="0"/>
        <w:pageBreakBefore w:val="0"/>
        <w:spacing w:after="287"/>
        <w:widowControl w:val="off"/>
        <w:rPr>
          <w:rFonts w:hint="eastAsia" w:ascii="楷体" w:hAnsi="楷体" w:eastAsia="楷体"/>
          <w:b/>
          <w:bCs/>
          <w:sz w:val="36"/>
          <w:lang w:val="en-US" w:eastAsia="zh-CN"/>
        </w:rPr>
      </w:pPr>
      <w:r>
        <w:rPr>
          <w:rFonts w:hint="eastAsia" w:ascii="楷体" w:hAnsi="楷体" w:eastAsia="楷体"/>
          <w:b/>
          <w:bCs/>
          <w:sz w:val="36"/>
          <w:lang w:val="en-US" w:eastAsia="zh-CN"/>
        </w:rPr>
        <w:t xml:space="preserve">二〇二六年九月</w:t>
      </w:r>
      <w:r/>
    </w:p>
    <w:p>
      <w:pPr>
        <w:ind w:left="2244" w:hanging="1684"/>
        <w:jc w:val="center"/>
        <w:keepLines w:val="0"/>
        <w:keepNext w:val="0"/>
        <w:pageBreakBefore w:val="0"/>
        <w:spacing w:after="287"/>
        <w:widowControl w:val="off"/>
        <w:rPr>
          <w:rFonts w:hint="eastAsia" w:ascii="楷体" w:hAnsi="楷体" w:eastAsia="楷体"/>
          <w:b/>
          <w:bCs/>
          <w:sz w:val="36"/>
          <w:lang w:val="en-US" w:eastAsia="zh-CN"/>
        </w:rPr>
        <w:sectPr>
          <w:headerReference w:type="default" r:id="rId9"/>
          <w:headerReference w:type="first" r:id="rId10"/>
          <w:footerReference w:type="default" r:id="rId12"/>
          <w:footnotePr/>
          <w:endnotePr/>
          <w:type w:val="nextPage"/>
          <w:pgSz w:w="11906" w:h="16838" w:orient="portrait"/>
          <w:pgMar w:top="1440" w:right="1286" w:bottom="1440" w:left="1380" w:header="851" w:footer="992" w:gutter="0"/>
          <w:cols w:num="1" w:sep="0" w:space="425" w:equalWidth="1"/>
          <w:docGrid w:linePitch="360"/>
          <w:titlePg/>
        </w:sectPr>
      </w:pPr>
      <w:r>
        <w:rPr>
          <w:rFonts w:hint="eastAsia" w:ascii="楷体" w:hAnsi="楷体" w:eastAsia="楷体"/>
          <w:b/>
          <w:bCs/>
          <w:sz w:val="36"/>
          <w:lang w:val="en-US" w:eastAsia="zh-CN"/>
        </w:rPr>
      </w:r>
      <w:r/>
    </w:p>
    <w:p>
      <w:pPr>
        <w:ind w:firstLine="0"/>
        <w:jc w:val="center"/>
        <w:keepLines w:val="0"/>
        <w:keepNext w:val="0"/>
        <w:pageBreakBefore w:val="0"/>
        <w:spacing w:after="0"/>
        <w:widowControl w:val="off"/>
        <w:rPr>
          <w:rFonts w:hint="eastAsia" w:ascii="方正小标宋简体" w:hAnsi="方正小标宋_GBK" w:eastAsia="方正小标宋简体" w:cs="Times New Roman"/>
          <w:sz w:val="36"/>
          <w:szCs w:val="36"/>
          <w:lang w:eastAsia="zh-CN"/>
        </w:rPr>
        <w:outlineLvl w:val="9"/>
      </w:pPr>
      <w:r/>
      <w:bookmarkStart w:id="17" w:name="_Toc30485"/>
      <w:r/>
      <w:bookmarkStart w:id="18" w:name="_Toc31738"/>
      <w:r/>
      <w:bookmarkStart w:id="19" w:name="_Toc21972"/>
      <w:r/>
      <w:bookmarkStart w:id="20" w:name="_Toc28211"/>
      <w:r>
        <w:rPr>
          <w:rFonts w:hint="eastAsia" w:ascii="方正小标宋简体" w:hAnsi="方正小标宋_GBK" w:eastAsia="方正小标宋简体" w:cs="Times New Roman"/>
          <w:sz w:val="36"/>
          <w:szCs w:val="36"/>
        </w:rPr>
        <w:t xml:space="preserve">兴化市政府采购不见面交易相关提醒</w:t>
      </w:r>
      <w:bookmarkEnd w:id="17"/>
      <w:r/>
      <w:bookmarkEnd w:id="18"/>
      <w:r/>
      <w:bookmarkEnd w:id="19"/>
      <w:r/>
      <w:bookmarkEnd w:id="20"/>
      <w:r/>
      <w:r/>
    </w:p>
    <w:p>
      <w:pPr>
        <w:ind w:firstLine="0"/>
        <w:keepLines w:val="0"/>
        <w:keepNext w:val="0"/>
        <w:pageBreakBefore w:val="0"/>
        <w:spacing w:line="400" w:lineRule="exact"/>
        <w:widowControl w:val="off"/>
        <w:rPr>
          <w:rFonts w:hint="eastAsia" w:ascii="仿宋" w:hAnsi="仿宋" w:eastAsia="仿宋" w:cs="仿宋"/>
          <w:sz w:val="24"/>
          <w:szCs w:val="24"/>
          <w:lang w:eastAsia="zh-CN"/>
        </w:rPr>
        <w:outlineLvl w:val="0"/>
      </w:pPr>
      <w:r/>
      <w:bookmarkStart w:id="21" w:name="_Toc29089"/>
      <w:r/>
      <w:bookmarkStart w:id="22" w:name="_Toc24776"/>
      <w:r>
        <w:rPr>
          <w:rFonts w:hint="eastAsia" w:ascii="仿宋" w:hAnsi="仿宋" w:eastAsia="仿宋" w:cs="仿宋"/>
          <w:sz w:val="24"/>
          <w:szCs w:val="24"/>
          <w:lang w:val="en-US" w:eastAsia="zh-CN"/>
        </w:rPr>
        <w:t xml:space="preserve">1、</w:t>
      </w:r>
      <w:r>
        <w:rPr>
          <w:rFonts w:hint="eastAsia" w:ascii="仿宋" w:hAnsi="仿宋" w:eastAsia="仿宋" w:cs="仿宋"/>
          <w:sz w:val="24"/>
          <w:szCs w:val="24"/>
          <w:lang w:eastAsia="zh-CN"/>
        </w:rPr>
        <w:t xml:space="preserve">关于</w:t>
      </w:r>
      <w:r>
        <w:rPr>
          <w:rFonts w:hint="eastAsia" w:ascii="仿宋" w:hAnsi="仿宋" w:eastAsia="仿宋" w:cs="仿宋"/>
          <w:sz w:val="24"/>
          <w:szCs w:val="24"/>
        </w:rPr>
        <w:t xml:space="preserve">政府采购线上合同信用融资功能</w:t>
      </w:r>
      <w:r>
        <w:rPr>
          <w:rFonts w:hint="eastAsia" w:ascii="仿宋" w:hAnsi="仿宋" w:eastAsia="仿宋" w:cs="仿宋"/>
          <w:sz w:val="24"/>
          <w:szCs w:val="24"/>
          <w:lang w:eastAsia="zh-CN"/>
        </w:rPr>
        <w:t xml:space="preserve">告知提醒</w:t>
      </w:r>
      <w:bookmarkEnd w:id="21"/>
      <w:r/>
      <w:bookmarkEnd w:id="22"/>
      <w:r/>
      <w:r/>
    </w:p>
    <w:p>
      <w:pPr>
        <w:ind w:firstLine="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各政府采购供应商：</w:t>
      </w:r>
      <w:r/>
    </w:p>
    <w:p>
      <w:pPr>
        <w:ind w:firstLine="0"/>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rPr>
        <w:t xml:space="preserve">今年我市已正式启用</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苏采云</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系统，</w:t>
      </w:r>
      <w:r>
        <w:rPr>
          <w:rFonts w:hint="eastAsia" w:ascii="仿宋" w:hAnsi="仿宋" w:eastAsia="仿宋" w:cs="仿宋"/>
          <w:sz w:val="24"/>
          <w:szCs w:val="24"/>
          <w:lang w:eastAsia="zh-CN"/>
        </w:rPr>
        <w:t xml:space="preserve">目前</w:t>
      </w:r>
      <w:r>
        <w:rPr>
          <w:rFonts w:hint="eastAsia" w:ascii="仿宋" w:hAnsi="仿宋" w:eastAsia="仿宋" w:cs="仿宋"/>
          <w:sz w:val="24"/>
          <w:szCs w:val="24"/>
        </w:rPr>
        <w:t xml:space="preserve">已全面开通政府采购线上合同信用融资</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以下简称</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政采贷</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功能</w:t>
      </w:r>
      <w:r>
        <w:rPr>
          <w:rFonts w:hint="eastAsia" w:ascii="仿宋" w:hAnsi="仿宋" w:eastAsia="仿宋" w:cs="仿宋"/>
          <w:sz w:val="24"/>
          <w:szCs w:val="24"/>
          <w:lang w:eastAsia="zh-CN"/>
        </w:rPr>
        <w:t xml:space="preserve">。成交供应商可凭政府采购合同在中征平台发起贷款申请贷款。</w:t>
      </w:r>
      <w:r/>
    </w:p>
    <w:p>
      <w:pPr>
        <w:ind w:firstLine="0"/>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val="en-US" w:eastAsia="zh-CN"/>
        </w:rPr>
        <w:t xml:space="preserve">“政采贷”业务流程</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153670</wp:posOffset>
                </wp:positionH>
                <wp:positionV relativeFrom="paragraph">
                  <wp:posOffset>85090</wp:posOffset>
                </wp:positionV>
                <wp:extent cx="4928235" cy="1301115"/>
                <wp:effectExtent l="0" t="0" r="5715" b="13335"/>
                <wp:wrapSquare wrapText="bothSides"/>
                <wp:docPr id="6" name="图片 2" descr="16759921745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2" descr="1675992174522"/>
                        <pic:cNvPicPr>
                          <a:picLocks noChangeAspect="1"/>
                        </pic:cNvPicPr>
                        <pic:nvPr/>
                      </pic:nvPicPr>
                      <pic:blipFill>
                        <a:blip r:embed="rId16"/>
                        <a:stretch/>
                      </pic:blipFill>
                      <pic:spPr bwMode="auto">
                        <a:xfrm>
                          <a:off x="0" y="0"/>
                          <a:ext cx="4928235" cy="1301115"/>
                        </a:xfrm>
                        <a:prstGeom prst="rect">
                          <a:avLst/>
                        </a:prstGeom>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5" o:spid="_x0000_s5" type="#_x0000_t75" style="position:absolute;z-index:251660288;o:allowoverlap:true;o:allowincell:true;mso-position-horizontal-relative:text;margin-left:12.1pt;mso-position-horizontal:absolute;mso-position-vertical-relative:text;margin-top:6.7pt;mso-position-vertical:absolute;width:388.0pt;height:102.4pt;mso-wrap-distance-left:9.0pt;mso-wrap-distance-top:0.0pt;mso-wrap-distance-right:9.0pt;mso-wrap-distance-bottom:0.0pt;" stroked="false">
                <v:path textboxrect="0,0,0,0"/>
                <w10:wrap type="square"/>
                <v:imagedata r:id="rId16" o:title=""/>
              </v:shape>
            </w:pict>
          </mc:Fallback>
        </mc:AlternateContent>
      </w:r>
      <w:r>
        <w:rPr>
          <w:rFonts w:hint="eastAsia" w:ascii="仿宋" w:hAnsi="仿宋" w:eastAsia="仿宋" w:cs="仿宋"/>
          <w:sz w:val="24"/>
          <w:szCs w:val="24"/>
        </w:rPr>
        <w:t xml:space="preserve">常见问题</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Q1</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哪些企业能申请“政采贷”？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答：江苏省内采用国库集中支付的政府采购项目的中标供应商，可凭政府采购合同申请"政采贷"。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Q2</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供应商在哪里申请“政采贷”？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答：中标供应商在“中征应收账款融资服务平台”（简称“中征平台”）上向意向银行发起融资申请</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Q3</w:t>
      </w:r>
      <w:r>
        <w:rPr>
          <w:rFonts w:hint="eastAsia" w:ascii="仿宋" w:hAnsi="仿宋" w:eastAsia="仿宋" w:cs="仿宋"/>
          <w:sz w:val="24"/>
          <w:szCs w:val="24"/>
          <w:lang w:val="en-US" w:eastAsia="zh-CN"/>
        </w:rPr>
        <w:t xml:space="preserve">：</w:t>
      </w:r>
      <w:r>
        <w:rPr>
          <w:rFonts w:hint="eastAsia" w:ascii="仿宋" w:hAnsi="仿宋" w:eastAsia="仿宋" w:cs="仿宋"/>
          <w:sz w:val="24"/>
          <w:szCs w:val="24"/>
        </w:rPr>
        <w:t xml:space="preserve">中标供应商要注意什么？</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答：中标供应商要加强和采购单位的沟通协调，尽早确定融资需求。需要“政采贷”融资的，政府采购合同付款账号应当空置。</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Q4</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采购单位要做什么？</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答：采购单位在“苏采云”系统中公示政府采购合同时，要勾选融资标识，为中标供应商融资提供便利。如后续融资失败，采购单位要及时维护中标供应商相关账号信息，按时支付款项。</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Q5</w:t>
      </w:r>
      <w:r>
        <w:rPr>
          <w:rFonts w:hint="eastAsia" w:ascii="仿宋" w:hAnsi="仿宋" w:eastAsia="仿宋" w:cs="仿宋"/>
          <w:sz w:val="24"/>
          <w:szCs w:val="24"/>
          <w:lang w:eastAsia="zh-CN"/>
        </w:rPr>
        <w:t xml:space="preserve">：</w:t>
      </w:r>
      <w:r>
        <w:rPr>
          <w:rFonts w:hint="eastAsia" w:ascii="仿宋" w:hAnsi="仿宋" w:eastAsia="仿宋" w:cs="仿宋"/>
          <w:sz w:val="24"/>
          <w:szCs w:val="24"/>
        </w:rPr>
        <w:t xml:space="preserve">“政采贷”融资失败怎么办？</w:t>
      </w:r>
      <w:r/>
    </w:p>
    <w:p>
      <w:pPr>
        <w:ind w:firstLine="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答：经合作银行审核后不予放款，或者贷款审核时间超过10个工作日的，视为融资失败，该项目回到财政预算管理一体化系统中支付资金。融资失败的，无法重新线上申请“政采贷”。</w:t>
      </w:r>
      <w:r/>
    </w:p>
    <w:p>
      <w:pPr>
        <w:ind w:firstLine="0"/>
        <w:jc w:val="left"/>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政采贷：</w:t>
      </w: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"http://www.ccgp-jiangsu.gov.cn/jiangsu/paying.html" </w:instrText>
      </w:r>
      <w:r>
        <w:rPr>
          <w:rFonts w:hint="eastAsia" w:ascii="仿宋" w:hAnsi="仿宋" w:eastAsia="仿宋" w:cs="仿宋"/>
          <w:sz w:val="24"/>
          <w:szCs w:val="24"/>
          <w:lang w:eastAsia="zh-CN"/>
        </w:rPr>
        <w:fldChar w:fldCharType="separate"/>
      </w:r>
      <w:r>
        <w:rPr>
          <w:rStyle w:val="822"/>
          <w:rFonts w:hint="eastAsia" w:ascii="仿宋" w:hAnsi="仿宋" w:eastAsia="仿宋" w:cs="仿宋"/>
          <w:spacing w:val="1"/>
          <w:sz w:val="24"/>
          <w:szCs w:val="24"/>
          <w:lang w:eastAsia="zh-CN"/>
        </w:rPr>
        <w:t xml:space="preserve">http://www.ccgp-jiangsu.gov.cn/jiangsu/paying.html</w:t>
      </w:r>
      <w:r>
        <w:rPr>
          <w:rFonts w:hint="eastAsia" w:ascii="仿宋" w:hAnsi="仿宋" w:eastAsia="仿宋" w:cs="仿宋"/>
          <w:sz w:val="24"/>
          <w:szCs w:val="24"/>
          <w:lang w:eastAsia="zh-CN"/>
        </w:rPr>
        <w:fldChar w:fldCharType="end"/>
      </w:r>
      <w:r/>
    </w:p>
    <w:p>
      <w:pPr>
        <w:ind w:firstLine="0"/>
        <w:jc w:val="left"/>
        <w:keepLines w:val="0"/>
        <w:keepNext w:val="0"/>
        <w:pageBreakBefore w:val="0"/>
        <w:spacing w:line="400" w:lineRule="exact"/>
        <w:widowControl w:val="off"/>
        <w:rPr>
          <w:rFonts w:hint="eastAsia" w:ascii="仿宋" w:hAnsi="仿宋" w:eastAsia="仿宋" w:cs="仿宋"/>
          <w:sz w:val="24"/>
          <w:szCs w:val="24"/>
          <w:lang w:eastAsia="zh-CN"/>
        </w:rPr>
      </w:pPr>
      <w:r>
        <w:rPr>
          <w:rFonts w:hint="eastAsia" w:ascii="仿宋" w:hAnsi="仿宋" w:eastAsia="仿宋" w:cs="仿宋"/>
          <w:sz w:val="24"/>
          <w:szCs w:val="24"/>
          <w:lang w:eastAsia="zh-CN"/>
        </w:rPr>
        <w:t xml:space="preserve">中征平台：</w:t>
      </w:r>
      <w:r>
        <w:rPr>
          <w:rFonts w:hint="eastAsia" w:ascii="仿宋" w:hAnsi="仿宋" w:eastAsia="仿宋" w:cs="仿宋"/>
          <w:sz w:val="24"/>
          <w:szCs w:val="24"/>
          <w:lang w:eastAsia="zh-CN"/>
        </w:rPr>
        <w:fldChar w:fldCharType="begin"/>
      </w:r>
      <w:r>
        <w:rPr>
          <w:rFonts w:hint="eastAsia" w:ascii="仿宋" w:hAnsi="仿宋" w:eastAsia="仿宋" w:cs="仿宋"/>
          <w:sz w:val="24"/>
          <w:szCs w:val="24"/>
          <w:lang w:eastAsia="zh-CN"/>
        </w:rPr>
        <w:instrText xml:space="preserve"> HYPERLINK "https://www.crcrfsp.com/" </w:instrText>
      </w:r>
      <w:r>
        <w:rPr>
          <w:rFonts w:hint="eastAsia" w:ascii="仿宋" w:hAnsi="仿宋" w:eastAsia="仿宋" w:cs="仿宋"/>
          <w:sz w:val="24"/>
          <w:szCs w:val="24"/>
          <w:lang w:eastAsia="zh-CN"/>
        </w:rPr>
        <w:fldChar w:fldCharType="separate"/>
      </w:r>
      <w:r>
        <w:rPr>
          <w:rStyle w:val="822"/>
          <w:rFonts w:hint="eastAsia" w:ascii="仿宋" w:hAnsi="仿宋" w:eastAsia="仿宋" w:cs="仿宋"/>
          <w:spacing w:val="1"/>
          <w:sz w:val="24"/>
          <w:szCs w:val="24"/>
          <w:lang w:eastAsia="zh-CN"/>
        </w:rPr>
        <w:t xml:space="preserve">https://www.crcrfsp.com/</w:t>
      </w:r>
      <w:r>
        <w:rPr>
          <w:rFonts w:hint="eastAsia" w:ascii="仿宋" w:hAnsi="仿宋" w:eastAsia="仿宋" w:cs="仿宋"/>
          <w:sz w:val="24"/>
          <w:szCs w:val="24"/>
          <w:lang w:eastAsia="zh-CN"/>
        </w:rPr>
        <w:fldChar w:fldCharType="end"/>
      </w:r>
      <w:r/>
    </w:p>
    <w:p>
      <w:pPr>
        <w:ind w:firstLine="0"/>
        <w:jc w:val="left"/>
        <w:keepLines w:val="0"/>
        <w:keepNext w:val="0"/>
        <w:pageBreakBefore w:val="0"/>
        <w:spacing w:line="400" w:lineRule="exact"/>
        <w:widowControl w:val="off"/>
        <w:rPr>
          <w:rFonts w:hint="eastAsia" w:ascii="仿宋" w:hAnsi="仿宋" w:eastAsia="仿宋" w:cs="仿宋"/>
          <w:sz w:val="24"/>
          <w:szCs w:val="24"/>
          <w:lang w:val="en-US" w:eastAsia="zh-CN"/>
        </w:rPr>
      </w:pPr>
      <w:r>
        <w:rPr>
          <w:rFonts w:hint="eastAsia" w:ascii="仿宋" w:hAnsi="仿宋" w:eastAsia="仿宋" w:cs="仿宋"/>
          <w:sz w:val="24"/>
          <w:szCs w:val="24"/>
          <w:lang w:eastAsia="zh-CN"/>
        </w:rPr>
        <w:t xml:space="preserve">联系人：张女士</w:t>
      </w:r>
      <w:r>
        <w:rPr>
          <w:rFonts w:hint="eastAsia" w:ascii="仿宋" w:hAnsi="仿宋" w:eastAsia="仿宋" w:cs="仿宋"/>
          <w:sz w:val="24"/>
          <w:szCs w:val="24"/>
          <w:lang w:val="en-US" w:eastAsia="zh-CN"/>
        </w:rPr>
        <w:t xml:space="preserve">           联系电话：0523-82020605</w:t>
      </w:r>
      <w:r/>
    </w:p>
    <w:p>
      <w:pPr>
        <w:ind w:firstLine="0"/>
        <w:jc w:val="left"/>
        <w:keepLines w:val="0"/>
        <w:keepNext w:val="0"/>
        <w:pageBreakBefore w:val="0"/>
        <w:spacing w:line="400" w:lineRule="exact"/>
        <w:widowControl w:val="off"/>
        <w:rPr>
          <w:rFonts w:hint="eastAsia" w:ascii="仿宋" w:hAnsi="仿宋" w:eastAsia="仿宋" w:cs="仿宋"/>
          <w:b/>
          <w:bCs/>
          <w:sz w:val="24"/>
          <w:szCs w:val="24"/>
          <w:lang w:val="en-US" w:eastAsia="zh-CN"/>
        </w:rPr>
        <w:outlineLvl w:val="0"/>
      </w:pPr>
      <w:r/>
      <w:bookmarkStart w:id="23" w:name="_Toc26251"/>
      <w:r/>
      <w:bookmarkStart w:id="24" w:name="_Toc24939"/>
      <w:r>
        <w:rPr>
          <w:rFonts w:hint="eastAsia" w:ascii="仿宋" w:hAnsi="仿宋" w:eastAsia="仿宋" w:cs="仿宋"/>
          <w:b/>
          <w:bCs/>
          <w:sz w:val="24"/>
          <w:szCs w:val="24"/>
          <w:lang w:val="en-US" w:eastAsia="zh-CN"/>
        </w:rPr>
        <w:t xml:space="preserve">2、招标（采购）不见面交易注意事项</w:t>
      </w:r>
      <w:bookmarkEnd w:id="23"/>
      <w:r/>
      <w:bookmarkEnd w:id="24"/>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安装调试音视频设备。各供应商在投标前按照要求装好耳麦、摄像头等通讯工具。</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确保音视频畅通。</w:t>
      </w:r>
      <w:r>
        <w:rPr>
          <w:rFonts w:hint="eastAsia" w:ascii="仿宋" w:hAnsi="仿宋" w:cs="仿宋"/>
          <w:sz w:val="24"/>
          <w:szCs w:val="24"/>
          <w:lang w:eastAsia="zh-CN"/>
        </w:rPr>
        <w:t xml:space="preserve">竞争性磋商</w:t>
      </w:r>
      <w:r>
        <w:rPr>
          <w:rFonts w:hint="eastAsia" w:ascii="仿宋" w:hAnsi="仿宋" w:eastAsia="仿宋" w:cs="仿宋"/>
          <w:sz w:val="24"/>
          <w:szCs w:val="24"/>
        </w:rPr>
        <w:t xml:space="preserve">、招标项目需要进行谈判、招标程序，请各供应商在投标前按照要求对耳麦、摄像头等通讯工具进行最终调试，可以利用微信或qq等相关软件进行测试，确保在谈判、招标过程可以正常进行。</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及时完成最终报价。</w:t>
      </w:r>
      <w:r>
        <w:rPr>
          <w:rFonts w:hint="eastAsia" w:ascii="仿宋" w:hAnsi="仿宋" w:cs="仿宋"/>
          <w:sz w:val="24"/>
          <w:szCs w:val="24"/>
          <w:lang w:eastAsia="zh-CN"/>
        </w:rPr>
        <w:t xml:space="preserve">竞争性磋商</w:t>
      </w:r>
      <w:r>
        <w:rPr>
          <w:rFonts w:hint="eastAsia" w:ascii="仿宋" w:hAnsi="仿宋" w:eastAsia="仿宋" w:cs="仿宋"/>
          <w:sz w:val="24"/>
          <w:szCs w:val="24"/>
        </w:rPr>
        <w:t xml:space="preserve">、招标项目需要供应商进行最终报价，请各供应商在项目评标结束之前不要擅自离开“苏采云”交易系统开标大厅，待评审专家开启最终报价程序后，及时准确完成最终报价。</w:t>
      </w:r>
      <w:r/>
    </w:p>
    <w:p>
      <w:pPr>
        <w:ind w:firstLine="0"/>
        <w:jc w:val="left"/>
        <w:keepLines w:val="0"/>
        <w:keepNext w:val="0"/>
        <w:pageBreakBefore w:val="0"/>
        <w:spacing w:line="400" w:lineRule="exact"/>
        <w:widowControl w:val="off"/>
        <w:rPr>
          <w:rFonts w:hint="eastAsia" w:ascii="仿宋" w:hAnsi="仿宋" w:eastAsia="仿宋" w:cs="仿宋"/>
          <w:b/>
          <w:bCs/>
          <w:sz w:val="24"/>
          <w:szCs w:val="24"/>
          <w:lang w:val="en-US" w:eastAsia="zh-CN"/>
        </w:rPr>
        <w:outlineLvl w:val="0"/>
      </w:pPr>
      <w:r/>
      <w:bookmarkStart w:id="25" w:name="_Toc22686"/>
      <w:r/>
      <w:bookmarkStart w:id="26" w:name="_Toc5906"/>
      <w:r>
        <w:rPr>
          <w:rFonts w:hint="eastAsia" w:ascii="仿宋" w:hAnsi="仿宋" w:eastAsia="仿宋" w:cs="仿宋"/>
          <w:b/>
          <w:bCs/>
          <w:sz w:val="24"/>
          <w:szCs w:val="24"/>
          <w:lang w:val="en-US" w:eastAsia="zh-CN"/>
        </w:rPr>
        <w:t xml:space="preserve">3、供应商相关法律责任提醒</w:t>
      </w:r>
      <w:bookmarkEnd w:id="25"/>
      <w:r/>
      <w:bookmarkEnd w:id="26"/>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不见面交易实现了供应商在家报名、在线提交投标文件，最大限度降低交易成本。为避免供应商在采购活动中成交后无正当理由拒不与采购人签订政府采购合同、提供虚假材料谋取中标、成交等问题，希各供应商客观真实编制投标响应文件、规范报价行为、依法签订履行合同，持续营造我市风清气正的政府采购环境。</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相关法律法规：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《政府采购法》第七十七条　供应商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（一）提供虚假材料谋取中标、成交的；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（二）采取不正当手段诋毁、排挤其他供应商的；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（三）与采购人、其他供应商或者采购代理机构恶意串通的；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（四）向采购人、采购代理机构行贿或者提供其他不正当利益的；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（五）在招标采购过程中与采购人进行协商谈判的；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（六）拒绝有关部门监督检查或者提供虚假情况的。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供应商有前款第（一）至（五）项情形之一的，中标、成交无效。</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《政府采购法实施条例》第七十二条　供应商有下列情形之一的，依照政府采购法第七十七条第一款的规定追究法律责任：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（一）向评标委员会、</w:t>
      </w:r>
      <w:r>
        <w:rPr>
          <w:rFonts w:hint="eastAsia" w:ascii="仿宋" w:hAnsi="仿宋" w:cs="仿宋"/>
          <w:sz w:val="24"/>
          <w:szCs w:val="24"/>
          <w:lang w:eastAsia="zh-CN"/>
        </w:rPr>
        <w:t xml:space="preserve">竞争性磋商</w:t>
      </w:r>
      <w:r>
        <w:rPr>
          <w:rFonts w:hint="eastAsia" w:ascii="仿宋" w:hAnsi="仿宋" w:eastAsia="仿宋" w:cs="仿宋"/>
          <w:sz w:val="24"/>
          <w:szCs w:val="24"/>
        </w:rPr>
        <w:t xml:space="preserve">小组或者询价小组成员行贿或者提供其他不正当利益；</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（二）中标或者成交后无正当理由拒不与采购人签订政府采购合同；</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（三）未按照采购文件确定的事项签订政府采购合同；</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（四）将政府采购合同转包；</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（五）提供假冒伪劣产品；</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（六）擅自变更、中止或者终止政府采购合同。</w:t>
      </w:r>
      <w:r/>
    </w:p>
    <w:p>
      <w:pPr>
        <w:ind w:firstLine="0"/>
        <w:jc w:val="left"/>
        <w:keepLines w:val="0"/>
        <w:keepNext w:val="0"/>
        <w:pageBreakBefore w:val="0"/>
        <w:spacing w:line="400" w:lineRule="exact"/>
        <w:widowControl w:val="off"/>
        <w:rPr>
          <w:rFonts w:hint="eastAsia" w:ascii="仿宋" w:hAnsi="仿宋" w:eastAsia="仿宋" w:cs="仿宋"/>
          <w:b/>
          <w:bCs/>
          <w:sz w:val="24"/>
          <w:szCs w:val="24"/>
          <w:lang w:val="en-US" w:eastAsia="zh-CN"/>
        </w:rPr>
        <w:outlineLvl w:val="0"/>
      </w:pPr>
      <w:r/>
      <w:bookmarkStart w:id="27" w:name="_Toc1667"/>
      <w:r/>
      <w:bookmarkStart w:id="28" w:name="_Toc20734"/>
      <w:r>
        <w:rPr>
          <w:rFonts w:hint="eastAsia" w:ascii="仿宋" w:hAnsi="仿宋" w:eastAsia="仿宋" w:cs="仿宋"/>
          <w:b/>
          <w:bCs/>
          <w:sz w:val="24"/>
          <w:szCs w:val="24"/>
          <w:lang w:val="en-US" w:eastAsia="zh-CN"/>
        </w:rPr>
        <w:t xml:space="preserve">4.政府采购政策（包括但不限于下列具体政策要求）</w:t>
      </w:r>
      <w:bookmarkEnd w:id="27"/>
      <w:r/>
      <w:bookmarkEnd w:id="28"/>
      <w:r/>
      <w:r/>
    </w:p>
    <w:p>
      <w:pPr>
        <w:ind w:firstLine="560"/>
        <w:jc w:val="left"/>
        <w:keepLines w:val="0"/>
        <w:keepNext w:val="0"/>
        <w:pageBreakBefore w:val="0"/>
        <w:spacing w:line="400" w:lineRule="exact"/>
        <w:widowControl w:val="off"/>
        <w:rPr>
          <w:rFonts w:hint="eastAsia" w:ascii="仿宋" w:hAnsi="仿宋" w:eastAsia="仿宋" w:cs="仿宋"/>
          <w:sz w:val="24"/>
          <w:szCs w:val="24"/>
          <w:lang w:val="en-US" w:eastAsia="zh-CN"/>
        </w:rPr>
        <w:outlineLvl w:val="0"/>
      </w:pPr>
      <w:r/>
      <w:bookmarkStart w:id="29" w:name="_Toc19940"/>
      <w:r/>
      <w:bookmarkStart w:id="30" w:name="_Toc19654"/>
      <w:r>
        <w:rPr>
          <w:rFonts w:hint="eastAsia" w:ascii="仿宋" w:hAnsi="仿宋" w:eastAsia="仿宋" w:cs="仿宋"/>
          <w:sz w:val="24"/>
          <w:szCs w:val="24"/>
          <w:lang w:val="en-US" w:eastAsia="zh-CN"/>
        </w:rPr>
        <w:t xml:space="preserve">4、政府采购政策</w:t>
      </w:r>
      <w:bookmarkEnd w:id="29"/>
      <w:r/>
      <w:bookmarkEnd w:id="30"/>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4.1中小企业、监狱企业及残疾人福利性单位</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4.1.1中小企业定义：</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4.1.1.1中小企业是</w:t>
      </w:r>
      <w:r>
        <w:rPr>
          <w:rFonts w:hint="eastAsia" w:ascii="仿宋" w:hAnsi="仿宋" w:eastAsia="仿宋" w:cs="仿宋"/>
          <w:sz w:val="24"/>
          <w:szCs w:val="24"/>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4.1.1.2投标人提供的货物、工程或者服务符合下列情形的，享受中小企业扶持政策：</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（1）在货物采购项目中，货物由中小企业制造，即货物由中小企业生产且使用该中小企业商号或者注册商标；</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（2）在工程采购项目中，工程由中小企业承建，即工程施工单位为中小企业；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（3）在服务采购项目中，服务由中小企业承接，即提供服务的人员为中小企业依照《中华人民共和国劳动合同法》订立劳动合同的从业人员。</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4.1.1.3在货物采购项目中，投标人提供的货物既有中小企业制造货物，也有大型企业制造货物的，不享受中小企业扶持政策。</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4.1.1.4以联合体形式参加政府采购活动，联合体各方均为中小企业的，联合体视同中小企业。其中，联合体各方均为小微企业的，联合体视同小微企业。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4.1.2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4.1.3残疾人福利单位定义：享受政府采购支持政策的残疾人福利性单位应当同时满足以下条件：</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（1）安置的残疾人占本单位在职职工人数的比例不低于25%（含25%），并且安置的残疾人人数不少于10 人（含10 人）；</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（2）依法与安置的每位残疾人签订了一年以上（含一年）的劳动合同或服务协议；</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（3）为安置的每位残疾人按月足额缴纳了基本养老保险、基本医疗保险、失业保险、工伤保险和生育保险等社会保险费；</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（4）通过银行等金融机构向安置的每位残疾人，按月支付了不低于单位所在区县适用的经省级人民政府批准的月最低工资标准的工资；</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（5）提供本单位制造的货物、承担的工程或者服务（以下简称产品），或者提供其他残疾人福利性单位制造的货物（不包括使用非残疾人福利性单位注册商标的货物）；</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（6）前款所称残疾人是指法定劳动年龄内，持有《中华人民共和国残疾人证》或者《中华人民共和国残疾军人证（1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4.1.4小微企业价格评审优惠的政策调整：见《评标方法与评标标准》（如涉及）。</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4.2政府采购节能产品、环境标志产品</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4.2.1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4.2.2采购人拟采购的产品属于品目清单范围的，采购方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4.2.3如本项目采购产品属于实施政府强制采购品目清单范围的节能产品，则投标人所报产品必须获得国家确定的认证机构出具的、处于有效期之内的节能产品认证证书，否则投标无效；</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4.2.4非政府强制采购的节能产品或环境标志产品，依据品目清单和认证证书实施政府优先采购。优先采购的具体规定见第五章《评标方法与评标标准》（如涉及）。</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4.3商品包装、快递包装</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财政部就联合生态环境部、国家邮政局三部门对外发布《关于印发&lt;商品包装政府采购需求标准（试行）&gt;、&lt;快递包装政府采购需求标准（试行）&gt;的通知》，对于项目中所涉及商品和快递包装的，参考招标文件中的项目需求对产品进行绿色包装。</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4.4绿色数据中心</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根据财政部 生态环境部 工业和信息化部关于印发《绿色数据中心政府采购需求标准（试行）》的通知（ </w:t>
      </w:r>
      <w:bookmarkStart w:id="31" w:name="sendNo"/>
      <w:r>
        <w:rPr>
          <w:rFonts w:hint="eastAsia" w:ascii="仿宋" w:hAnsi="仿宋" w:eastAsia="仿宋" w:cs="仿宋"/>
          <w:sz w:val="24"/>
          <w:szCs w:val="24"/>
        </w:rPr>
        <w:t xml:space="preserve">财库〔2023〕7号</w:t>
      </w:r>
      <w:bookmarkEnd w:id="31"/>
      <w:r>
        <w:rPr>
          <w:rFonts w:hint="eastAsia" w:ascii="仿宋" w:hAnsi="仿宋" w:eastAsia="仿宋" w:cs="仿宋"/>
          <w:sz w:val="24"/>
          <w:szCs w:val="24"/>
        </w:rPr>
        <w:t xml:space="preserve">）要求，</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4.4.1采购人采购数据中心相关设备、运维服务，应当有利于节约能源、环境保护和资源循环利用，按照《需求标准》实施相关采购活动。</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4.4.2采购人应当加强采购需求管理，根据《需求标准》提出的指标编制数据中心相关设备、运维服务政府采购项目的采购文件，并在合同中明确对相关指标的验收方式和违约责任。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4.4.3采购人在项目的投标、响应环节，原则上不对数据中心相关设备、服务进行检测、认证，也不要求供应商提供检测报告、认证报告，供应商出具符合相关要求的承诺函可视为符合规定。</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4.4.4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4.4.5对于供应商未按合同约定提供设备或服务的，采购人应当依法追究其违约责任。对于供应商提供虚假材料谋取中标、成交的，依法予以处理。</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4.5信息安全产品</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4.5.1依据《关于信息安全产品实施政府采购的通知》（财库〔2010〕48 号），所投产品属于《关于调整信息安全产品强制性认证实施要求的公告》（2009 年第33 号）范围的，应采用经国家认证的信息安全产品，否则投标无效。</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4.5.2未按要求提供相关材料的，不享受相关政策。</w:t>
      </w:r>
      <w:r/>
    </w:p>
    <w:p>
      <w:pPr>
        <w:ind w:firstLine="560"/>
        <w:jc w:val="left"/>
        <w:keepLines w:val="0"/>
        <w:keepNext w:val="0"/>
        <w:pageBreakBefore w:val="0"/>
        <w:spacing w:line="400" w:lineRule="exact"/>
        <w:widowControl w:val="off"/>
        <w:rPr>
          <w:rFonts w:hint="eastAsia" w:ascii="仿宋" w:hAnsi="仿宋" w:eastAsia="仿宋" w:cs="仿宋"/>
          <w:sz w:val="24"/>
          <w:szCs w:val="24"/>
        </w:rPr>
        <w:outlineLvl w:val="1"/>
      </w:pPr>
      <w:r>
        <w:rPr>
          <w:rFonts w:hint="eastAsia" w:ascii="仿宋" w:hAnsi="仿宋" w:eastAsia="仿宋" w:cs="仿宋"/>
          <w:sz w:val="24"/>
          <w:szCs w:val="24"/>
        </w:rPr>
        <w:t xml:space="preserve">4.6 电子履约保函(保险)</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根据兴化市财政局、地方金融监督管理局转发《江苏省财政厅 国家金融监督管理总局江苏监管局 江苏省地方金融监督管理局关于在全省政府采购领域推行电子履约保函（保险）的通知》（兴财购〔2023〕25号）要求，为优化政府采购营商环境，进一步降低供应商参与政府采购成本，我市全面启用政府采购履约保函（保险）。</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政府采购履约保函（保险）是指在政府采购活动中第三方机构向采购人提供的保证政府采购中标、成交供应商履行合同义务的担保或保险。如中标、成交供应商未能按照政府采购合同要求规范履行合同义务，由第三方机构按照采购文件约定的履约保证金数额对采购人承担赔偿责任。</w:t>
      </w:r>
      <w:r/>
    </w:p>
    <w:p>
      <w:pPr>
        <w:ind w:firstLine="560"/>
        <w:jc w:val="left"/>
        <w:keepLines w:val="0"/>
        <w:keepNext w:val="0"/>
        <w:pageBreakBefore w:val="0"/>
        <w:spacing w:line="4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省财政厅通过政府采购流程确定开鑫科技有限公司为“政府采购电子履约保函（保险）平台”提供系统技术服务，符合条件的第三方机构与该司进行技术对接。平台可通过域名www.jsdzbh.com直接访问，也可通过江苏省政府采购网、“苏采云”系统链接访问（首次使用需注册）。供应商在签订政府采购合同后，登录“政府采购电子履约保函（保险）平台”，选择第三方机构并提交保函（保险）申请，经审核通过后支付相关费用即可。供应商可通过上述平台查询相关保函（保单）信息、理赔信息和开具发票。</w:t>
      </w:r>
      <w:r/>
    </w:p>
    <w:p>
      <w:pPr>
        <w:ind w:firstLine="560"/>
        <w:jc w:val="left"/>
        <w:keepLines w:val="0"/>
        <w:keepNext w:val="0"/>
        <w:pageBreakBefore w:val="0"/>
        <w:spacing w:line="400" w:lineRule="exact"/>
        <w:widowControl w:val="off"/>
        <w:rPr>
          <w:rFonts w:hint="eastAsia" w:ascii="仿宋" w:hAnsi="仿宋" w:eastAsia="仿宋" w:cs="仿宋"/>
          <w:b/>
          <w:bCs/>
          <w:sz w:val="24"/>
          <w:szCs w:val="24"/>
          <w:lang w:val="en-US" w:eastAsia="zh-CN"/>
        </w:rPr>
      </w:pPr>
      <w:r>
        <w:rPr>
          <w:rFonts w:hint="eastAsia" w:ascii="仿宋" w:hAnsi="仿宋" w:eastAsia="仿宋" w:cs="仿宋"/>
          <w:sz w:val="24"/>
          <w:szCs w:val="24"/>
        </w:rPr>
        <w:t xml:space="preserve">供应商可登录江苏政府采购网“资料下载”栏目（网址：</w:t>
      </w:r>
      <w:r>
        <w:rPr>
          <w:rFonts w:hint="eastAsia" w:ascii="仿宋" w:hAnsi="仿宋" w:eastAsia="仿宋" w:cs="仿宋"/>
          <w:sz w:val="24"/>
          <w:szCs w:val="24"/>
        </w:rPr>
        <w:fldChar w:fldCharType="begin"/>
      </w:r>
      <w:r>
        <w:rPr>
          <w:rFonts w:hint="eastAsia" w:ascii="仿宋" w:hAnsi="仿宋" w:eastAsia="仿宋" w:cs="仿宋"/>
          <w:sz w:val="24"/>
          <w:szCs w:val="24"/>
        </w:rPr>
        <w:instrText xml:space="preserve"> HYPERLINK "http://www.ccgp-jiangsu.gov.cn/jiangsu/zlxz" \o "www.ccgp-jiangsu.gov.cn/jiangsu/zlxz）下载" </w:instrText>
      </w:r>
      <w:r>
        <w:rPr>
          <w:rFonts w:hint="eastAsia" w:ascii="仿宋" w:hAnsi="仿宋" w:eastAsia="仿宋" w:cs="仿宋"/>
          <w:sz w:val="24"/>
          <w:szCs w:val="24"/>
        </w:rPr>
        <w:fldChar w:fldCharType="separate"/>
      </w:r>
      <w:r>
        <w:rPr>
          <w:rFonts w:hint="eastAsia" w:ascii="仿宋" w:hAnsi="仿宋" w:eastAsia="仿宋" w:cs="仿宋"/>
          <w:sz w:val="24"/>
          <w:szCs w:val="24"/>
        </w:rPr>
        <w:t xml:space="preserve">www.ccgp-jiangsu.gov.cn/jiangsu/zlxz）下载“政府采购电子履约</w:t>
      </w:r>
      <w:r>
        <w:rPr>
          <w:rFonts w:hint="eastAsia" w:ascii="仿宋" w:hAnsi="仿宋" w:eastAsia="仿宋" w:cs="仿宋"/>
          <w:sz w:val="24"/>
          <w:szCs w:val="24"/>
        </w:rPr>
        <w:fldChar w:fldCharType="end"/>
      </w:r>
      <w:r>
        <w:rPr>
          <w:rFonts w:hint="eastAsia" w:ascii="仿宋" w:hAnsi="仿宋" w:eastAsia="仿宋" w:cs="仿宋"/>
          <w:sz w:val="24"/>
          <w:szCs w:val="24"/>
        </w:rPr>
        <w:t xml:space="preserve">保函（保险）操作手册”。</w:t>
      </w:r>
      <w:r/>
    </w:p>
    <w:p>
      <w:pPr>
        <w:ind w:left="2244" w:hanging="1684"/>
        <w:jc w:val="center"/>
        <w:keepLines w:val="0"/>
        <w:keepNext w:val="0"/>
        <w:pageBreakBefore w:val="0"/>
        <w:spacing w:after="287"/>
        <w:widowControl w:val="off"/>
        <w:rPr>
          <w:rFonts w:hint="eastAsia" w:ascii="楷体" w:hAnsi="楷体" w:eastAsia="楷体"/>
          <w:b/>
          <w:bCs/>
          <w:sz w:val="36"/>
          <w:lang w:val="en-US" w:eastAsia="zh-CN"/>
        </w:rPr>
      </w:pPr>
      <w:r>
        <w:rPr>
          <w:rFonts w:hint="eastAsia" w:ascii="楷体" w:hAnsi="楷体" w:eastAsia="楷体"/>
          <w:b/>
          <w:bCs/>
          <w:sz w:val="36"/>
          <w:lang w:val="en-US" w:eastAsia="zh-CN"/>
        </w:rPr>
      </w:r>
      <w:r/>
    </w:p>
    <w:p>
      <w:pPr>
        <w:ind w:left="0" w:firstLine="0"/>
        <w:jc w:val="center"/>
        <w:keepLines w:val="0"/>
        <w:keepNext/>
        <w:pageBreakBefore/>
        <w:spacing w:before="600" w:line="360" w:lineRule="auto"/>
        <w:widowControl w:val="off"/>
        <w:rPr>
          <w:rFonts w:hint="eastAsia" w:ascii="仿宋" w:hAnsi="仿宋" w:eastAsia="仿宋" w:cs="仿宋"/>
          <w:b/>
          <w:sz w:val="44"/>
          <w:szCs w:val="44"/>
        </w:rPr>
      </w:pPr>
      <w:r>
        <w:rPr>
          <w:rFonts w:hint="eastAsia" w:ascii="宋体" w:hAnsi="宋体"/>
          <w:b/>
          <w:bCs/>
          <w:color w:val="auto"/>
          <w:sz w:val="44"/>
          <w:szCs w:val="44"/>
          <w:highlight w:val="none"/>
          <w:lang w:val="en-US" w:eastAsia="zh-CN"/>
        </w:rPr>
        <w:t xml:space="preserve">目录</w:t>
      </w:r>
      <w:r/>
    </w:p>
    <w:sdt>
      <w:sdtPr>
        <w15:appearance w15:val="boundingBox"/>
        <w15:color w:val="dbdbdb"/>
        <w:id w:val="147473825"/>
        <w:docPartObj>
          <w:docPartGallery w:val="Table of Contents"/>
          <w:docPartUnique w:val="true"/>
        </w:docPartObj>
        <w:rPr>
          <w:rFonts w:hint="default" w:ascii="宋体" w:hAnsi="宋体" w:eastAsia="宋体" w:cs="Times New Roman"/>
          <w:sz w:val="21"/>
          <w:szCs w:val="24"/>
          <w:lang w:val="en-US" w:eastAsia="zh-CN" w:bidi="ar-SA"/>
        </w:rPr>
      </w:sdtPr>
      <w:sdtContent>
        <w:p>
          <w:pPr>
            <w:ind w:left="0" w:right="0" w:firstLine="0"/>
            <w:jc w:val="both"/>
            <w:spacing w:before="0" w:after="0" w:line="240" w:lineRule="auto"/>
          </w:pPr>
          <w:r>
            <w:fldChar w:fldCharType="begin"/>
          </w:r>
          <w:r>
            <w:instrText xml:space="preserve">TOC \o "1-1" \h \u </w:instrText>
          </w:r>
          <w:r>
            <w:fldChar w:fldCharType="separate"/>
          </w:r>
          <w:r/>
        </w:p>
        <w:p>
          <w:pPr>
            <w:pStyle w:val="806"/>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_Toc28577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第一章 磋商邀请</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_Toc28577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8</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806"/>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_Toc2184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第二章 供应商须知</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_Toc2184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12</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806"/>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_Toc18251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第三章 合同文本</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_Toc18251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24</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806"/>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_Toc3104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第四章 采购需求</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_Toc3104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28</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806"/>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_Toc32391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第五章 评审方法与评审标准</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_Toc32391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50</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806"/>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_Toc20233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第六章 响应文件相关格式</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_Toc20233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53</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pStyle w:val="806"/>
            <w:ind w:left="0" w:firstLine="0"/>
            <w:keepLines w:val="0"/>
            <w:keepNext w:val="0"/>
            <w:pageBreakBefore w:val="0"/>
            <w:spacing w:before="240" w:after="240" w:line="560" w:lineRule="exact"/>
            <w:widowControl w:val="off"/>
            <w:tabs>
              <w:tab w:val="right" w:pos="8306" w:leader="dot"/>
            </w:tabs>
            <w:rPr>
              <w:rFonts w:hint="eastAsia" w:ascii="黑体" w:hAnsi="黑体" w:eastAsia="黑体" w:cs="黑体"/>
              <w:b/>
              <w:bCs/>
              <w:sz w:val="32"/>
              <w:szCs w:val="32"/>
            </w:rPr>
          </w:pP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HYPERLINK \l _Toc25562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lang w:val="en-US" w:eastAsia="zh-CN"/>
            </w:rPr>
            <w:t xml:space="preserve">第七章 质疑函范本</w:t>
          </w:r>
          <w:r>
            <w:rPr>
              <w:rFonts w:hint="eastAsia" w:ascii="黑体" w:hAnsi="黑体" w:eastAsia="黑体" w:cs="黑体"/>
              <w:b/>
              <w:bCs/>
              <w:sz w:val="32"/>
              <w:szCs w:val="32"/>
            </w:rPr>
            <w:tab/>
          </w:r>
          <w:r>
            <w:rPr>
              <w:rFonts w:hint="eastAsia" w:ascii="黑体" w:hAnsi="黑体" w:eastAsia="黑体" w:cs="黑体"/>
              <w:b/>
              <w:bCs/>
              <w:sz w:val="32"/>
              <w:szCs w:val="32"/>
            </w:rPr>
            <w:fldChar w:fldCharType="begin"/>
          </w:r>
          <w:r>
            <w:rPr>
              <w:rFonts w:hint="eastAsia" w:ascii="黑体" w:hAnsi="黑体" w:eastAsia="黑体" w:cs="黑体"/>
              <w:b/>
              <w:bCs/>
              <w:sz w:val="32"/>
              <w:szCs w:val="32"/>
            </w:rPr>
            <w:instrText xml:space="preserve"> PAGEREF _Toc25562 \h </w:instrText>
          </w:r>
          <w:r>
            <w:rPr>
              <w:rFonts w:hint="eastAsia" w:ascii="黑体" w:hAnsi="黑体" w:eastAsia="黑体" w:cs="黑体"/>
              <w:b/>
              <w:bCs/>
              <w:sz w:val="32"/>
              <w:szCs w:val="32"/>
            </w:rPr>
            <w:fldChar w:fldCharType="separate"/>
          </w:r>
          <w:r>
            <w:rPr>
              <w:rFonts w:hint="eastAsia" w:ascii="黑体" w:hAnsi="黑体" w:eastAsia="黑体" w:cs="黑体"/>
              <w:b/>
              <w:bCs/>
              <w:sz w:val="32"/>
              <w:szCs w:val="32"/>
            </w:rPr>
            <w:t xml:space="preserve">67</w:t>
          </w:r>
          <w:r>
            <w:rPr>
              <w:rFonts w:hint="eastAsia" w:ascii="黑体" w:hAnsi="黑体" w:eastAsia="黑体" w:cs="黑体"/>
              <w:b/>
              <w:bCs/>
              <w:sz w:val="32"/>
              <w:szCs w:val="32"/>
            </w:rPr>
            <w:fldChar w:fldCharType="end"/>
          </w:r>
          <w:r>
            <w:rPr>
              <w:rFonts w:hint="eastAsia" w:ascii="黑体" w:hAnsi="黑体" w:eastAsia="黑体" w:cs="黑体"/>
              <w:b/>
              <w:bCs/>
              <w:sz w:val="32"/>
              <w:szCs w:val="32"/>
            </w:rPr>
            <w:fldChar w:fldCharType="end"/>
          </w:r>
          <w:r/>
        </w:p>
        <w:p>
          <w:pPr>
            <w:ind w:left="0" w:right="0" w:firstLine="0"/>
            <w:jc w:val="both"/>
            <w:spacing w:before="0" w:after="0" w:line="240" w:lineRule="auto"/>
            <w:rPr>
              <w:rFonts w:hint="default" w:ascii="Times New Roman" w:hAnsi="Times New Roman" w:eastAsia="仿宋" w:cs="Times New Roman"/>
              <w:sz w:val="28"/>
              <w:szCs w:val="24"/>
              <w:lang w:val="en-US" w:eastAsia="zh-CN" w:bidi="ar-SA"/>
            </w:rPr>
          </w:pPr>
          <w:r>
            <w:fldChar w:fldCharType="end"/>
          </w:r>
          <w:r/>
        </w:p>
      </w:sdtContent>
    </w:sdt>
    <w:p>
      <w:pPr>
        <w:ind w:left="0" w:right="0" w:firstLine="0"/>
        <w:jc w:val="both"/>
        <w:spacing w:before="0" w:after="0" w:line="240" w:lineRule="auto"/>
        <w:rPr>
          <w:rFonts w:hint="default" w:ascii="Times New Roman" w:hAnsi="Times New Roman" w:eastAsia="仿宋" w:cs="Times New Roman"/>
          <w:sz w:val="28"/>
          <w:szCs w:val="24"/>
          <w:lang w:val="en-US" w:eastAsia="zh-CN" w:bidi="ar-SA"/>
        </w:rPr>
      </w:pPr>
      <w:r>
        <w:rPr>
          <w:rFonts w:hint="default" w:ascii="Times New Roman" w:hAnsi="Times New Roman" w:eastAsia="仿宋" w:cs="Times New Roman"/>
          <w:sz w:val="28"/>
          <w:szCs w:val="24"/>
          <w:lang w:val="en-US" w:eastAsia="zh-CN" w:bidi="ar-SA"/>
        </w:rPr>
      </w:r>
      <w:r/>
    </w:p>
    <w:p>
      <w:pPr>
        <w:numPr>
          <w:ilvl w:val="0"/>
          <w:numId w:val="1"/>
        </w:numPr>
        <w:ind w:firstLine="403"/>
        <w:jc w:val="center"/>
        <w:keepLines w:val="0"/>
        <w:keepNext/>
        <w:pageBreakBefore/>
        <w:spacing w:before="200" w:after="200"/>
        <w:widowControl w:val="off"/>
        <w:rPr>
          <w:rFonts w:hint="eastAsia" w:ascii="宋体" w:hAnsi="宋体" w:eastAsia="宋体" w:cs="宋体"/>
          <w:b/>
          <w:bCs/>
          <w:sz w:val="44"/>
          <w:szCs w:val="44"/>
        </w:rPr>
      </w:pPr>
      <w:r/>
      <w:bookmarkStart w:id="32" w:name="_Toc28577"/>
      <w:r>
        <w:rPr>
          <w:rFonts w:hint="eastAsia" w:ascii="宋体" w:hAnsi="宋体" w:eastAsia="宋体" w:cs="宋体"/>
          <w:b/>
          <w:bCs/>
          <w:sz w:val="44"/>
          <w:szCs w:val="44"/>
        </w:rPr>
        <w:t xml:space="preserve">磋商邀请</w:t>
      </w:r>
      <w:bookmarkEnd w:id="32"/>
      <w:r/>
      <w:r/>
    </w:p>
    <w:p>
      <w:pPr>
        <w:ind w:left="0" w:firstLine="480"/>
        <w:keepLines w:val="0"/>
        <w:keepNext w:val="0"/>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受</w:t>
      </w:r>
      <w:r>
        <w:rPr>
          <w:rFonts w:hint="eastAsia" w:ascii="宋体" w:hAnsi="宋体" w:eastAsia="宋体" w:cs="宋体"/>
          <w:sz w:val="24"/>
          <w:szCs w:val="24"/>
          <w:u w:val="single"/>
          <w:lang w:val="en-US" w:eastAsia="zh-CN"/>
        </w:rPr>
        <w:t xml:space="preserve">兴化市民政局</w:t>
      </w:r>
      <w:r>
        <w:rPr>
          <w:rFonts w:hint="eastAsia" w:ascii="宋体" w:hAnsi="宋体" w:eastAsia="宋体" w:cs="宋体"/>
          <w:sz w:val="24"/>
          <w:szCs w:val="24"/>
          <w:lang w:val="en-US" w:eastAsia="zh-CN"/>
        </w:rPr>
        <w:t xml:space="preserve">委托</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泰州中政招投标代理有限公司为采购代理单位，</w:t>
      </w:r>
      <w:r>
        <w:rPr>
          <w:rFonts w:hint="eastAsia" w:ascii="宋体" w:hAnsi="宋体" w:eastAsia="宋体" w:cs="宋体"/>
          <w:sz w:val="24"/>
          <w:szCs w:val="24"/>
        </w:rPr>
        <w:t xml:space="preserve">对</w:t>
      </w:r>
      <w:r>
        <w:rPr>
          <w:rFonts w:hint="eastAsia" w:ascii="宋体" w:hAnsi="宋体" w:eastAsia="宋体" w:cs="宋体"/>
          <w:sz w:val="24"/>
          <w:szCs w:val="24"/>
          <w:u w:val="single"/>
          <w:lang w:val="en-US" w:eastAsia="zh-CN"/>
        </w:rPr>
        <w:t xml:space="preserve">兴化市“一老一小”监管平台维保服务</w:t>
      </w:r>
      <w:r>
        <w:rPr>
          <w:rFonts w:hint="eastAsia" w:ascii="宋体" w:hAnsi="宋体" w:eastAsia="宋体" w:cs="宋体"/>
          <w:sz w:val="24"/>
          <w:szCs w:val="24"/>
        </w:rPr>
        <w:t xml:space="preserve">项目进行竞争性</w:t>
      </w:r>
      <w:r>
        <w:rPr>
          <w:rFonts w:hint="eastAsia" w:ascii="宋体" w:hAnsi="宋体" w:eastAsia="宋体" w:cs="宋体"/>
          <w:sz w:val="24"/>
          <w:szCs w:val="24"/>
          <w:lang w:eastAsia="zh-CN"/>
        </w:rPr>
        <w:t xml:space="preserve">磋商</w:t>
      </w:r>
      <w:r>
        <w:rPr>
          <w:rFonts w:hint="eastAsia" w:ascii="宋体" w:hAnsi="宋体" w:eastAsia="宋体" w:cs="宋体"/>
          <w:sz w:val="24"/>
          <w:szCs w:val="24"/>
          <w:lang w:val="en-US" w:eastAsia="zh-CN"/>
        </w:rPr>
        <w:t xml:space="preserve">采购</w:t>
      </w:r>
      <w:r>
        <w:rPr>
          <w:rFonts w:hint="eastAsia" w:ascii="宋体" w:hAnsi="宋体" w:eastAsia="宋体" w:cs="宋体"/>
          <w:sz w:val="24"/>
          <w:szCs w:val="24"/>
        </w:rPr>
        <w:t xml:space="preserve">，欢迎符合条件的供应商参加磋商。</w:t>
      </w:r>
      <w:r/>
    </w:p>
    <w:p>
      <w:pPr>
        <w:ind w:firstLine="480"/>
        <w:spacing w:line="44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rPr>
        <w:t xml:space="preserve">项目概况</w:t>
      </w:r>
      <w:r/>
    </w:p>
    <w:p>
      <w:pPr>
        <w:ind w:firstLine="480"/>
        <w:spacing w:line="440" w:lineRule="exact"/>
        <w:rPr>
          <w:rFonts w:hint="eastAsia" w:ascii="宋体" w:hAnsi="宋体" w:eastAsia="宋体" w:cs="宋体"/>
          <w:sz w:val="24"/>
          <w:szCs w:val="24"/>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u w:val="single"/>
          <w:lang w:val="en-US" w:eastAsia="zh-CN"/>
        </w:rPr>
        <w:t xml:space="preserve">兴化市“一老一小”监管平台维保服务</w:t>
      </w:r>
      <w:r>
        <w:rPr>
          <w:rFonts w:hint="eastAsia" w:ascii="宋体" w:hAnsi="宋体" w:eastAsia="宋体" w:cs="宋体"/>
          <w:sz w:val="24"/>
          <w:szCs w:val="24"/>
        </w:rPr>
        <w:t xml:space="preserve">竞争性磋商项目的潜在供应商可在</w:t>
      </w:r>
      <w:r>
        <w:rPr>
          <w:rFonts w:hint="eastAsia" w:ascii="宋体" w:hAnsi="宋体" w:eastAsia="宋体" w:cs="宋体"/>
          <w:sz w:val="24"/>
          <w:szCs w:val="24"/>
          <w:u w:val="single"/>
        </w:rPr>
        <w:t xml:space="preserve">“江苏政府采购网”自行免费下载</w:t>
      </w:r>
      <w:r>
        <w:rPr>
          <w:rFonts w:hint="eastAsia" w:ascii="宋体" w:hAnsi="宋体" w:eastAsia="宋体" w:cs="宋体"/>
          <w:sz w:val="24"/>
          <w:szCs w:val="24"/>
        </w:rPr>
        <w:t xml:space="preserve">磋商文件，并于</w:t>
      </w:r>
      <w:r>
        <w:rPr>
          <w:rFonts w:hint="eastAsia" w:ascii="宋体" w:hAnsi="宋体" w:eastAsia="宋体" w:cs="宋体"/>
          <w:sz w:val="24"/>
          <w:szCs w:val="24"/>
          <w:u w:val="single"/>
          <w:lang w:eastAsia="zh-CN"/>
        </w:rPr>
        <w:t xml:space="preserve">2026年09月21日14:30</w:t>
      </w:r>
      <w:r>
        <w:rPr>
          <w:rFonts w:hint="eastAsia" w:ascii="宋体" w:hAnsi="宋体" w:eastAsia="宋体" w:cs="宋体"/>
          <w:bCs/>
          <w:sz w:val="24"/>
          <w:szCs w:val="24"/>
        </w:rPr>
        <w:t xml:space="preserve">（北京时间）前递交响应文件</w:t>
      </w:r>
      <w:r>
        <w:rPr>
          <w:rFonts w:hint="eastAsia" w:ascii="宋体" w:hAnsi="宋体" w:eastAsia="宋体" w:cs="宋体"/>
          <w:sz w:val="24"/>
          <w:szCs w:val="24"/>
        </w:rPr>
        <w:t xml:space="preserve">。</w:t>
      </w:r>
      <w:r/>
    </w:p>
    <w:p>
      <w:pPr>
        <w:ind w:left="0" w:firstLine="0"/>
        <w:keepLines/>
        <w:keepNext/>
        <w:spacing w:line="440" w:lineRule="exact"/>
        <w:rPr>
          <w:rFonts w:hint="eastAsia" w:ascii="宋体" w:hAnsi="宋体" w:eastAsia="宋体" w:cs="宋体"/>
          <w:b/>
          <w:bCs/>
          <w:sz w:val="28"/>
          <w:szCs w:val="28"/>
        </w:rPr>
        <w:outlineLvl w:val="9"/>
      </w:pPr>
      <w:r/>
      <w:bookmarkStart w:id="33" w:name="_Toc28359079"/>
      <w:r/>
      <w:bookmarkStart w:id="34" w:name="_Toc35393790"/>
      <w:r/>
      <w:bookmarkStart w:id="35" w:name="_Toc38985263"/>
      <w:r/>
      <w:bookmarkStart w:id="36" w:name="_Toc28359002"/>
      <w:r/>
      <w:bookmarkStart w:id="37" w:name="_Toc35393621"/>
      <w:r/>
      <w:bookmarkStart w:id="38" w:name="_Hlk24379207"/>
      <w:r/>
      <w:r/>
    </w:p>
    <w:p>
      <w:pPr>
        <w:ind w:left="0" w:firstLine="0"/>
        <w:keepLines/>
        <w:keepNext/>
        <w:spacing w:line="440" w:lineRule="exact"/>
        <w:rPr>
          <w:rFonts w:hint="eastAsia" w:ascii="宋体" w:hAnsi="宋体" w:eastAsia="宋体" w:cs="宋体"/>
          <w:b/>
          <w:bCs/>
          <w:sz w:val="28"/>
          <w:szCs w:val="28"/>
        </w:rPr>
        <w:outlineLvl w:val="0"/>
      </w:pPr>
      <w:r/>
      <w:bookmarkStart w:id="39" w:name="_Toc14287"/>
      <w:r/>
      <w:bookmarkStart w:id="40" w:name="_Toc23533"/>
      <w:r>
        <w:rPr>
          <w:rFonts w:hint="eastAsia" w:ascii="宋体" w:hAnsi="宋体" w:eastAsia="宋体" w:cs="宋体"/>
          <w:b/>
          <w:bCs/>
          <w:sz w:val="28"/>
          <w:szCs w:val="28"/>
        </w:rPr>
        <w:t xml:space="preserve">一、项目基本情况</w:t>
      </w:r>
      <w:bookmarkEnd w:id="33"/>
      <w:r/>
      <w:bookmarkEnd w:id="34"/>
      <w:r/>
      <w:bookmarkEnd w:id="35"/>
      <w:r/>
      <w:bookmarkEnd w:id="36"/>
      <w:r/>
      <w:bookmarkEnd w:id="37"/>
      <w:r/>
      <w:bookmarkEnd w:id="39"/>
      <w:r/>
      <w:bookmarkEnd w:id="40"/>
      <w:r/>
      <w:r/>
    </w:p>
    <w:p>
      <w:pPr>
        <w:ind w:firstLine="480"/>
        <w:keepLines w:val="0"/>
        <w:keepNext w:val="0"/>
        <w:pageBreakBefore w:val="0"/>
        <w:spacing w:line="460" w:lineRule="exact"/>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JSZC-321281-TZZZ-C2026-0008</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2.项目名称：</w:t>
      </w:r>
      <w:bookmarkEnd w:id="38"/>
      <w:r>
        <w:rPr>
          <w:rFonts w:hint="eastAsia" w:ascii="宋体" w:hAnsi="宋体" w:eastAsia="宋体" w:cs="宋体"/>
          <w:sz w:val="24"/>
          <w:szCs w:val="24"/>
          <w:lang w:val="en-US" w:eastAsia="zh-CN"/>
        </w:rPr>
        <w:t xml:space="preserve">兴化市“一老一小”监管平台维保服务采购</w:t>
      </w:r>
      <w:r/>
    </w:p>
    <w:p>
      <w:pPr>
        <w:ind w:firstLine="480"/>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3.预算金额</w:t>
      </w:r>
      <w:r/>
    </w:p>
    <w:tbl>
      <w:tblPr>
        <w:tblStyle w:val="789"/>
        <w:tblW w:w="745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3709"/>
        <w:gridCol w:w="3749"/>
      </w:tblGrid>
      <w:tr>
        <w:trPr>
          <w:jc w:val="center"/>
          <w:trHeight w:val="0"/>
          <w:tblHeader/>
        </w:trPr>
        <w:tc>
          <w:tcPr>
            <w:tcW w:w="3709" w:type="dxa"/>
            <w:vAlign w:val="center"/>
            <w:textDirection w:val="lrTb"/>
            <w:noWrap w:val="false"/>
          </w:tcPr>
          <w:p>
            <w:pPr>
              <w:ind w:left="0" w:right="0" w:firstLine="0"/>
              <w:jc w:val="center"/>
              <w:keepLines w:val="0"/>
              <w:keepNext w:val="0"/>
              <w:pageBreakBefore w:val="0"/>
              <w:spacing w:line="4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采购包号</w:t>
            </w:r>
            <w:r/>
          </w:p>
        </w:tc>
        <w:tc>
          <w:tcPr>
            <w:tcW w:w="3749" w:type="dxa"/>
            <w:vAlign w:val="center"/>
            <w:textDirection w:val="lrTb"/>
            <w:noWrap w:val="false"/>
          </w:tcPr>
          <w:p>
            <w:pPr>
              <w:ind w:left="0" w:right="0" w:firstLine="0"/>
              <w:jc w:val="center"/>
              <w:keepLines w:val="0"/>
              <w:keepNext w:val="0"/>
              <w:pageBreakBefore w:val="0"/>
              <w:spacing w:line="460" w:lineRule="exact"/>
              <w:widowControl w:val="off"/>
              <w:rPr>
                <w:rFonts w:hint="eastAsia" w:ascii="宋体" w:hAnsi="宋体" w:eastAsia="宋体" w:cs="宋体"/>
                <w:b w:val="0"/>
                <w:bCs/>
                <w:color w:val="auto"/>
                <w:sz w:val="24"/>
                <w:szCs w:val="24"/>
              </w:rPr>
            </w:pPr>
            <w:r>
              <w:rPr>
                <w:rFonts w:hint="eastAsia" w:ascii="宋体" w:hAnsi="宋体" w:eastAsia="宋体" w:cs="宋体"/>
                <w:b w:val="0"/>
                <w:bCs/>
                <w:color w:val="auto"/>
                <w:sz w:val="24"/>
                <w:szCs w:val="24"/>
              </w:rPr>
              <w:t xml:space="preserve">预算金额</w:t>
            </w:r>
            <w:r/>
          </w:p>
        </w:tc>
      </w:tr>
      <w:tr>
        <w:trPr>
          <w:jc w:val="center"/>
          <w:trHeight w:val="0"/>
        </w:trPr>
        <w:tc>
          <w:tcPr>
            <w:tcW w:w="3709" w:type="dxa"/>
            <w:vAlign w:val="center"/>
            <w:textDirection w:val="lrTb"/>
            <w:noWrap w:val="false"/>
          </w:tcPr>
          <w:p>
            <w:pPr>
              <w:ind w:left="0" w:right="0" w:firstLine="0"/>
              <w:jc w:val="center"/>
              <w:keepLines w:val="0"/>
              <w:keepNext w:val="0"/>
              <w:pageBreakBefore w:val="0"/>
              <w:spacing w:line="46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p>
        </w:tc>
        <w:tc>
          <w:tcPr>
            <w:tcW w:w="3749" w:type="dxa"/>
            <w:vAlign w:val="center"/>
            <w:textDirection w:val="lrTb"/>
            <w:noWrap w:val="false"/>
          </w:tcPr>
          <w:p>
            <w:pPr>
              <w:ind w:left="0" w:right="0" w:firstLine="0"/>
              <w:jc w:val="center"/>
              <w:keepLines w:val="0"/>
              <w:keepNext w:val="0"/>
              <w:pageBreakBefore w:val="0"/>
              <w:spacing w:line="460" w:lineRule="exact"/>
              <w:widowControl w:val="off"/>
              <w:rPr>
                <w:rFonts w:hint="default"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150</w:t>
            </w:r>
            <w:r>
              <w:rPr>
                <w:rFonts w:hint="eastAsia" w:ascii="宋体" w:hAnsi="宋体" w:eastAsia="宋体" w:cs="宋体"/>
                <w:b w:val="0"/>
                <w:bCs/>
                <w:color w:val="auto"/>
                <w:sz w:val="24"/>
                <w:szCs w:val="24"/>
              </w:rPr>
              <w:t xml:space="preserve">万元</w:t>
            </w:r>
            <w:r/>
          </w:p>
        </w:tc>
      </w:tr>
    </w:tbl>
    <w:p>
      <w:pPr>
        <w:ind w:firstLine="480"/>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4、最高限价：</w:t>
      </w:r>
      <w:r/>
    </w:p>
    <w:tbl>
      <w:tblPr>
        <w:tblStyle w:val="789"/>
        <w:tblW w:w="744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761"/>
        <w:gridCol w:w="3225"/>
        <w:gridCol w:w="2460"/>
      </w:tblGrid>
      <w:tr>
        <w:trPr>
          <w:jc w:val="center"/>
          <w:trHeight w:val="0"/>
        </w:trPr>
        <w:tc>
          <w:tcPr>
            <w:tcW w:w="1761"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采购包号</w:t>
            </w:r>
            <w:r/>
          </w:p>
        </w:tc>
        <w:tc>
          <w:tcPr>
            <w:tcW w:w="3225"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是否设定最高限价（是/否）</w:t>
            </w:r>
            <w:r/>
          </w:p>
        </w:tc>
        <w:tc>
          <w:tcPr>
            <w:tcW w:w="2460"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最高限价</w:t>
            </w:r>
            <w:r/>
          </w:p>
        </w:tc>
      </w:tr>
      <w:tr>
        <w:trPr>
          <w:jc w:val="center"/>
          <w:trHeight w:val="0"/>
        </w:trPr>
        <w:tc>
          <w:tcPr>
            <w:tcW w:w="1761" w:type="dxa"/>
            <w:vAlign w:val="top"/>
            <w:textDirection w:val="lrTb"/>
            <w:noWrap w:val="false"/>
          </w:tcPr>
          <w:p>
            <w:pPr>
              <w:ind w:left="0" w:firstLine="0"/>
              <w:jc w:val="center"/>
              <w:keepLines w:val="0"/>
              <w:keepNext w:val="0"/>
              <w:pageBreakBefore w:val="0"/>
              <w:spacing w:line="46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3225" w:type="dxa"/>
            <w:vAlign w:val="top"/>
            <w:textDirection w:val="lrTb"/>
            <w:noWrap w:val="false"/>
          </w:tcPr>
          <w:p>
            <w:pPr>
              <w:ind w:left="0" w:firstLine="0"/>
              <w:jc w:val="center"/>
              <w:keepLines w:val="0"/>
              <w:keepNext w:val="0"/>
              <w:pageBreakBefore w:val="0"/>
              <w:spacing w:line="46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是</w:t>
            </w:r>
            <w:r/>
          </w:p>
        </w:tc>
        <w:tc>
          <w:tcPr>
            <w:tcW w:w="2460" w:type="dxa"/>
            <w:vAlign w:val="top"/>
            <w:textDirection w:val="lrTb"/>
            <w:noWrap w:val="false"/>
          </w:tcPr>
          <w:p>
            <w:pPr>
              <w:ind w:left="0" w:firstLine="0"/>
              <w:jc w:val="center"/>
              <w:keepLines w:val="0"/>
              <w:keepNext w:val="0"/>
              <w:pageBreakBefore w:val="0"/>
              <w:spacing w:line="460" w:lineRule="exact"/>
              <w:widowControl w:val="off"/>
              <w:rPr>
                <w:rFonts w:hint="default" w:ascii="宋体" w:hAnsi="宋体" w:eastAsia="宋体" w:cs="宋体"/>
                <w:sz w:val="24"/>
                <w:szCs w:val="24"/>
                <w:lang w:val="en-US" w:eastAsia="zh-CN"/>
              </w:rPr>
            </w:pPr>
            <w:r>
              <w:rPr>
                <w:rStyle w:val="820"/>
                <w:rFonts w:hint="eastAsia" w:ascii="宋体" w:hAnsi="宋体" w:eastAsia="宋体" w:cs="宋体"/>
                <w:b w:val="0"/>
                <w:i w:val="0"/>
                <w:iCs w:val="0"/>
                <w:caps w:val="0"/>
                <w:strike w:val="0"/>
                <w:color w:val="auto"/>
                <w:spacing w:val="0"/>
                <w:sz w:val="24"/>
                <w:szCs w:val="24"/>
                <w:u w:val="none"/>
                <w:lang w:val="en-US" w:eastAsia="zh-CN"/>
              </w:rPr>
              <w:t xml:space="preserve">150</w:t>
            </w:r>
            <w:r>
              <w:rPr>
                <w:rFonts w:hint="eastAsia" w:ascii="宋体" w:hAnsi="宋体" w:eastAsia="宋体" w:cs="宋体"/>
                <w:b w:val="0"/>
                <w:bCs/>
                <w:color w:val="auto"/>
                <w:sz w:val="24"/>
                <w:szCs w:val="24"/>
              </w:rPr>
              <w:t xml:space="preserve">万元</w:t>
            </w:r>
            <w:r/>
          </w:p>
        </w:tc>
      </w:tr>
    </w:tbl>
    <w:p>
      <w:pPr>
        <w:ind w:firstLine="480"/>
        <w:keepLines w:val="0"/>
        <w:keepNext w:val="0"/>
        <w:pageBreakBefore w:val="0"/>
        <w:spacing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lang w:val="en-US" w:eastAsia="zh-CN"/>
        </w:rPr>
        <w:t xml:space="preserve">5</w:t>
      </w:r>
      <w:r>
        <w:rPr>
          <w:rFonts w:hint="eastAsia" w:ascii="宋体" w:hAnsi="宋体" w:eastAsia="宋体" w:cs="宋体"/>
          <w:sz w:val="24"/>
          <w:szCs w:val="24"/>
        </w:rPr>
        <w:t xml:space="preserve">.采购需求（简介）：</w:t>
      </w:r>
      <w:r>
        <w:rPr>
          <w:rFonts w:hint="eastAsia" w:ascii="宋体" w:hAnsi="宋体" w:eastAsia="宋体" w:cs="宋体"/>
          <w:sz w:val="24"/>
          <w:szCs w:val="24"/>
          <w:lang w:val="en-US" w:eastAsia="zh-CN"/>
        </w:rPr>
        <w:t xml:space="preserve">兴化市“一老一小”监管平台维保服务</w:t>
      </w:r>
      <w:r>
        <w:rPr>
          <w:rFonts w:hint="eastAsia" w:ascii="宋体" w:hAnsi="宋体" w:eastAsia="宋体" w:cs="宋体"/>
          <w:color w:val="auto"/>
          <w:sz w:val="24"/>
          <w:szCs w:val="24"/>
          <w:lang w:val="en-US" w:eastAsia="zh-CN" w:bidi="ar-SA"/>
        </w:rPr>
        <w:t xml:space="preserve">。详细内容见本磋商文件第四章。</w:t>
      </w:r>
      <w:r/>
    </w:p>
    <w:p>
      <w:pPr>
        <w:ind w:firstLine="480"/>
        <w:keepLines w:val="0"/>
        <w:keepNext w:val="0"/>
        <w:pageBreakBefore w:val="0"/>
        <w:spacing w:line="460" w:lineRule="exact"/>
        <w:widowControl w:val="off"/>
        <w:rPr>
          <w:rFonts w:hint="default" w:ascii="宋体" w:hAnsi="宋体" w:eastAsia="宋体" w:cs="宋体"/>
          <w:sz w:val="24"/>
          <w:szCs w:val="24"/>
          <w:u w:val="single"/>
          <w:lang w:val="en-US" w:eastAsia="zh-CN"/>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.合同履行期限：</w:t>
      </w:r>
      <w:r>
        <w:rPr>
          <w:rFonts w:hint="eastAsia" w:ascii="宋体" w:hAnsi="宋体" w:eastAsia="宋体" w:cs="宋体"/>
          <w:sz w:val="24"/>
          <w:szCs w:val="24"/>
          <w:lang w:val="en-US" w:eastAsia="zh-CN"/>
        </w:rPr>
        <w:t xml:space="preserve">服务期二年，合同一年一签。</w:t>
      </w:r>
      <w:r/>
    </w:p>
    <w:p>
      <w:pPr>
        <w:ind w:left="0" w:firstLine="0"/>
        <w:keepLines/>
        <w:keepNext/>
        <w:spacing w:line="440" w:lineRule="exact"/>
        <w:rPr>
          <w:rFonts w:hint="eastAsia" w:ascii="宋体" w:hAnsi="宋体" w:eastAsia="宋体" w:cs="宋体"/>
          <w:b/>
          <w:bCs/>
          <w:sz w:val="28"/>
          <w:szCs w:val="28"/>
        </w:rPr>
        <w:outlineLvl w:val="0"/>
      </w:pPr>
      <w:r/>
      <w:bookmarkStart w:id="41" w:name="_Toc28359003"/>
      <w:r/>
      <w:bookmarkStart w:id="42" w:name="_Toc35393791"/>
      <w:r/>
      <w:bookmarkStart w:id="43" w:name="_Toc35393622"/>
      <w:r/>
      <w:bookmarkStart w:id="44" w:name="_Toc3311"/>
      <w:r/>
      <w:bookmarkStart w:id="45" w:name="_Toc13058"/>
      <w:r/>
      <w:bookmarkStart w:id="46" w:name="_Toc38985264"/>
      <w:r/>
      <w:bookmarkStart w:id="47" w:name="_Toc28359080"/>
      <w:r>
        <w:rPr>
          <w:rFonts w:hint="eastAsia" w:ascii="宋体" w:hAnsi="宋体" w:eastAsia="宋体" w:cs="宋体"/>
          <w:b/>
          <w:bCs/>
          <w:sz w:val="28"/>
          <w:szCs w:val="28"/>
        </w:rPr>
        <w:t xml:space="preserve">二、申请人的资格要求</w:t>
      </w:r>
      <w:bookmarkEnd w:id="41"/>
      <w:r/>
      <w:bookmarkEnd w:id="42"/>
      <w:r/>
      <w:bookmarkEnd w:id="43"/>
      <w:r/>
      <w:bookmarkEnd w:id="44"/>
      <w:r/>
      <w:bookmarkEnd w:id="45"/>
      <w:r/>
      <w:bookmarkEnd w:id="46"/>
      <w:r/>
      <w:bookmarkEnd w:id="47"/>
      <w:r/>
      <w:r/>
    </w:p>
    <w:p>
      <w:pPr>
        <w:ind w:firstLine="480"/>
        <w:spacing w:line="440" w:lineRule="exact"/>
        <w:rPr>
          <w:rFonts w:hint="eastAsia" w:ascii="宋体" w:hAnsi="宋体" w:eastAsia="宋体" w:cs="宋体"/>
          <w:sz w:val="24"/>
          <w:szCs w:val="24"/>
        </w:rPr>
        <w:outlineLvl w:val="1"/>
      </w:pPr>
      <w:r/>
      <w:bookmarkStart w:id="48" w:name="_Toc35393623"/>
      <w:r/>
      <w:bookmarkStart w:id="49" w:name="_Toc35393792"/>
      <w:r/>
      <w:bookmarkStart w:id="50" w:name="_Toc28359081"/>
      <w:r/>
      <w:bookmarkStart w:id="51" w:name="_Toc28359004"/>
      <w:r/>
      <w:bookmarkStart w:id="52" w:name="_Toc38985265"/>
      <w:r>
        <w:rPr>
          <w:rFonts w:hint="eastAsia" w:ascii="宋体" w:hAnsi="宋体" w:eastAsia="宋体" w:cs="宋体"/>
          <w:sz w:val="24"/>
          <w:szCs w:val="24"/>
        </w:rPr>
        <w:t xml:space="preserve">（一）通用资格要求</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1.满足《中华人民共和国政府采购法》第二十二条规定，并提供下列材料：</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1.1 法人或者其他组织的营业执照等证明文件，自然人的身份证明；</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1.2上一年度的财务状况报告（成立不满一年无需提供）；</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1.4具备履行合同所必需的设备和专业技术能力的书面声明；</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1.5参加政府采购活动前3年内在经营活动中没有重大违法记录的书面声明。</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w:t>
      </w:r>
      <w:r/>
    </w:p>
    <w:p>
      <w:pPr>
        <w:ind w:firstLine="482"/>
        <w:keepLines w:val="0"/>
        <w:keepNext w:val="0"/>
        <w:pageBreakBefore w:val="0"/>
        <w:spacing w:line="46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 落实政府采购政策需满足的资格要求：</w:t>
      </w:r>
      <w:r>
        <w:rPr>
          <w:rFonts w:hint="eastAsia" w:ascii="宋体" w:hAnsi="宋体" w:eastAsia="宋体" w:cs="宋体"/>
          <w:sz w:val="24"/>
          <w:szCs w:val="24"/>
          <w:u w:val="single"/>
          <w:lang w:val="en-US" w:eastAsia="zh-CN"/>
        </w:rPr>
        <w:t xml:space="preserve">无</w:t>
      </w:r>
      <w:r>
        <w:rPr>
          <w:rFonts w:hint="eastAsia" w:ascii="宋体" w:hAnsi="宋体" w:eastAsia="宋体" w:cs="宋体"/>
          <w:sz w:val="24"/>
          <w:szCs w:val="24"/>
          <w:u w:val="single"/>
          <w:lang w:eastAsia="zh-CN"/>
        </w:rPr>
        <w:t xml:space="preserve">。</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4.联合体参与磋商</w:t>
      </w:r>
      <w:r/>
    </w:p>
    <w:tbl>
      <w:tblPr>
        <w:tblStyle w:val="789"/>
        <w:tblW w:w="814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88"/>
        <w:gridCol w:w="3352"/>
        <w:gridCol w:w="3304"/>
      </w:tblGrid>
      <w:tr>
        <w:trPr>
          <w:jc w:val="center"/>
          <w:trHeight w:val="0"/>
          <w:tblHeader/>
        </w:trPr>
        <w:tc>
          <w:tcPr>
            <w:tcW w:w="1488" w:type="dxa"/>
            <w:vAlign w:val="center"/>
            <w:textDirection w:val="lrTb"/>
            <w:noWrap w:val="false"/>
          </w:tcPr>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采购包号</w:t>
            </w:r>
            <w:r/>
          </w:p>
        </w:tc>
        <w:tc>
          <w:tcPr>
            <w:tcW w:w="3352" w:type="dxa"/>
            <w:vAlign w:val="center"/>
            <w:textDirection w:val="lrTb"/>
            <w:noWrap w:val="false"/>
          </w:tcPr>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是否接受联合体参与磋商</w:t>
            </w:r>
            <w:r/>
          </w:p>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（是/否）</w:t>
            </w:r>
            <w:r/>
          </w:p>
        </w:tc>
        <w:tc>
          <w:tcPr>
            <w:tcW w:w="3304" w:type="dxa"/>
            <w:vAlign w:val="center"/>
            <w:textDirection w:val="lrTb"/>
            <w:noWrap w:val="false"/>
          </w:tcPr>
          <w:p>
            <w:pPr>
              <w:ind w:left="0" w:right="0" w:firstLine="0"/>
              <w:jc w:val="center"/>
              <w:spacing w:line="24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该采购包中联合体成员数量上限</w:t>
            </w:r>
            <w:r/>
          </w:p>
        </w:tc>
      </w:tr>
      <w:tr>
        <w:trPr>
          <w:jc w:val="center"/>
          <w:trHeight w:val="0"/>
        </w:trPr>
        <w:tc>
          <w:tcPr>
            <w:tcW w:w="1488"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1</w:t>
            </w:r>
            <w:r/>
          </w:p>
        </w:tc>
        <w:tc>
          <w:tcPr>
            <w:tcW w:w="3352"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否</w:t>
            </w:r>
            <w:r/>
          </w:p>
        </w:tc>
        <w:tc>
          <w:tcPr>
            <w:tcW w:w="3304" w:type="dxa"/>
            <w:vAlign w:val="center"/>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w:t>
            </w:r>
            <w:r/>
          </w:p>
        </w:tc>
      </w:tr>
    </w:tbl>
    <w:p>
      <w:pPr>
        <w:ind w:firstLine="480"/>
        <w:spacing w:line="440" w:lineRule="exact"/>
        <w:rPr>
          <w:rFonts w:hint="eastAsia" w:ascii="宋体" w:hAnsi="宋体" w:eastAsia="宋体" w:cs="宋体"/>
          <w:sz w:val="24"/>
          <w:szCs w:val="24"/>
        </w:rPr>
        <w:outlineLvl w:val="1"/>
      </w:pPr>
      <w:r>
        <w:rPr>
          <w:rFonts w:hint="eastAsia" w:ascii="宋体" w:hAnsi="宋体" w:eastAsia="宋体" w:cs="宋体"/>
          <w:sz w:val="24"/>
          <w:szCs w:val="24"/>
        </w:rPr>
        <w:t xml:space="preserve">（二）本项目的特定资格要求</w:t>
      </w:r>
      <w:r/>
    </w:p>
    <w:tbl>
      <w:tblPr>
        <w:tblStyle w:val="789"/>
        <w:tblW w:w="80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461"/>
        <w:gridCol w:w="6559"/>
      </w:tblGrid>
      <w:tr>
        <w:trPr>
          <w:jc w:val="center"/>
          <w:trHeight w:val="0"/>
          <w:tblHeader/>
        </w:trPr>
        <w:tc>
          <w:tcPr>
            <w:tcW w:w="1461"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采购包号</w:t>
            </w:r>
            <w:r/>
          </w:p>
        </w:tc>
        <w:tc>
          <w:tcPr>
            <w:tcW w:w="6559"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特定资格要求</w:t>
            </w:r>
            <w:r/>
          </w:p>
        </w:tc>
      </w:tr>
      <w:tr>
        <w:trPr>
          <w:jc w:val="center"/>
          <w:trHeight w:val="0"/>
        </w:trPr>
        <w:tc>
          <w:tcPr>
            <w:tcW w:w="1461" w:type="dxa"/>
            <w:vAlign w:val="center"/>
            <w:textDirection w:val="lrTb"/>
            <w:noWrap w:val="false"/>
          </w:tcPr>
          <w:p>
            <w:pPr>
              <w:ind w:left="0" w:right="0" w:firstLine="0"/>
              <w:jc w:val="center"/>
              <w:spacing w:line="360" w:lineRule="auto"/>
              <w:rPr>
                <w:rFonts w:hint="eastAsia" w:ascii="宋体" w:hAnsi="宋体" w:eastAsia="宋体" w:cs="宋体"/>
                <w:b w:val="0"/>
                <w:bCs/>
                <w:sz w:val="24"/>
                <w:szCs w:val="24"/>
              </w:rPr>
            </w:pPr>
            <w:r>
              <w:rPr>
                <w:rFonts w:hint="eastAsia" w:ascii="宋体" w:hAnsi="宋体" w:eastAsia="宋体" w:cs="宋体"/>
                <w:b w:val="0"/>
                <w:bCs/>
                <w:sz w:val="24"/>
                <w:szCs w:val="24"/>
              </w:rPr>
              <w:t xml:space="preserve">1</w:t>
            </w:r>
            <w:r/>
          </w:p>
        </w:tc>
        <w:tc>
          <w:tcPr>
            <w:tcW w:w="6559" w:type="dxa"/>
            <w:vAlign w:val="center"/>
            <w:textDirection w:val="lrTb"/>
            <w:noWrap w:val="false"/>
          </w:tcPr>
          <w:p>
            <w:pPr>
              <w:ind w:left="0" w:right="0" w:firstLine="0"/>
              <w:jc w:val="center"/>
              <w:keepLines w:val="0"/>
              <w:keepNext w:val="0"/>
              <w:pageBreakBefore w:val="0"/>
              <w:spacing w:line="360" w:lineRule="auto"/>
              <w:widowControl w:val="off"/>
              <w:rPr>
                <w:rFonts w:hint="eastAsia" w:ascii="宋体" w:hAnsi="宋体" w:eastAsia="宋体" w:cs="宋体"/>
                <w:b w:val="0"/>
                <w:bCs/>
                <w:sz w:val="24"/>
                <w:szCs w:val="24"/>
              </w:rPr>
            </w:pPr>
            <w:r>
              <w:rPr>
                <w:rFonts w:hint="eastAsia" w:ascii="宋体" w:hAnsi="宋体" w:eastAsia="宋体" w:cs="宋体"/>
                <w:b w:val="0"/>
                <w:bCs w:val="0"/>
                <w:sz w:val="24"/>
                <w:szCs w:val="24"/>
                <w:highlight w:val="none"/>
                <w:lang w:val="en-US" w:eastAsia="zh-CN"/>
              </w:rPr>
              <w:t xml:space="preserve">无</w:t>
            </w:r>
            <w:r/>
          </w:p>
        </w:tc>
      </w:tr>
    </w:tbl>
    <w:p>
      <w:pPr>
        <w:ind w:left="0" w:firstLine="0"/>
        <w:keepLines/>
        <w:keepNext/>
        <w:spacing w:line="440" w:lineRule="exact"/>
        <w:rPr>
          <w:rFonts w:hint="eastAsia" w:ascii="宋体" w:hAnsi="宋体" w:eastAsia="宋体" w:cs="宋体"/>
          <w:b/>
          <w:bCs/>
          <w:sz w:val="28"/>
          <w:szCs w:val="28"/>
        </w:rPr>
        <w:outlineLvl w:val="0"/>
      </w:pPr>
      <w:r/>
      <w:bookmarkStart w:id="53" w:name="_Toc31419"/>
      <w:r/>
      <w:bookmarkStart w:id="54" w:name="_Toc29283"/>
      <w:r>
        <w:rPr>
          <w:rFonts w:hint="eastAsia" w:ascii="宋体" w:hAnsi="宋体" w:eastAsia="宋体" w:cs="宋体"/>
          <w:b/>
          <w:bCs/>
          <w:sz w:val="28"/>
          <w:szCs w:val="28"/>
        </w:rPr>
        <w:t xml:space="preserve">三、获取磋商文件</w:t>
      </w:r>
      <w:bookmarkEnd w:id="53"/>
      <w:r/>
      <w:bookmarkEnd w:id="54"/>
      <w:r/>
      <w:r/>
    </w:p>
    <w:p>
      <w:pPr>
        <w:ind w:left="0" w:firstLine="480"/>
        <w:keepLines w:val="0"/>
        <w:keepNext w:val="0"/>
        <w:pageBreakBefore w:val="0"/>
        <w:spacing w:line="46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1.时间：自磋商文件公告发布之日起5个工作日。</w:t>
      </w:r>
      <w:r/>
    </w:p>
    <w:p>
      <w:pPr>
        <w:ind w:firstLine="480"/>
        <w:keepLines w:val="0"/>
        <w:keepNext w:val="0"/>
        <w:pageBreakBefore w:val="0"/>
        <w:spacing w:line="460" w:lineRule="exact"/>
        <w:widowControl w:val="off"/>
        <w:rPr>
          <w:rFonts w:hint="eastAsia" w:ascii="宋体" w:hAnsi="宋体" w:eastAsia="宋体" w:cs="宋体"/>
          <w:sz w:val="24"/>
          <w:szCs w:val="24"/>
          <w:u w:val="single"/>
        </w:rPr>
      </w:pPr>
      <w:r>
        <w:rPr>
          <w:rFonts w:hint="eastAsia" w:ascii="宋体" w:hAnsi="宋体" w:eastAsia="宋体" w:cs="宋体"/>
          <w:sz w:val="24"/>
          <w:szCs w:val="24"/>
        </w:rPr>
        <w:t xml:space="preserve">2.方式：本项目采用网上注册登记方式</w:t>
      </w:r>
      <w:r>
        <w:rPr>
          <w:rFonts w:hint="eastAsia" w:ascii="宋体" w:hAnsi="宋体" w:eastAsia="宋体" w:cs="宋体"/>
          <w:sz w:val="24"/>
          <w:szCs w:val="24"/>
          <w:lang w:eastAsia="zh-CN"/>
        </w:rPr>
        <w:t xml:space="preserve">，</w:t>
      </w:r>
      <w:r>
        <w:rPr>
          <w:rFonts w:hint="eastAsia" w:ascii="宋体" w:hAnsi="宋体" w:eastAsia="宋体" w:cs="宋体"/>
          <w:sz w:val="24"/>
          <w:szCs w:val="24"/>
        </w:rPr>
        <w:t xml:space="preserve">在江苏政府采购网“苏采云”系统自行免费下载磋商文件。</w:t>
      </w:r>
      <w:bookmarkEnd w:id="48"/>
      <w:r/>
      <w:bookmarkEnd w:id="49"/>
      <w:r/>
      <w:bookmarkEnd w:id="50"/>
      <w:r/>
      <w:bookmarkEnd w:id="51"/>
      <w:r/>
      <w:bookmarkEnd w:id="52"/>
      <w:r/>
      <w:r/>
    </w:p>
    <w:p>
      <w:pPr>
        <w:ind w:left="0" w:firstLine="0"/>
        <w:keepLines/>
        <w:keepNext/>
        <w:spacing w:line="440" w:lineRule="exact"/>
        <w:rPr>
          <w:rFonts w:hint="eastAsia" w:ascii="宋体" w:hAnsi="宋体" w:eastAsia="宋体" w:cs="宋体"/>
          <w:b/>
          <w:bCs/>
          <w:sz w:val="28"/>
          <w:szCs w:val="28"/>
        </w:rPr>
        <w:outlineLvl w:val="0"/>
      </w:pPr>
      <w:r/>
      <w:bookmarkStart w:id="55" w:name="_Toc28359082"/>
      <w:r/>
      <w:bookmarkStart w:id="56" w:name="_Toc28359005"/>
      <w:r/>
      <w:bookmarkStart w:id="57" w:name="_Toc35393793"/>
      <w:r/>
      <w:bookmarkStart w:id="58" w:name="_Toc38985266"/>
      <w:r/>
      <w:bookmarkStart w:id="59" w:name="_Toc35393624"/>
      <w:r/>
      <w:bookmarkStart w:id="60" w:name="_Toc1679"/>
      <w:r/>
      <w:bookmarkStart w:id="61" w:name="_Toc23751"/>
      <w:r>
        <w:rPr>
          <w:rFonts w:hint="eastAsia" w:ascii="宋体" w:hAnsi="宋体" w:eastAsia="宋体" w:cs="宋体"/>
          <w:b/>
          <w:bCs/>
          <w:sz w:val="28"/>
          <w:szCs w:val="28"/>
        </w:rPr>
        <w:t xml:space="preserve">四、提交</w:t>
      </w:r>
      <w:bookmarkEnd w:id="55"/>
      <w:r/>
      <w:bookmarkEnd w:id="56"/>
      <w:r>
        <w:rPr>
          <w:rFonts w:hint="eastAsia" w:ascii="宋体" w:hAnsi="宋体" w:eastAsia="宋体" w:cs="宋体"/>
          <w:b/>
          <w:bCs/>
          <w:sz w:val="28"/>
          <w:szCs w:val="28"/>
        </w:rPr>
        <w:t xml:space="preserve">响应文件截止时间</w:t>
      </w:r>
      <w:bookmarkEnd w:id="57"/>
      <w:r/>
      <w:bookmarkEnd w:id="58"/>
      <w:r/>
      <w:bookmarkEnd w:id="59"/>
      <w:r>
        <w:rPr>
          <w:rFonts w:hint="eastAsia" w:ascii="宋体" w:hAnsi="宋体" w:eastAsia="宋体" w:cs="宋体"/>
          <w:b/>
          <w:bCs/>
          <w:sz w:val="28"/>
          <w:szCs w:val="28"/>
        </w:rPr>
        <w:t xml:space="preserve">、开启时间及地点</w:t>
      </w:r>
      <w:bookmarkEnd w:id="60"/>
      <w:r/>
      <w:bookmarkEnd w:id="61"/>
      <w:r/>
      <w:r/>
    </w:p>
    <w:p>
      <w:pPr>
        <w:ind w:firstLine="480"/>
        <w:spacing w:line="440" w:lineRule="exact"/>
        <w:rPr>
          <w:rFonts w:hint="eastAsia" w:ascii="宋体" w:hAnsi="宋体" w:eastAsia="宋体" w:cs="宋体"/>
          <w:sz w:val="24"/>
          <w:szCs w:val="24"/>
        </w:rPr>
      </w:pPr>
      <w:r>
        <w:rPr>
          <w:rFonts w:hint="eastAsia" w:ascii="宋体" w:hAnsi="宋体" w:eastAsia="宋体" w:cs="宋体"/>
          <w:bCs/>
          <w:sz w:val="24"/>
          <w:szCs w:val="24"/>
          <w:u w:val="none"/>
        </w:rPr>
        <w:t xml:space="preserve">1.</w:t>
      </w:r>
      <w:r>
        <w:rPr>
          <w:rFonts w:hint="eastAsia" w:ascii="宋体" w:hAnsi="宋体" w:eastAsia="宋体" w:cs="宋体"/>
          <w:bCs/>
          <w:sz w:val="24"/>
          <w:szCs w:val="24"/>
          <w:u w:val="none"/>
          <w:lang w:val="en-US" w:eastAsia="zh-CN"/>
        </w:rPr>
        <w:t xml:space="preserve">时间：</w:t>
      </w:r>
      <w:r>
        <w:rPr>
          <w:rFonts w:hint="eastAsia" w:ascii="宋体" w:hAnsi="宋体" w:eastAsia="宋体" w:cs="宋体"/>
          <w:bCs/>
          <w:sz w:val="24"/>
          <w:szCs w:val="24"/>
          <w:u w:val="none"/>
          <w:lang w:eastAsia="zh-CN"/>
        </w:rPr>
        <w:t xml:space="preserve">2026年09月21日14:30</w:t>
      </w:r>
      <w:r>
        <w:rPr>
          <w:rFonts w:hint="eastAsia" w:ascii="宋体" w:hAnsi="宋体" w:eastAsia="宋体" w:cs="宋体"/>
          <w:bCs/>
          <w:sz w:val="24"/>
          <w:szCs w:val="24"/>
        </w:rPr>
        <w:t xml:space="preserve">（北京时间）。</w:t>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2.地点：“苏采云”政府采购交易系统。</w:t>
      </w:r>
      <w:r/>
    </w:p>
    <w:p>
      <w:pPr>
        <w:ind w:left="0" w:firstLine="0"/>
        <w:keepLines/>
        <w:keepNext/>
        <w:spacing w:line="440" w:lineRule="exact"/>
        <w:rPr>
          <w:rFonts w:hint="eastAsia" w:ascii="宋体" w:hAnsi="宋体" w:eastAsia="宋体" w:cs="宋体"/>
          <w:b/>
          <w:bCs/>
          <w:sz w:val="28"/>
          <w:szCs w:val="28"/>
        </w:rPr>
        <w:outlineLvl w:val="0"/>
      </w:pPr>
      <w:r/>
      <w:bookmarkStart w:id="62" w:name="_Toc28359007"/>
      <w:r/>
      <w:bookmarkStart w:id="63" w:name="_Toc35393794"/>
      <w:r/>
      <w:bookmarkStart w:id="64" w:name="_Toc38985267"/>
      <w:r/>
      <w:bookmarkStart w:id="65" w:name="_Toc28359084"/>
      <w:r/>
      <w:bookmarkStart w:id="66" w:name="_Toc12724"/>
      <w:r/>
      <w:bookmarkStart w:id="67" w:name="_Toc7256"/>
      <w:r/>
      <w:bookmarkStart w:id="68" w:name="_Toc35393625"/>
      <w:r>
        <w:rPr>
          <w:rFonts w:hint="eastAsia" w:ascii="宋体" w:hAnsi="宋体" w:eastAsia="宋体" w:cs="宋体"/>
          <w:b/>
          <w:bCs/>
          <w:sz w:val="28"/>
          <w:szCs w:val="28"/>
        </w:rPr>
        <w:t xml:space="preserve">五、公告期限</w:t>
      </w:r>
      <w:bookmarkEnd w:id="62"/>
      <w:r/>
      <w:bookmarkEnd w:id="63"/>
      <w:r/>
      <w:bookmarkEnd w:id="64"/>
      <w:r/>
      <w:bookmarkEnd w:id="65"/>
      <w:r/>
      <w:bookmarkEnd w:id="66"/>
      <w:r/>
      <w:bookmarkEnd w:id="67"/>
      <w:r/>
      <w:bookmarkEnd w:id="68"/>
      <w:r/>
      <w:r/>
    </w:p>
    <w:p>
      <w:pPr>
        <w:ind w:firstLine="480"/>
        <w:spacing w:line="440" w:lineRule="exact"/>
        <w:rPr>
          <w:rFonts w:hint="eastAsia" w:ascii="宋体" w:hAnsi="宋体" w:eastAsia="宋体" w:cs="宋体"/>
          <w:bCs/>
          <w:color w:val="ff0000"/>
          <w:sz w:val="24"/>
          <w:szCs w:val="24"/>
          <w:u w:val="single"/>
        </w:rPr>
      </w:pPr>
      <w:r>
        <w:rPr>
          <w:rFonts w:hint="eastAsia" w:ascii="宋体" w:hAnsi="宋体" w:eastAsia="宋体" w:cs="宋体"/>
          <w:sz w:val="24"/>
          <w:szCs w:val="24"/>
        </w:rPr>
        <w:t xml:space="preserve">磋商公告期限为自本公告发布之日起3个工作日，磋商文件公告期限为自本公告发布之日起5个工作日。</w:t>
      </w:r>
      <w:r/>
    </w:p>
    <w:p>
      <w:pPr>
        <w:ind w:left="0" w:firstLine="0"/>
        <w:keepLines/>
        <w:keepNext/>
        <w:spacing w:line="440" w:lineRule="exact"/>
        <w:rPr>
          <w:rFonts w:hint="eastAsia" w:ascii="宋体" w:hAnsi="宋体" w:eastAsia="宋体" w:cs="宋体"/>
          <w:b/>
          <w:bCs/>
          <w:sz w:val="28"/>
          <w:szCs w:val="28"/>
        </w:rPr>
        <w:outlineLvl w:val="0"/>
      </w:pPr>
      <w:r/>
      <w:bookmarkStart w:id="69" w:name="_Toc35393795"/>
      <w:r/>
      <w:bookmarkStart w:id="70" w:name="_Toc17506"/>
      <w:r/>
      <w:bookmarkStart w:id="71" w:name="_Toc3473"/>
      <w:r/>
      <w:bookmarkStart w:id="72" w:name="_Toc38985268"/>
      <w:r/>
      <w:bookmarkStart w:id="73" w:name="_Toc35393626"/>
      <w:r>
        <w:rPr>
          <w:rFonts w:hint="eastAsia" w:ascii="宋体" w:hAnsi="宋体" w:eastAsia="宋体" w:cs="宋体"/>
          <w:b/>
          <w:bCs/>
          <w:sz w:val="28"/>
          <w:szCs w:val="28"/>
        </w:rPr>
        <w:t xml:space="preserve">六、其他补充事宜</w:t>
      </w:r>
      <w:bookmarkEnd w:id="69"/>
      <w:r/>
      <w:bookmarkEnd w:id="70"/>
      <w:r/>
      <w:bookmarkEnd w:id="71"/>
      <w:r/>
      <w:bookmarkEnd w:id="72"/>
      <w:r/>
      <w:bookmarkEnd w:id="73"/>
      <w:r/>
      <w:r/>
    </w:p>
    <w:p>
      <w:pPr>
        <w:ind w:firstLine="480"/>
        <w:spacing w:line="440" w:lineRule="exact"/>
        <w:rPr>
          <w:rFonts w:hint="eastAsia" w:ascii="宋体" w:hAnsi="宋体" w:eastAsia="宋体" w:cs="宋体"/>
          <w:sz w:val="24"/>
          <w:szCs w:val="24"/>
        </w:rPr>
      </w:pPr>
      <w:r>
        <w:rPr>
          <w:rFonts w:hint="eastAsia" w:ascii="宋体" w:hAnsi="宋体" w:eastAsia="宋体" w:cs="宋体"/>
          <w:sz w:val="24"/>
          <w:szCs w:val="24"/>
        </w:rPr>
        <w:t xml:space="preserve">无</w:t>
      </w:r>
      <w:r/>
    </w:p>
    <w:p>
      <w:pPr>
        <w:ind w:left="0" w:firstLine="0"/>
        <w:keepLines/>
        <w:keepNext/>
        <w:spacing w:line="440" w:lineRule="exact"/>
        <w:rPr>
          <w:rFonts w:hint="eastAsia" w:ascii="宋体" w:hAnsi="宋体" w:eastAsia="宋体" w:cs="宋体"/>
          <w:b/>
          <w:bCs/>
          <w:sz w:val="28"/>
          <w:szCs w:val="28"/>
        </w:rPr>
        <w:outlineLvl w:val="0"/>
      </w:pPr>
      <w:r/>
      <w:bookmarkStart w:id="74" w:name="_Toc25916"/>
      <w:r/>
      <w:bookmarkStart w:id="75" w:name="_Toc28359085"/>
      <w:r/>
      <w:bookmarkStart w:id="76" w:name="_Toc38985269"/>
      <w:r/>
      <w:bookmarkStart w:id="77" w:name="_Toc35393796"/>
      <w:r/>
      <w:bookmarkStart w:id="78" w:name="_Toc28359008"/>
      <w:r/>
      <w:bookmarkStart w:id="79" w:name="_Toc35393627"/>
      <w:r/>
      <w:bookmarkStart w:id="80" w:name="_Toc4227"/>
      <w:r>
        <w:rPr>
          <w:rFonts w:hint="eastAsia" w:ascii="宋体" w:hAnsi="宋体" w:eastAsia="宋体" w:cs="宋体"/>
          <w:b/>
          <w:bCs/>
          <w:sz w:val="28"/>
          <w:szCs w:val="28"/>
        </w:rPr>
        <w:t xml:space="preserve">七、本次磋商联系方式</w:t>
      </w:r>
      <w:bookmarkEnd w:id="74"/>
      <w:r/>
      <w:bookmarkEnd w:id="75"/>
      <w:r/>
      <w:bookmarkEnd w:id="76"/>
      <w:r/>
      <w:bookmarkEnd w:id="77"/>
      <w:r/>
      <w:bookmarkEnd w:id="78"/>
      <w:r/>
      <w:bookmarkEnd w:id="79"/>
      <w:r/>
      <w:bookmarkEnd w:id="80"/>
      <w:r/>
      <w:r/>
    </w:p>
    <w:p>
      <w:pPr>
        <w:ind w:firstLine="482"/>
        <w:keepLines w:val="0"/>
        <w:keepNext w:val="0"/>
        <w:pageBreakBefore w:val="0"/>
        <w:spacing w:line="460" w:lineRule="exact"/>
        <w:widowControl/>
        <w:rPr>
          <w:rFonts w:hint="eastAsia" w:ascii="宋体" w:hAnsi="宋体" w:eastAsia="宋体" w:cs="宋体"/>
          <w:sz w:val="24"/>
          <w:szCs w:val="24"/>
        </w:rPr>
        <w:outlineLvl w:val="1"/>
      </w:pPr>
      <w:r>
        <w:rPr>
          <w:rFonts w:hint="eastAsia" w:ascii="宋体" w:hAnsi="宋体" w:eastAsia="宋体" w:cs="宋体"/>
          <w:sz w:val="24"/>
          <w:szCs w:val="24"/>
        </w:rPr>
        <w:t xml:space="preserve">1.采购人信息</w:t>
      </w:r>
      <w:r/>
    </w:p>
    <w:p>
      <w:pPr>
        <w:ind w:firstLine="482"/>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名 称：</w:t>
      </w:r>
      <w:r>
        <w:rPr>
          <w:rFonts w:hint="eastAsia" w:ascii="宋体" w:hAnsi="宋体" w:eastAsia="宋体" w:cs="宋体"/>
          <w:sz w:val="24"/>
          <w:szCs w:val="24"/>
          <w:u w:val="single"/>
          <w:lang w:val="en-US" w:eastAsia="zh-CN"/>
        </w:rPr>
        <w:t xml:space="preserve">兴化市民政局</w:t>
      </w:r>
      <w:r/>
    </w:p>
    <w:p>
      <w:pPr>
        <w:ind w:firstLine="482"/>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u w:val="single"/>
          <w:lang w:val="en-US" w:eastAsia="zh-CN"/>
        </w:rPr>
        <w:t xml:space="preserve">兴化市楚水路35号</w:t>
      </w:r>
      <w:r/>
    </w:p>
    <w:p>
      <w:pPr>
        <w:ind w:firstLine="482"/>
        <w:keepLines w:val="0"/>
        <w:keepNext w:val="0"/>
        <w:pageBreakBefore w:val="0"/>
        <w:spacing w:line="460" w:lineRule="exact"/>
        <w:rPr>
          <w:rFonts w:hint="eastAsia" w:ascii="宋体" w:hAnsi="宋体" w:eastAsia="宋体" w:cs="宋体"/>
          <w:sz w:val="24"/>
          <w:szCs w:val="24"/>
        </w:rPr>
      </w:pPr>
      <w:r>
        <w:rPr>
          <w:rFonts w:hint="eastAsia" w:ascii="宋体" w:hAnsi="宋体" w:eastAsia="宋体" w:cs="宋体"/>
          <w:sz w:val="24"/>
          <w:szCs w:val="24"/>
        </w:rPr>
        <w:t xml:space="preserve">联系人：</w:t>
      </w:r>
      <w:r>
        <w:rPr>
          <w:rFonts w:hint="eastAsia" w:ascii="宋体" w:hAnsi="宋体" w:eastAsia="宋体" w:cs="宋体"/>
          <w:sz w:val="24"/>
          <w:szCs w:val="24"/>
          <w:u w:val="single"/>
          <w:lang w:val="en-US" w:eastAsia="zh-CN"/>
        </w:rPr>
        <w:t xml:space="preserve">成先生</w:t>
      </w:r>
      <w:r/>
    </w:p>
    <w:p>
      <w:pPr>
        <w:ind w:firstLine="482"/>
        <w:keepLines w:val="0"/>
        <w:keepNext w:val="0"/>
        <w:pageBreakBefore w:val="0"/>
        <w:spacing w:line="460" w:lineRule="exact"/>
        <w:rPr>
          <w:rFonts w:hint="eastAsia" w:ascii="宋体" w:hAnsi="宋体" w:eastAsia="宋体" w:cs="宋体"/>
          <w:sz w:val="24"/>
          <w:szCs w:val="24"/>
          <w:u w:val="single"/>
        </w:rPr>
      </w:pPr>
      <w:r>
        <w:rPr>
          <w:rFonts w:hint="eastAsia" w:ascii="宋体" w:hAnsi="宋体" w:eastAsia="宋体" w:cs="宋体"/>
          <w:sz w:val="24"/>
          <w:szCs w:val="24"/>
        </w:rPr>
        <w:t xml:space="preserve">联系方式：</w:t>
      </w:r>
      <w:bookmarkStart w:id="81" w:name="_Toc28359009"/>
      <w:r/>
      <w:bookmarkStart w:id="82" w:name="_Toc28359086"/>
      <w:r>
        <w:rPr>
          <w:rFonts w:hint="eastAsia" w:ascii="宋体" w:hAnsi="宋体" w:eastAsia="宋体" w:cs="宋体"/>
          <w:sz w:val="24"/>
          <w:szCs w:val="24"/>
          <w:u w:val="single"/>
        </w:rPr>
        <w:t xml:space="preserve">15252698855</w:t>
      </w:r>
      <w:r/>
    </w:p>
    <w:p>
      <w:pPr>
        <w:ind w:firstLine="482"/>
        <w:keepLines w:val="0"/>
        <w:keepNext w:val="0"/>
        <w:pageBreakBefore w:val="0"/>
        <w:spacing w:line="460" w:lineRule="exact"/>
        <w:rPr>
          <w:rFonts w:hint="eastAsia" w:ascii="宋体" w:hAnsi="宋体" w:eastAsia="宋体" w:cs="宋体"/>
          <w:sz w:val="24"/>
          <w:szCs w:val="24"/>
        </w:rPr>
        <w:outlineLvl w:val="1"/>
      </w:pPr>
      <w:r>
        <w:rPr>
          <w:rFonts w:hint="eastAsia" w:ascii="宋体" w:hAnsi="宋体" w:eastAsia="宋体" w:cs="宋体"/>
          <w:sz w:val="24"/>
          <w:szCs w:val="24"/>
        </w:rPr>
        <w:t xml:space="preserve">2.</w:t>
      </w:r>
      <w:bookmarkEnd w:id="81"/>
      <w:r/>
      <w:bookmarkEnd w:id="82"/>
      <w:r>
        <w:rPr>
          <w:rFonts w:hint="eastAsia" w:ascii="宋体" w:hAnsi="宋体" w:eastAsia="宋体" w:cs="宋体"/>
          <w:sz w:val="24"/>
          <w:szCs w:val="24"/>
        </w:rPr>
        <w:t xml:space="preserve">采购代理机构信息</w:t>
      </w:r>
      <w:r/>
    </w:p>
    <w:p>
      <w:pPr>
        <w:ind w:firstLine="482"/>
        <w:keepLines w:val="0"/>
        <w:keepNext w:val="0"/>
        <w:pageBreakBefore w:val="0"/>
        <w:spacing w:line="460" w:lineRule="exact"/>
        <w:rPr>
          <w:rFonts w:hint="eastAsia" w:ascii="宋体" w:hAnsi="宋体" w:eastAsia="宋体" w:cs="宋体"/>
          <w:sz w:val="24"/>
          <w:szCs w:val="21"/>
          <w:u w:val="single"/>
        </w:rPr>
      </w:pPr>
      <w:r/>
      <w:bookmarkStart w:id="83" w:name="_Toc28359087"/>
      <w:r/>
      <w:bookmarkStart w:id="84" w:name="_Toc28359010"/>
      <w:r>
        <w:rPr>
          <w:rFonts w:hint="eastAsia" w:ascii="宋体" w:hAnsi="宋体" w:eastAsia="宋体" w:cs="宋体"/>
          <w:sz w:val="24"/>
          <w:szCs w:val="21"/>
          <w:u w:val="none"/>
        </w:rPr>
        <w:t xml:space="preserve">名 称：</w:t>
      </w:r>
      <w:r>
        <w:rPr>
          <w:rFonts w:hint="eastAsia" w:ascii="宋体" w:hAnsi="宋体" w:eastAsia="宋体" w:cs="宋体"/>
          <w:sz w:val="24"/>
          <w:szCs w:val="21"/>
          <w:u w:val="single"/>
          <w:lang w:eastAsia="zh-CN"/>
        </w:rPr>
        <w:t xml:space="preserve">泰州中政招投标代理有限公司</w:t>
      </w:r>
      <w:r/>
    </w:p>
    <w:p>
      <w:pPr>
        <w:ind w:firstLine="482"/>
        <w:keepLines w:val="0"/>
        <w:keepNext w:val="0"/>
        <w:pageBreakBefore w:val="0"/>
        <w:spacing w:line="460" w:lineRule="exact"/>
        <w:rPr>
          <w:rFonts w:hint="eastAsia" w:ascii="宋体" w:hAnsi="宋体" w:eastAsia="宋体" w:cs="宋体"/>
          <w:sz w:val="24"/>
          <w:szCs w:val="21"/>
          <w:u w:val="single"/>
          <w:lang w:val="en-US" w:eastAsia="zh-CN"/>
        </w:rPr>
      </w:pPr>
      <w:r>
        <w:rPr>
          <w:rFonts w:hint="eastAsia" w:ascii="宋体" w:hAnsi="宋体" w:eastAsia="宋体" w:cs="宋体"/>
          <w:sz w:val="24"/>
          <w:szCs w:val="21"/>
          <w:u w:val="none"/>
        </w:rPr>
        <w:t xml:space="preserve">地 址：</w:t>
      </w:r>
      <w:r>
        <w:rPr>
          <w:rFonts w:hint="eastAsia" w:ascii="宋体" w:hAnsi="宋体" w:eastAsia="宋体" w:cs="宋体"/>
          <w:sz w:val="24"/>
          <w:szCs w:val="21"/>
          <w:u w:val="single"/>
        </w:rPr>
        <w:t xml:space="preserve">兴化市</w:t>
      </w:r>
      <w:r>
        <w:rPr>
          <w:rFonts w:hint="eastAsia" w:ascii="宋体" w:hAnsi="宋体" w:eastAsia="宋体" w:cs="宋体"/>
          <w:sz w:val="24"/>
          <w:szCs w:val="21"/>
          <w:u w:val="single"/>
          <w:lang w:val="en-US" w:eastAsia="zh-CN"/>
        </w:rPr>
        <w:t xml:space="preserve">长九领寓518</w:t>
      </w:r>
      <w:r/>
    </w:p>
    <w:p>
      <w:pPr>
        <w:ind w:firstLine="482"/>
        <w:keepLines w:val="0"/>
        <w:keepNext w:val="0"/>
        <w:pageBreakBefore w:val="0"/>
        <w:spacing w:line="460" w:lineRule="exact"/>
        <w:rPr>
          <w:rFonts w:hint="eastAsia" w:ascii="宋体" w:hAnsi="宋体" w:eastAsia="宋体" w:cs="宋体"/>
          <w:sz w:val="24"/>
          <w:szCs w:val="21"/>
          <w:u w:val="single"/>
          <w:lang w:val="en-US" w:eastAsia="zh-CN"/>
        </w:rPr>
      </w:pPr>
      <w:r>
        <w:rPr>
          <w:rFonts w:hint="eastAsia" w:ascii="宋体" w:hAnsi="宋体" w:eastAsia="宋体" w:cs="宋体"/>
          <w:sz w:val="24"/>
          <w:szCs w:val="21"/>
          <w:u w:val="none"/>
          <w:lang w:val="en-US" w:eastAsia="zh-CN"/>
        </w:rPr>
        <w:t xml:space="preserve">联系人：</w:t>
      </w:r>
      <w:r>
        <w:rPr>
          <w:rFonts w:hint="eastAsia" w:ascii="宋体" w:hAnsi="宋体" w:eastAsia="宋体" w:cs="宋体"/>
          <w:sz w:val="24"/>
          <w:szCs w:val="21"/>
          <w:u w:val="single"/>
          <w:lang w:val="en-US" w:eastAsia="zh-CN"/>
        </w:rPr>
        <w:t xml:space="preserve">孙先生</w:t>
      </w:r>
      <w:r/>
    </w:p>
    <w:p>
      <w:pPr>
        <w:ind w:firstLine="482"/>
        <w:keepLines w:val="0"/>
        <w:keepNext w:val="0"/>
        <w:pageBreakBefore w:val="0"/>
        <w:spacing w:line="460" w:lineRule="exact"/>
        <w:rPr>
          <w:rFonts w:hint="eastAsia" w:ascii="宋体" w:hAnsi="宋体" w:eastAsia="宋体" w:cs="宋体"/>
          <w:sz w:val="24"/>
          <w:szCs w:val="21"/>
          <w:u w:val="single"/>
        </w:rPr>
      </w:pPr>
      <w:r>
        <w:rPr>
          <w:rFonts w:hint="eastAsia" w:ascii="宋体" w:hAnsi="宋体" w:eastAsia="宋体" w:cs="宋体"/>
          <w:sz w:val="24"/>
          <w:szCs w:val="21"/>
          <w:u w:val="none"/>
        </w:rPr>
        <w:t xml:space="preserve">联系方式：</w:t>
      </w:r>
      <w:r>
        <w:rPr>
          <w:rFonts w:hint="eastAsia" w:ascii="宋体" w:hAnsi="宋体" w:eastAsia="宋体" w:cs="宋体"/>
          <w:sz w:val="24"/>
          <w:szCs w:val="21"/>
          <w:u w:val="single"/>
        </w:rPr>
        <w:t xml:space="preserve">0523-</w:t>
      </w:r>
      <w:r>
        <w:rPr>
          <w:rFonts w:hint="eastAsia" w:ascii="宋体" w:hAnsi="宋体" w:eastAsia="宋体" w:cs="宋体"/>
          <w:sz w:val="24"/>
          <w:szCs w:val="21"/>
          <w:u w:val="single"/>
          <w:lang w:val="en-US" w:eastAsia="zh-CN"/>
        </w:rPr>
        <w:t xml:space="preserve">83285808</w:t>
      </w:r>
      <w:bookmarkEnd w:id="83"/>
      <w:r/>
      <w:bookmarkEnd w:id="84"/>
      <w:r/>
      <w:r/>
    </w:p>
    <w:p>
      <w:pPr>
        <w:ind w:left="0" w:firstLine="0"/>
        <w:keepLines/>
        <w:keepNext/>
        <w:spacing w:line="440" w:lineRule="exact"/>
        <w:rPr>
          <w:b/>
          <w:bCs/>
          <w:sz w:val="28"/>
          <w:szCs w:val="28"/>
        </w:rPr>
        <w:outlineLvl w:val="0"/>
      </w:pPr>
      <w:r/>
      <w:bookmarkStart w:id="85" w:name="_Toc27369"/>
      <w:r/>
      <w:bookmarkStart w:id="86" w:name="_Toc7697"/>
      <w:r>
        <w:rPr>
          <w:rFonts w:hint="eastAsia"/>
          <w:b/>
          <w:bCs/>
          <w:sz w:val="28"/>
          <w:szCs w:val="28"/>
        </w:rPr>
        <w:t xml:space="preserve">八、其他</w:t>
      </w:r>
      <w:bookmarkEnd w:id="85"/>
      <w:r/>
      <w:bookmarkEnd w:id="86"/>
      <w:r/>
      <w:r/>
    </w:p>
    <w:p>
      <w:pPr>
        <w:ind w:firstLine="454"/>
        <w:keepLines w:val="0"/>
        <w:keepNext w:val="0"/>
        <w:pageBreakBefore w:val="0"/>
        <w:spacing w:line="440" w:lineRule="exact"/>
        <w:widowControl w:val="off"/>
        <w:tabs>
          <w:tab w:val="left" w:pos="900" w:leader="none"/>
        </w:tabs>
        <w:rPr>
          <w:rFonts w:hint="eastAsia" w:ascii="宋体" w:hAnsi="宋体" w:eastAsia="宋体" w:cs="宋体"/>
          <w:bCs/>
          <w:spacing w:val="-6"/>
          <w:sz w:val="24"/>
          <w:szCs w:val="24"/>
        </w:rPr>
      </w:pPr>
      <w:r>
        <w:rPr>
          <w:rFonts w:hint="eastAsia" w:ascii="宋体" w:hAnsi="宋体" w:eastAsia="宋体" w:cs="宋体"/>
          <w:spacing w:val="-6"/>
          <w:sz w:val="24"/>
          <w:szCs w:val="24"/>
        </w:rPr>
        <w:t xml:space="preserve">1.</w:t>
      </w:r>
      <w:r>
        <w:rPr>
          <w:rFonts w:hint="eastAsia" w:ascii="宋体" w:hAnsi="宋体" w:eastAsia="宋体" w:cs="宋体"/>
          <w:bCs/>
          <w:spacing w:val="-6"/>
          <w:sz w:val="24"/>
          <w:szCs w:val="24"/>
        </w:rPr>
        <w:t xml:space="preserve">根据省财政厅《关于更换全省政府采购交易系统C A数字证书和电子签章的通知》（苏财购〔2023〕101号），</w:t>
      </w:r>
      <w:r>
        <w:rPr>
          <w:rFonts w:hint="eastAsia" w:ascii="宋体" w:hAnsi="宋体" w:eastAsia="宋体" w:cs="宋体"/>
          <w:spacing w:val="-6"/>
          <w:sz w:val="24"/>
          <w:szCs w:val="24"/>
        </w:rPr>
        <w:t xml:space="preserve">“苏采云”政府采购交易系统（以下简称苏采云系统）</w:t>
      </w:r>
      <w:r>
        <w:rPr>
          <w:rFonts w:hint="eastAsia" w:ascii="宋体" w:hAnsi="宋体" w:eastAsia="宋体" w:cs="宋体"/>
          <w:bCs/>
          <w:spacing w:val="-6"/>
          <w:sz w:val="24"/>
          <w:szCs w:val="24"/>
        </w:rPr>
        <w:t xml:space="preserve">的CA数字证书、电子签章已更换为江苏省电子政务证书认证中心CA和方正国际软件（北京）有限公司电子签章。如果供应商通过</w:t>
      </w:r>
      <w:r>
        <w:rPr>
          <w:rFonts w:hint="eastAsia" w:ascii="宋体" w:hAnsi="宋体" w:eastAsia="宋体" w:cs="宋体"/>
          <w:spacing w:val="-6"/>
          <w:sz w:val="24"/>
          <w:szCs w:val="24"/>
        </w:rPr>
        <w:t xml:space="preserve">苏采云系统</w:t>
      </w:r>
      <w:r>
        <w:rPr>
          <w:rFonts w:hint="eastAsia" w:ascii="宋体" w:hAnsi="宋体" w:eastAsia="宋体" w:cs="宋体"/>
          <w:bCs/>
          <w:spacing w:val="-6"/>
          <w:sz w:val="24"/>
          <w:szCs w:val="24"/>
        </w:rPr>
        <w:t xml:space="preserve">参与政府采购项目，需要更换CA数字证书和电子签章。具体办理指南和操作手册见链接：</w:t>
      </w:r>
      <w:r>
        <w:rPr>
          <w:rFonts w:hint="eastAsia" w:ascii="宋体" w:hAnsi="宋体" w:eastAsia="宋体" w:cs="宋体"/>
          <w:bCs/>
          <w:spacing w:val="-6"/>
          <w:sz w:val="24"/>
          <w:szCs w:val="24"/>
          <w:lang w:eastAsia="zh-CN"/>
        </w:rPr>
        <w:t xml:space="preserve">http://www.ccgp-jiangsu.gov.cn/jiangsu/zlxz/24/241a256f61f0436db9afef4c1eb5c78f.html</w:t>
      </w:r>
      <w:r>
        <w:rPr>
          <w:rFonts w:hint="eastAsia" w:ascii="宋体" w:hAnsi="宋体" w:eastAsia="宋体" w:cs="宋体"/>
          <w:bCs/>
          <w:spacing w:val="-6"/>
          <w:sz w:val="24"/>
          <w:szCs w:val="24"/>
        </w:rPr>
        <w:t xml:space="preserve">。</w:t>
      </w:r>
      <w:r/>
    </w:p>
    <w:p>
      <w:pPr>
        <w:ind w:firstLine="480"/>
        <w:spacing w:line="44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领取CA和办理电子签章（请至</w:t>
      </w:r>
      <w:r>
        <w:rPr>
          <w:rFonts w:hint="eastAsia" w:ascii="宋体" w:hAnsi="宋体" w:eastAsia="宋体" w:cs="宋体"/>
          <w:bCs/>
          <w:sz w:val="24"/>
          <w:szCs w:val="24"/>
          <w:lang w:val="en-US" w:eastAsia="zh-CN"/>
        </w:rPr>
        <w:t xml:space="preserve">泰州</w:t>
      </w:r>
      <w:r>
        <w:rPr>
          <w:rFonts w:hint="eastAsia" w:ascii="宋体" w:hAnsi="宋体" w:eastAsia="宋体" w:cs="宋体"/>
          <w:bCs/>
          <w:sz w:val="24"/>
          <w:szCs w:val="24"/>
          <w:lang w:eastAsia="zh-CN"/>
        </w:rPr>
        <w:t xml:space="preserve">公共资源交易中心一楼</w:t>
      </w:r>
      <w:r>
        <w:rPr>
          <w:rFonts w:hint="eastAsia" w:ascii="宋体" w:hAnsi="宋体" w:eastAsia="宋体" w:cs="宋体"/>
          <w:bCs/>
          <w:sz w:val="24"/>
          <w:szCs w:val="24"/>
        </w:rPr>
        <w:t xml:space="preserve">大厅CA办理窗口办理，具体联系方式见《苏采云系统供应商操作手册》（以下简称《操作手册》））、进行注册并按《操作手册》要求制作、上传电子响应文件。</w:t>
      </w:r>
      <w:r/>
    </w:p>
    <w:p>
      <w:pPr>
        <w:ind w:firstLine="480"/>
        <w:spacing w:line="440" w:lineRule="exact"/>
        <w:tabs>
          <w:tab w:val="left" w:pos="900" w:leader="none"/>
        </w:tabs>
        <w:rPr>
          <w:rFonts w:hint="eastAsia" w:ascii="宋体" w:hAnsi="宋体" w:eastAsia="宋体" w:cs="宋体"/>
          <w:bCs/>
          <w:sz w:val="24"/>
          <w:szCs w:val="24"/>
        </w:rPr>
      </w:pPr>
      <w:r>
        <w:rPr>
          <w:rFonts w:hint="eastAsia" w:ascii="宋体" w:hAnsi="宋体" w:eastAsia="宋体" w:cs="宋体"/>
          <w:bCs/>
          <w:sz w:val="24"/>
          <w:szCs w:val="24"/>
        </w:rPr>
        <w:t xml:space="preserve">2. 有关本次磋商的事项若存在变动或修改，敬请及时关注</w:t>
      </w:r>
      <w:r>
        <w:rPr>
          <w:rFonts w:hint="eastAsia" w:ascii="宋体" w:hAnsi="宋体" w:eastAsia="宋体" w:cs="宋体"/>
          <w:bCs/>
          <w:sz w:val="24"/>
          <w:szCs w:val="24"/>
          <w:lang w:eastAsia="zh-CN"/>
        </w:rPr>
        <w:t xml:space="preserve">泰州中政招投标代理有限公司</w:t>
      </w:r>
      <w:r>
        <w:rPr>
          <w:rFonts w:hint="eastAsia" w:ascii="宋体" w:hAnsi="宋体" w:eastAsia="宋体" w:cs="宋体"/>
          <w:bCs/>
          <w:sz w:val="24"/>
          <w:szCs w:val="24"/>
        </w:rPr>
        <w:t xml:space="preserve">在“江苏政府采购网”发布的更正公告。</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rPr>
        <w:t xml:space="preserve">3. </w:t>
      </w:r>
      <w:r>
        <w:rPr>
          <w:rFonts w:hint="eastAsia" w:ascii="宋体" w:hAnsi="宋体" w:eastAsia="宋体" w:cs="宋体"/>
          <w:bCs/>
          <w:sz w:val="24"/>
          <w:szCs w:val="24"/>
          <w:lang w:val="en-US" w:eastAsia="zh-CN"/>
        </w:rPr>
        <w:t xml:space="preserve">单位负责人为同一人或者存在直接控股、管理关系的不同供应商，不得参加同一合同项下的政府采购活动。</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4.为本采购项目提供整体设计、规范编制或者项目管理、审查等服务的供应商，不得再参加本采购项目的采购活动。</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5.查询及使用供应商信用记录：</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⑴由采购人查询信用信息。</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⑵查询渠道包括：“信用中国”网（www.creditchina.gov.cn）；</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⑶截止时点（查询环节）：评审结束前。</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⑷信用信息查询记录和证据留存的具体方式：网页截屏打印，与其他采购文件一并保存。</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⑸信用信息的使用规则：</w:t>
      </w:r>
      <w:r/>
    </w:p>
    <w:p>
      <w:pPr>
        <w:ind w:firstLine="480"/>
        <w:spacing w:line="440" w:lineRule="exact"/>
        <w:tabs>
          <w:tab w:val="left" w:pos="900" w:leader="none"/>
        </w:tabs>
        <w:rPr>
          <w:rFonts w:hint="eastAsia" w:ascii="宋体" w:hAnsi="宋体" w:eastAsia="宋体" w:cs="宋体"/>
          <w:bCs/>
          <w:sz w:val="24"/>
          <w:szCs w:val="24"/>
          <w:lang w:val="en-US" w:eastAsia="zh-CN"/>
        </w:rPr>
      </w:pPr>
      <w:r>
        <w:rPr>
          <w:rFonts w:hint="eastAsia" w:ascii="宋体" w:hAnsi="宋体" w:eastAsia="宋体" w:cs="宋体"/>
          <w:bCs/>
          <w:sz w:val="24"/>
          <w:szCs w:val="24"/>
          <w:lang w:val="en-US" w:eastAsia="zh-CN"/>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794"/>
        <w:ind w:firstLine="480"/>
        <w:keepLines w:val="0"/>
        <w:keepNext w:val="0"/>
        <w:pageBreakBefore w:val="0"/>
        <w:widowControl w:val="off"/>
        <w:rPr>
          <w:rFonts w:hint="eastAsia" w:ascii="宋体" w:hAnsi="宋体" w:eastAsia="宋体" w:cs="宋体"/>
          <w:sz w:val="24"/>
          <w:szCs w:val="24"/>
        </w:rPr>
      </w:pPr>
      <w:r>
        <w:rPr>
          <w:rFonts w:hint="eastAsia" w:ascii="宋体" w:hAnsi="宋体" w:eastAsia="宋体" w:cs="宋体"/>
          <w:sz w:val="24"/>
          <w:szCs w:val="24"/>
        </w:rPr>
      </w:r>
      <w:r/>
    </w:p>
    <w:p>
      <w:pPr>
        <w:pStyle w:val="794"/>
        <w:ind w:firstLine="560"/>
        <w:keepLines w:val="0"/>
        <w:keepNext w:val="0"/>
        <w:pageBreakBefore w:val="0"/>
        <w:widowControl w:val="off"/>
        <w:rPr>
          <w:rFonts w:hint="eastAsia"/>
        </w:rPr>
      </w:pPr>
      <w:r>
        <w:rPr>
          <w:rFonts w:hint="eastAsia"/>
        </w:rPr>
      </w:r>
      <w:r/>
    </w:p>
    <w:p>
      <w:pPr>
        <w:pStyle w:val="794"/>
        <w:ind w:firstLine="560"/>
        <w:keepLines w:val="0"/>
        <w:keepNext w:val="0"/>
        <w:pageBreakBefore w:val="0"/>
        <w:widowControl w:val="off"/>
        <w:rPr>
          <w:rFonts w:hint="eastAsia"/>
        </w:rPr>
      </w:pPr>
      <w:r>
        <w:rPr>
          <w:rFonts w:hint="eastAsia"/>
        </w:rPr>
      </w:r>
      <w:r/>
    </w:p>
    <w:p>
      <w:pPr>
        <w:pStyle w:val="794"/>
        <w:ind w:firstLine="560"/>
        <w:keepLines w:val="0"/>
        <w:keepNext w:val="0"/>
        <w:pageBreakBefore w:val="0"/>
        <w:widowControl w:val="off"/>
        <w:rPr>
          <w:rFonts w:hint="eastAsia"/>
        </w:rPr>
      </w:pPr>
      <w:r>
        <w:rPr>
          <w:rFonts w:hint="eastAsia"/>
        </w:rPr>
      </w:r>
      <w:r/>
    </w:p>
    <w:p>
      <w:pPr>
        <w:pStyle w:val="794"/>
        <w:ind w:firstLine="560"/>
        <w:keepLines w:val="0"/>
        <w:keepNext w:val="0"/>
        <w:pageBreakBefore w:val="0"/>
        <w:widowControl w:val="off"/>
        <w:rPr>
          <w:rFonts w:hint="eastAsia"/>
        </w:rPr>
      </w:pPr>
      <w:r>
        <w:rPr>
          <w:rFonts w:hint="eastAsia"/>
        </w:rPr>
      </w:r>
      <w:r/>
    </w:p>
    <w:p>
      <w:pPr>
        <w:pStyle w:val="794"/>
        <w:ind w:firstLine="560"/>
        <w:keepLines w:val="0"/>
        <w:keepNext w:val="0"/>
        <w:pageBreakBefore w:val="0"/>
        <w:widowControl w:val="off"/>
        <w:rPr>
          <w:rFonts w:hint="eastAsia"/>
        </w:rPr>
      </w:pPr>
      <w:r>
        <w:rPr>
          <w:rFonts w:hint="eastAsia"/>
        </w:rPr>
      </w:r>
      <w:r/>
    </w:p>
    <w:p>
      <w:pPr>
        <w:pStyle w:val="794"/>
        <w:ind w:firstLine="560"/>
        <w:keepLines w:val="0"/>
        <w:keepNext w:val="0"/>
        <w:pageBreakBefore w:val="0"/>
        <w:widowControl w:val="off"/>
        <w:rPr>
          <w:rFonts w:hint="eastAsia"/>
        </w:rPr>
      </w:pPr>
      <w:r>
        <w:rPr>
          <w:rFonts w:hint="eastAsia"/>
        </w:rPr>
      </w:r>
      <w:r/>
    </w:p>
    <w:p>
      <w:pPr>
        <w:pStyle w:val="794"/>
        <w:ind w:firstLine="560"/>
        <w:keepLines w:val="0"/>
        <w:keepNext w:val="0"/>
        <w:pageBreakBefore w:val="0"/>
        <w:widowControl w:val="off"/>
        <w:rPr>
          <w:rFonts w:hint="eastAsia"/>
        </w:rPr>
      </w:pPr>
      <w:r>
        <w:rPr>
          <w:rFonts w:hint="eastAsia"/>
        </w:rPr>
      </w:r>
      <w:r/>
    </w:p>
    <w:p>
      <w:pPr>
        <w:numPr>
          <w:ilvl w:val="0"/>
          <w:numId w:val="1"/>
        </w:numPr>
        <w:ind w:firstLine="403"/>
        <w:jc w:val="center"/>
        <w:keepLines/>
        <w:keepNext/>
        <w:pageBreakBefore/>
        <w:spacing w:before="200" w:after="200"/>
        <w:widowControl/>
        <w:rPr>
          <w:rFonts w:hint="eastAsia" w:ascii="宋体" w:hAnsi="宋体" w:eastAsia="宋体" w:cs="宋体"/>
          <w:b/>
          <w:bCs/>
          <w:sz w:val="44"/>
          <w:szCs w:val="44"/>
          <w:lang w:val="en-US" w:eastAsia="zh-CN"/>
        </w:rPr>
      </w:pPr>
      <w:r/>
      <w:bookmarkStart w:id="87" w:name="_Toc2184"/>
      <w:r>
        <w:rPr>
          <w:rFonts w:hint="eastAsia" w:ascii="宋体" w:hAnsi="宋体" w:eastAsia="宋体" w:cs="宋体"/>
          <w:b/>
          <w:bCs/>
          <w:sz w:val="44"/>
          <w:szCs w:val="44"/>
          <w:lang w:val="en-US" w:eastAsia="zh-CN"/>
        </w:rPr>
        <w:t xml:space="preserve">供应商须知</w:t>
      </w:r>
      <w:bookmarkEnd w:id="87"/>
      <w:r/>
      <w:r/>
    </w:p>
    <w:p>
      <w:pPr>
        <w:ind w:left="0" w:firstLine="0"/>
        <w:jc w:val="center"/>
        <w:keepLines/>
        <w:keepNext/>
        <w:pageBreakBefore w:val="0"/>
        <w:spacing w:before="320" w:line="440" w:lineRule="exact"/>
        <w:widowControl w:val="off"/>
        <w:rPr>
          <w:rFonts w:hint="eastAsia" w:ascii="宋体" w:hAnsi="宋体" w:eastAsia="宋体" w:cs="宋体"/>
          <w:b/>
          <w:bCs/>
          <w:sz w:val="32"/>
          <w:szCs w:val="32"/>
        </w:rPr>
        <w:outlineLvl w:val="0"/>
      </w:pPr>
      <w:r/>
      <w:bookmarkStart w:id="88" w:name="_Toc26021"/>
      <w:r/>
      <w:bookmarkStart w:id="89" w:name="_Toc20823275"/>
      <w:r/>
      <w:bookmarkStart w:id="90" w:name="_Toc15605"/>
      <w:r/>
      <w:bookmarkStart w:id="91" w:name="_Toc513029203"/>
      <w:r/>
      <w:bookmarkStart w:id="92" w:name="_Toc16938519"/>
      <w:r/>
      <w:bookmarkStart w:id="93" w:name="_Toc120614214"/>
      <w:r>
        <w:rPr>
          <w:rFonts w:hint="eastAsia" w:ascii="宋体" w:hAnsi="宋体" w:eastAsia="宋体" w:cs="宋体"/>
          <w:b/>
          <w:bCs/>
          <w:sz w:val="32"/>
          <w:szCs w:val="32"/>
        </w:rPr>
        <w:t xml:space="preserve">一、总则</w:t>
      </w:r>
      <w:bookmarkEnd w:id="88"/>
      <w:r/>
      <w:bookmarkEnd w:id="89"/>
      <w:r/>
      <w:bookmarkEnd w:id="90"/>
      <w:r/>
      <w:bookmarkEnd w:id="91"/>
      <w:r/>
      <w:bookmarkEnd w:id="92"/>
      <w:r/>
      <w:bookmarkEnd w:id="93"/>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94" w:name="_Hlt16619475"/>
      <w:r/>
      <w:bookmarkEnd w:id="94"/>
      <w:r/>
      <w:bookmarkStart w:id="95" w:name="_Toc458694821"/>
      <w:r/>
      <w:bookmarkStart w:id="96" w:name="_Toc513029204"/>
      <w:r/>
      <w:bookmarkStart w:id="97" w:name="_Toc20823276"/>
      <w:r/>
      <w:bookmarkStart w:id="98" w:name="_Toc16938520"/>
      <w:r>
        <w:rPr>
          <w:rFonts w:hint="eastAsia" w:ascii="宋体" w:hAnsi="宋体" w:eastAsia="宋体" w:cs="宋体"/>
          <w:b/>
          <w:bCs/>
          <w:sz w:val="28"/>
          <w:szCs w:val="28"/>
        </w:rPr>
        <w:t xml:space="preserve">1</w:t>
      </w:r>
      <w:bookmarkEnd w:id="95"/>
      <w:r>
        <w:rPr>
          <w:rFonts w:hint="eastAsia" w:ascii="宋体" w:hAnsi="宋体" w:eastAsia="宋体" w:cs="宋体"/>
          <w:b/>
          <w:bCs/>
          <w:sz w:val="28"/>
          <w:szCs w:val="28"/>
        </w:rPr>
        <w:t xml:space="preserve">、采购方式</w:t>
      </w:r>
      <w:bookmarkEnd w:id="96"/>
      <w:r/>
      <w:bookmarkEnd w:id="97"/>
      <w:r/>
      <w:bookmarkEnd w:id="98"/>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1.1 本次政府采购活动采取竞争性磋商(以下简称磋商)方式，本磋商文件仅适用于磋商公告中所述项目。</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99" w:name="_Toc513029205"/>
      <w:r/>
      <w:bookmarkStart w:id="100" w:name="_Toc16938521"/>
      <w:r/>
      <w:bookmarkStart w:id="101" w:name="_Toc20823277"/>
      <w:r>
        <w:rPr>
          <w:rFonts w:hint="eastAsia" w:ascii="宋体" w:hAnsi="宋体" w:eastAsia="宋体" w:cs="宋体"/>
          <w:b/>
          <w:bCs/>
          <w:sz w:val="28"/>
          <w:szCs w:val="28"/>
        </w:rPr>
        <w:t xml:space="preserve">2、合格的</w:t>
      </w:r>
      <w:bookmarkEnd w:id="99"/>
      <w:r/>
      <w:bookmarkEnd w:id="100"/>
      <w:r/>
      <w:bookmarkEnd w:id="101"/>
      <w:r>
        <w:rPr>
          <w:rFonts w:hint="eastAsia" w:ascii="宋体" w:hAnsi="宋体" w:eastAsia="宋体" w:cs="宋体"/>
          <w:b/>
          <w:bCs/>
          <w:sz w:val="28"/>
          <w:szCs w:val="28"/>
        </w:rPr>
        <w:t xml:space="preserve">供应商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2.1满足磋商公告中供应商资格要求的规定。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 满足本磋商文件实质性要求的规定。</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02" w:name="_Toc20823278"/>
      <w:r/>
      <w:bookmarkStart w:id="103" w:name="_Toc16938522"/>
      <w:r/>
      <w:bookmarkStart w:id="104" w:name="_Toc513029206"/>
      <w:r>
        <w:rPr>
          <w:rFonts w:hint="eastAsia" w:ascii="宋体" w:hAnsi="宋体" w:eastAsia="宋体" w:cs="宋体"/>
          <w:b/>
          <w:bCs/>
          <w:sz w:val="28"/>
          <w:szCs w:val="28"/>
        </w:rPr>
        <w:t xml:space="preserve">3、适用法律</w:t>
      </w:r>
      <w:bookmarkEnd w:id="102"/>
      <w:r/>
      <w:bookmarkEnd w:id="103"/>
      <w:r/>
      <w:bookmarkEnd w:id="104"/>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3.1 本次磋商及由此产生的合同受中华人民共和国有关的法律法规制约和保护。</w:t>
      </w:r>
      <w:r/>
    </w:p>
    <w:p>
      <w:pPr>
        <w:ind w:firstLine="480"/>
        <w:jc w:val="left"/>
        <w:pageBreakBefore w:val="0"/>
        <w:spacing w:line="440" w:lineRule="exact"/>
        <w:widowControl w:val="off"/>
        <w:rPr>
          <w:rFonts w:hint="eastAsia" w:ascii="宋体" w:hAnsi="宋体" w:eastAsia="宋体" w:cs="宋体"/>
          <w:sz w:val="24"/>
          <w:szCs w:val="21"/>
          <w:lang w:val="en-US" w:eastAsia="zh-CN" w:bidi="ar-SA"/>
        </w:rPr>
      </w:pPr>
      <w:r>
        <w:rPr>
          <w:rFonts w:hint="eastAsia" w:ascii="宋体" w:hAnsi="宋体" w:eastAsia="宋体" w:cs="宋体"/>
          <w:sz w:val="24"/>
          <w:szCs w:val="21"/>
          <w:lang w:val="en-US" w:eastAsia="zh-CN" w:bidi="ar-SA"/>
        </w:rPr>
        <w:t xml:space="preserve">3.2 在本项目政府采购活动过程中，如果所执行的标准有更新的，按照最新标准执行。</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05" w:name="_Toc16938523"/>
      <w:r/>
      <w:bookmarkStart w:id="106" w:name="_Toc462564067"/>
      <w:r/>
      <w:bookmarkStart w:id="107" w:name="_Toc513029207"/>
      <w:r/>
      <w:bookmarkStart w:id="108" w:name="_Toc20823279"/>
      <w:r>
        <w:rPr>
          <w:rFonts w:hint="eastAsia" w:ascii="宋体" w:hAnsi="宋体" w:eastAsia="宋体" w:cs="宋体"/>
          <w:b/>
          <w:bCs/>
          <w:sz w:val="28"/>
          <w:szCs w:val="28"/>
        </w:rPr>
        <w:t xml:space="preserve">4、磋商费用</w:t>
      </w:r>
      <w:bookmarkEnd w:id="105"/>
      <w:r/>
      <w:bookmarkEnd w:id="106"/>
      <w:r/>
      <w:bookmarkEnd w:id="107"/>
      <w:r/>
      <w:bookmarkEnd w:id="108"/>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4.1</w:t>
      </w:r>
      <w:r>
        <w:rPr>
          <w:rFonts w:hint="eastAsia" w:ascii="宋体" w:hAnsi="宋体" w:eastAsia="宋体" w:cs="宋体"/>
          <w:sz w:val="24"/>
          <w:szCs w:val="21"/>
        </w:rPr>
        <w:t xml:space="preserve">供应商应自行承担所有与参加本次磋商有关的费用，无论磋商过程中的做法和结果如何，</w:t>
      </w:r>
      <w:r>
        <w:rPr>
          <w:rFonts w:hint="eastAsia" w:ascii="宋体" w:hAnsi="宋体" w:eastAsia="宋体" w:cs="宋体"/>
          <w:sz w:val="24"/>
          <w:szCs w:val="21"/>
          <w:lang w:eastAsia="zh-CN"/>
        </w:rPr>
        <w:t xml:space="preserve">泰州中政招投标代理有限公司</w:t>
      </w:r>
      <w:r>
        <w:rPr>
          <w:rFonts w:hint="eastAsia" w:ascii="宋体" w:hAnsi="宋体" w:eastAsia="宋体" w:cs="宋体"/>
          <w:sz w:val="24"/>
          <w:szCs w:val="21"/>
        </w:rPr>
        <w:t xml:space="preserve">（以下简称</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）在任何情况下均无义务和责任承担这些费用。</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4.2本次磋商</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和采购人不收取标书工本费。</w:t>
      </w:r>
      <w:r/>
    </w:p>
    <w:p>
      <w:pPr>
        <w:ind w:firstLine="480"/>
        <w:jc w:val="left"/>
        <w:pageBreakBefore w:val="0"/>
        <w:spacing w:line="440" w:lineRule="exact"/>
        <w:widowControl w:val="off"/>
        <w:rPr>
          <w:rFonts w:hint="eastAsia" w:ascii="宋体" w:hAnsi="宋体" w:eastAsia="宋体" w:cs="宋体"/>
          <w:sz w:val="24"/>
          <w:szCs w:val="21"/>
          <w:lang w:val="en-US" w:eastAsia="zh-CN"/>
        </w:rPr>
      </w:pPr>
      <w:r>
        <w:rPr>
          <w:rFonts w:hint="eastAsia" w:ascii="宋体" w:hAnsi="宋体" w:eastAsia="宋体" w:cs="宋体"/>
          <w:sz w:val="24"/>
          <w:szCs w:val="21"/>
          <w:lang w:val="en-US" w:eastAsia="zh-CN"/>
        </w:rPr>
        <w:t xml:space="preserve">4.3该项目的报价应包括完成该项目服务所需的一切相关费用、磋商文件制作费、其它应付的费用等。</w:t>
      </w:r>
      <w:r/>
    </w:p>
    <w:p>
      <w:pPr>
        <w:ind w:firstLine="480"/>
        <w:jc w:val="left"/>
        <w:pageBreakBefore w:val="0"/>
        <w:spacing w:line="440" w:lineRule="exact"/>
        <w:widowControl w:val="off"/>
        <w:rPr>
          <w:rFonts w:hint="default" w:ascii="宋体" w:hAnsi="宋体" w:eastAsia="宋体" w:cs="宋体"/>
          <w:sz w:val="24"/>
          <w:szCs w:val="21"/>
          <w:lang w:val="en-US" w:eastAsia="zh-CN"/>
        </w:rPr>
      </w:pPr>
      <w:r>
        <w:rPr>
          <w:rFonts w:hint="eastAsia" w:ascii="宋体" w:hAnsi="宋体" w:eastAsia="宋体" w:cs="宋体"/>
          <w:sz w:val="24"/>
          <w:szCs w:val="21"/>
          <w:lang w:val="en-US" w:eastAsia="zh-CN"/>
        </w:rPr>
        <w:t xml:space="preserve">4.4采购代理机构代理费用的收取标准和方式：本招标代理服务费由采购人支付。</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5、磋商文件的约束力</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5.1</w:t>
      </w:r>
      <w:r>
        <w:rPr>
          <w:rFonts w:hint="eastAsia" w:ascii="宋体" w:hAnsi="宋体" w:eastAsia="宋体" w:cs="宋体"/>
          <w:sz w:val="24"/>
          <w:szCs w:val="24"/>
        </w:rPr>
        <w:t xml:space="preserve">供应商一旦参加本项目采购活动，即被认为接受了本磋商文件的规定和约束。</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09" w:name="_Toc20823281"/>
      <w:r/>
      <w:bookmarkStart w:id="110" w:name="_Toc120614215"/>
      <w:r/>
      <w:bookmarkStart w:id="111" w:name="_Toc16938525"/>
      <w:r/>
      <w:bookmarkStart w:id="112" w:name="_Toc513029209"/>
      <w:r/>
      <w:bookmarkStart w:id="113" w:name="_Toc5797"/>
      <w:r/>
      <w:bookmarkStart w:id="114" w:name="_Toc9876"/>
      <w:r>
        <w:rPr>
          <w:rFonts w:hint="eastAsia" w:ascii="宋体" w:hAnsi="宋体" w:eastAsia="宋体" w:cs="宋体"/>
          <w:b/>
          <w:bCs/>
          <w:sz w:val="32"/>
          <w:szCs w:val="32"/>
        </w:rPr>
        <w:t xml:space="preserve">二、</w:t>
      </w:r>
      <w:bookmarkEnd w:id="109"/>
      <w:r/>
      <w:bookmarkEnd w:id="110"/>
      <w:r/>
      <w:bookmarkEnd w:id="111"/>
      <w:r/>
      <w:bookmarkEnd w:id="112"/>
      <w:r>
        <w:rPr>
          <w:rFonts w:hint="eastAsia" w:ascii="宋体" w:hAnsi="宋体" w:eastAsia="宋体" w:cs="宋体"/>
          <w:b/>
          <w:bCs/>
          <w:sz w:val="32"/>
          <w:szCs w:val="32"/>
        </w:rPr>
        <w:t xml:space="preserve">磋商文件</w:t>
      </w:r>
      <w:bookmarkEnd w:id="113"/>
      <w:r/>
      <w:bookmarkEnd w:id="114"/>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15" w:name="_Toc513029210"/>
      <w:r/>
      <w:bookmarkStart w:id="116" w:name="_Toc16938526"/>
      <w:r/>
      <w:bookmarkStart w:id="117" w:name="_Toc20823282"/>
      <w:r>
        <w:rPr>
          <w:rFonts w:hint="eastAsia" w:ascii="宋体" w:hAnsi="宋体" w:eastAsia="宋体" w:cs="宋体"/>
          <w:b/>
          <w:bCs/>
          <w:sz w:val="28"/>
          <w:szCs w:val="28"/>
        </w:rPr>
        <w:t xml:space="preserve">6、磋商文件构成</w:t>
      </w:r>
      <w:bookmarkEnd w:id="115"/>
      <w:r/>
      <w:bookmarkEnd w:id="116"/>
      <w:r/>
      <w:bookmarkEnd w:id="117"/>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6.1</w:t>
      </w:r>
      <w:r>
        <w:rPr>
          <w:rFonts w:hint="eastAsia" w:ascii="宋体" w:hAnsi="宋体" w:eastAsia="宋体" w:cs="宋体"/>
          <w:sz w:val="24"/>
          <w:szCs w:val="21"/>
        </w:rPr>
        <w:t xml:space="preserve">磋商文件由以下部分组成：</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（1）磋商邀请</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（2）供应商须知</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（3）合同文本</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（4）采购需求</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（5）评审方法与评审标准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（6）响应文件格式</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请仔细检查磋商文件是否齐全，如有缺漏请立即与</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联系解决。</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6.2</w:t>
      </w:r>
      <w:r>
        <w:rPr>
          <w:rFonts w:hint="eastAsia" w:ascii="宋体" w:hAnsi="宋体" w:eastAsia="宋体" w:cs="宋体"/>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18" w:name="_Toc513029212"/>
      <w:r/>
      <w:bookmarkStart w:id="119" w:name="_Toc462564071"/>
      <w:r/>
      <w:bookmarkStart w:id="120" w:name="_Toc20823284"/>
      <w:r/>
      <w:bookmarkStart w:id="121" w:name="_Toc16938528"/>
      <w:r>
        <w:rPr>
          <w:rFonts w:hint="eastAsia" w:ascii="宋体" w:hAnsi="宋体" w:eastAsia="宋体" w:cs="宋体"/>
          <w:b/>
          <w:bCs/>
          <w:sz w:val="28"/>
          <w:szCs w:val="28"/>
        </w:rPr>
        <w:t xml:space="preserve">7、磋商文件的澄清和修改</w:t>
      </w:r>
      <w:bookmarkEnd w:id="118"/>
      <w:r/>
      <w:bookmarkEnd w:id="119"/>
      <w:r/>
      <w:bookmarkEnd w:id="120"/>
      <w:r/>
      <w:bookmarkEnd w:id="121"/>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7.1</w:t>
      </w:r>
      <w:r>
        <w:rPr>
          <w:rFonts w:hint="eastAsia" w:ascii="宋体" w:hAnsi="宋体" w:eastAsia="宋体" w:cs="宋体"/>
          <w:sz w:val="24"/>
          <w:szCs w:val="21"/>
        </w:rPr>
        <w:t xml:space="preserve"> 在响应文件提交截止时间前，</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可以对磋商文件进行澄清和修改,</w:t>
      </w:r>
      <w:r>
        <w:rPr>
          <w:rFonts w:hint="eastAsia" w:ascii="宋体" w:hAnsi="宋体" w:eastAsia="宋体" w:cs="宋体"/>
          <w:szCs w:val="21"/>
        </w:rPr>
        <w:t xml:space="preserve"> </w:t>
      </w:r>
      <w:r>
        <w:rPr>
          <w:rFonts w:hint="eastAsia" w:ascii="宋体" w:hAnsi="宋体" w:eastAsia="宋体" w:cs="宋体"/>
          <w:sz w:val="24"/>
          <w:szCs w:val="21"/>
        </w:rPr>
        <w:t xml:space="preserve">澄清或者修改的内容作为磋商文件的组成部分。澄清或者修改的内容可能影响响应文件编制的，</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将在提交首次响应文件截止时间至少5日前，在“江苏政府采购网”上发布书面更正公告形式通知所有获取磋商文件的供应商,</w:t>
      </w:r>
      <w:r>
        <w:rPr>
          <w:rFonts w:hint="eastAsia" w:ascii="宋体" w:hAnsi="宋体" w:eastAsia="宋体" w:cs="宋体"/>
          <w:szCs w:val="21"/>
        </w:rPr>
        <w:t xml:space="preserve"> </w:t>
      </w:r>
      <w:r>
        <w:rPr>
          <w:rFonts w:hint="eastAsia" w:ascii="宋体" w:hAnsi="宋体" w:eastAsia="宋体" w:cs="宋体"/>
          <w:sz w:val="24"/>
          <w:szCs w:val="21"/>
        </w:rPr>
        <w:t xml:space="preserve">更正公告内容将作为磋商文件的组成部分，并对供应商具有约束力。不足5日的，</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将顺延提交首次响应文件截止时间。</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7.2</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可以视采购项目的具体情况，组织供应商进行现场考察或召开磋商前答疑会，但不单独或分别组织只有一个供应商参加的现场考察和答疑会。</w:t>
      </w:r>
      <w:r/>
    </w:p>
    <w:p>
      <w:pPr>
        <w:ind w:firstLine="480"/>
        <w:jc w:val="left"/>
        <w:pageBreakBefore w:val="0"/>
        <w:spacing w:line="440" w:lineRule="exact"/>
        <w:widowControl w:val="off"/>
        <w:rPr>
          <w:rFonts w:hint="default" w:ascii="宋体" w:hAnsi="宋体" w:eastAsia="宋体" w:cs="宋体"/>
          <w:sz w:val="24"/>
          <w:szCs w:val="21"/>
          <w:lang w:val="en-US" w:eastAsia="zh-CN"/>
        </w:rPr>
      </w:pPr>
      <w:r>
        <w:rPr>
          <w:rFonts w:hint="eastAsia" w:ascii="宋体" w:hAnsi="宋体" w:eastAsia="宋体" w:cs="宋体"/>
          <w:sz w:val="24"/>
          <w:szCs w:val="21"/>
          <w:lang w:val="en-US" w:eastAsia="zh-CN"/>
        </w:rPr>
        <w:t xml:space="preserve">7.3任何要求对磋商文件进行澄清的供应商，应在磋商截止期5日前按磋商公告中的通讯地址，以书面形式通知泰州中政。</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22" w:name="_Toc16938529"/>
      <w:r/>
      <w:bookmarkStart w:id="123" w:name="_Toc11365"/>
      <w:r/>
      <w:bookmarkStart w:id="124" w:name="_Toc513029213"/>
      <w:r/>
      <w:bookmarkStart w:id="125" w:name="_Toc462564072"/>
      <w:r/>
      <w:bookmarkStart w:id="126" w:name="_Toc27993"/>
      <w:r/>
      <w:bookmarkStart w:id="127" w:name="_Toc20823285"/>
      <w:r/>
      <w:bookmarkStart w:id="128" w:name="_Toc120614216"/>
      <w:r>
        <w:rPr>
          <w:rFonts w:hint="eastAsia" w:ascii="宋体" w:hAnsi="宋体" w:eastAsia="宋体" w:cs="宋体"/>
          <w:b/>
          <w:bCs/>
          <w:sz w:val="32"/>
          <w:szCs w:val="32"/>
        </w:rPr>
        <w:t xml:space="preserve">三、响应文件的编制</w:t>
      </w:r>
      <w:bookmarkEnd w:id="122"/>
      <w:r/>
      <w:bookmarkEnd w:id="123"/>
      <w:r/>
      <w:bookmarkEnd w:id="124"/>
      <w:r/>
      <w:bookmarkEnd w:id="125"/>
      <w:r/>
      <w:bookmarkEnd w:id="126"/>
      <w:r/>
      <w:bookmarkEnd w:id="127"/>
      <w:r/>
      <w:bookmarkEnd w:id="128"/>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29" w:name="_Toc513029214"/>
      <w:r/>
      <w:bookmarkStart w:id="130" w:name="_Toc16938530"/>
      <w:r/>
      <w:bookmarkStart w:id="131" w:name="_Toc20823286"/>
      <w:r/>
      <w:bookmarkStart w:id="132" w:name="_Toc462564073"/>
      <w:r>
        <w:rPr>
          <w:rFonts w:hint="eastAsia" w:ascii="宋体" w:hAnsi="宋体" w:eastAsia="宋体" w:cs="宋体"/>
          <w:b/>
          <w:bCs/>
          <w:sz w:val="28"/>
          <w:szCs w:val="28"/>
        </w:rPr>
        <w:t xml:space="preserve">8、响应文件的语言及度量衡单位</w:t>
      </w:r>
      <w:bookmarkEnd w:id="129"/>
      <w:r/>
      <w:bookmarkEnd w:id="130"/>
      <w:r/>
      <w:bookmarkEnd w:id="131"/>
      <w:r/>
      <w:bookmarkEnd w:id="132"/>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8.1</w:t>
      </w:r>
      <w:r>
        <w:rPr>
          <w:rFonts w:hint="eastAsia" w:ascii="宋体" w:hAnsi="宋体" w:eastAsia="宋体" w:cs="宋体"/>
          <w:sz w:val="24"/>
          <w:szCs w:val="21"/>
        </w:rPr>
        <w:t xml:space="preserve">供应商提交的响应文件以及供应商与</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就有关磋商的所有来往通知、函件和文件均应使用</w:t>
      </w:r>
      <w:r>
        <w:rPr>
          <w:rFonts w:hint="eastAsia" w:ascii="宋体" w:hAnsi="宋体" w:eastAsia="宋体" w:cs="宋体"/>
          <w:b/>
          <w:bCs/>
          <w:sz w:val="24"/>
          <w:szCs w:val="21"/>
        </w:rPr>
        <w:t xml:space="preserve">简体中文</w:t>
      </w:r>
      <w:r>
        <w:rPr>
          <w:rFonts w:hint="eastAsia" w:ascii="宋体" w:hAnsi="宋体" w:eastAsia="宋体" w:cs="宋体"/>
          <w:sz w:val="24"/>
          <w:szCs w:val="21"/>
        </w:rPr>
        <w:t xml:space="preserve">。</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8.2</w:t>
      </w:r>
      <w:r>
        <w:rPr>
          <w:rFonts w:hint="eastAsia" w:ascii="宋体" w:hAnsi="宋体" w:eastAsia="宋体" w:cs="宋体"/>
          <w:sz w:val="24"/>
          <w:szCs w:val="21"/>
        </w:rPr>
        <w:t xml:space="preserve"> 除技术性能另有规定外，响应文件所使用的度量衡单位，均须采用国家法定计量单位。</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33" w:name="_Toc20823287"/>
      <w:r/>
      <w:bookmarkStart w:id="134" w:name="_Toc513029215"/>
      <w:r/>
      <w:bookmarkStart w:id="135" w:name="_Toc16938531"/>
      <w:r/>
      <w:bookmarkStart w:id="136" w:name="_Toc462564074"/>
      <w:r>
        <w:rPr>
          <w:rFonts w:hint="eastAsia" w:ascii="宋体" w:hAnsi="宋体" w:eastAsia="宋体" w:cs="宋体"/>
          <w:b/>
          <w:bCs/>
          <w:sz w:val="28"/>
          <w:szCs w:val="28"/>
        </w:rPr>
        <w:t xml:space="preserve">9、响应文件构成</w:t>
      </w:r>
      <w:bookmarkEnd w:id="133"/>
      <w:r/>
      <w:bookmarkEnd w:id="134"/>
      <w:r/>
      <w:bookmarkEnd w:id="135"/>
      <w:r/>
      <w:bookmarkEnd w:id="136"/>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9.1</w:t>
      </w:r>
      <w:r>
        <w:rPr>
          <w:rFonts w:hint="eastAsia" w:ascii="宋体" w:hAnsi="宋体" w:eastAsia="宋体" w:cs="宋体"/>
          <w:sz w:val="24"/>
          <w:szCs w:val="21"/>
        </w:rPr>
        <w:t xml:space="preserve">供应商编写的响应文件应包括资格证明文件、</w:t>
      </w:r>
      <w:r>
        <w:rPr>
          <w:rFonts w:hint="eastAsia" w:ascii="宋体" w:hAnsi="宋体" w:eastAsia="宋体" w:cs="宋体"/>
          <w:sz w:val="24"/>
          <w:szCs w:val="24"/>
        </w:rPr>
        <w:t xml:space="preserve">实质性要求响应及偏离表</w:t>
      </w:r>
      <w:r>
        <w:rPr>
          <w:rFonts w:hint="eastAsia" w:ascii="宋体" w:hAnsi="宋体" w:eastAsia="宋体" w:cs="宋体"/>
          <w:sz w:val="24"/>
          <w:szCs w:val="21"/>
        </w:rPr>
        <w:t xml:space="preserve">、分项报价表、技术要求响应及偏离表、商务要求响应及偏离表、其他证明文件、磋商响应函等部分。</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9.2 如标书制作工具中格式和内容与“江苏政府采购网”发布的磋商文件不一致，请以“江苏政府采购网”发布的磋商文件为准。</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37" w:name="_Hlt26954838"/>
      <w:r/>
      <w:bookmarkEnd w:id="137"/>
      <w:r/>
      <w:bookmarkStart w:id="138" w:name="_Hlt26670360"/>
      <w:r/>
      <w:bookmarkEnd w:id="138"/>
      <w:r/>
      <w:bookmarkStart w:id="139" w:name="_Hlt26668975"/>
      <w:r/>
      <w:bookmarkEnd w:id="139"/>
      <w:r/>
      <w:bookmarkStart w:id="140" w:name="_Toc49090507"/>
      <w:r/>
      <w:bookmarkStart w:id="141" w:name="_Toc14577357"/>
      <w:r/>
      <w:bookmarkStart w:id="142" w:name="_Toc513029219"/>
      <w:r/>
      <w:bookmarkStart w:id="143" w:name="_Toc49090509"/>
      <w:r/>
      <w:bookmarkStart w:id="144" w:name="_Toc14577354"/>
      <w:r/>
      <w:bookmarkStart w:id="145" w:name="_Toc513029216"/>
      <w:r/>
      <w:bookmarkStart w:id="146" w:name="_Toc49090508"/>
      <w:r/>
      <w:bookmarkStart w:id="147" w:name="_Toc14577355"/>
      <w:r>
        <w:rPr>
          <w:rFonts w:hint="eastAsia" w:ascii="宋体" w:hAnsi="宋体" w:eastAsia="宋体" w:cs="宋体"/>
          <w:b/>
          <w:bCs/>
          <w:sz w:val="28"/>
          <w:szCs w:val="28"/>
        </w:rPr>
        <w:t xml:space="preserve">10、证明磋商响应标的符合磋商文件规定的文件</w:t>
      </w:r>
      <w:bookmarkEnd w:id="140"/>
      <w:r/>
      <w:bookmarkEnd w:id="141"/>
      <w:r/>
      <w:bookmarkEnd w:id="142"/>
      <w:r/>
      <w:bookmarkEnd w:id="143"/>
      <w:r/>
      <w:bookmarkEnd w:id="144"/>
      <w:r/>
      <w:bookmarkEnd w:id="145"/>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10.1供应商应按照磋商文件要求提交证明文件，证明其及磋商响应标的符合磋商文件规定。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10.2磋商文件对证明文件无明确形式要求的，证明文件可以以文字资料、图纸和数据等形式提交。</w:t>
      </w:r>
      <w:bookmarkEnd w:id="146"/>
      <w:r/>
      <w:bookmarkEnd w:id="147"/>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11、分项报价表</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11.1</w:t>
      </w:r>
      <w:r>
        <w:rPr>
          <w:rFonts w:hint="eastAsia" w:ascii="宋体" w:hAnsi="宋体" w:eastAsia="宋体" w:cs="宋体"/>
          <w:sz w:val="24"/>
          <w:szCs w:val="21"/>
        </w:rPr>
        <w:t xml:space="preserve">供应商应按照磋商文件规定格式填报分项报价表。</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11.2</w:t>
      </w:r>
      <w:r>
        <w:rPr>
          <w:rFonts w:hint="eastAsia" w:ascii="宋体" w:hAnsi="宋体" w:eastAsia="宋体" w:cs="宋体"/>
          <w:bCs/>
          <w:sz w:val="24"/>
          <w:szCs w:val="21"/>
        </w:rPr>
        <w:t xml:space="preserve">磋商货币。响应文件中的单价和总价无特殊规定的采用人民币报价，以元为单位标注。</w:t>
      </w:r>
      <w:r>
        <w:rPr>
          <w:rFonts w:hint="eastAsia" w:ascii="宋体" w:hAnsi="宋体" w:eastAsia="宋体" w:cs="宋体"/>
          <w:sz w:val="24"/>
          <w:szCs w:val="21"/>
        </w:rPr>
        <w:t xml:space="preserve">磋商文件中另有规定的按规定执行。</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48" w:name="_Hlt26670486"/>
      <w:r/>
      <w:bookmarkEnd w:id="148"/>
      <w:r/>
      <w:bookmarkStart w:id="149" w:name="_Hlt26954848"/>
      <w:r/>
      <w:bookmarkEnd w:id="149"/>
      <w:r/>
      <w:bookmarkStart w:id="150" w:name="_Hlt26954846"/>
      <w:r/>
      <w:bookmarkEnd w:id="150"/>
      <w:r/>
      <w:bookmarkStart w:id="151" w:name="_Hlt26954731"/>
      <w:r/>
      <w:bookmarkEnd w:id="151"/>
      <w:r/>
      <w:bookmarkStart w:id="152" w:name="_Hlt26670482"/>
      <w:r/>
      <w:bookmarkEnd w:id="152"/>
      <w:r>
        <w:rPr>
          <w:rFonts w:hint="eastAsia" w:ascii="宋体" w:hAnsi="宋体" w:eastAsia="宋体" w:cs="宋体"/>
          <w:b/>
          <w:bCs/>
          <w:sz w:val="28"/>
          <w:szCs w:val="28"/>
        </w:rPr>
        <w:t xml:space="preserve">12、技术要求响应及偏离表、商务要求响应及偏离表</w:t>
      </w:r>
      <w:r/>
    </w:p>
    <w:p>
      <w:pPr>
        <w:ind w:firstLine="480"/>
        <w:jc w:val="left"/>
        <w:pageBreakBefore w:val="0"/>
        <w:spacing w:line="440" w:lineRule="exact"/>
        <w:widowControl w:val="off"/>
        <w:rPr>
          <w:rFonts w:hint="eastAsia" w:ascii="宋体" w:hAnsi="宋体" w:eastAsia="宋体" w:cs="宋体"/>
          <w:sz w:val="24"/>
          <w:szCs w:val="21"/>
          <w:lang w:val="zh-CN"/>
        </w:rPr>
      </w:pPr>
      <w:r>
        <w:rPr>
          <w:rFonts w:hint="eastAsia" w:ascii="宋体" w:hAnsi="宋体" w:eastAsia="宋体" w:cs="宋体"/>
          <w:bCs/>
          <w:sz w:val="24"/>
          <w:szCs w:val="21"/>
          <w:lang w:val="zh-CN"/>
        </w:rPr>
        <w:t xml:space="preserve">12.1</w:t>
      </w:r>
      <w:r>
        <w:rPr>
          <w:rFonts w:hint="eastAsia" w:ascii="宋体" w:hAnsi="宋体" w:eastAsia="宋体" w:cs="宋体"/>
          <w:sz w:val="24"/>
          <w:szCs w:val="21"/>
          <w:lang w:val="zh-CN"/>
        </w:rPr>
        <w:t xml:space="preserve">供应商需对磋商文件中的技术要求与商务要求逐项作出响应或偏离，并说明原因。</w:t>
      </w:r>
      <w:r/>
    </w:p>
    <w:p>
      <w:pPr>
        <w:ind w:firstLine="480"/>
        <w:jc w:val="left"/>
        <w:pageBreakBefore w:val="0"/>
        <w:spacing w:line="440" w:lineRule="exact"/>
        <w:widowControl w:val="off"/>
        <w:rPr>
          <w:rFonts w:hint="eastAsia" w:ascii="宋体" w:hAnsi="宋体" w:eastAsia="宋体" w:cs="宋体"/>
          <w:sz w:val="24"/>
          <w:szCs w:val="21"/>
          <w:lang w:val="zh-CN"/>
        </w:rPr>
      </w:pPr>
      <w:r>
        <w:rPr>
          <w:rFonts w:hint="eastAsia" w:ascii="宋体" w:hAnsi="宋体" w:eastAsia="宋体" w:cs="宋体"/>
          <w:sz w:val="24"/>
          <w:szCs w:val="21"/>
          <w:lang w:val="zh-CN"/>
        </w:rPr>
        <w:t xml:space="preserve">12.2供应商需按照磋商文件要求，在响应文件中提供与技术要求和商务要求相关的证明材料。</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13、服务承诺、培训计划、人员安排及其他</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13.1</w:t>
      </w:r>
      <w:r>
        <w:rPr>
          <w:rFonts w:hint="eastAsia" w:ascii="宋体" w:hAnsi="宋体" w:eastAsia="宋体" w:cs="宋体"/>
          <w:sz w:val="24"/>
          <w:szCs w:val="24"/>
        </w:rPr>
        <w:t xml:space="preserve">供应商需根据磋商文件要求提供有关售后服务的管理制度，售后服务机构的分布情况，售后服务人员的数量、素质、技术水平及售后服务的反应能力等。</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13.2供应商需根据磋商文件要求提供培训计划。</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13.3供应商需根据磋商文件要求提供</w:t>
      </w:r>
      <w:r>
        <w:rPr>
          <w:rFonts w:hint="eastAsia" w:ascii="宋体" w:hAnsi="宋体" w:eastAsia="宋体" w:cs="宋体"/>
          <w:sz w:val="24"/>
          <w:szCs w:val="21"/>
          <w:lang w:val="zh-CN"/>
        </w:rPr>
        <w:t xml:space="preserve">磋商响应标的的主要组成部分、功能设计、实现思路及关键技术等。</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53" w:name="_Toc14577359"/>
      <w:r/>
      <w:bookmarkStart w:id="154" w:name="_Toc49090510"/>
      <w:r>
        <w:rPr>
          <w:rFonts w:hint="eastAsia" w:ascii="宋体" w:hAnsi="宋体" w:eastAsia="宋体" w:cs="宋体"/>
          <w:b/>
          <w:bCs/>
          <w:sz w:val="28"/>
          <w:szCs w:val="28"/>
        </w:rPr>
        <w:t xml:space="preserve">14、磋商响应函</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bCs/>
          <w:sz w:val="24"/>
          <w:szCs w:val="21"/>
        </w:rPr>
        <w:t xml:space="preserve">14.1</w:t>
      </w:r>
      <w:r>
        <w:rPr>
          <w:rFonts w:hint="eastAsia" w:ascii="宋体" w:hAnsi="宋体" w:eastAsia="宋体" w:cs="宋体"/>
          <w:sz w:val="24"/>
          <w:szCs w:val="21"/>
        </w:rPr>
        <w:t xml:space="preserve">供应商应按照磋商文件中提供的格式完整、正确填写磋商响应函。</w:t>
      </w:r>
      <w:bookmarkEnd w:id="153"/>
      <w:r/>
      <w:bookmarkEnd w:id="154"/>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55" w:name="_Toc14577360"/>
      <w:r/>
      <w:bookmarkStart w:id="156" w:name="_Toc49090511"/>
      <w:r>
        <w:rPr>
          <w:rFonts w:hint="eastAsia" w:ascii="宋体" w:hAnsi="宋体" w:eastAsia="宋体" w:cs="宋体"/>
          <w:b/>
          <w:bCs/>
          <w:sz w:val="28"/>
          <w:szCs w:val="28"/>
        </w:rPr>
        <w:t xml:space="preserve">15、磋商有效期</w:t>
      </w:r>
      <w:bookmarkEnd w:id="155"/>
      <w:r/>
      <w:bookmarkEnd w:id="156"/>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15.1磋商有效期为</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规定的提交响应文件截止之日后</w:t>
      </w:r>
      <w:r>
        <w:rPr>
          <w:rFonts w:hint="eastAsia" w:ascii="宋体" w:hAnsi="宋体" w:eastAsia="宋体" w:cs="宋体"/>
          <w:b/>
          <w:sz w:val="24"/>
          <w:szCs w:val="21"/>
          <w:u w:val="single"/>
        </w:rPr>
        <w:t xml:space="preserve">六十（60）天</w:t>
      </w:r>
      <w:r>
        <w:rPr>
          <w:rFonts w:hint="eastAsia" w:ascii="宋体" w:hAnsi="宋体" w:eastAsia="宋体" w:cs="宋体"/>
          <w:bCs/>
          <w:sz w:val="24"/>
          <w:szCs w:val="21"/>
        </w:rPr>
        <w:t xml:space="preserve">。磋商有效期比规定短的将被视为非实质性响应磋商文件而予以拒绝。</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16、磋商有效期的延长</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16.1在特殊情况下，</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于原磋商有效期满之前，可向供应商提出延长磋商有效期的要求。这种要求与答复均应采用书面形式。供应商可以拒绝</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的这一要求而放弃磋商，同意延长磋商有效期的供应商既不能要求也不允许修改其响应文件。</w:t>
      </w:r>
      <w:r>
        <w:rPr>
          <w:rFonts w:hint="eastAsia" w:ascii="宋体" w:hAnsi="宋体" w:eastAsia="宋体" w:cs="宋体"/>
          <w:sz w:val="24"/>
          <w:szCs w:val="24"/>
        </w:rPr>
        <w:t xml:space="preserve">受磋商有效期约束的所有权利与义务均延长至新的有效期</w:t>
      </w:r>
      <w:r>
        <w:rPr>
          <w:rFonts w:hint="eastAsia" w:ascii="宋体" w:hAnsi="宋体" w:eastAsia="宋体" w:cs="宋体"/>
          <w:bCs/>
          <w:sz w:val="24"/>
          <w:szCs w:val="21"/>
        </w:rPr>
        <w:t xml:space="preserve">。</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57" w:name="_Hlt26954739"/>
      <w:r/>
      <w:bookmarkEnd w:id="157"/>
      <w:r/>
      <w:bookmarkStart w:id="158" w:name="_Hlt26954852"/>
      <w:r/>
      <w:bookmarkEnd w:id="158"/>
      <w:r/>
      <w:bookmarkStart w:id="159" w:name="_Toc20823296"/>
      <w:r/>
      <w:bookmarkStart w:id="160" w:name="_Toc31973"/>
      <w:r/>
      <w:bookmarkStart w:id="161" w:name="_Toc3269"/>
      <w:r/>
      <w:bookmarkStart w:id="162" w:name="_Toc120614217"/>
      <w:r/>
      <w:bookmarkStart w:id="163" w:name="_Toc513029224"/>
      <w:r/>
      <w:bookmarkStart w:id="164" w:name="_Toc16938540"/>
      <w:r>
        <w:rPr>
          <w:rFonts w:hint="eastAsia" w:ascii="宋体" w:hAnsi="宋体" w:eastAsia="宋体" w:cs="宋体"/>
          <w:b/>
          <w:bCs/>
          <w:sz w:val="32"/>
          <w:szCs w:val="32"/>
        </w:rPr>
        <w:t xml:space="preserve">四、响应文件的递交</w:t>
      </w:r>
      <w:bookmarkEnd w:id="159"/>
      <w:r/>
      <w:bookmarkEnd w:id="160"/>
      <w:r/>
      <w:bookmarkEnd w:id="161"/>
      <w:r/>
      <w:bookmarkEnd w:id="162"/>
      <w:r/>
      <w:bookmarkEnd w:id="163"/>
      <w:r/>
      <w:bookmarkEnd w:id="164"/>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65" w:name="_Toc513029225"/>
      <w:r/>
      <w:bookmarkStart w:id="166" w:name="_Toc20823297"/>
      <w:r/>
      <w:bookmarkStart w:id="167" w:name="_Toc462564084"/>
      <w:r/>
      <w:bookmarkStart w:id="168" w:name="_Toc16938541"/>
      <w:r>
        <w:rPr>
          <w:rFonts w:hint="eastAsia" w:ascii="宋体" w:hAnsi="宋体" w:eastAsia="宋体" w:cs="宋体"/>
          <w:b/>
          <w:bCs/>
          <w:sz w:val="28"/>
          <w:szCs w:val="28"/>
        </w:rPr>
        <w:t xml:space="preserve">17、电子磋商</w:t>
      </w:r>
      <w:bookmarkEnd w:id="165"/>
      <w:r/>
      <w:bookmarkEnd w:id="166"/>
      <w:r/>
      <w:bookmarkEnd w:id="167"/>
      <w:r/>
      <w:bookmarkEnd w:id="168"/>
      <w:r>
        <w:rPr>
          <w:rFonts w:hint="eastAsia" w:ascii="宋体" w:hAnsi="宋体" w:eastAsia="宋体" w:cs="宋体"/>
          <w:b/>
          <w:bCs/>
          <w:sz w:val="28"/>
          <w:szCs w:val="28"/>
        </w:rPr>
        <w:t xml:space="preserve">响应文件的递交</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17.1供应商应当按照《操作手册》规定，在提交响应文件截止时间前制作并上传电子响应文件。</w:t>
      </w:r>
      <w:bookmarkStart w:id="169" w:name="_Toc513029226"/>
      <w:r/>
      <w:bookmarkStart w:id="170" w:name="_Toc16938542"/>
      <w:r/>
      <w:bookmarkStart w:id="171" w:name="_Toc20823298"/>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18、提交响应文件截止时间</w:t>
      </w:r>
      <w:bookmarkEnd w:id="169"/>
      <w:r/>
      <w:bookmarkEnd w:id="170"/>
      <w:r/>
      <w:bookmarkEnd w:id="171"/>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18.1</w:t>
      </w:r>
      <w:r>
        <w:rPr>
          <w:rFonts w:hint="eastAsia" w:ascii="宋体" w:hAnsi="宋体" w:eastAsia="宋体" w:cs="宋体"/>
          <w:bCs/>
          <w:sz w:val="24"/>
          <w:szCs w:val="21"/>
        </w:rPr>
        <w:t xml:space="preserve">供应商上传电子响应文件的时间不得迟于磋商公告中规定的提交响应文件截止时间。</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供应商应充分考虑到网络环境、网络带宽等风险因素，如因供应商自身原因造成的电子响应文件上传不成功的按照本磋商文件第二章第25.3.2条规定做无效响应处理。</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18.2</w:t>
      </w:r>
      <w:r>
        <w:rPr>
          <w:rFonts w:hint="eastAsia" w:ascii="宋体" w:hAnsi="宋体" w:eastAsia="宋体" w:cs="宋体"/>
          <w:bCs/>
          <w:sz w:val="24"/>
          <w:szCs w:val="21"/>
        </w:rPr>
        <w:t xml:space="preserve"> </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可以按照规定，通过修改磋商文件酌情延长提交响应文件截止日期，在此情况下，供应商的所有权利和义务以及供应商受制的截止日期均应以延长后新的截止日期为准。</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72" w:name="_Toc16938543"/>
      <w:r/>
      <w:bookmarkStart w:id="173" w:name="_Toc20823299"/>
      <w:r/>
      <w:bookmarkStart w:id="174" w:name="_Toc513029227"/>
      <w:r>
        <w:rPr>
          <w:rFonts w:hint="eastAsia" w:ascii="宋体" w:hAnsi="宋体" w:eastAsia="宋体" w:cs="宋体"/>
          <w:b/>
          <w:bCs/>
          <w:sz w:val="28"/>
          <w:szCs w:val="28"/>
        </w:rPr>
        <w:t xml:space="preserve">19、响应文件</w:t>
      </w:r>
      <w:bookmarkEnd w:id="172"/>
      <w:r/>
      <w:bookmarkEnd w:id="173"/>
      <w:r/>
      <w:bookmarkEnd w:id="174"/>
      <w:r>
        <w:rPr>
          <w:rFonts w:hint="eastAsia" w:ascii="宋体" w:hAnsi="宋体" w:eastAsia="宋体" w:cs="宋体"/>
          <w:b/>
          <w:bCs/>
          <w:sz w:val="28"/>
          <w:szCs w:val="28"/>
        </w:rPr>
        <w:t xml:space="preserve">的拒收</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19.1 </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拒绝接收在其规定的提交响应文件截止时间后上传的任何电子响应文件。</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75" w:name="_Toc20823300"/>
      <w:r/>
      <w:bookmarkStart w:id="176" w:name="_Toc513029228"/>
      <w:r/>
      <w:bookmarkStart w:id="177" w:name="_Toc16938544"/>
      <w:r>
        <w:rPr>
          <w:rFonts w:hint="eastAsia" w:ascii="宋体" w:hAnsi="宋体" w:eastAsia="宋体" w:cs="宋体"/>
          <w:b/>
          <w:bCs/>
          <w:sz w:val="28"/>
          <w:szCs w:val="28"/>
        </w:rPr>
        <w:t xml:space="preserve">20、响应文件的撤回和修改</w:t>
      </w:r>
      <w:bookmarkEnd w:id="175"/>
      <w:r/>
      <w:bookmarkEnd w:id="176"/>
      <w:r/>
      <w:bookmarkEnd w:id="177"/>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20.1响应文件的撤回</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20.1.1 电子响应文件的撤回</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截止时间前，撤回其电子响应文件，具体操作方法见《操作手册》。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20.1.2供应商撤回电子响应文件，则认为其不再参与本项目磋商活动。</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20.2响应文件的修改</w:t>
      </w:r>
      <w:r/>
    </w:p>
    <w:p>
      <w:pPr>
        <w:ind w:firstLine="480"/>
        <w:jc w:val="left"/>
        <w:pageBreakBefore w:val="0"/>
        <w:spacing w:line="440" w:lineRule="exact"/>
        <w:widowControl w:val="off"/>
        <w:rPr>
          <w:rFonts w:hint="eastAsia" w:ascii="宋体" w:hAnsi="宋体" w:eastAsia="宋体" w:cs="宋体"/>
          <w:sz w:val="24"/>
          <w:szCs w:val="21"/>
        </w:rPr>
      </w:pPr>
      <w:r>
        <w:rPr>
          <w:rFonts w:hint="eastAsia" w:ascii="宋体" w:hAnsi="宋体" w:eastAsia="宋体" w:cs="宋体"/>
          <w:sz w:val="24"/>
          <w:szCs w:val="21"/>
        </w:rPr>
        <w:t xml:space="preserve">供应商可在</w:t>
      </w:r>
      <w:r>
        <w:rPr>
          <w:rFonts w:hint="eastAsia" w:ascii="宋体" w:hAnsi="宋体" w:eastAsia="宋体" w:cs="宋体"/>
          <w:bCs/>
          <w:sz w:val="24"/>
          <w:szCs w:val="21"/>
        </w:rPr>
        <w:t xml:space="preserve">提交响应文件</w:t>
      </w:r>
      <w:r>
        <w:rPr>
          <w:rFonts w:hint="eastAsia" w:ascii="宋体" w:hAnsi="宋体" w:eastAsia="宋体" w:cs="宋体"/>
          <w:sz w:val="24"/>
          <w:szCs w:val="21"/>
        </w:rPr>
        <w:t xml:space="preserve">截止时间前，对其电子响应文件进行修改，具体操作方法见《操作手册》。</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20.3</w:t>
      </w:r>
      <w:r>
        <w:rPr>
          <w:rFonts w:hint="eastAsia" w:ascii="宋体" w:hAnsi="宋体" w:eastAsia="宋体" w:cs="宋体"/>
          <w:bCs/>
          <w:sz w:val="24"/>
          <w:szCs w:val="21"/>
        </w:rPr>
        <w:t xml:space="preserve"> 在提交响应文件截止时间之后，供应商不得对其电子响应文件作任何修改。</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20.4</w:t>
      </w:r>
      <w:r>
        <w:rPr>
          <w:rFonts w:hint="eastAsia" w:ascii="宋体" w:hAnsi="宋体" w:eastAsia="宋体" w:cs="宋体"/>
          <w:bCs/>
          <w:sz w:val="24"/>
          <w:szCs w:val="21"/>
        </w:rPr>
        <w:t xml:space="preserve"> 在提交响应文件截止时间至磋商文件中规定的磋商有效期满之间的这段时间内，供应商不得撤回其响应文件。</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78" w:name="_Toc29470"/>
      <w:r/>
      <w:bookmarkStart w:id="179" w:name="_Toc513029229"/>
      <w:r/>
      <w:bookmarkStart w:id="180" w:name="_Toc20823301"/>
      <w:r/>
      <w:bookmarkStart w:id="181" w:name="_Toc16938545"/>
      <w:r/>
      <w:bookmarkStart w:id="182" w:name="_Toc120614218"/>
      <w:r/>
      <w:bookmarkStart w:id="183" w:name="_Toc5756"/>
      <w:r>
        <w:rPr>
          <w:rFonts w:hint="eastAsia" w:ascii="宋体" w:hAnsi="宋体" w:eastAsia="宋体" w:cs="宋体"/>
          <w:b/>
          <w:bCs/>
          <w:sz w:val="32"/>
          <w:szCs w:val="32"/>
        </w:rPr>
        <w:t xml:space="preserve">五、响应文件的解密与评审</w:t>
      </w:r>
      <w:bookmarkEnd w:id="178"/>
      <w:r/>
      <w:bookmarkEnd w:id="179"/>
      <w:r/>
      <w:bookmarkEnd w:id="180"/>
      <w:r/>
      <w:bookmarkEnd w:id="181"/>
      <w:r/>
      <w:bookmarkEnd w:id="182"/>
      <w:r/>
      <w:bookmarkEnd w:id="183"/>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84" w:name="_Toc20823302"/>
      <w:r/>
      <w:bookmarkStart w:id="185" w:name="_Toc513029230"/>
      <w:r/>
      <w:bookmarkStart w:id="186" w:name="_Toc16938546"/>
      <w:r>
        <w:rPr>
          <w:rFonts w:hint="eastAsia" w:ascii="宋体" w:hAnsi="宋体" w:eastAsia="宋体" w:cs="宋体"/>
          <w:b/>
          <w:bCs/>
          <w:sz w:val="28"/>
          <w:szCs w:val="28"/>
        </w:rPr>
        <w:t xml:space="preserve">21、</w:t>
      </w:r>
      <w:bookmarkEnd w:id="184"/>
      <w:r/>
      <w:bookmarkEnd w:id="185"/>
      <w:r/>
      <w:bookmarkEnd w:id="186"/>
      <w:r>
        <w:rPr>
          <w:rFonts w:hint="eastAsia" w:ascii="宋体" w:hAnsi="宋体" w:eastAsia="宋体" w:cs="宋体"/>
          <w:b/>
          <w:bCs/>
          <w:sz w:val="28"/>
          <w:szCs w:val="28"/>
        </w:rPr>
        <w:t xml:space="preserve">响应文件解密</w:t>
      </w:r>
      <w:r/>
    </w:p>
    <w:p>
      <w:pPr>
        <w:ind w:firstLine="480"/>
        <w:jc w:val="left"/>
        <w:pageBreakBefore w:val="0"/>
        <w:spacing w:line="440" w:lineRule="exact"/>
        <w:widowControl w:val="off"/>
        <w:rPr>
          <w:rFonts w:hint="eastAsia" w:ascii="宋体" w:hAnsi="宋体" w:eastAsia="宋体" w:cs="宋体"/>
          <w:szCs w:val="21"/>
        </w:rPr>
      </w:pPr>
      <w:r>
        <w:rPr>
          <w:rFonts w:hint="eastAsia" w:ascii="宋体" w:hAnsi="宋体" w:eastAsia="宋体" w:cs="宋体"/>
          <w:sz w:val="24"/>
          <w:szCs w:val="21"/>
        </w:rPr>
        <w:t xml:space="preserve">21.1</w:t>
      </w:r>
      <w:r>
        <w:rPr>
          <w:rFonts w:hint="eastAsia" w:ascii="宋体" w:hAnsi="宋体" w:eastAsia="宋体" w:cs="宋体"/>
          <w:sz w:val="24"/>
          <w:szCs w:val="24"/>
        </w:rPr>
        <w:t xml:space="preserve">供应商应当按照《操作手册》规定，在苏采云系统规定的时间内对磋商响应文件进行解密。</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87" w:name="_Toc20823303"/>
      <w:r/>
      <w:bookmarkStart w:id="188" w:name="_Toc16938547"/>
      <w:r/>
      <w:bookmarkStart w:id="189" w:name="_Toc513029231"/>
      <w:r>
        <w:rPr>
          <w:rFonts w:hint="eastAsia" w:ascii="宋体" w:hAnsi="宋体" w:eastAsia="宋体" w:cs="宋体"/>
          <w:b/>
          <w:bCs/>
          <w:sz w:val="28"/>
          <w:szCs w:val="28"/>
        </w:rPr>
        <w:t xml:space="preserve">22、磋商小组</w:t>
      </w:r>
      <w:r/>
    </w:p>
    <w:p>
      <w:pPr>
        <w:ind w:firstLine="480"/>
        <w:jc w:val="left"/>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22.1</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将组织磋商小组对响应文件进行评审。磋商小组由采购人代表和有关技术、经济等方面的专家组成，且人员构成符合政府采购有关规定。</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22.2磋商小组独立工作，负责评审所有响应文件并确定成交侯选人。</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23、评审过程的保密与公正</w:t>
      </w:r>
      <w:bookmarkEnd w:id="187"/>
      <w:r/>
      <w:bookmarkEnd w:id="188"/>
      <w:r/>
      <w:bookmarkEnd w:id="189"/>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23.1</w:t>
      </w:r>
      <w:r>
        <w:rPr>
          <w:rFonts w:hint="eastAsia" w:ascii="宋体" w:hAnsi="宋体" w:eastAsia="宋体" w:cs="宋体"/>
          <w:bCs/>
          <w:sz w:val="24"/>
          <w:szCs w:val="21"/>
        </w:rPr>
        <w:t xml:space="preserve">磋商小组、采购人和</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工作人员、相关监督人员等与评审工作有关的人员，对评审情况以及在评审过程中获悉的国家秘密、商业秘密负有保密责任。</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1"/>
        </w:rPr>
        <w:t xml:space="preserve">23.2</w:t>
      </w:r>
      <w:r>
        <w:rPr>
          <w:rFonts w:hint="eastAsia" w:ascii="宋体" w:hAnsi="宋体" w:eastAsia="宋体" w:cs="宋体"/>
          <w:sz w:val="24"/>
          <w:szCs w:val="24"/>
        </w:rPr>
        <w:t xml:space="preserve">在评审过程中，供应商不得以任何行为影响磋商评审过程，否则其响应文件将被作为无效响应文件。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1"/>
        </w:rPr>
        <w:t xml:space="preserve">23.3</w:t>
      </w:r>
      <w:r>
        <w:rPr>
          <w:rFonts w:hint="eastAsia" w:ascii="宋体" w:hAnsi="宋体" w:eastAsia="宋体" w:cs="宋体"/>
          <w:sz w:val="24"/>
          <w:szCs w:val="24"/>
        </w:rPr>
        <w:t xml:space="preserve">在项目评审期间，</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将设专门人员与供应商联系。</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23.4</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和磋商小组不向未成交的供应商解释未成交原因，也不公布评审过程中的相关细节。</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90" w:name="_Toc20823304"/>
      <w:r/>
      <w:bookmarkStart w:id="191" w:name="_Toc16938548"/>
      <w:r/>
      <w:bookmarkStart w:id="192" w:name="_Toc513029232"/>
      <w:r>
        <w:rPr>
          <w:rFonts w:hint="eastAsia" w:ascii="宋体" w:hAnsi="宋体" w:eastAsia="宋体" w:cs="宋体"/>
          <w:b/>
          <w:bCs/>
          <w:sz w:val="28"/>
          <w:szCs w:val="28"/>
        </w:rPr>
        <w:t xml:space="preserve">24、评审过程中的澄清</w:t>
      </w:r>
      <w:bookmarkEnd w:id="190"/>
      <w:r/>
      <w:bookmarkEnd w:id="191"/>
      <w:r/>
      <w:bookmarkEnd w:id="192"/>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磋商小组并非对每个供应商都作澄清要求。</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24.2需要供应商进行澄清、说明和更正的，磋商小组将通过苏采云系统向供应商发布“澄清要求函”，接到“澄清要求函”的供应商应当按照要求在苏采云系统中提交“澄清响应函”并加盖CA电子公章。澄清、说明和更正的内容作为响应文件的补充部分，具体操作方式见《操作手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24.3 接到磋商小组澄清、说明和更正要求的供应商如未按规定做出澄清、说明和 更正，其风险由供应商自行承担。</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bookmarkStart w:id="193" w:name="_Toc513029233"/>
      <w:r/>
      <w:bookmarkStart w:id="194" w:name="_Toc16938549"/>
      <w:r/>
      <w:bookmarkStart w:id="195" w:name="_Toc20823305"/>
      <w:r>
        <w:rPr>
          <w:rFonts w:hint="eastAsia" w:ascii="宋体" w:hAnsi="宋体" w:eastAsia="宋体" w:cs="宋体"/>
          <w:b/>
          <w:bCs/>
          <w:sz w:val="28"/>
          <w:szCs w:val="28"/>
        </w:rPr>
        <w:t xml:space="preserve">25、对响应文件的审</w:t>
      </w:r>
      <w:bookmarkEnd w:id="193"/>
      <w:r/>
      <w:bookmarkEnd w:id="194"/>
      <w:r/>
      <w:bookmarkEnd w:id="195"/>
      <w:r>
        <w:rPr>
          <w:rFonts w:hint="eastAsia" w:ascii="宋体" w:hAnsi="宋体" w:eastAsia="宋体" w:cs="宋体"/>
          <w:b/>
          <w:bCs/>
          <w:sz w:val="28"/>
          <w:szCs w:val="28"/>
        </w:rPr>
        <w:t xml:space="preserve">查</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25.1</w:t>
      </w:r>
      <w:r>
        <w:rPr>
          <w:rFonts w:hint="eastAsia" w:ascii="宋体" w:hAnsi="宋体" w:eastAsia="宋体" w:cs="宋体"/>
          <w:bCs/>
          <w:sz w:val="24"/>
          <w:szCs w:val="21"/>
        </w:rPr>
        <w:t xml:space="preserve">响应文件审查分为资格审查和符合性审查。</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25.1.1 资格审查：由磋商小组依据法律法规和磋商文件的规定，对响应文件中的资格证明文件进行审查，以确定供应商是否具备参加磋商的资格。</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磋商小组在进行资格审查的同时，将在“信用中国”网站（www.creditchina.gov.cn）查询供应商的信用记录，以确定供应商是否具备磋商资格,查询结果留存并归档。</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25.1.2 符合性审查：依据磋商文件的规定，由磋商小组从响应文件的有效性、完整性和对磋商文件的响应程度进行审查，以确定是否对磋商文件的实质性要求作出响应。</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25.1.3 未通过资格审查或符合性审查的供应商，磋商小组将在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中告知未通过资格审查或符合性审查的原因，评审结束后，磋商小组将不再告知未通过资格审查或符合性审查的原因。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1"/>
        </w:rPr>
        <w:t xml:space="preserve">25.2</w:t>
      </w:r>
      <w:r>
        <w:rPr>
          <w:rFonts w:hint="eastAsia" w:ascii="宋体" w:hAnsi="宋体" w:eastAsia="宋体" w:cs="宋体"/>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所谓重大偏离或保留是指与磋商文件规定的实质性要求存在负偏离，或者在实质上与磋商文件不一致，而且限制了合同中买方和</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25.3未实质性响应磋商文件的情形</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25.3.1供应商在</w:t>
      </w:r>
      <w:r>
        <w:rPr>
          <w:rFonts w:hint="eastAsia" w:ascii="宋体" w:hAnsi="宋体" w:eastAsia="宋体" w:cs="宋体"/>
          <w:sz w:val="24"/>
          <w:szCs w:val="24"/>
        </w:rPr>
        <w:t xml:space="preserve">苏采云系统</w:t>
      </w:r>
      <w:r>
        <w:rPr>
          <w:rFonts w:hint="eastAsia" w:ascii="宋体" w:hAnsi="宋体" w:eastAsia="宋体" w:cs="宋体"/>
          <w:bCs/>
          <w:sz w:val="24"/>
          <w:szCs w:val="21"/>
        </w:rPr>
        <w:t xml:space="preserve">规定的时间内未成功解密电子响应文件的。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25.3.2供应商未按照磋商文件要求上传电子响应文件的。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25.3.3供应商同一采购包提交两个（含两个）以上不同的响应文件或者最后报价的。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25.3.4供应商不具备磋商文件中规定资格要求的。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25.3.5供应商的最后报价超过了采购预算。</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25.3.6不符合磋商文件中规定的实质性要求的</w:t>
      </w:r>
      <w:r>
        <w:rPr>
          <w:rFonts w:hint="eastAsia" w:ascii="宋体" w:hAnsi="宋体" w:eastAsia="宋体" w:cs="宋体"/>
          <w:b w:val="0"/>
          <w:bCs w:val="0"/>
          <w:sz w:val="24"/>
          <w:szCs w:val="21"/>
        </w:rPr>
        <w:t xml:space="preserve">。</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25.3.8 响应文件含有采购人不能接受的附加条件的。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25.3.9响应文件未按照磋商文件要求加盖CA电子公章的。</w:t>
      </w:r>
      <w:r/>
    </w:p>
    <w:p>
      <w:pPr>
        <w:ind w:firstLine="480"/>
        <w:jc w:val="left"/>
        <w:pageBreakBefore w:val="0"/>
        <w:spacing w:line="440" w:lineRule="exact"/>
        <w:widowControl w:val="off"/>
        <w:rPr>
          <w:rFonts w:hint="default" w:ascii="宋体" w:hAnsi="宋体" w:eastAsia="宋体" w:cs="宋体"/>
          <w:bCs/>
          <w:sz w:val="24"/>
          <w:szCs w:val="21"/>
          <w:lang w:val="en-US" w:eastAsia="zh-CN"/>
        </w:rPr>
      </w:pPr>
      <w:r>
        <w:rPr>
          <w:rFonts w:hint="eastAsia" w:ascii="宋体" w:hAnsi="宋体" w:eastAsia="宋体" w:cs="宋体"/>
          <w:bCs/>
          <w:sz w:val="24"/>
          <w:szCs w:val="21"/>
          <w:lang w:val="en-US" w:eastAsia="zh-CN"/>
        </w:rPr>
        <w:t xml:space="preserve">25.3.10本项目采购产品被财政部、国家发改委、生态环境部等列入“节能产品品目清单”、“环境标志产品品目清单”强制采购范围，而磋商供应商所磋商产品不在强制采购范围内的。（磋商产品如属于政府强制采购节能产品品目清单范围内，磋商响应文件中必须提供国家确定的认证机构出具的、处于有效期之内的该节能产品认证证书图片）</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25.4未实质性响应磋商文件的响应文件按无效响应处理。</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sz w:val="24"/>
          <w:szCs w:val="21"/>
        </w:rPr>
        <w:t xml:space="preserve">25.5</w:t>
      </w:r>
      <w:r>
        <w:rPr>
          <w:rFonts w:hint="eastAsia" w:ascii="宋体" w:hAnsi="宋体" w:eastAsia="宋体" w:cs="宋体"/>
          <w:bCs/>
          <w:sz w:val="24"/>
          <w:szCs w:val="21"/>
        </w:rPr>
        <w:t xml:space="preserve">如果响应文件实质上没有响应磋商文件的要求，磋商小组将予以拒绝，供应商不得通过修改或撤销不合要求的偏离或保留而使其成为实质性响应的文件。</w:t>
      </w:r>
      <w:r/>
    </w:p>
    <w:p>
      <w:pPr>
        <w:ind w:firstLine="480"/>
        <w:jc w:val="left"/>
        <w:pageBreakBefore w:val="0"/>
        <w:spacing w:line="440" w:lineRule="exact"/>
        <w:widowControl w:val="off"/>
        <w:rPr>
          <w:rFonts w:hint="eastAsia" w:ascii="宋体" w:hAnsi="宋体" w:eastAsia="宋体" w:cs="宋体"/>
          <w:sz w:val="24"/>
          <w:szCs w:val="21"/>
        </w:rPr>
      </w:pPr>
      <w:r/>
      <w:bookmarkStart w:id="196" w:name="_Toc20823306"/>
      <w:r/>
      <w:bookmarkStart w:id="197" w:name="_Toc513029234"/>
      <w:r/>
      <w:bookmarkStart w:id="198" w:name="_Toc16938550"/>
      <w:r>
        <w:rPr>
          <w:rFonts w:hint="eastAsia" w:ascii="宋体" w:hAnsi="宋体" w:eastAsia="宋体" w:cs="宋体"/>
          <w:sz w:val="24"/>
          <w:szCs w:val="21"/>
        </w:rPr>
        <w:t xml:space="preserve">25.6供应商在项目评审全过程中应保持通讯畅通，并安排专人与</w:t>
      </w:r>
      <w:r>
        <w:rPr>
          <w:rFonts w:hint="eastAsia" w:ascii="宋体" w:hAnsi="宋体" w:eastAsia="宋体" w:cs="宋体"/>
          <w:sz w:val="24"/>
          <w:szCs w:val="21"/>
          <w:lang w:eastAsia="zh-CN"/>
        </w:rPr>
        <w:t xml:space="preserve">泰州中政</w:t>
      </w:r>
      <w:r>
        <w:rPr>
          <w:rFonts w:hint="eastAsia" w:ascii="宋体" w:hAnsi="宋体" w:eastAsia="宋体" w:cs="宋体"/>
          <w:sz w:val="24"/>
          <w:szCs w:val="21"/>
        </w:rPr>
        <w:t xml:space="preserve">及磋商小组联系。</w:t>
      </w:r>
      <w:r/>
    </w:p>
    <w:p>
      <w:pPr>
        <w:ind w:firstLine="562"/>
        <w:jc w:val="left"/>
        <w:keepLines/>
        <w:keepNext/>
        <w:pageBreakBefore w:val="0"/>
        <w:spacing w:line="440" w:lineRule="exact"/>
        <w:widowControl w:val="off"/>
        <w:rPr>
          <w:rFonts w:hint="eastAsia" w:ascii="宋体" w:hAnsi="宋体" w:eastAsia="宋体" w:cs="宋体"/>
          <w:b/>
          <w:bCs/>
          <w:sz w:val="28"/>
          <w:szCs w:val="28"/>
        </w:rPr>
        <w:outlineLvl w:val="1"/>
      </w:pPr>
      <w:r>
        <w:rPr>
          <w:rFonts w:hint="eastAsia" w:ascii="宋体" w:hAnsi="宋体" w:eastAsia="宋体" w:cs="宋体"/>
          <w:b/>
          <w:bCs/>
          <w:sz w:val="28"/>
          <w:szCs w:val="28"/>
        </w:rPr>
        <w:t xml:space="preserve">26、</w:t>
      </w:r>
      <w:bookmarkEnd w:id="196"/>
      <w:r/>
      <w:bookmarkEnd w:id="197"/>
      <w:r/>
      <w:bookmarkEnd w:id="198"/>
      <w:r>
        <w:rPr>
          <w:rFonts w:hint="eastAsia" w:ascii="宋体" w:hAnsi="宋体" w:eastAsia="宋体" w:cs="宋体"/>
          <w:b/>
          <w:bCs/>
          <w:sz w:val="28"/>
          <w:szCs w:val="28"/>
        </w:rPr>
        <w:t xml:space="preserve">磋商程序及评审方法和评审标准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26.1磋商程序</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26.1.3供应商未在磋商小组规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26.1.4 异常低价响应审查</w:t>
      </w:r>
      <w:r/>
    </w:p>
    <w:p>
      <w:pPr>
        <w:ind w:firstLine="480"/>
        <w:jc w:val="left"/>
        <w:keepLines w:val="0"/>
        <w:keepNext w:val="0"/>
        <w:pageBreakBefore w:val="0"/>
        <w:spacing w:line="40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26.1.4.1 供应商最后报价出现下列情形之一的，磋商小组应当启动异常低价响应审查程序：</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en-US" w:eastAsia="zh-CN"/>
        </w:rPr>
      </w:pPr>
      <w:r>
        <w:rPr>
          <w:rFonts w:hint="eastAsia" w:ascii="宋体" w:hAnsi="宋体" w:eastAsia="宋体" w:cs="宋体"/>
          <w:color w:val="ff0000"/>
          <w:sz w:val="24"/>
          <w:szCs w:val="24"/>
          <w:lang w:val="zh-CN" w:eastAsia="zh-CN"/>
        </w:rPr>
        <w:t xml:space="preserve">（1）</w:t>
      </w:r>
      <w:r>
        <w:rPr>
          <w:rFonts w:hint="eastAsia" w:ascii="宋体" w:hAnsi="宋体" w:eastAsia="宋体" w:cs="宋体"/>
          <w:color w:val="ff0000"/>
          <w:sz w:val="24"/>
          <w:szCs w:val="24"/>
          <w:lang w:val="en-US" w:eastAsia="zh-CN"/>
        </w:rPr>
        <w:t xml:space="preserve">供应商最终响应</w:t>
      </w:r>
      <w:r>
        <w:rPr>
          <w:rFonts w:hint="eastAsia" w:ascii="宋体" w:hAnsi="宋体" w:eastAsia="宋体" w:cs="宋体"/>
          <w:color w:val="ff0000"/>
          <w:sz w:val="24"/>
          <w:szCs w:val="24"/>
          <w:lang w:val="zh-CN" w:eastAsia="zh-CN"/>
        </w:rPr>
        <w:t xml:space="preserve">报价低于全部通过符合性审查供应商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报价平均值50%的，即</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报价&lt;全部通过符合性审查供应商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报价平均值×50%；</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（2）</w:t>
      </w:r>
      <w:r>
        <w:rPr>
          <w:rFonts w:hint="eastAsia" w:ascii="宋体" w:hAnsi="宋体" w:eastAsia="宋体" w:cs="宋体"/>
          <w:color w:val="ff0000"/>
          <w:sz w:val="24"/>
          <w:szCs w:val="24"/>
          <w:lang w:val="en-US" w:eastAsia="zh-CN"/>
        </w:rPr>
        <w:t xml:space="preserve">供应商最终响应</w:t>
      </w:r>
      <w:r>
        <w:rPr>
          <w:rFonts w:hint="eastAsia" w:ascii="宋体" w:hAnsi="宋体" w:eastAsia="宋体" w:cs="宋体"/>
          <w:color w:val="ff0000"/>
          <w:sz w:val="24"/>
          <w:szCs w:val="24"/>
          <w:lang w:val="zh-CN" w:eastAsia="zh-CN"/>
        </w:rPr>
        <w:t xml:space="preserve">报价低于通过符合性审查的次低报价供应商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报价50%的，即</w:t>
      </w:r>
      <w:r>
        <w:rPr>
          <w:rFonts w:hint="eastAsia" w:ascii="宋体" w:hAnsi="宋体" w:eastAsia="宋体" w:cs="宋体"/>
          <w:color w:val="ff0000"/>
          <w:sz w:val="24"/>
          <w:szCs w:val="24"/>
          <w:lang w:val="en-US" w:eastAsia="zh-CN"/>
        </w:rPr>
        <w:t xml:space="preserve">最终响应报价</w:t>
      </w:r>
      <w:r>
        <w:rPr>
          <w:rFonts w:hint="eastAsia" w:ascii="宋体" w:hAnsi="宋体" w:eastAsia="宋体" w:cs="宋体"/>
          <w:color w:val="ff0000"/>
          <w:sz w:val="24"/>
          <w:szCs w:val="24"/>
          <w:lang w:val="zh-CN" w:eastAsia="zh-CN"/>
        </w:rPr>
        <w:t xml:space="preserve">&lt;通过符合性审查的次低报价供应商</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报价×50%；</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（3）</w:t>
      </w:r>
      <w:r>
        <w:rPr>
          <w:rFonts w:hint="eastAsia" w:ascii="宋体" w:hAnsi="宋体" w:eastAsia="宋体" w:cs="宋体"/>
          <w:color w:val="ff0000"/>
          <w:sz w:val="24"/>
          <w:szCs w:val="24"/>
          <w:lang w:val="en-US" w:eastAsia="zh-CN"/>
        </w:rPr>
        <w:t xml:space="preserve">供应商最终响应</w:t>
      </w:r>
      <w:r>
        <w:rPr>
          <w:rFonts w:hint="eastAsia" w:ascii="宋体" w:hAnsi="宋体" w:eastAsia="宋体" w:cs="宋体"/>
          <w:color w:val="ff0000"/>
          <w:sz w:val="24"/>
          <w:szCs w:val="24"/>
          <w:lang w:val="zh-CN" w:eastAsia="zh-CN"/>
        </w:rPr>
        <w:t xml:space="preserve">报价低于采购项目最高限价45%的，即</w:t>
      </w:r>
      <w:r>
        <w:rPr>
          <w:rFonts w:hint="eastAsia" w:ascii="宋体" w:hAnsi="宋体" w:eastAsia="宋体" w:cs="宋体"/>
          <w:color w:val="ff0000"/>
          <w:sz w:val="24"/>
          <w:szCs w:val="24"/>
          <w:lang w:val="en-US" w:eastAsia="zh-CN"/>
        </w:rPr>
        <w:t xml:space="preserve">最终响应</w:t>
      </w:r>
      <w:r>
        <w:rPr>
          <w:rFonts w:hint="eastAsia" w:ascii="宋体" w:hAnsi="宋体" w:eastAsia="宋体" w:cs="宋体"/>
          <w:color w:val="ff0000"/>
          <w:sz w:val="24"/>
          <w:szCs w:val="24"/>
          <w:lang w:val="zh-CN" w:eastAsia="zh-CN"/>
        </w:rPr>
        <w:t xml:space="preserve">报价&lt;采购项目最高限价×45%；</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lang w:val="zh-CN" w:eastAsia="zh-CN"/>
        </w:rPr>
      </w:pPr>
      <w:r>
        <w:rPr>
          <w:rFonts w:hint="eastAsia" w:ascii="宋体" w:hAnsi="宋体" w:eastAsia="宋体" w:cs="宋体"/>
          <w:color w:val="ff0000"/>
          <w:sz w:val="24"/>
          <w:szCs w:val="24"/>
          <w:lang w:val="zh-CN" w:eastAsia="zh-CN"/>
        </w:rPr>
        <w:t xml:space="preserve">（4）</w:t>
      </w:r>
      <w:r>
        <w:rPr>
          <w:rFonts w:hint="eastAsia" w:ascii="宋体" w:hAnsi="宋体" w:eastAsia="宋体" w:cs="宋体"/>
          <w:color w:val="ff0000"/>
          <w:sz w:val="24"/>
          <w:szCs w:val="24"/>
          <w:lang w:val="en-US" w:eastAsia="zh-CN"/>
        </w:rPr>
        <w:t xml:space="preserve">磋商小组</w:t>
      </w:r>
      <w:r>
        <w:rPr>
          <w:rFonts w:hint="eastAsia" w:ascii="宋体" w:hAnsi="宋体" w:eastAsia="宋体" w:cs="宋体"/>
          <w:color w:val="ff0000"/>
          <w:sz w:val="24"/>
          <w:szCs w:val="24"/>
          <w:lang w:val="zh-CN" w:eastAsia="zh-CN"/>
        </w:rPr>
        <w:t xml:space="preserve">基于专业判断，认为供应商报价过低，有可能影响产品质量或者不能诚信履约的其他情形。</w:t>
      </w:r>
      <w:r/>
    </w:p>
    <w:p>
      <w:pPr>
        <w:ind w:firstLine="480"/>
        <w:jc w:val="left"/>
        <w:pageBreakBefore w:val="0"/>
        <w:spacing w:line="440" w:lineRule="exact"/>
        <w:widowControl w:val="off"/>
        <w:tabs>
          <w:tab w:val="left" w:pos="900" w:leader="none"/>
        </w:tabs>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26.1.4.2启动异常低价响应审查后，磋商小组应当要求相关供应商在评审现场合理的时间内，提供项目具体成本测算等与报价合理性相关的书面说明材料及相关证明材料，对最后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26.2 评审方法和评审标准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26.2.1评审方法。经磋商确定最终采购需求和提交最后报价的供应商后，由磋商小组采用综合评分法对提交最后报价的供应商的响应文件和最后报价进行综合评分。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26.2.2评审标准</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见本磋商文件第五章规定。</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outlineLvl w:val="2"/>
      </w:pPr>
      <w:r>
        <w:rPr>
          <w:rFonts w:hint="eastAsia" w:ascii="宋体" w:hAnsi="宋体" w:eastAsia="宋体" w:cs="宋体"/>
          <w:sz w:val="24"/>
          <w:szCs w:val="24"/>
        </w:rPr>
        <w:t xml:space="preserve">26.3采购活动终止的情况</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出现下列情形之一的，本次竞争性磋商采购活动将被终止：</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26.3.1因情况变化，不再符合规定的竞争性磋商采购方式适用情形的。</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26.3.2出现影响采购公正的违法、违规行为的。</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26.3.3除本磋商文件第二章第26.1.2条第三款规定的情形外，在采购过程中符合要求的供应商或者最后报价未超过采购预算的供应商不足3家的。</w:t>
      </w:r>
      <w:r/>
    </w:p>
    <w:p>
      <w:pPr>
        <w:ind w:firstLine="480"/>
        <w:jc w:val="left"/>
        <w:pageBreakBefore w:val="0"/>
        <w:spacing w:line="440" w:lineRule="exact"/>
        <w:widowControl w:val="off"/>
        <w:tabs>
          <w:tab w:val="left" w:pos="900" w:leader="none"/>
        </w:tabs>
        <w:rPr>
          <w:rFonts w:hint="eastAsia" w:ascii="宋体" w:hAnsi="宋体" w:eastAsia="宋体" w:cs="宋体"/>
          <w:sz w:val="24"/>
          <w:szCs w:val="24"/>
        </w:rPr>
      </w:pPr>
      <w:r>
        <w:rPr>
          <w:rFonts w:hint="eastAsia" w:ascii="宋体" w:hAnsi="宋体" w:eastAsia="宋体" w:cs="宋体"/>
          <w:sz w:val="24"/>
          <w:szCs w:val="24"/>
        </w:rPr>
        <w:t xml:space="preserve">26.3.4在苏采云系统规定时间内成功解密电子响应文件的供应商不足3家的。</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199" w:name="_Toc20823307"/>
      <w:r/>
      <w:bookmarkStart w:id="200" w:name="_Toc513029235"/>
      <w:r/>
      <w:bookmarkStart w:id="201" w:name="_Toc16938551"/>
      <w:r/>
      <w:bookmarkStart w:id="202" w:name="_Toc120614219"/>
      <w:r/>
      <w:bookmarkStart w:id="203" w:name="_Toc10101"/>
      <w:r/>
      <w:bookmarkStart w:id="204" w:name="_Toc21207"/>
      <w:r>
        <w:rPr>
          <w:rFonts w:hint="eastAsia" w:ascii="宋体" w:hAnsi="宋体" w:eastAsia="宋体" w:cs="宋体"/>
          <w:b/>
          <w:bCs/>
          <w:sz w:val="32"/>
          <w:szCs w:val="32"/>
        </w:rPr>
        <w:t xml:space="preserve">六、</w:t>
      </w:r>
      <w:bookmarkEnd w:id="199"/>
      <w:r/>
      <w:bookmarkEnd w:id="200"/>
      <w:r/>
      <w:bookmarkEnd w:id="201"/>
      <w:r/>
      <w:bookmarkEnd w:id="202"/>
      <w:r>
        <w:rPr>
          <w:rFonts w:hint="eastAsia" w:ascii="宋体" w:hAnsi="宋体" w:eastAsia="宋体" w:cs="宋体"/>
          <w:b/>
          <w:bCs/>
          <w:sz w:val="32"/>
          <w:szCs w:val="32"/>
        </w:rPr>
        <w:t xml:space="preserve">成交</w:t>
      </w:r>
      <w:bookmarkEnd w:id="203"/>
      <w:r/>
      <w:bookmarkEnd w:id="204"/>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bookmarkStart w:id="205" w:name="_Toc513029238"/>
      <w:r/>
      <w:bookmarkStart w:id="206" w:name="_Toc16938554"/>
      <w:r/>
      <w:bookmarkStart w:id="207" w:name="_Toc20823310"/>
      <w:r>
        <w:rPr>
          <w:rFonts w:hint="eastAsia" w:ascii="宋体" w:hAnsi="宋体" w:eastAsia="宋体" w:cs="宋体"/>
          <w:b/>
          <w:bCs w:val="0"/>
          <w:sz w:val="28"/>
          <w:szCs w:val="28"/>
        </w:rPr>
        <w:t xml:space="preserve">27、</w:t>
      </w:r>
      <w:bookmarkEnd w:id="205"/>
      <w:r>
        <w:rPr>
          <w:rFonts w:hint="eastAsia" w:ascii="宋体" w:hAnsi="宋体" w:eastAsia="宋体" w:cs="宋体"/>
          <w:b/>
          <w:bCs w:val="0"/>
          <w:sz w:val="28"/>
          <w:szCs w:val="28"/>
        </w:rPr>
        <w:t xml:space="preserve">确定</w:t>
      </w:r>
      <w:bookmarkEnd w:id="206"/>
      <w:r/>
      <w:bookmarkEnd w:id="207"/>
      <w:r>
        <w:rPr>
          <w:rFonts w:hint="eastAsia" w:ascii="宋体" w:hAnsi="宋体" w:eastAsia="宋体" w:cs="宋体"/>
          <w:b/>
          <w:bCs w:val="0"/>
          <w:sz w:val="28"/>
          <w:szCs w:val="28"/>
        </w:rPr>
        <w:t xml:space="preserve">成交单位</w:t>
      </w:r>
      <w:r/>
    </w:p>
    <w:p>
      <w:pPr>
        <w:ind w:firstLine="480"/>
        <w:jc w:val="left"/>
        <w:keepLines w:val="0"/>
        <w:keepNext w:val="0"/>
        <w:pageBreakBefore w:val="0"/>
        <w:spacing w:line="420" w:lineRule="exact"/>
        <w:widowControl w:val="off"/>
        <w:tabs>
          <w:tab w:val="left" w:pos="900" w:leader="none"/>
        </w:tabs>
        <w:rPr>
          <w:rFonts w:hint="eastAsia" w:ascii="宋体" w:hAnsi="宋体" w:eastAsia="宋体" w:cs="宋体"/>
          <w:sz w:val="24"/>
          <w:szCs w:val="21"/>
        </w:rPr>
      </w:pPr>
      <w:r>
        <w:rPr>
          <w:rFonts w:hint="eastAsia" w:ascii="宋体" w:hAnsi="宋体" w:eastAsia="宋体" w:cs="宋体"/>
          <w:bCs/>
          <w:sz w:val="24"/>
          <w:szCs w:val="21"/>
        </w:rPr>
        <w:t xml:space="preserve">27.1</w:t>
      </w:r>
      <w:r>
        <w:rPr>
          <w:rFonts w:hint="eastAsia" w:ascii="宋体" w:hAnsi="宋体" w:eastAsia="宋体" w:cs="宋体"/>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w:t>
      </w:r>
      <w:r>
        <w:rPr>
          <w:rFonts w:hint="eastAsia" w:ascii="宋体" w:hAnsi="宋体" w:eastAsia="宋体" w:cs="宋体"/>
          <w:sz w:val="24"/>
          <w:szCs w:val="21"/>
          <w:lang w:val="en-US" w:eastAsia="zh-CN"/>
        </w:rPr>
        <w:t xml:space="preserve">由采购人在磋商小组监督下</w:t>
      </w:r>
      <w:r>
        <w:rPr>
          <w:rFonts w:hint="eastAsia" w:ascii="宋体" w:hAnsi="宋体" w:eastAsia="宋体" w:cs="宋体"/>
          <w:sz w:val="24"/>
          <w:szCs w:val="21"/>
        </w:rPr>
        <w:t xml:space="preserve">现场抽签</w:t>
      </w:r>
      <w:r>
        <w:rPr>
          <w:rFonts w:hint="eastAsia" w:ascii="宋体" w:hAnsi="宋体" w:eastAsia="宋体" w:cs="宋体"/>
          <w:sz w:val="24"/>
          <w:szCs w:val="21"/>
          <w:lang w:val="en-US" w:eastAsia="zh-CN"/>
        </w:rPr>
        <w:t xml:space="preserve">确定第一成交候选人</w:t>
      </w:r>
      <w:r>
        <w:rPr>
          <w:rFonts w:hint="eastAsia" w:ascii="宋体" w:hAnsi="宋体" w:eastAsia="宋体" w:cs="宋体"/>
          <w:sz w:val="24"/>
          <w:szCs w:val="21"/>
        </w:rPr>
        <w:t xml:space="preserve">。</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27.2采购人从评审报告提出的成交候选供应商中，按照</w:t>
      </w:r>
      <w:r>
        <w:rPr>
          <w:rFonts w:hint="eastAsia" w:ascii="宋体" w:hAnsi="宋体" w:eastAsia="宋体" w:cs="宋体"/>
          <w:bCs/>
          <w:sz w:val="24"/>
          <w:szCs w:val="21"/>
          <w:lang w:val="en-US" w:eastAsia="zh-CN"/>
        </w:rPr>
        <w:t xml:space="preserve">得分</w:t>
      </w:r>
      <w:r>
        <w:rPr>
          <w:rFonts w:hint="eastAsia" w:ascii="宋体" w:hAnsi="宋体" w:eastAsia="宋体" w:cs="宋体"/>
          <w:bCs/>
          <w:sz w:val="24"/>
          <w:szCs w:val="21"/>
        </w:rPr>
        <w:t xml:space="preserve">排序由高到低的原则确定成交供应商。采购人确定成交供应商后，</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将在“江苏政府采购网”发布成交结果公告，公告期限为1个工作日。</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27.3若有充分证据证明，成交供应商出现下列情况之一的，一经查实，将被取消成交资格：</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27.3.1提供虚假材料谋取成交的。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27.3.2与评审专家、采购人、其他供应商或者</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工作人员恶意串通的。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27.3.3向评审专家、采购人或</w:t>
      </w:r>
      <w:r>
        <w:rPr>
          <w:rFonts w:hint="eastAsia" w:ascii="宋体" w:hAnsi="宋体" w:eastAsia="宋体" w:cs="宋体"/>
          <w:bCs/>
          <w:sz w:val="24"/>
          <w:szCs w:val="21"/>
          <w:lang w:eastAsia="zh-CN"/>
        </w:rPr>
        <w:t xml:space="preserve">泰州中政</w:t>
      </w:r>
      <w:r>
        <w:rPr>
          <w:rFonts w:hint="eastAsia" w:ascii="宋体" w:hAnsi="宋体" w:eastAsia="宋体" w:cs="宋体"/>
          <w:bCs/>
          <w:sz w:val="24"/>
          <w:szCs w:val="21"/>
        </w:rPr>
        <w:t xml:space="preserve">工作人员行贿或者提供其他不正当利益的。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27.3.4恶意竞争，最后报价明显低于其自身合理成本且又无法提供证明的。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27.3.5不满足本磋商文件规定的实质性要求，但在评审过程中又未被磋商小组发现的。</w:t>
      </w:r>
      <w:r/>
    </w:p>
    <w:p>
      <w:pPr>
        <w:ind w:firstLine="480"/>
        <w:jc w:val="left"/>
        <w:keepLines w:val="0"/>
        <w:keepNext w:val="0"/>
        <w:pageBreakBefore w:val="0"/>
        <w:spacing w:line="42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27.3.6成交后无正当理由拒不与采购人签订政府采购合同或者未按照磋商文件确定的事项签订政府采购合同的。</w:t>
      </w:r>
      <w:r/>
    </w:p>
    <w:p>
      <w:pPr>
        <w:ind w:firstLine="480"/>
        <w:jc w:val="left"/>
        <w:pageBreakBefore w:val="0"/>
        <w:spacing w:line="440" w:lineRule="exact"/>
        <w:widowControl w:val="off"/>
        <w:rPr>
          <w:rFonts w:hint="eastAsia" w:ascii="宋体" w:hAnsi="宋体" w:eastAsia="宋体" w:cs="宋体"/>
          <w:bCs/>
          <w:sz w:val="24"/>
          <w:szCs w:val="21"/>
        </w:rPr>
      </w:pPr>
      <w:r>
        <w:rPr>
          <w:rFonts w:hint="eastAsia" w:ascii="宋体" w:hAnsi="宋体" w:eastAsia="宋体" w:cs="宋体"/>
          <w:bCs/>
          <w:sz w:val="24"/>
          <w:szCs w:val="21"/>
        </w:rPr>
        <w:t xml:space="preserve">27.3.7将政府采购合同转包的。</w:t>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bookmarkStart w:id="208" w:name="_Toc200451960"/>
      <w:r>
        <w:rPr>
          <w:rFonts w:hint="eastAsia" w:ascii="宋体" w:hAnsi="宋体" w:eastAsia="宋体" w:cs="宋体"/>
          <w:b/>
          <w:bCs w:val="0"/>
          <w:sz w:val="28"/>
          <w:szCs w:val="28"/>
        </w:rPr>
        <w:t xml:space="preserve">28、质疑处理</w:t>
      </w:r>
      <w:bookmarkEnd w:id="208"/>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28.1 提出质疑的供应商应当是参与所质疑项目采购活动的供应商。潜在供应商依法获取其可质疑的采购文件的，可以对采购文件提出质疑。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28.2供应商认为采购文件、采购过程和采购结果使自己的权益受到损害的，可以在知道或应知其权益受到损害之日起七个工作日内，以书面形式根据下述28.4条款的规定向</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或采购人提出质疑。上述应知其权益受到损害之日，是指：</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28.2.1对可以质疑的采购文件提出质疑的，为收到采购文件之日或者采购文件公告期限届满之日。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28.2.2对采购过程提出质疑的，为各采购程序环节结束之日。</w:t>
      </w:r>
      <w:r>
        <w:rPr>
          <w:rFonts w:hint="eastAsia" w:ascii="宋体" w:hAnsi="宋体" w:eastAsia="宋体" w:cs="宋体"/>
          <w:sz w:val="24"/>
          <w:szCs w:val="24"/>
        </w:rPr>
        <w:br w:type="textWrapping" w:clear="all"/>
      </w:r>
      <w:r>
        <w:rPr>
          <w:rFonts w:hint="eastAsia" w:ascii="宋体" w:hAnsi="宋体" w:eastAsia="宋体" w:cs="宋体"/>
          <w:sz w:val="24"/>
          <w:szCs w:val="24"/>
        </w:rPr>
        <w:t xml:space="preserve">　　28.2.3对成交结果提出质疑的，为成交结果公告期限届满之日。</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供应商应当在法定质疑期内一次性提出针对同一采购程序环节的质疑。供应商如在法定期限内对同一采购程序环节提出多次质疑的，</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、采购人将只对供应商第一次质疑作出答复。</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28.3质疑函必须按照本磋商文件中《质疑函范本》要求的格式和内容进行填写。供应商如组成联合体参加磋商，则《质疑函范本》中要求签字、盖章、加盖公章之处，联合体各方均须按要求签字、盖章、加盖公章。</w:t>
      </w:r>
      <w:r/>
    </w:p>
    <w:p>
      <w:pPr>
        <w:ind w:firstLine="480"/>
        <w:jc w:val="left"/>
        <w:pageBreakBefore w:val="0"/>
        <w:spacing w:line="440" w:lineRule="exact"/>
        <w:widowControl w:val="off"/>
        <w:rPr>
          <w:rFonts w:hint="eastAsia" w:ascii="宋体" w:hAnsi="宋体" w:eastAsia="宋体" w:cs="宋体"/>
          <w:b/>
          <w:sz w:val="24"/>
          <w:szCs w:val="24"/>
        </w:rPr>
      </w:pPr>
      <w:r>
        <w:rPr>
          <w:rFonts w:hint="eastAsia" w:ascii="宋体" w:hAnsi="宋体" w:eastAsia="宋体" w:cs="宋体"/>
          <w:sz w:val="24"/>
          <w:szCs w:val="24"/>
        </w:rPr>
        <w:t xml:space="preserve">28.4 供应商（含潜在供应商）对采购方式、采购需求、供应商资格条件、评审方法与评审标准、合同文本的询问、质疑请向采购人提出，由采购人负责答复。供应商对其他事项的询问、质疑请向</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提出，由</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负责答复。</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采购人及</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只接收以纸质原件形式送达的质疑,建议供应商尽量通过邮寄方式提交质疑（采购人和</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不接受无快递运单号的快递）。</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lang w:eastAsia="zh-CN"/>
        </w:rPr>
        <w:t xml:space="preserve">泰州中政</w:t>
      </w:r>
      <w:r>
        <w:rPr>
          <w:rFonts w:hint="eastAsia" w:ascii="宋体" w:hAnsi="宋体" w:eastAsia="宋体" w:cs="宋体"/>
          <w:sz w:val="24"/>
          <w:szCs w:val="24"/>
          <w:lang w:val="en-US" w:eastAsia="zh-CN"/>
        </w:rPr>
        <w:t xml:space="preserve">及</w:t>
      </w:r>
      <w:r>
        <w:rPr>
          <w:rFonts w:hint="eastAsia" w:ascii="宋体" w:hAnsi="宋体" w:eastAsia="宋体" w:cs="宋体"/>
          <w:sz w:val="24"/>
          <w:szCs w:val="24"/>
        </w:rPr>
        <w:t xml:space="preserve">采购人质疑接收人及联系方式见本磋商文件第一章。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 以下情形的质疑不予受理</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28.5.1 内容不符合《政府采购质疑和投诉办法》第十二条规定的质疑。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28.5.2 超出政府采购法定期限的质疑。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28.5.3 以传真、电子邮件等方式递交的非原件形式的质疑。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28.5.4 未参加磋商活动的供应商或在磋商活动中自身权益未受到损害的供应商所提出的质疑。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28.5.5供应商组成联合体参加磋商，联合体中任何一方或多方未按要求签字、盖章、加盖公章的质疑。</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28.6  供应商提出书面质疑必须有理、有据，不得捏造事实、提供虚假材料进行恶意质疑。否则，一经查实，</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有权依据政府采购的有关规定，报请政府采购监管部门对该供应商进行相应的行政处罚和记录该供应商的失信信息。</w:t>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29、成交通知书</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29.1成交结果确定后，</w:t>
      </w:r>
      <w:r>
        <w:rPr>
          <w:rFonts w:hint="eastAsia" w:ascii="宋体" w:hAnsi="宋体" w:eastAsia="宋体" w:cs="宋体"/>
          <w:sz w:val="24"/>
          <w:szCs w:val="24"/>
          <w:lang w:eastAsia="zh-CN"/>
        </w:rPr>
        <w:t xml:space="preserve">泰州中政</w:t>
      </w:r>
      <w:r>
        <w:rPr>
          <w:rFonts w:hint="eastAsia" w:ascii="宋体" w:hAnsi="宋体" w:eastAsia="宋体" w:cs="宋体"/>
          <w:sz w:val="24"/>
          <w:szCs w:val="24"/>
        </w:rPr>
        <w:t xml:space="preserve">将向成交供应商发出成交通知书。请成交供应商在成交结果公告届满之日起30日内,</w:t>
      </w:r>
      <w:r>
        <w:rPr>
          <w:rFonts w:hint="eastAsia" w:ascii="宋体" w:hAnsi="宋体" w:eastAsia="宋体" w:cs="宋体"/>
          <w:sz w:val="24"/>
          <w:szCs w:val="24"/>
          <w:lang w:val="en-US" w:eastAsia="zh-CN"/>
        </w:rPr>
        <w:t xml:space="preserve">至泰州中政领取成交通知书</w:t>
      </w:r>
      <w:r>
        <w:rPr>
          <w:rFonts w:hint="eastAsia" w:ascii="宋体" w:hAnsi="宋体" w:eastAsia="宋体" w:cs="宋体"/>
          <w:sz w:val="24"/>
          <w:szCs w:val="24"/>
        </w:rPr>
        <w:t xml:space="preserve">。</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p>
    <w:p>
      <w:pPr>
        <w:ind w:left="0" w:firstLine="0"/>
        <w:jc w:val="center"/>
        <w:keepLines/>
        <w:keepNext/>
        <w:pageBreakBefore w:val="0"/>
        <w:spacing w:line="440" w:lineRule="exact"/>
        <w:widowControl w:val="off"/>
        <w:rPr>
          <w:rFonts w:hint="eastAsia" w:ascii="宋体" w:hAnsi="宋体" w:eastAsia="宋体" w:cs="宋体"/>
          <w:b/>
          <w:bCs/>
          <w:sz w:val="32"/>
          <w:szCs w:val="32"/>
        </w:rPr>
        <w:outlineLvl w:val="0"/>
      </w:pPr>
      <w:r/>
      <w:bookmarkStart w:id="209" w:name="_Toc30717"/>
      <w:r/>
      <w:bookmarkStart w:id="210" w:name="_Toc16938552"/>
      <w:r/>
      <w:bookmarkStart w:id="211" w:name="_Toc513029236"/>
      <w:r/>
      <w:bookmarkStart w:id="212" w:name="_Toc20823308"/>
      <w:r/>
      <w:bookmarkStart w:id="213" w:name="_Toc120614220"/>
      <w:r/>
      <w:bookmarkStart w:id="214" w:name="_Toc16330"/>
      <w:r>
        <w:rPr>
          <w:rFonts w:hint="eastAsia" w:ascii="宋体" w:hAnsi="宋体" w:eastAsia="宋体" w:cs="宋体"/>
          <w:b/>
          <w:bCs/>
          <w:sz w:val="32"/>
          <w:szCs w:val="32"/>
        </w:rPr>
        <w:t xml:space="preserve">七、授予合同</w:t>
      </w:r>
      <w:bookmarkEnd w:id="209"/>
      <w:r/>
      <w:bookmarkEnd w:id="210"/>
      <w:r/>
      <w:bookmarkEnd w:id="211"/>
      <w:r/>
      <w:bookmarkEnd w:id="212"/>
      <w:r/>
      <w:bookmarkEnd w:id="213"/>
      <w:r/>
      <w:bookmarkEnd w:id="214"/>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bookmarkStart w:id="215" w:name="_Toc513029237"/>
      <w:r/>
      <w:bookmarkStart w:id="216" w:name="_Toc20823309"/>
      <w:r/>
      <w:bookmarkStart w:id="217" w:name="_Toc16938553"/>
      <w:r>
        <w:rPr>
          <w:rFonts w:hint="eastAsia" w:ascii="宋体" w:hAnsi="宋体" w:eastAsia="宋体" w:cs="宋体"/>
          <w:b/>
          <w:bCs w:val="0"/>
          <w:sz w:val="28"/>
          <w:szCs w:val="28"/>
        </w:rPr>
        <w:t xml:space="preserve">30. 签订合同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bCs/>
          <w:sz w:val="24"/>
          <w:szCs w:val="24"/>
        </w:rPr>
        <w:t xml:space="preserve">30</w:t>
      </w:r>
      <w:r>
        <w:rPr>
          <w:rFonts w:hint="eastAsia" w:ascii="宋体" w:hAnsi="宋体" w:eastAsia="宋体" w:cs="宋体"/>
          <w:sz w:val="24"/>
          <w:szCs w:val="24"/>
        </w:rPr>
        <w:t xml:space="preserve">.l成交供应商应当在成交通知书发出之日起三十日内，按照磋商文件确定的事项与采购人签订政府采购合同。</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30.2磋商文件、成交供应商的响应文件及磋商过程中有关澄清、承诺文件均应作为合同附件。</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30.3 签订合同后，成交供应商不得将合同标的进行转包。未经采购人同意，成交供应商也不得采用分包形式履行合同,否则采购人有权终止合同。转包或分包造成采购人损失的，成交供应商应承担相应赔偿责任。</w:t>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31、标的物的追加</w:t>
      </w:r>
      <w:r/>
    </w:p>
    <w:p>
      <w:pPr>
        <w:ind w:firstLine="480"/>
        <w:jc w:val="left"/>
        <w:pageBreakBefore w:val="0"/>
        <w:spacing w:line="44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31.1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bookmarkEnd w:id="215"/>
      <w:r/>
      <w:bookmarkEnd w:id="216"/>
      <w:r/>
      <w:bookmarkEnd w:id="217"/>
      <w:r/>
      <w:r/>
    </w:p>
    <w:p>
      <w:pPr>
        <w:ind w:firstLine="562"/>
        <w:jc w:val="left"/>
        <w:keepLines/>
        <w:keepNext/>
        <w:pageBreakBefore w:val="0"/>
        <w:spacing w:line="440" w:lineRule="exact"/>
        <w:widowControl w:val="off"/>
        <w:rPr>
          <w:rFonts w:hint="eastAsia" w:ascii="宋体" w:hAnsi="宋体" w:eastAsia="宋体" w:cs="宋体"/>
          <w:b/>
          <w:bCs w:val="0"/>
          <w:sz w:val="28"/>
          <w:szCs w:val="28"/>
        </w:rPr>
        <w:outlineLvl w:val="1"/>
      </w:pPr>
      <w:r>
        <w:rPr>
          <w:rFonts w:hint="eastAsia" w:ascii="宋体" w:hAnsi="宋体" w:eastAsia="宋体" w:cs="宋体"/>
          <w:b/>
          <w:bCs w:val="0"/>
          <w:sz w:val="28"/>
          <w:szCs w:val="28"/>
        </w:rPr>
        <w:t xml:space="preserve">32、政府采购履约资金扶持政策</w:t>
      </w:r>
      <w:r/>
    </w:p>
    <w:p>
      <w:pPr>
        <w:ind w:firstLine="480"/>
        <w:jc w:val="left"/>
        <w:pageBreakBefore w:val="0"/>
        <w:spacing w:line="440" w:lineRule="exact"/>
        <w:widowControl w:val="off"/>
        <w:rPr>
          <w:rFonts w:hint="eastAsia" w:ascii="宋体" w:hAnsi="宋体" w:eastAsia="宋体" w:cs="宋体"/>
          <w:bCs/>
          <w:sz w:val="24"/>
          <w:szCs w:val="24"/>
        </w:rPr>
      </w:pPr>
      <w:r>
        <w:rPr>
          <w:rFonts w:hint="eastAsia" w:ascii="宋体" w:hAnsi="宋体" w:eastAsia="宋体" w:cs="宋体"/>
          <w:bCs/>
          <w:sz w:val="24"/>
          <w:szCs w:val="24"/>
        </w:rPr>
        <w:t xml:space="preserve">成交供应商可凭政府采购合同办理融资贷款，详情请见江苏政府采购网“政采贷”专栏。</w:t>
      </w:r>
      <w:r/>
    </w:p>
    <w:p>
      <w:pPr>
        <w:numPr>
          <w:ilvl w:val="0"/>
          <w:numId w:val="1"/>
        </w:numPr>
        <w:ind w:firstLine="403"/>
        <w:jc w:val="center"/>
        <w:keepLines/>
        <w:keepNext/>
        <w:pageBreakBefore/>
        <w:spacing w:before="200" w:after="200"/>
        <w:widowControl/>
        <w:rPr>
          <w:rFonts w:hint="default" w:ascii="宋体" w:hAnsi="宋体" w:eastAsia="宋体" w:cs="宋体"/>
          <w:b/>
          <w:bCs/>
          <w:sz w:val="44"/>
          <w:szCs w:val="44"/>
          <w:lang w:val="en-US" w:eastAsia="zh-CN"/>
        </w:rPr>
      </w:pPr>
      <w:r/>
      <w:bookmarkStart w:id="218" w:name="_Toc18251"/>
      <w:r>
        <w:rPr>
          <w:rFonts w:hint="eastAsia" w:ascii="宋体" w:hAnsi="宋体" w:eastAsia="宋体" w:cs="宋体"/>
          <w:b/>
          <w:bCs/>
          <w:sz w:val="44"/>
          <w:szCs w:val="44"/>
          <w:lang w:val="en-US" w:eastAsia="zh-CN"/>
        </w:rPr>
        <w:t xml:space="preserve">合同文本</w:t>
      </w:r>
      <w:bookmarkEnd w:id="218"/>
      <w:r/>
      <w:r/>
    </w:p>
    <w:p>
      <w:pPr>
        <w:ind w:left="0" w:firstLine="560"/>
        <w:jc w:val="center"/>
        <w:spacing w:before="156" w:after="156"/>
        <w:rPr>
          <w:rFonts w:ascii="宋体" w:hAnsi="宋体"/>
          <w:b/>
          <w:sz w:val="30"/>
          <w:szCs w:val="21"/>
        </w:rPr>
        <w:outlineLvl w:val="0"/>
      </w:pPr>
      <w:r/>
      <w:bookmarkStart w:id="219" w:name="_Toc32603"/>
      <w:r/>
      <w:bookmarkStart w:id="220" w:name="_Toc11693"/>
      <w:r/>
      <w:bookmarkStart w:id="221" w:name="_Toc84"/>
      <w:r>
        <w:rPr>
          <w:rFonts w:hint="eastAsia" w:ascii="宋体" w:hAnsi="宋体"/>
          <w:b/>
          <w:sz w:val="30"/>
          <w:szCs w:val="21"/>
        </w:rPr>
        <w:t xml:space="preserve">江苏省政府采购合同（合同编号）</w:t>
      </w:r>
      <w:bookmarkEnd w:id="219"/>
      <w:r/>
      <w:bookmarkEnd w:id="220"/>
      <w:r/>
      <w:bookmarkEnd w:id="221"/>
      <w:r/>
      <w:r/>
    </w:p>
    <w:p>
      <w:pPr>
        <w:ind w:left="0" w:firstLine="560"/>
        <w:jc w:val="center"/>
        <w:spacing w:before="156" w:after="156"/>
        <w:rPr>
          <w:rFonts w:hint="eastAsia" w:ascii="宋体" w:hAnsi="宋体"/>
          <w:b/>
          <w:bCs/>
          <w:sz w:val="30"/>
          <w:szCs w:val="20"/>
        </w:rPr>
        <w:outlineLvl w:val="9"/>
      </w:pPr>
      <w:r/>
      <w:bookmarkStart w:id="222" w:name="_Toc9959"/>
      <w:r>
        <w:rPr>
          <w:rFonts w:hint="eastAsia" w:ascii="宋体" w:hAnsi="宋体"/>
          <w:b/>
          <w:sz w:val="30"/>
          <w:szCs w:val="21"/>
        </w:rPr>
        <w:t xml:space="preserve">（适用于服务类项目）</w:t>
      </w:r>
      <w:bookmarkEnd w:id="222"/>
      <w:r/>
      <w:r/>
    </w:p>
    <w:p>
      <w:pPr>
        <w:ind w:left="0" w:firstLine="446"/>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项目名称： ****                                    </w:t>
      </w:r>
      <w:r/>
    </w:p>
    <w:p>
      <w:pPr>
        <w:ind w:left="0" w:firstLine="446"/>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项目编号：</w:t>
      </w:r>
      <w:r>
        <w:rPr>
          <w:rFonts w:hint="eastAsia" w:ascii="宋体" w:hAnsi="宋体" w:cs="Courier New"/>
          <w:sz w:val="24"/>
          <w:szCs w:val="24"/>
        </w:rPr>
        <w:t xml:space="preserve">*</w:t>
      </w:r>
      <w:r>
        <w:rPr>
          <w:rFonts w:ascii="宋体" w:hAnsi="宋体" w:cs="Courier New"/>
          <w:sz w:val="24"/>
          <w:szCs w:val="24"/>
        </w:rPr>
        <w:t xml:space="preserve">**</w:t>
      </w:r>
      <w:r/>
    </w:p>
    <w:p>
      <w:pPr>
        <w:ind w:left="0" w:firstLine="446"/>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采购包号：*</w:t>
      </w:r>
      <w:r>
        <w:rPr>
          <w:rFonts w:ascii="宋体" w:hAnsi="宋体" w:cs="Courier New"/>
          <w:sz w:val="24"/>
          <w:szCs w:val="24"/>
        </w:rPr>
        <w:t xml:space="preserve">**</w:t>
      </w:r>
      <w:r/>
    </w:p>
    <w:p>
      <w:pPr>
        <w:ind w:left="0" w:firstLine="446"/>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甲方：（买方</w:t>
      </w:r>
      <w:r>
        <w:rPr>
          <w:rFonts w:hint="eastAsia" w:ascii="宋体" w:hAnsi="宋体" w:cs="Courier New"/>
          <w:sz w:val="24"/>
          <w:szCs w:val="24"/>
        </w:rPr>
        <w:t xml:space="preserve">/采购人</w:t>
      </w:r>
      <w:r>
        <w:rPr>
          <w:rFonts w:ascii="宋体" w:hAnsi="宋体" w:cs="Courier New"/>
          <w:sz w:val="24"/>
          <w:szCs w:val="24"/>
        </w:rPr>
        <w:t xml:space="preserve">）_________</w:t>
      </w:r>
      <w:r/>
    </w:p>
    <w:p>
      <w:pPr>
        <w:ind w:left="0" w:firstLine="446"/>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乙方：（卖方</w:t>
      </w:r>
      <w:r>
        <w:rPr>
          <w:rFonts w:hint="eastAsia" w:ascii="宋体" w:hAnsi="宋体" w:cs="Courier New"/>
          <w:sz w:val="24"/>
          <w:szCs w:val="24"/>
        </w:rPr>
        <w:t xml:space="preserve">/成交</w:t>
      </w:r>
      <w:r>
        <w:rPr>
          <w:rFonts w:ascii="宋体" w:hAnsi="宋体" w:cs="Courier New"/>
          <w:sz w:val="24"/>
          <w:szCs w:val="24"/>
        </w:rPr>
        <w:t xml:space="preserve">供应商）_________</w:t>
      </w:r>
      <w:r/>
    </w:p>
    <w:p>
      <w:pPr>
        <w:ind w:left="0" w:firstLine="446"/>
        <w:keepLines w:val="0"/>
        <w:keepNext w:val="0"/>
        <w:pageBreakBefore w:val="0"/>
        <w:spacing w:line="460" w:lineRule="exact"/>
        <w:widowControl w:val="off"/>
        <w:rPr>
          <w:rFonts w:ascii="宋体" w:hAnsi="宋体" w:cs="Courier New"/>
          <w:b/>
          <w:sz w:val="24"/>
          <w:szCs w:val="24"/>
        </w:rPr>
      </w:pPr>
      <w:r>
        <w:rPr>
          <w:rFonts w:ascii="宋体" w:hAnsi="宋体" w:cs="Courier New"/>
          <w:sz w:val="24"/>
          <w:szCs w:val="24"/>
        </w:rPr>
        <w:t xml:space="preserve">甲、乙双方根据</w:t>
      </w:r>
      <w:r>
        <w:rPr>
          <w:rFonts w:hint="eastAsia" w:ascii="宋体" w:hAnsi="宋体" w:cs="Courier New"/>
          <w:sz w:val="24"/>
          <w:szCs w:val="24"/>
          <w:u w:val="single"/>
        </w:rPr>
        <w:t xml:space="preserve">         </w:t>
      </w:r>
      <w:r>
        <w:rPr>
          <w:rFonts w:ascii="宋体" w:hAnsi="宋体" w:cs="Courier New"/>
          <w:sz w:val="24"/>
          <w:szCs w:val="24"/>
        </w:rPr>
        <w:t xml:space="preserve">项目</w:t>
      </w:r>
      <w:r>
        <w:rPr>
          <w:rFonts w:hint="eastAsia" w:ascii="宋体" w:hAnsi="宋体" w:cs="Courier New"/>
          <w:sz w:val="24"/>
          <w:szCs w:val="24"/>
        </w:rPr>
        <w:t xml:space="preserve">竞争性磋商</w:t>
      </w:r>
      <w:r>
        <w:rPr>
          <w:rFonts w:ascii="宋体" w:hAnsi="宋体" w:cs="Courier New"/>
          <w:sz w:val="24"/>
          <w:szCs w:val="24"/>
        </w:rPr>
        <w:t xml:space="preserve">的结果，签署本合同。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3" w:name="_Toc3080"/>
      <w:r/>
      <w:bookmarkStart w:id="224" w:name="_Toc17044"/>
      <w:r>
        <w:rPr>
          <w:rFonts w:ascii="宋体" w:hAnsi="宋体" w:cs="Courier New"/>
          <w:b/>
          <w:sz w:val="24"/>
          <w:szCs w:val="24"/>
        </w:rPr>
        <w:t xml:space="preserve">一、</w:t>
      </w:r>
      <w:r>
        <w:rPr>
          <w:rFonts w:hint="eastAsia" w:ascii="宋体" w:hAnsi="宋体" w:cs="Courier New"/>
          <w:b/>
          <w:sz w:val="24"/>
          <w:szCs w:val="24"/>
        </w:rPr>
        <w:t xml:space="preserve">合同</w:t>
      </w:r>
      <w:r>
        <w:rPr>
          <w:rFonts w:ascii="宋体" w:hAnsi="宋体" w:cs="Courier New"/>
          <w:b/>
          <w:sz w:val="24"/>
          <w:szCs w:val="24"/>
        </w:rPr>
        <w:t xml:space="preserve">内容</w:t>
      </w:r>
      <w:bookmarkEnd w:id="223"/>
      <w:r/>
      <w:bookmarkEnd w:id="224"/>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1.1 </w:t>
      </w:r>
      <w:r>
        <w:rPr>
          <w:rFonts w:hint="eastAsia" w:ascii="宋体" w:hAnsi="宋体" w:cs="Courier New"/>
          <w:sz w:val="24"/>
          <w:szCs w:val="24"/>
        </w:rPr>
        <w:t xml:space="preserve">标的</w:t>
      </w:r>
      <w:r>
        <w:rPr>
          <w:rFonts w:ascii="宋体" w:hAnsi="宋体" w:cs="Courier New"/>
          <w:sz w:val="24"/>
          <w:szCs w:val="24"/>
        </w:rPr>
        <w:t xml:space="preserve">名称：</w:t>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1.2 </w:t>
      </w:r>
      <w:r>
        <w:rPr>
          <w:rFonts w:hint="eastAsia" w:ascii="宋体" w:hAnsi="宋体" w:cs="Courier New"/>
          <w:sz w:val="24"/>
          <w:szCs w:val="24"/>
        </w:rPr>
        <w:t xml:space="preserve">标的质量：</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1.3 标的数量（规模）：</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1.4 履行时间（期限）：</w:t>
      </w:r>
      <w:r/>
    </w:p>
    <w:p>
      <w:pPr>
        <w:ind w:left="0" w:firstLine="480"/>
        <w:keepLines w:val="0"/>
        <w:keepNext w:val="0"/>
        <w:pageBreakBefore w:val="0"/>
        <w:spacing w:line="460" w:lineRule="exact"/>
        <w:widowControl w:val="off"/>
        <w:rPr>
          <w:rFonts w:ascii="宋体" w:hAnsi="宋体" w:cs="Courier New"/>
          <w:sz w:val="24"/>
          <w:szCs w:val="24"/>
        </w:rPr>
      </w:pPr>
      <w:r>
        <w:rPr>
          <w:rFonts w:hint="eastAsia" w:ascii="宋体" w:hAnsi="宋体" w:cs="Courier New"/>
          <w:sz w:val="24"/>
          <w:szCs w:val="24"/>
        </w:rPr>
        <w:t xml:space="preserve">1.5 履行地点：</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6</w:t>
      </w:r>
      <w:r>
        <w:rPr>
          <w:rFonts w:ascii="宋体" w:hAnsi="宋体" w:cs="Courier New"/>
          <w:sz w:val="24"/>
          <w:szCs w:val="24"/>
        </w:rPr>
        <w:t xml:space="preserve"> </w:t>
      </w:r>
      <w:r>
        <w:rPr>
          <w:rFonts w:hint="eastAsia" w:ascii="宋体" w:hAnsi="宋体" w:cs="Courier New"/>
          <w:sz w:val="24"/>
          <w:szCs w:val="24"/>
        </w:rPr>
        <w:t xml:space="preserve">履行方式：</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5" w:name="_Toc25567"/>
      <w:r/>
      <w:bookmarkStart w:id="226" w:name="_Toc24230"/>
      <w:r>
        <w:rPr>
          <w:rFonts w:ascii="宋体" w:hAnsi="宋体" w:cs="Courier New"/>
          <w:b/>
          <w:sz w:val="24"/>
          <w:szCs w:val="24"/>
        </w:rPr>
        <w:t xml:space="preserve">二、合同金额</w:t>
      </w:r>
      <w:bookmarkEnd w:id="225"/>
      <w:r/>
      <w:bookmarkEnd w:id="226"/>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2.1 本合同金额为（大写）：_____</w:t>
      </w:r>
      <w:r>
        <w:rPr>
          <w:rFonts w:hint="eastAsia" w:ascii="宋体" w:hAnsi="宋体" w:cs="Courier New"/>
          <w:sz w:val="24"/>
          <w:szCs w:val="24"/>
        </w:rPr>
        <w:t xml:space="preserve">圆</w:t>
      </w:r>
      <w:r>
        <w:rPr>
          <w:rFonts w:ascii="宋体" w:hAnsi="宋体" w:cs="Courier New"/>
          <w:sz w:val="24"/>
          <w:szCs w:val="24"/>
        </w:rPr>
        <w:t xml:space="preserve">（______元）人民币</w:t>
      </w:r>
      <w:r>
        <w:rPr>
          <w:rFonts w:hint="eastAsia" w:ascii="宋体" w:hAnsi="宋体" w:cs="Courier New"/>
          <w:sz w:val="24"/>
          <w:szCs w:val="24"/>
        </w:rPr>
        <w:t xml:space="preserve">或其他币种</w:t>
      </w:r>
      <w:r>
        <w:rPr>
          <w:rFonts w:ascii="宋体" w:hAnsi="宋体" w:cs="Courier New"/>
          <w:sz w:val="24"/>
          <w:szCs w:val="24"/>
        </w:rPr>
        <w:t xml:space="preserve">。</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7" w:name="_Toc24107"/>
      <w:r/>
      <w:bookmarkStart w:id="228" w:name="_Toc19796"/>
      <w:r>
        <w:rPr>
          <w:rFonts w:ascii="宋体" w:hAnsi="宋体" w:cs="Courier New"/>
          <w:b/>
          <w:sz w:val="24"/>
          <w:szCs w:val="24"/>
        </w:rPr>
        <w:t xml:space="preserve">三、技术资料</w:t>
      </w:r>
      <w:bookmarkEnd w:id="227"/>
      <w:r/>
      <w:bookmarkEnd w:id="228"/>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3.1乙方应按</w:t>
      </w:r>
      <w:r>
        <w:rPr>
          <w:rFonts w:hint="eastAsia" w:ascii="宋体" w:hAnsi="宋体" w:cs="Courier New"/>
          <w:sz w:val="24"/>
          <w:szCs w:val="24"/>
        </w:rPr>
        <w:t xml:space="preserve">磋商</w:t>
      </w:r>
      <w:r>
        <w:rPr>
          <w:rFonts w:ascii="宋体" w:hAnsi="宋体" w:cs="Courier New"/>
          <w:sz w:val="24"/>
          <w:szCs w:val="24"/>
        </w:rPr>
        <w:t xml:space="preserve">文件规定的时间向甲方提供</w:t>
      </w:r>
      <w:r>
        <w:rPr>
          <w:rFonts w:hint="eastAsia" w:ascii="宋体" w:hAnsi="宋体" w:cs="Courier New"/>
          <w:sz w:val="24"/>
          <w:szCs w:val="24"/>
        </w:rPr>
        <w:t xml:space="preserve">与合同标的</w:t>
      </w:r>
      <w:r>
        <w:rPr>
          <w:rFonts w:ascii="宋体" w:hAnsi="宋体" w:cs="Courier New"/>
          <w:sz w:val="24"/>
          <w:szCs w:val="24"/>
        </w:rPr>
        <w:t xml:space="preserve">有关的技术资料。</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29" w:name="_Toc5532"/>
      <w:r/>
      <w:bookmarkStart w:id="230" w:name="_Toc8434"/>
      <w:r>
        <w:rPr>
          <w:rFonts w:ascii="宋体" w:hAnsi="宋体" w:cs="Courier New"/>
          <w:b/>
          <w:sz w:val="24"/>
          <w:szCs w:val="24"/>
        </w:rPr>
        <w:t xml:space="preserve">四、知识产权</w:t>
      </w:r>
      <w:bookmarkEnd w:id="229"/>
      <w:r/>
      <w:bookmarkEnd w:id="230"/>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4.1乙</w:t>
      </w:r>
      <w:r>
        <w:rPr>
          <w:rFonts w:hint="eastAsia" w:ascii="宋体" w:hAnsi="宋体" w:cs="Courier New"/>
          <w:sz w:val="24"/>
          <w:szCs w:val="24"/>
        </w:rPr>
        <w:t xml:space="preserve">方应保证甲方在使用、接受本合同标的或其任何一部分时不受第三方提出侵犯其专利权、版权、商标权和工业设计权等知识产权的起诉。一旦出现侵权，由乙方负全部责任。</w:t>
      </w:r>
      <w:r/>
    </w:p>
    <w:p>
      <w:pPr>
        <w:ind w:left="0" w:firstLine="482"/>
        <w:keepLines w:val="0"/>
        <w:keepNext w:val="0"/>
        <w:pageBreakBefore w:val="0"/>
        <w:spacing w:line="460" w:lineRule="exact"/>
        <w:widowControl w:val="off"/>
        <w:rPr>
          <w:rFonts w:ascii="宋体" w:hAnsi="宋体" w:cs="Courier New"/>
          <w:sz w:val="24"/>
          <w:szCs w:val="24"/>
          <w:u w:val="single"/>
        </w:rPr>
        <w:outlineLvl w:val="0"/>
      </w:pPr>
      <w:r/>
      <w:bookmarkStart w:id="231" w:name="_Toc31162"/>
      <w:r/>
      <w:bookmarkStart w:id="232" w:name="_Toc3413"/>
      <w:r>
        <w:rPr>
          <w:rFonts w:ascii="宋体" w:hAnsi="宋体" w:cs="Courier New"/>
          <w:b/>
          <w:sz w:val="24"/>
          <w:szCs w:val="24"/>
        </w:rPr>
        <w:t xml:space="preserve">五、产权担保</w:t>
      </w:r>
      <w:bookmarkEnd w:id="231"/>
      <w:r/>
      <w:bookmarkEnd w:id="232"/>
      <w:r/>
      <w:r/>
    </w:p>
    <w:p>
      <w:pPr>
        <w:ind w:left="0" w:firstLine="480"/>
        <w:keepLines w:val="0"/>
        <w:keepNext w:val="0"/>
        <w:pageBreakBefore w:val="0"/>
        <w:spacing w:line="460" w:lineRule="exact"/>
        <w:widowControl w:val="off"/>
        <w:rPr>
          <w:rFonts w:ascii="宋体" w:hAnsi="宋体" w:cs="Courier New"/>
          <w:sz w:val="24"/>
          <w:szCs w:val="24"/>
          <w:u w:val="single"/>
        </w:rPr>
      </w:pPr>
      <w:r>
        <w:rPr>
          <w:rFonts w:ascii="宋体" w:hAnsi="宋体" w:cs="Courier New"/>
          <w:sz w:val="24"/>
          <w:szCs w:val="24"/>
        </w:rPr>
        <w:t xml:space="preserve">5.1 乙方保证所交付的</w:t>
      </w:r>
      <w:r>
        <w:rPr>
          <w:rFonts w:hint="eastAsia" w:ascii="宋体" w:hAnsi="宋体" w:cs="Courier New"/>
          <w:sz w:val="24"/>
          <w:szCs w:val="24"/>
        </w:rPr>
        <w:t xml:space="preserve">合同标的</w:t>
      </w:r>
      <w:r>
        <w:rPr>
          <w:rFonts w:ascii="宋体" w:hAnsi="宋体" w:cs="Courier New"/>
          <w:sz w:val="24"/>
          <w:szCs w:val="24"/>
        </w:rPr>
        <w:t xml:space="preserve">的所有权完全属于乙方且无任何抵押、查封等产权瑕疵。</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33" w:name="_Toc26818"/>
      <w:r/>
      <w:bookmarkStart w:id="234" w:name="_Toc3304"/>
      <w:r>
        <w:rPr>
          <w:rFonts w:ascii="宋体" w:hAnsi="宋体" w:cs="Courier New"/>
          <w:b/>
          <w:sz w:val="24"/>
          <w:szCs w:val="24"/>
        </w:rPr>
        <w:t xml:space="preserve">六、履约保证金</w:t>
      </w:r>
      <w:bookmarkEnd w:id="233"/>
      <w:r/>
      <w:bookmarkEnd w:id="234"/>
      <w:r/>
      <w:r/>
    </w:p>
    <w:p>
      <w:pPr>
        <w:ind w:left="0" w:firstLine="480"/>
        <w:keepLines w:val="0"/>
        <w:keepNext w:val="0"/>
        <w:pageBreakBefore w:val="0"/>
        <w:spacing w:line="460" w:lineRule="exact"/>
        <w:widowControl w:val="off"/>
        <w:rPr>
          <w:rFonts w:hint="eastAsia" w:ascii="宋体" w:hAnsi="宋体" w:cs="Courier New"/>
          <w:sz w:val="24"/>
          <w:szCs w:val="24"/>
        </w:rPr>
      </w:pPr>
      <w:r>
        <w:rPr>
          <w:rFonts w:ascii="宋体" w:hAnsi="宋体" w:cs="Courier New"/>
          <w:sz w:val="24"/>
          <w:szCs w:val="24"/>
        </w:rPr>
        <w:t xml:space="preserve">6.1 乙方交纳人民币_________元作为本合同的履约保证金。</w:t>
      </w:r>
      <w:r>
        <w:rPr>
          <w:rFonts w:hint="eastAsia" w:ascii="宋体" w:hAnsi="宋体" w:cs="Courier New"/>
          <w:sz w:val="24"/>
          <w:szCs w:val="24"/>
        </w:rPr>
        <w:t xml:space="preserve">（不得超过合同金额的</w:t>
      </w:r>
      <w:r>
        <w:rPr>
          <w:rFonts w:hint="eastAsia" w:ascii="宋体" w:hAnsi="宋体" w:cs="Courier New"/>
          <w:sz w:val="24"/>
          <w:szCs w:val="24"/>
          <w:lang w:val="en-US" w:eastAsia="zh-CN"/>
        </w:rPr>
        <w:t xml:space="preserve">30</w:t>
      </w:r>
      <w:r>
        <w:rPr>
          <w:rFonts w:hint="eastAsia" w:ascii="宋体" w:hAnsi="宋体" w:cs="Courier New"/>
          <w:sz w:val="24"/>
          <w:szCs w:val="24"/>
        </w:rPr>
        <w:t xml:space="preserve">%</w:t>
      </w:r>
      <w:r>
        <w:rPr>
          <w:rFonts w:hint="eastAsia" w:ascii="宋体" w:hAnsi="宋体" w:cs="Courier New"/>
          <w:sz w:val="24"/>
          <w:szCs w:val="24"/>
          <w:lang w:eastAsia="zh-CN"/>
        </w:rPr>
        <w:t xml:space="preserve">，金额：履约保证金=预算金额×成交费率×</w:t>
      </w:r>
      <w:r>
        <w:rPr>
          <w:rFonts w:hint="eastAsia" w:ascii="宋体" w:hAnsi="宋体" w:cs="Courier New"/>
          <w:sz w:val="24"/>
          <w:szCs w:val="24"/>
          <w:lang w:val="en-US" w:eastAsia="zh-CN"/>
        </w:rPr>
        <w:t xml:space="preserve">30</w:t>
      </w:r>
      <w:r>
        <w:rPr>
          <w:rFonts w:hint="eastAsia" w:ascii="宋体" w:hAnsi="宋体" w:cs="Courier New"/>
          <w:sz w:val="24"/>
          <w:szCs w:val="24"/>
          <w:lang w:eastAsia="zh-CN"/>
        </w:rPr>
        <w:t xml:space="preserve">%</w:t>
      </w:r>
      <w:r>
        <w:rPr>
          <w:rFonts w:hint="eastAsia" w:ascii="宋体" w:hAnsi="宋体" w:cs="Courier New"/>
          <w:sz w:val="24"/>
          <w:szCs w:val="24"/>
        </w:rPr>
        <w:t xml:space="preserve">）</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6.2合同履行结束后，甲方应及时退还交纳的履约保证金。</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6.2.1履约保证金退还方式：*</w:t>
      </w:r>
      <w:r>
        <w:rPr>
          <w:rFonts w:ascii="宋体" w:hAnsi="宋体" w:cs="Courier New"/>
          <w:sz w:val="24"/>
          <w:szCs w:val="24"/>
        </w:rPr>
        <w:t xml:space="preserve">**</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6.2.2履约保证金退还时间：*</w:t>
      </w:r>
      <w:r>
        <w:rPr>
          <w:rFonts w:ascii="宋体" w:hAnsi="宋体" w:cs="Courier New"/>
          <w:sz w:val="24"/>
          <w:szCs w:val="24"/>
        </w:rPr>
        <w:t xml:space="preserve">**</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6.2.3履约保证金退还条件：*</w:t>
      </w:r>
      <w:r>
        <w:rPr>
          <w:rFonts w:ascii="宋体" w:hAnsi="宋体" w:cs="Courier New"/>
          <w:sz w:val="24"/>
          <w:szCs w:val="24"/>
        </w:rPr>
        <w:t xml:space="preserve">**</w:t>
      </w:r>
      <w:r/>
    </w:p>
    <w:p>
      <w:pPr>
        <w:ind w:left="0" w:firstLine="480"/>
        <w:keepLines w:val="0"/>
        <w:keepNext w:val="0"/>
        <w:pageBreakBefore w:val="0"/>
        <w:spacing w:line="460" w:lineRule="exact"/>
        <w:widowControl w:val="off"/>
        <w:rPr>
          <w:rFonts w:ascii="宋体" w:hAnsi="宋体" w:cs="Courier New"/>
          <w:sz w:val="24"/>
          <w:szCs w:val="24"/>
        </w:rPr>
      </w:pPr>
      <w:r>
        <w:rPr>
          <w:rFonts w:hint="eastAsia" w:ascii="宋体" w:hAnsi="宋体" w:cs="Courier New"/>
          <w:sz w:val="24"/>
          <w:szCs w:val="24"/>
        </w:rPr>
        <w:t xml:space="preserve">6.2.4履约保证金不予退还的情形：*</w:t>
      </w:r>
      <w:r>
        <w:rPr>
          <w:rFonts w:ascii="宋体" w:hAnsi="宋体" w:cs="Courier New"/>
          <w:sz w:val="24"/>
          <w:szCs w:val="24"/>
        </w:rPr>
        <w:t xml:space="preserve">**</w:t>
      </w:r>
      <w:r/>
    </w:p>
    <w:p>
      <w:pPr>
        <w:ind w:left="0" w:firstLine="482"/>
        <w:keepLines w:val="0"/>
        <w:keepNext w:val="0"/>
        <w:pageBreakBefore w:val="0"/>
        <w:spacing w:line="460" w:lineRule="exact"/>
        <w:widowControl w:val="off"/>
        <w:rPr>
          <w:rFonts w:ascii="宋体" w:hAnsi="宋体" w:eastAsia="仿宋_GB2312"/>
          <w:b/>
          <w:sz w:val="24"/>
          <w:szCs w:val="24"/>
        </w:rPr>
        <w:outlineLvl w:val="0"/>
      </w:pPr>
      <w:r/>
      <w:bookmarkStart w:id="235" w:name="_Toc22898"/>
      <w:r/>
      <w:bookmarkStart w:id="236" w:name="_Toc4267"/>
      <w:r>
        <w:rPr>
          <w:rFonts w:hint="eastAsia" w:ascii="宋体" w:hAnsi="宋体"/>
          <w:b/>
          <w:sz w:val="24"/>
          <w:szCs w:val="24"/>
        </w:rPr>
        <w:t xml:space="preserve">七、合同转包或分包</w:t>
      </w:r>
      <w:bookmarkEnd w:id="235"/>
      <w:r/>
      <w:bookmarkEnd w:id="236"/>
      <w:r/>
      <w:r/>
    </w:p>
    <w:p>
      <w:pPr>
        <w:ind w:left="0" w:firstLine="480"/>
        <w:keepLines w:val="0"/>
        <w:keepNext w:val="0"/>
        <w:pageBreakBefore w:val="0"/>
        <w:spacing w:line="460" w:lineRule="exact"/>
        <w:widowControl w:val="off"/>
        <w:rPr>
          <w:rFonts w:hint="eastAsia" w:ascii="宋体" w:hAnsi="宋体"/>
          <w:sz w:val="24"/>
          <w:szCs w:val="24"/>
        </w:rPr>
      </w:pPr>
      <w:r>
        <w:rPr>
          <w:rFonts w:hint="eastAsia" w:ascii="宋体" w:hAnsi="宋体"/>
          <w:sz w:val="24"/>
          <w:szCs w:val="24"/>
        </w:rPr>
        <w:t xml:space="preserve">7.1乙方不得将合同标的转包给他人履行。</w:t>
      </w:r>
      <w:r/>
    </w:p>
    <w:p>
      <w:pPr>
        <w:ind w:left="0" w:firstLine="480"/>
        <w:keepLines w:val="0"/>
        <w:keepNext w:val="0"/>
        <w:pageBreakBefore w:val="0"/>
        <w:spacing w:line="460" w:lineRule="exact"/>
        <w:widowControl w:val="off"/>
        <w:rPr>
          <w:rFonts w:hint="eastAsia" w:ascii="宋体" w:hAnsi="宋体"/>
          <w:sz w:val="24"/>
          <w:szCs w:val="24"/>
        </w:rPr>
      </w:pPr>
      <w:r>
        <w:rPr>
          <w:rFonts w:ascii="宋体" w:hAnsi="宋体"/>
          <w:sz w:val="24"/>
          <w:szCs w:val="24"/>
        </w:rPr>
        <w:t xml:space="preserve">7.2</w:t>
      </w:r>
      <w:r>
        <w:rPr>
          <w:rFonts w:hint="eastAsia" w:ascii="宋体" w:hAnsi="宋体"/>
          <w:sz w:val="24"/>
          <w:szCs w:val="24"/>
        </w:rPr>
        <w:t xml:space="preserve">乙方不得将合同标的分包给他人履行。</w:t>
      </w:r>
      <w:r/>
    </w:p>
    <w:p>
      <w:pPr>
        <w:ind w:left="0" w:firstLine="480"/>
        <w:keepLines w:val="0"/>
        <w:keepNext w:val="0"/>
        <w:pageBreakBefore w:val="0"/>
        <w:spacing w:line="460" w:lineRule="exact"/>
        <w:widowControl w:val="off"/>
        <w:rPr>
          <w:rFonts w:ascii="宋体" w:hAnsi="宋体" w:eastAsia="仿宋_GB2312"/>
          <w:sz w:val="24"/>
          <w:szCs w:val="24"/>
        </w:rPr>
      </w:pPr>
      <w:r>
        <w:rPr>
          <w:rFonts w:ascii="宋体" w:hAnsi="宋体"/>
          <w:sz w:val="24"/>
          <w:szCs w:val="24"/>
        </w:rPr>
        <w:t xml:space="preserve">7.3</w:t>
      </w:r>
      <w:r>
        <w:rPr>
          <w:rFonts w:hint="eastAsia" w:ascii="宋体" w:hAnsi="宋体"/>
          <w:sz w:val="24"/>
          <w:szCs w:val="24"/>
        </w:rPr>
        <w:t xml:space="preserve">乙方如有转包或未经甲方同意的分包行为，甲方有权解除合同。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37" w:name="_Toc19425"/>
      <w:r/>
      <w:bookmarkStart w:id="238" w:name="_Toc24126"/>
      <w:r>
        <w:rPr>
          <w:rFonts w:hint="eastAsia" w:ascii="宋体" w:hAnsi="宋体" w:cs="Courier New"/>
          <w:b/>
          <w:sz w:val="24"/>
          <w:szCs w:val="24"/>
        </w:rPr>
        <w:t xml:space="preserve">八</w:t>
      </w:r>
      <w:r>
        <w:rPr>
          <w:rFonts w:ascii="宋体" w:hAnsi="宋体" w:cs="Courier New"/>
          <w:b/>
          <w:sz w:val="24"/>
          <w:szCs w:val="24"/>
        </w:rPr>
        <w:t xml:space="preserve">、</w:t>
      </w:r>
      <w:r>
        <w:rPr>
          <w:rFonts w:hint="eastAsia" w:ascii="宋体" w:hAnsi="宋体" w:cs="Courier New"/>
          <w:b/>
          <w:sz w:val="24"/>
          <w:szCs w:val="24"/>
        </w:rPr>
        <w:t xml:space="preserve">合同款项</w:t>
      </w:r>
      <w:r>
        <w:rPr>
          <w:rFonts w:ascii="宋体" w:hAnsi="宋体" w:cs="Courier New"/>
          <w:b/>
          <w:sz w:val="24"/>
          <w:szCs w:val="24"/>
        </w:rPr>
        <w:t xml:space="preserve">支付</w:t>
      </w:r>
      <w:bookmarkEnd w:id="237"/>
      <w:r/>
      <w:bookmarkEnd w:id="238"/>
      <w:r/>
      <w:r/>
    </w:p>
    <w:p>
      <w:pPr>
        <w:ind w:left="0" w:firstLine="480"/>
        <w:keepLines w:val="0"/>
        <w:keepNext w:val="0"/>
        <w:pageBreakBefore w:val="0"/>
        <w:spacing w:line="460" w:lineRule="exact"/>
        <w:widowControl w:val="off"/>
        <w:rPr>
          <w:rFonts w:hint="eastAsia" w:ascii="宋体" w:hAnsi="宋体" w:eastAsia="仿宋"/>
          <w:sz w:val="24"/>
          <w:szCs w:val="24"/>
          <w:lang w:eastAsia="zh-CN"/>
        </w:rPr>
      </w:pPr>
      <w:r>
        <w:rPr>
          <w:rFonts w:ascii="宋体" w:hAnsi="宋体"/>
          <w:sz w:val="24"/>
          <w:szCs w:val="24"/>
        </w:rPr>
        <w:t xml:space="preserve">8</w:t>
      </w:r>
      <w:r>
        <w:rPr>
          <w:rFonts w:hint="eastAsia" w:ascii="宋体" w:hAnsi="宋体"/>
          <w:sz w:val="24"/>
          <w:szCs w:val="24"/>
        </w:rPr>
        <w:t xml:space="preserve">.</w:t>
      </w:r>
      <w:r>
        <w:rPr>
          <w:rFonts w:ascii="宋体" w:hAnsi="宋体"/>
          <w:sz w:val="24"/>
          <w:szCs w:val="24"/>
        </w:rPr>
        <w:t xml:space="preserve">1</w:t>
      </w:r>
      <w:r>
        <w:rPr>
          <w:rFonts w:hint="eastAsia" w:ascii="宋体" w:hAnsi="宋体"/>
          <w:sz w:val="24"/>
          <w:szCs w:val="24"/>
        </w:rPr>
        <w:t xml:space="preserve">合同款项的支付方式及进度安排</w:t>
      </w:r>
      <w:r>
        <w:rPr>
          <w:rFonts w:hint="eastAsia" w:ascii="宋体" w:hAnsi="宋体"/>
          <w:sz w:val="24"/>
          <w:szCs w:val="24"/>
          <w:lang w:eastAsia="zh-CN"/>
        </w:rPr>
        <w:t xml:space="preserve">：每月结算一次，乙方每月向甲方提供上个月的配送清单及对应的费用发票、</w:t>
      </w:r>
      <w:r>
        <w:rPr>
          <w:rFonts w:hint="eastAsia" w:ascii="宋体" w:hAnsi="宋体"/>
          <w:sz w:val="24"/>
          <w:szCs w:val="24"/>
          <w:lang w:val="en-US" w:eastAsia="zh-CN"/>
        </w:rPr>
        <w:t xml:space="preserve">兴化市</w:t>
      </w:r>
      <w:r>
        <w:rPr>
          <w:rFonts w:hint="eastAsia" w:ascii="宋体" w:hAnsi="宋体"/>
          <w:sz w:val="24"/>
          <w:szCs w:val="24"/>
          <w:lang w:eastAsia="zh-CN"/>
        </w:rPr>
        <w:t xml:space="preserve">发改委网站公布表，甲方在收到资料并审核通过后按实付款（按合同扣减相关费用）。</w:t>
      </w:r>
      <w:r/>
    </w:p>
    <w:p>
      <w:pPr>
        <w:ind w:left="0" w:firstLine="482"/>
        <w:keepLines w:val="0"/>
        <w:keepNext w:val="0"/>
        <w:pageBreakBefore w:val="0"/>
        <w:spacing w:line="460" w:lineRule="exact"/>
        <w:widowControl w:val="off"/>
        <w:rPr>
          <w:rFonts w:ascii="宋体" w:hAnsi="宋体" w:eastAsia="仿宋_GB2312"/>
          <w:b/>
          <w:sz w:val="24"/>
          <w:szCs w:val="24"/>
        </w:rPr>
        <w:outlineLvl w:val="0"/>
      </w:pPr>
      <w:r/>
      <w:bookmarkStart w:id="239" w:name="_Toc7407"/>
      <w:r/>
      <w:bookmarkStart w:id="240" w:name="_Toc23219"/>
      <w:r>
        <w:rPr>
          <w:rFonts w:hint="eastAsia" w:ascii="宋体" w:hAnsi="宋体"/>
          <w:b/>
          <w:sz w:val="24"/>
          <w:szCs w:val="24"/>
        </w:rPr>
        <w:t xml:space="preserve">九、税费</w:t>
      </w:r>
      <w:bookmarkEnd w:id="239"/>
      <w:r/>
      <w:bookmarkEnd w:id="240"/>
      <w:r/>
      <w:r/>
    </w:p>
    <w:p>
      <w:pPr>
        <w:ind w:left="0" w:firstLine="480"/>
        <w:keepLines w:val="0"/>
        <w:keepNext w:val="0"/>
        <w:pageBreakBefore w:val="0"/>
        <w:spacing w:line="460" w:lineRule="exact"/>
        <w:widowControl w:val="off"/>
        <w:rPr>
          <w:rFonts w:ascii="宋体" w:hAnsi="宋体" w:eastAsia="仿宋_GB2312"/>
          <w:sz w:val="24"/>
          <w:szCs w:val="24"/>
        </w:rPr>
      </w:pPr>
      <w:r>
        <w:rPr>
          <w:rFonts w:hint="eastAsia" w:ascii="宋体" w:hAnsi="宋体"/>
          <w:sz w:val="24"/>
          <w:szCs w:val="24"/>
        </w:rPr>
        <w:t xml:space="preserve">9</w:t>
      </w:r>
      <w:r>
        <w:rPr>
          <w:rFonts w:ascii="宋体" w:hAnsi="宋体"/>
          <w:sz w:val="24"/>
          <w:szCs w:val="24"/>
        </w:rPr>
        <w:t xml:space="preserve">.1</w:t>
      </w:r>
      <w:r>
        <w:rPr>
          <w:rFonts w:hint="eastAsia" w:ascii="宋体" w:hAnsi="宋体"/>
          <w:sz w:val="24"/>
          <w:szCs w:val="24"/>
        </w:rPr>
        <w:t xml:space="preserve">本合同执行中相关的一切税费均由乙方负担。</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1" w:name="_Toc24356"/>
      <w:r/>
      <w:bookmarkStart w:id="242" w:name="_Toc22136"/>
      <w:r>
        <w:rPr>
          <w:rFonts w:ascii="宋体" w:hAnsi="宋体" w:cs="Courier New"/>
          <w:b/>
          <w:sz w:val="24"/>
          <w:szCs w:val="24"/>
        </w:rPr>
        <w:t xml:space="preserve">十、</w:t>
      </w:r>
      <w:r>
        <w:rPr>
          <w:rFonts w:hint="eastAsia" w:ascii="宋体" w:hAnsi="宋体" w:cs="Courier New"/>
          <w:b/>
          <w:sz w:val="24"/>
          <w:szCs w:val="24"/>
        </w:rPr>
        <w:t xml:space="preserve">项目</w:t>
      </w:r>
      <w:r>
        <w:rPr>
          <w:rFonts w:ascii="宋体" w:hAnsi="宋体" w:cs="Courier New"/>
          <w:b/>
          <w:sz w:val="24"/>
          <w:szCs w:val="24"/>
        </w:rPr>
        <w:t xml:space="preserve">验收</w:t>
      </w:r>
      <w:bookmarkEnd w:id="241"/>
      <w:r/>
      <w:bookmarkEnd w:id="242"/>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10.1 甲方依法组织履约验收工作。</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10.3 对于实际使用人和甲方分离的项目，甲方邀请实际使用人参与验收。</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10.4 如有必要，甲方邀请参加本项目的其他供应商或第三方专业机构及专家参与验收，相关意见将作为验收书的参考资料。</w:t>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left="0" w:firstLine="480"/>
        <w:keepLines w:val="0"/>
        <w:keepNext w:val="0"/>
        <w:pageBreakBefore w:val="0"/>
        <w:spacing w:line="460" w:lineRule="exact"/>
        <w:widowControl w:val="off"/>
        <w:rPr>
          <w:rFonts w:ascii="宋体" w:hAnsi="宋体" w:cs="Courier New"/>
          <w:sz w:val="24"/>
          <w:szCs w:val="24"/>
        </w:rPr>
      </w:pPr>
      <w:r>
        <w:rPr>
          <w:rFonts w:hint="eastAsia" w:ascii="宋体" w:hAnsi="宋体" w:cs="Courier New"/>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3" w:name="_Toc25"/>
      <w:r/>
      <w:bookmarkStart w:id="244" w:name="_Toc6824"/>
      <w:r>
        <w:rPr>
          <w:rFonts w:ascii="宋体" w:hAnsi="宋体" w:cs="Courier New"/>
          <w:b/>
          <w:sz w:val="24"/>
          <w:szCs w:val="24"/>
        </w:rPr>
        <w:t xml:space="preserve">十</w:t>
      </w:r>
      <w:r>
        <w:rPr>
          <w:rFonts w:hint="eastAsia" w:ascii="宋体" w:hAnsi="宋体" w:cs="Courier New"/>
          <w:b/>
          <w:sz w:val="24"/>
          <w:szCs w:val="24"/>
        </w:rPr>
        <w:t xml:space="preserve">一</w:t>
      </w:r>
      <w:r>
        <w:rPr>
          <w:rFonts w:ascii="宋体" w:hAnsi="宋体" w:cs="Courier New"/>
          <w:b/>
          <w:sz w:val="24"/>
          <w:szCs w:val="24"/>
        </w:rPr>
        <w:t xml:space="preserve">、违约责任</w:t>
      </w:r>
      <w:bookmarkEnd w:id="243"/>
      <w:r/>
      <w:bookmarkEnd w:id="244"/>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.1甲方无正当理由</w:t>
      </w:r>
      <w:r>
        <w:rPr>
          <w:rFonts w:hint="eastAsia" w:ascii="宋体" w:hAnsi="宋体" w:cs="Courier New"/>
          <w:sz w:val="24"/>
          <w:szCs w:val="24"/>
        </w:rPr>
        <w:t xml:space="preserve">拒绝接受乙方提供的合同标的</w:t>
      </w:r>
      <w:r>
        <w:rPr>
          <w:rFonts w:ascii="宋体" w:hAnsi="宋体" w:cs="Courier New"/>
          <w:sz w:val="24"/>
          <w:szCs w:val="24"/>
        </w:rPr>
        <w:t xml:space="preserve">的，甲方向乙方偿付</w:t>
      </w:r>
      <w:r>
        <w:rPr>
          <w:rFonts w:hint="eastAsia" w:ascii="宋体" w:hAnsi="宋体" w:cs="Courier New"/>
          <w:sz w:val="24"/>
          <w:szCs w:val="24"/>
        </w:rPr>
        <w:t xml:space="preserve">拒绝接受合同价款</w:t>
      </w:r>
      <w:r>
        <w:rPr>
          <w:rFonts w:ascii="宋体" w:hAnsi="宋体" w:cs="Courier New"/>
          <w:sz w:val="24"/>
          <w:szCs w:val="24"/>
        </w:rPr>
        <w:t xml:space="preserve">总值</w:t>
      </w:r>
      <w:r>
        <w:rPr>
          <w:rFonts w:hint="eastAsia" w:ascii="宋体" w:hAnsi="宋体" w:cs="Courier New"/>
          <w:sz w:val="24"/>
          <w:szCs w:val="24"/>
          <w:u w:val="single"/>
        </w:rPr>
        <w:t xml:space="preserve">    </w:t>
      </w:r>
      <w:r>
        <w:rPr>
          <w:rFonts w:ascii="宋体" w:hAnsi="宋体" w:cs="Courier New"/>
          <w:sz w:val="24"/>
          <w:szCs w:val="24"/>
        </w:rPr>
        <w:t xml:space="preserve">的违约金。</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.2 甲方无故逾期验收和办理</w:t>
      </w:r>
      <w:r>
        <w:rPr>
          <w:rFonts w:hint="eastAsia" w:ascii="宋体" w:hAnsi="宋体" w:cs="Courier New"/>
          <w:sz w:val="24"/>
          <w:szCs w:val="24"/>
        </w:rPr>
        <w:t xml:space="preserve">合同款项</w:t>
      </w:r>
      <w:r>
        <w:rPr>
          <w:rFonts w:ascii="宋体" w:hAnsi="宋体" w:cs="Courier New"/>
          <w:sz w:val="24"/>
          <w:szCs w:val="24"/>
        </w:rPr>
        <w:t xml:space="preserve">支付手续的,甲方应按逾期付款总额</w:t>
      </w:r>
      <w:r>
        <w:rPr>
          <w:rFonts w:hint="eastAsia" w:ascii="宋体" w:hAnsi="宋体" w:cs="Courier New"/>
          <w:sz w:val="24"/>
          <w:szCs w:val="24"/>
          <w:u w:val="single"/>
        </w:rPr>
        <w:t xml:space="preserve">    </w:t>
      </w:r>
      <w:r>
        <w:rPr>
          <w:rFonts w:ascii="宋体" w:hAnsi="宋体" w:cs="Courier New"/>
          <w:sz w:val="24"/>
          <w:szCs w:val="24"/>
        </w:rPr>
        <w:t xml:space="preserve">每日向乙方支付违约金。</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.3 乙方逾期</w:t>
      </w:r>
      <w:r>
        <w:rPr>
          <w:rFonts w:hint="eastAsia" w:ascii="宋体" w:hAnsi="宋体" w:cs="Courier New"/>
          <w:sz w:val="24"/>
          <w:szCs w:val="24"/>
        </w:rPr>
        <w:t xml:space="preserve">交付合同标的</w:t>
      </w:r>
      <w:r>
        <w:rPr>
          <w:rFonts w:ascii="宋体" w:hAnsi="宋体" w:cs="Courier New"/>
          <w:sz w:val="24"/>
          <w:szCs w:val="24"/>
        </w:rPr>
        <w:t xml:space="preserve">的，乙方应按逾期</w:t>
      </w:r>
      <w:r>
        <w:rPr>
          <w:rFonts w:hint="eastAsia" w:ascii="宋体" w:hAnsi="宋体" w:cs="Courier New"/>
          <w:sz w:val="24"/>
          <w:szCs w:val="24"/>
        </w:rPr>
        <w:t xml:space="preserve">交付合同</w:t>
      </w:r>
      <w:r>
        <w:rPr>
          <w:rFonts w:ascii="宋体" w:hAnsi="宋体" w:cs="Courier New"/>
          <w:sz w:val="24"/>
          <w:szCs w:val="24"/>
        </w:rPr>
        <w:t xml:space="preserve">总额每日千分之六向甲方支付违约金，由甲方从待付</w:t>
      </w:r>
      <w:r>
        <w:rPr>
          <w:rFonts w:hint="eastAsia" w:ascii="宋体" w:hAnsi="宋体" w:cs="Courier New"/>
          <w:sz w:val="24"/>
          <w:szCs w:val="24"/>
        </w:rPr>
        <w:t xml:space="preserve">合同款项</w:t>
      </w:r>
      <w:r>
        <w:rPr>
          <w:rFonts w:ascii="宋体" w:hAnsi="宋体" w:cs="Courier New"/>
          <w:sz w:val="24"/>
          <w:szCs w:val="24"/>
        </w:rPr>
        <w:t xml:space="preserve">中扣除。逾期超过约定日期10个工作日不能</w:t>
      </w:r>
      <w:r>
        <w:rPr>
          <w:rFonts w:hint="eastAsia" w:ascii="宋体" w:hAnsi="宋体" w:cs="Courier New"/>
          <w:sz w:val="24"/>
          <w:szCs w:val="24"/>
        </w:rPr>
        <w:t xml:space="preserve">交付合同标的</w:t>
      </w:r>
      <w:r>
        <w:rPr>
          <w:rFonts w:ascii="宋体" w:hAnsi="宋体" w:cs="Courier New"/>
          <w:sz w:val="24"/>
          <w:szCs w:val="24"/>
        </w:rPr>
        <w:t xml:space="preserve">的，甲方可解除本合同。乙方因逾期</w:t>
      </w:r>
      <w:r>
        <w:rPr>
          <w:rFonts w:hint="eastAsia" w:ascii="宋体" w:hAnsi="宋体" w:cs="Courier New"/>
          <w:sz w:val="24"/>
          <w:szCs w:val="24"/>
        </w:rPr>
        <w:t xml:space="preserve">交付合同标的</w:t>
      </w:r>
      <w:r>
        <w:rPr>
          <w:rFonts w:ascii="宋体" w:hAnsi="宋体" w:cs="Courier New"/>
          <w:sz w:val="24"/>
          <w:szCs w:val="24"/>
        </w:rPr>
        <w:t xml:space="preserve">或因其他违约行为导致甲方解除合同的，乙方应向甲方支付合同</w:t>
      </w:r>
      <w:r>
        <w:rPr>
          <w:rFonts w:hint="eastAsia" w:ascii="宋体" w:hAnsi="宋体" w:cs="Courier New"/>
          <w:sz w:val="24"/>
          <w:szCs w:val="24"/>
        </w:rPr>
        <w:t xml:space="preserve">价款总额</w:t>
      </w:r>
      <w:r>
        <w:rPr>
          <w:rFonts w:hint="eastAsia" w:ascii="宋体" w:hAnsi="宋体" w:cs="Courier New"/>
          <w:sz w:val="24"/>
          <w:szCs w:val="24"/>
          <w:u w:val="single"/>
        </w:rPr>
        <w:t xml:space="preserve">     </w:t>
      </w:r>
      <w:r>
        <w:rPr>
          <w:rFonts w:ascii="宋体" w:hAnsi="宋体" w:cs="Courier New"/>
          <w:sz w:val="24"/>
          <w:szCs w:val="24"/>
        </w:rPr>
        <w:t xml:space="preserve">的违约金，如造成甲方损失超过违约金的，超出部分由乙方继续承担赔偿责任。 </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1</w:t>
      </w:r>
      <w:r>
        <w:rPr>
          <w:rFonts w:ascii="宋体" w:hAnsi="宋体" w:cs="Courier New"/>
          <w:sz w:val="24"/>
          <w:szCs w:val="24"/>
        </w:rPr>
        <w:t xml:space="preserve">.4 乙方</w:t>
      </w:r>
      <w:r>
        <w:rPr>
          <w:rFonts w:hint="eastAsia" w:ascii="宋体" w:hAnsi="宋体" w:cs="Courier New"/>
          <w:sz w:val="24"/>
          <w:szCs w:val="24"/>
        </w:rPr>
        <w:t xml:space="preserve">交付合同标的的标准</w:t>
      </w:r>
      <w:r>
        <w:rPr>
          <w:rFonts w:ascii="宋体" w:hAnsi="宋体" w:cs="Courier New"/>
          <w:sz w:val="24"/>
          <w:szCs w:val="24"/>
        </w:rPr>
        <w:t xml:space="preserve">不符合合同规定及</w:t>
      </w:r>
      <w:r>
        <w:rPr>
          <w:rFonts w:hint="eastAsia" w:ascii="宋体" w:hAnsi="宋体" w:cs="Courier New"/>
          <w:sz w:val="24"/>
          <w:szCs w:val="24"/>
        </w:rPr>
        <w:t xml:space="preserve">磋商</w:t>
      </w:r>
      <w:r>
        <w:rPr>
          <w:rFonts w:ascii="宋体" w:hAnsi="宋体" w:cs="Courier New"/>
          <w:sz w:val="24"/>
          <w:szCs w:val="24"/>
        </w:rPr>
        <w:t xml:space="preserve">文件规定标准的，甲方有权</w:t>
      </w:r>
      <w:r>
        <w:rPr>
          <w:rFonts w:hint="eastAsia" w:ascii="宋体" w:hAnsi="宋体" w:cs="Courier New"/>
          <w:sz w:val="24"/>
          <w:szCs w:val="24"/>
        </w:rPr>
        <w:t xml:space="preserve">拒绝接受合同标的</w:t>
      </w:r>
      <w:r>
        <w:rPr>
          <w:rFonts w:ascii="宋体" w:hAnsi="宋体" w:cs="Courier New"/>
          <w:sz w:val="24"/>
          <w:szCs w:val="24"/>
        </w:rPr>
        <w:t xml:space="preserve">，</w:t>
      </w:r>
      <w:r>
        <w:rPr>
          <w:rFonts w:hint="eastAsia" w:ascii="宋体" w:hAnsi="宋体" w:cs="Courier New"/>
          <w:sz w:val="24"/>
          <w:szCs w:val="24"/>
        </w:rPr>
        <w:t xml:space="preserve">并</w:t>
      </w:r>
      <w:r>
        <w:rPr>
          <w:rFonts w:ascii="宋体" w:hAnsi="宋体" w:cs="Courier New"/>
          <w:sz w:val="24"/>
          <w:szCs w:val="24"/>
        </w:rPr>
        <w:t xml:space="preserve">可单方面解除合同。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5" w:name="_Toc18127"/>
      <w:r/>
      <w:bookmarkStart w:id="246" w:name="_Toc3946"/>
      <w:r>
        <w:rPr>
          <w:rFonts w:ascii="宋体" w:hAnsi="宋体" w:cs="Courier New"/>
          <w:b/>
          <w:sz w:val="24"/>
          <w:szCs w:val="24"/>
        </w:rPr>
        <w:t xml:space="preserve">十</w:t>
      </w:r>
      <w:r>
        <w:rPr>
          <w:rFonts w:hint="eastAsia" w:ascii="宋体" w:hAnsi="宋体" w:cs="Courier New"/>
          <w:b/>
          <w:sz w:val="24"/>
          <w:szCs w:val="24"/>
        </w:rPr>
        <w:t xml:space="preserve">二</w:t>
      </w:r>
      <w:r>
        <w:rPr>
          <w:rFonts w:ascii="宋体" w:hAnsi="宋体" w:cs="Courier New"/>
          <w:b/>
          <w:sz w:val="24"/>
          <w:szCs w:val="24"/>
        </w:rPr>
        <w:t xml:space="preserve">、不可抗力事件处理</w:t>
      </w:r>
      <w:bookmarkEnd w:id="245"/>
      <w:r/>
      <w:bookmarkEnd w:id="246"/>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.1 在合同有效期内，任何一方因不可抗力事件导致不能履行合同，则合同履行期可延长，其延长期与不可抗力影响</w:t>
      </w:r>
      <w:r>
        <w:rPr>
          <w:rFonts w:hint="eastAsia" w:ascii="宋体" w:hAnsi="宋体" w:cs="Courier New"/>
          <w:sz w:val="24"/>
          <w:szCs w:val="24"/>
        </w:rPr>
        <w:t xml:space="preserve"> </w:t>
      </w:r>
      <w:r>
        <w:rPr>
          <w:rFonts w:ascii="宋体" w:hAnsi="宋体" w:cs="Courier New"/>
          <w:sz w:val="24"/>
          <w:szCs w:val="24"/>
        </w:rPr>
        <w:t xml:space="preserve">期相同。</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.2 不可抗力事件发生后，应立即通知对方，并寄送有关权威机构出具的证明。</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w:t>
      </w:r>
      <w:r>
        <w:rPr>
          <w:rFonts w:hint="eastAsia" w:ascii="宋体" w:hAnsi="宋体" w:cs="Courier New"/>
          <w:sz w:val="24"/>
          <w:szCs w:val="24"/>
        </w:rPr>
        <w:t xml:space="preserve">2</w:t>
      </w:r>
      <w:r>
        <w:rPr>
          <w:rFonts w:ascii="宋体" w:hAnsi="宋体" w:cs="Courier New"/>
          <w:sz w:val="24"/>
          <w:szCs w:val="24"/>
        </w:rPr>
        <w:t xml:space="preserve">.3 不可抗力事件延续120天以上，双方应通过友好协商，确定是否继续履行合同。</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7" w:name="_Toc15016"/>
      <w:r/>
      <w:bookmarkStart w:id="248" w:name="_Toc20504"/>
      <w:r>
        <w:rPr>
          <w:rFonts w:ascii="宋体" w:hAnsi="宋体" w:cs="Courier New"/>
          <w:b/>
          <w:sz w:val="24"/>
          <w:szCs w:val="24"/>
        </w:rPr>
        <w:t xml:space="preserve">十</w:t>
      </w:r>
      <w:r>
        <w:rPr>
          <w:rFonts w:hint="eastAsia" w:ascii="宋体" w:hAnsi="宋体" w:cs="Courier New"/>
          <w:b/>
          <w:sz w:val="24"/>
          <w:szCs w:val="24"/>
        </w:rPr>
        <w:t xml:space="preserve">三</w:t>
      </w:r>
      <w:r>
        <w:rPr>
          <w:rFonts w:ascii="宋体" w:hAnsi="宋体" w:cs="Courier New"/>
          <w:b/>
          <w:sz w:val="24"/>
          <w:szCs w:val="24"/>
        </w:rPr>
        <w:t xml:space="preserve">、</w:t>
      </w:r>
      <w:r>
        <w:rPr>
          <w:rFonts w:hint="eastAsia" w:ascii="宋体" w:hAnsi="宋体" w:cs="Courier New"/>
          <w:b/>
          <w:sz w:val="24"/>
          <w:szCs w:val="24"/>
        </w:rPr>
        <w:t xml:space="preserve">解决争议的方法</w:t>
      </w:r>
      <w:bookmarkEnd w:id="247"/>
      <w:r/>
      <w:bookmarkEnd w:id="248"/>
      <w:r/>
      <w:r/>
    </w:p>
    <w:p>
      <w:pPr>
        <w:ind w:left="0" w:firstLine="480"/>
        <w:keepLines w:val="0"/>
        <w:keepNext w:val="0"/>
        <w:pageBreakBefore w:val="0"/>
        <w:spacing w:line="460" w:lineRule="exact"/>
        <w:widowControl w:val="off"/>
        <w:rPr>
          <w:rFonts w:hint="eastAsia" w:ascii="宋体" w:hAnsi="宋体" w:cs="Courier New"/>
          <w:sz w:val="24"/>
          <w:szCs w:val="24"/>
        </w:rPr>
      </w:pPr>
      <w:r>
        <w:rPr>
          <w:rFonts w:hint="eastAsia" w:ascii="宋体" w:hAnsi="宋体" w:cs="Courier New"/>
          <w:sz w:val="24"/>
          <w:szCs w:val="24"/>
        </w:rPr>
        <w:t xml:space="preserve">13.1双方在签订、履行合同中所发生的一切争议，应通过友好协商解决。如协商不成，由甲方住所地人民法院管辖。</w:t>
      </w:r>
      <w:r/>
    </w:p>
    <w:p>
      <w:pPr>
        <w:ind w:left="0" w:firstLine="482"/>
        <w:keepLines w:val="0"/>
        <w:keepNext w:val="0"/>
        <w:pageBreakBefore w:val="0"/>
        <w:spacing w:line="460" w:lineRule="exact"/>
        <w:widowControl w:val="off"/>
        <w:rPr>
          <w:rFonts w:ascii="宋体" w:hAnsi="宋体" w:cs="Courier New"/>
          <w:b/>
          <w:sz w:val="24"/>
          <w:szCs w:val="24"/>
        </w:rPr>
        <w:outlineLvl w:val="0"/>
      </w:pPr>
      <w:r/>
      <w:bookmarkStart w:id="249" w:name="_Toc3809"/>
      <w:r/>
      <w:bookmarkStart w:id="250" w:name="_Toc12954"/>
      <w:r>
        <w:rPr>
          <w:rFonts w:ascii="宋体" w:hAnsi="宋体" w:cs="Courier New"/>
          <w:b/>
          <w:sz w:val="24"/>
          <w:szCs w:val="24"/>
        </w:rPr>
        <w:t xml:space="preserve">十</w:t>
      </w:r>
      <w:r>
        <w:rPr>
          <w:rFonts w:hint="eastAsia" w:ascii="宋体" w:hAnsi="宋体" w:cs="Courier New"/>
          <w:b/>
          <w:sz w:val="24"/>
          <w:szCs w:val="24"/>
        </w:rPr>
        <w:t xml:space="preserve">四</w:t>
      </w:r>
      <w:r>
        <w:rPr>
          <w:rFonts w:ascii="宋体" w:hAnsi="宋体" w:cs="Courier New"/>
          <w:b/>
          <w:sz w:val="24"/>
          <w:szCs w:val="24"/>
        </w:rPr>
        <w:t xml:space="preserve">、合同生效及其它</w:t>
      </w:r>
      <w:bookmarkEnd w:id="249"/>
      <w:r/>
      <w:bookmarkEnd w:id="250"/>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13.1 合同经双方法定代表人或授权委托代</w:t>
      </w:r>
      <w:r>
        <w:rPr>
          <w:rFonts w:hint="eastAsia" w:ascii="宋体" w:hAnsi="宋体" w:cs="Courier New"/>
          <w:sz w:val="24"/>
          <w:szCs w:val="24"/>
        </w:rPr>
        <w:t xml:space="preserve">表</w:t>
      </w:r>
      <w:r>
        <w:rPr>
          <w:rFonts w:ascii="宋体" w:hAnsi="宋体" w:cs="Courier New"/>
          <w:sz w:val="24"/>
          <w:szCs w:val="24"/>
        </w:rPr>
        <w:t xml:space="preserve">人签字并加盖单位公章后生效。</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13.2本合同未尽事宜，遵照</w:t>
      </w:r>
      <w:r>
        <w:rPr>
          <w:rFonts w:hint="eastAsia" w:hAnsi="宋体"/>
          <w:sz w:val="24"/>
          <w:szCs w:val="24"/>
        </w:rPr>
        <w:t xml:space="preserve">中华人民共和国现行法律法规</w:t>
      </w:r>
      <w:r>
        <w:rPr>
          <w:rFonts w:ascii="宋体" w:hAnsi="宋体" w:cs="Courier New"/>
          <w:sz w:val="24"/>
          <w:szCs w:val="24"/>
        </w:rPr>
        <w:t xml:space="preserve">有关条文执行。</w:t>
      </w:r>
      <w:r/>
    </w:p>
    <w:p>
      <w:pPr>
        <w:ind w:left="0" w:firstLine="480"/>
        <w:keepLines w:val="0"/>
        <w:keepNext w:val="0"/>
        <w:pageBreakBefore w:val="0"/>
        <w:spacing w:line="460" w:lineRule="exact"/>
        <w:widowControl w:val="off"/>
        <w:rPr>
          <w:rFonts w:ascii="宋体" w:hAnsi="宋体" w:cs="Courier New"/>
          <w:sz w:val="24"/>
          <w:szCs w:val="24"/>
        </w:rPr>
      </w:pPr>
      <w:r>
        <w:rPr>
          <w:rFonts w:ascii="宋体" w:hAnsi="宋体" w:cs="Courier New"/>
          <w:sz w:val="24"/>
          <w:szCs w:val="24"/>
        </w:rPr>
        <w:t xml:space="preserve">13.</w:t>
      </w:r>
      <w:r>
        <w:rPr>
          <w:rFonts w:hint="eastAsia" w:ascii="宋体" w:hAnsi="宋体" w:cs="Courier New"/>
          <w:sz w:val="24"/>
          <w:szCs w:val="24"/>
        </w:rPr>
        <w:t xml:space="preserve">3</w:t>
      </w:r>
      <w:r>
        <w:rPr>
          <w:rFonts w:ascii="宋体" w:hAnsi="宋体" w:cs="Courier New"/>
          <w:sz w:val="24"/>
          <w:szCs w:val="24"/>
        </w:rPr>
        <w:t xml:space="preserve"> 本合同正本一式</w:t>
      </w:r>
      <w:r>
        <w:rPr>
          <w:rFonts w:hint="eastAsia" w:ascii="宋体" w:hAnsi="宋体" w:cs="Courier New"/>
          <w:sz w:val="24"/>
          <w:szCs w:val="24"/>
        </w:rPr>
        <w:t xml:space="preserve">三</w:t>
      </w:r>
      <w:r>
        <w:rPr>
          <w:rFonts w:ascii="宋体" w:hAnsi="宋体" w:cs="Courier New"/>
          <w:sz w:val="24"/>
          <w:szCs w:val="24"/>
        </w:rPr>
        <w:t xml:space="preserve">份，具有同等法律效力，甲</w:t>
      </w:r>
      <w:r>
        <w:rPr>
          <w:rFonts w:hint="eastAsia" w:ascii="宋体" w:hAnsi="宋体" w:cs="Courier New"/>
          <w:sz w:val="24"/>
          <w:szCs w:val="24"/>
        </w:rPr>
        <w:t xml:space="preserve">方、</w:t>
      </w:r>
      <w:r>
        <w:rPr>
          <w:rFonts w:ascii="宋体" w:hAnsi="宋体" w:cs="Courier New"/>
          <w:sz w:val="24"/>
          <w:szCs w:val="24"/>
        </w:rPr>
        <w:t xml:space="preserve">乙方</w:t>
      </w:r>
      <w:r>
        <w:rPr>
          <w:rFonts w:hint="eastAsia" w:ascii="宋体" w:hAnsi="宋体" w:cs="Courier New"/>
          <w:sz w:val="24"/>
          <w:szCs w:val="24"/>
        </w:rPr>
        <w:t xml:space="preserve">及财政监管部门</w:t>
      </w:r>
      <w:r>
        <w:rPr>
          <w:rFonts w:ascii="宋体" w:hAnsi="宋体" w:cs="Courier New"/>
          <w:sz w:val="24"/>
          <w:szCs w:val="24"/>
        </w:rPr>
        <w:t xml:space="preserve">各执一份。</w:t>
      </w:r>
      <w:r/>
    </w:p>
    <w:p>
      <w:pPr>
        <w:ind w:left="480" w:hanging="480"/>
        <w:keepLines w:val="0"/>
        <w:keepNext w:val="0"/>
        <w:pageBreakBefore w:val="0"/>
        <w:spacing w:before="120" w:after="120" w:line="420" w:lineRule="exact"/>
        <w:widowControl w:val="off"/>
        <w:rPr>
          <w:rFonts w:ascii="宋体" w:hAnsi="宋体" w:cs="Courier New"/>
          <w:sz w:val="24"/>
          <w:szCs w:val="24"/>
        </w:rPr>
      </w:pPr>
      <w:r>
        <w:rPr>
          <w:rFonts w:ascii="宋体" w:hAnsi="宋体" w:cs="Courier New"/>
          <w:sz w:val="24"/>
          <w:szCs w:val="24"/>
        </w:rPr>
        <w:t xml:space="preserve">  甲方：                        乙方： </w:t>
      </w:r>
      <w:r/>
    </w:p>
    <w:p>
      <w:pPr>
        <w:ind w:left="0" w:firstLine="240"/>
        <w:keepLines w:val="0"/>
        <w:keepNext w:val="0"/>
        <w:pageBreakBefore w:val="0"/>
        <w:spacing w:before="120" w:after="120" w:line="420" w:lineRule="exact"/>
        <w:widowControl w:val="off"/>
        <w:rPr>
          <w:rFonts w:ascii="宋体" w:hAnsi="宋体" w:cs="Courier New"/>
          <w:sz w:val="24"/>
          <w:szCs w:val="24"/>
        </w:rPr>
      </w:pPr>
      <w:r>
        <w:rPr>
          <w:rFonts w:ascii="宋体" w:hAnsi="宋体" w:cs="Courier New"/>
          <w:sz w:val="24"/>
          <w:szCs w:val="24"/>
        </w:rPr>
        <w:t xml:space="preserve">地址：                       </w:t>
      </w:r>
      <w:r>
        <w:rPr>
          <w:rFonts w:hint="eastAsia" w:ascii="宋体" w:hAnsi="宋体" w:cs="Courier New"/>
          <w:sz w:val="24"/>
          <w:szCs w:val="24"/>
        </w:rPr>
        <w:t xml:space="preserve"> </w:t>
      </w:r>
      <w:r>
        <w:rPr>
          <w:rFonts w:ascii="宋体" w:hAnsi="宋体" w:cs="Courier New"/>
          <w:sz w:val="24"/>
          <w:szCs w:val="24"/>
        </w:rPr>
        <w:t xml:space="preserve">地址： </w:t>
      </w:r>
      <w:r/>
    </w:p>
    <w:p>
      <w:pPr>
        <w:ind w:left="0" w:firstLine="0"/>
        <w:keepLines w:val="0"/>
        <w:keepNext w:val="0"/>
        <w:pageBreakBefore w:val="0"/>
        <w:spacing w:before="120" w:after="120" w:line="420" w:lineRule="exact"/>
        <w:widowControl w:val="off"/>
        <w:rPr>
          <w:rFonts w:ascii="宋体" w:hAnsi="宋体" w:cs="Courier New"/>
          <w:sz w:val="24"/>
          <w:szCs w:val="24"/>
        </w:rPr>
      </w:pPr>
      <w:r>
        <w:rPr>
          <w:rFonts w:ascii="宋体" w:hAnsi="宋体" w:cs="Courier New"/>
          <w:sz w:val="24"/>
          <w:szCs w:val="24"/>
        </w:rPr>
        <w:t xml:space="preserve"> </w:t>
      </w:r>
      <w:r>
        <w:rPr>
          <w:rFonts w:hint="eastAsia" w:ascii="宋体" w:hAnsi="宋体" w:cs="Courier New"/>
          <w:sz w:val="24"/>
          <w:szCs w:val="24"/>
          <w:lang w:val="en-US" w:eastAsia="zh-CN"/>
        </w:rPr>
        <w:t xml:space="preserve"> </w:t>
      </w:r>
      <w:r>
        <w:rPr>
          <w:rFonts w:ascii="宋体" w:hAnsi="宋体" w:cs="Courier New"/>
          <w:sz w:val="24"/>
          <w:szCs w:val="24"/>
        </w:rPr>
        <w:t xml:space="preserve">法定代表人</w:t>
      </w:r>
      <w:r>
        <w:rPr>
          <w:rFonts w:hint="eastAsia" w:ascii="宋体" w:hAnsi="宋体" w:cs="Courier New"/>
          <w:sz w:val="24"/>
          <w:szCs w:val="24"/>
        </w:rPr>
        <w:t xml:space="preserve">或授权代表</w:t>
      </w:r>
      <w:r>
        <w:rPr>
          <w:rFonts w:ascii="宋体" w:hAnsi="宋体" w:cs="Courier New"/>
          <w:sz w:val="24"/>
          <w:szCs w:val="24"/>
        </w:rPr>
        <w:t xml:space="preserve">：        法定代表人</w:t>
      </w:r>
      <w:r>
        <w:rPr>
          <w:rFonts w:hint="eastAsia" w:ascii="宋体" w:hAnsi="宋体" w:cs="Courier New"/>
          <w:sz w:val="24"/>
          <w:szCs w:val="24"/>
        </w:rPr>
        <w:t xml:space="preserve">或授权代表</w:t>
      </w:r>
      <w:r>
        <w:rPr>
          <w:rFonts w:ascii="宋体" w:hAnsi="宋体" w:cs="Courier New"/>
          <w:sz w:val="24"/>
          <w:szCs w:val="24"/>
        </w:rPr>
        <w:t xml:space="preserve">：</w:t>
      </w:r>
      <w:r/>
    </w:p>
    <w:p>
      <w:pPr>
        <w:ind w:firstLine="240"/>
        <w:keepLines w:val="0"/>
        <w:keepNext w:val="0"/>
        <w:pageBreakBefore w:val="0"/>
        <w:spacing w:before="120" w:after="120" w:line="420" w:lineRule="exact"/>
        <w:widowControl w:val="off"/>
        <w:rPr>
          <w:rFonts w:hint="eastAsia" w:ascii="宋体" w:hAnsi="Courier New" w:cs="Courier New"/>
          <w:szCs w:val="21"/>
        </w:rPr>
      </w:pPr>
      <w:r>
        <w:rPr>
          <w:rFonts w:hint="eastAsia" w:ascii="宋体" w:hAnsi="宋体" w:cs="Courier New"/>
          <w:sz w:val="24"/>
          <w:szCs w:val="24"/>
        </w:rPr>
        <w:t xml:space="preserve">联系电话：                    联系电话：          </w:t>
      </w:r>
      <w:r/>
    </w:p>
    <w:p>
      <w:pPr>
        <w:ind w:firstLine="420"/>
        <w:keepLines w:val="0"/>
        <w:keepNext w:val="0"/>
        <w:pageBreakBefore w:val="0"/>
        <w:spacing w:line="420" w:lineRule="exact"/>
        <w:widowControl w:val="off"/>
        <w:rPr>
          <w:szCs w:val="21"/>
        </w:rPr>
      </w:pPr>
      <w:r>
        <w:rPr>
          <w:rFonts w:hint="eastAsia"/>
          <w:szCs w:val="21"/>
        </w:rPr>
        <w:t xml:space="preserve">                                          </w:t>
      </w:r>
      <w:r/>
    </w:p>
    <w:p>
      <w:pPr>
        <w:ind w:firstLine="480"/>
        <w:jc w:val="right"/>
        <w:keepLines w:val="0"/>
        <w:keepNext w:val="0"/>
        <w:pageBreakBefore w:val="0"/>
        <w:spacing w:line="420" w:lineRule="exact"/>
        <w:widowControl w:val="off"/>
        <w:rPr>
          <w:sz w:val="24"/>
          <w:szCs w:val="24"/>
        </w:rPr>
      </w:pPr>
      <w:r>
        <w:rPr>
          <w:sz w:val="24"/>
          <w:szCs w:val="24"/>
        </w:rPr>
        <w:t xml:space="preserve">签订日期：      年  </w:t>
      </w:r>
      <w:r>
        <w:rPr>
          <w:rFonts w:hint="eastAsia"/>
          <w:sz w:val="24"/>
          <w:szCs w:val="24"/>
        </w:rPr>
        <w:t xml:space="preserve">  </w:t>
      </w:r>
      <w:r>
        <w:rPr>
          <w:sz w:val="24"/>
          <w:szCs w:val="24"/>
        </w:rPr>
        <w:t xml:space="preserve">月  </w:t>
      </w:r>
      <w:r>
        <w:rPr>
          <w:rFonts w:hint="eastAsia"/>
          <w:sz w:val="24"/>
          <w:szCs w:val="24"/>
        </w:rPr>
        <w:t xml:space="preserve"> </w:t>
      </w:r>
      <w:r>
        <w:rPr>
          <w:sz w:val="24"/>
          <w:szCs w:val="24"/>
        </w:rPr>
        <w:t xml:space="preserve">日</w:t>
      </w:r>
      <w:r/>
    </w:p>
    <w:p>
      <w:pPr>
        <w:pStyle w:val="836"/>
        <w:ind w:right="0"/>
        <w:keepLines w:val="0"/>
        <w:keepNext w:val="0"/>
        <w:pageBreakBefore w:val="0"/>
        <w:spacing w:line="500" w:lineRule="exact"/>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r>
      <w:r/>
    </w:p>
    <w:p>
      <w:pPr>
        <w:pStyle w:val="829"/>
        <w:ind w:left="0" w:right="0" w:firstLine="480"/>
        <w:keepLines w:val="0"/>
        <w:keepNext w:val="0"/>
        <w:pageBreakBefore w:val="0"/>
        <w:spacing w:line="480" w:lineRule="exact"/>
        <w:widowControl w:val="off"/>
        <w:rPr>
          <w:rFonts w:hint="eastAsia" w:ascii="仿宋" w:hAnsi="仿宋" w:eastAsia="仿宋" w:cs="仿宋"/>
          <w:sz w:val="24"/>
          <w:szCs w:val="24"/>
        </w:rPr>
      </w:pPr>
      <w:r>
        <w:rPr>
          <w:rFonts w:hint="eastAsia" w:ascii="仿宋" w:hAnsi="仿宋" w:eastAsia="仿宋" w:cs="仿宋"/>
          <w:sz w:val="24"/>
          <w:szCs w:val="24"/>
        </w:rPr>
      </w:r>
      <w:r/>
    </w:p>
    <w:p>
      <w:pPr>
        <w:numPr>
          <w:ilvl w:val="0"/>
          <w:numId w:val="1"/>
        </w:numPr>
        <w:ind w:firstLine="403"/>
        <w:jc w:val="center"/>
        <w:keepLines/>
        <w:keepNext/>
        <w:pageBreakBefore/>
        <w:spacing w:before="200" w:after="200"/>
        <w:widowControl/>
        <w:rPr>
          <w:rFonts w:hint="default" w:ascii="宋体" w:hAnsi="宋体" w:eastAsia="宋体" w:cs="宋体"/>
          <w:b/>
          <w:bCs/>
          <w:sz w:val="44"/>
          <w:szCs w:val="44"/>
          <w:lang w:val="en-US" w:eastAsia="zh-CN"/>
        </w:rPr>
      </w:pPr>
      <w:r/>
      <w:bookmarkStart w:id="251" w:name="_Toc3104"/>
      <w:r>
        <w:rPr>
          <w:rFonts w:hint="eastAsia" w:ascii="宋体" w:hAnsi="宋体" w:eastAsia="宋体" w:cs="宋体"/>
          <w:b/>
          <w:bCs/>
          <w:sz w:val="44"/>
          <w:szCs w:val="44"/>
          <w:lang w:val="en-US" w:eastAsia="zh-CN"/>
        </w:rPr>
        <w:t xml:space="preserve">采购需求</w:t>
      </w:r>
      <w:bookmarkEnd w:id="251"/>
      <w:r/>
      <w:r/>
    </w:p>
    <w:p>
      <w:pPr>
        <w:ind w:firstLine="482"/>
        <w:keepLines w:val="0"/>
        <w:keepNext w:val="0"/>
        <w:pageBreakBefore w:val="0"/>
        <w:spacing w:before="100" w:after="100" w:line="460" w:lineRule="exact"/>
        <w:widowControl w:val="off"/>
        <w:rPr>
          <w:rFonts w:hint="eastAsia" w:ascii="宋体" w:hAnsi="宋体" w:eastAsia="宋体" w:cs="宋体"/>
          <w:b/>
          <w:bCs/>
          <w:sz w:val="24"/>
        </w:rPr>
        <w:outlineLvl w:val="0"/>
      </w:pPr>
      <w:r/>
      <w:bookmarkStart w:id="252" w:name="_Toc25917"/>
      <w:r/>
      <w:bookmarkStart w:id="253" w:name="_Toc28761"/>
      <w:r/>
      <w:bookmarkStart w:id="254" w:name="_Toc16046"/>
      <w:r/>
      <w:bookmarkStart w:id="255" w:name="_Toc22538"/>
      <w:r>
        <w:rPr>
          <w:rFonts w:hint="eastAsia" w:ascii="宋体" w:hAnsi="宋体" w:eastAsia="宋体" w:cs="宋体"/>
          <w:b/>
          <w:bCs/>
          <w:sz w:val="24"/>
        </w:rPr>
        <w:t xml:space="preserve">一、采购标的清单</w:t>
      </w:r>
      <w:bookmarkEnd w:id="252"/>
      <w:r/>
      <w:bookmarkEnd w:id="253"/>
      <w:r/>
      <w:r/>
    </w:p>
    <w:tbl>
      <w:tblPr>
        <w:tblStyle w:val="819"/>
        <w:tblW w:w="0" w:type="auto"/>
        <w:tblInd w:w="161"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12"/>
        <w:gridCol w:w="1944"/>
        <w:gridCol w:w="1281"/>
        <w:gridCol w:w="1877"/>
        <w:gridCol w:w="2198"/>
      </w:tblGrid>
      <w:tr>
        <w:trPr/>
        <w:tc>
          <w:tcPr>
            <w:tcW w:w="81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采购包号</w:t>
            </w:r>
            <w:r/>
          </w:p>
        </w:tc>
        <w:tc>
          <w:tcPr>
            <w:tcW w:w="1944"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采购标的</w:t>
            </w:r>
            <w:r/>
          </w:p>
        </w:tc>
        <w:tc>
          <w:tcPr>
            <w:tcW w:w="1281"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采购预算</w:t>
            </w:r>
            <w:r/>
          </w:p>
        </w:tc>
        <w:tc>
          <w:tcPr>
            <w:tcW w:w="1877"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项目属性</w:t>
            </w:r>
            <w:r/>
          </w:p>
        </w:tc>
        <w:tc>
          <w:tcPr>
            <w:tcW w:w="2198"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bCs/>
                <w:sz w:val="24"/>
                <w:szCs w:val="24"/>
                <w:vertAlign w:val="baseline"/>
                <w:lang w:val="en-US" w:eastAsia="zh-CN"/>
              </w:rPr>
            </w:pPr>
            <w:r>
              <w:rPr>
                <w:rFonts w:hint="eastAsia" w:ascii="宋体" w:hAnsi="宋体" w:eastAsia="宋体" w:cs="宋体"/>
                <w:b/>
                <w:bCs/>
                <w:sz w:val="24"/>
                <w:szCs w:val="24"/>
                <w:vertAlign w:val="baseline"/>
                <w:lang w:val="en-US" w:eastAsia="zh-CN"/>
              </w:rPr>
              <w:t xml:space="preserve">对应中小企业划分标准所属行业</w:t>
            </w:r>
            <w:r/>
          </w:p>
        </w:tc>
      </w:tr>
      <w:tr>
        <w:trPr/>
        <w:tc>
          <w:tcPr>
            <w:tcW w:w="812"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w:t>
            </w:r>
            <w:r/>
          </w:p>
        </w:tc>
        <w:tc>
          <w:tcPr>
            <w:tcW w:w="1944"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兴化市“一老一小”监管平台维保服务采购</w:t>
            </w:r>
            <w:r/>
          </w:p>
        </w:tc>
        <w:tc>
          <w:tcPr>
            <w:tcW w:w="1281"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150万元</w:t>
            </w:r>
            <w:r/>
          </w:p>
        </w:tc>
        <w:tc>
          <w:tcPr>
            <w:tcW w:w="1877" w:type="dxa"/>
            <w:vAlign w:val="center"/>
            <w:textDirection w:val="lrTb"/>
            <w:noWrap w:val="false"/>
          </w:tcPr>
          <w:p>
            <w:pPr>
              <w:ind w:left="0" w:firstLine="0"/>
              <w:jc w:val="center"/>
              <w:keepLines w:val="0"/>
              <w:keepNext w:val="0"/>
              <w:pageBreakBefore w:val="0"/>
              <w:spacing w:after="0" w:line="240" w:lineRule="auto"/>
              <w:widowControl w:val="off"/>
              <w:rPr>
                <w:rFonts w:hint="eastAsia"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软件运维服务类项目</w:t>
            </w:r>
            <w:r/>
          </w:p>
        </w:tc>
        <w:tc>
          <w:tcPr>
            <w:tcW w:w="2198" w:type="dxa"/>
            <w:vAlign w:val="center"/>
            <w:textDirection w:val="lrTb"/>
            <w:noWrap w:val="false"/>
          </w:tcPr>
          <w:p>
            <w:pPr>
              <w:ind w:left="0" w:firstLine="0"/>
              <w:jc w:val="center"/>
              <w:keepLines w:val="0"/>
              <w:keepNext w:val="0"/>
              <w:pageBreakBefore w:val="0"/>
              <w:spacing w:after="0" w:line="240" w:lineRule="auto"/>
              <w:widowControl w:val="off"/>
              <w:rPr>
                <w:rFonts w:hint="default" w:ascii="宋体" w:hAnsi="宋体" w:eastAsia="宋体" w:cs="宋体"/>
                <w:b w:val="0"/>
                <w:bCs w:val="0"/>
                <w:sz w:val="24"/>
                <w:szCs w:val="24"/>
                <w:vertAlign w:val="baseline"/>
                <w:lang w:val="en-US" w:eastAsia="zh-CN"/>
              </w:rPr>
            </w:pPr>
            <w:r>
              <w:rPr>
                <w:rFonts w:hint="eastAsia" w:ascii="宋体" w:hAnsi="宋体" w:eastAsia="宋体" w:cs="宋体"/>
                <w:b w:val="0"/>
                <w:bCs w:val="0"/>
                <w:sz w:val="24"/>
                <w:szCs w:val="24"/>
                <w:vertAlign w:val="baseline"/>
                <w:lang w:val="en-US" w:eastAsia="zh-CN"/>
              </w:rPr>
              <w:t xml:space="preserve">软件和信息技术服务</w:t>
            </w:r>
            <w:r/>
          </w:p>
        </w:tc>
      </w:tr>
    </w:tbl>
    <w:p>
      <w:pPr>
        <w:ind w:firstLine="482"/>
        <w:jc w:val="left"/>
        <w:keepLines w:val="0"/>
        <w:keepNext w:val="0"/>
        <w:pageBreakBefore w:val="0"/>
        <w:spacing w:before="100" w:after="100" w:line="460" w:lineRule="exact"/>
        <w:widowControl w:val="off"/>
        <w:rPr>
          <w:rFonts w:hint="default" w:ascii="宋体" w:hAnsi="宋体" w:eastAsia="宋体" w:cs="宋体"/>
          <w:b/>
          <w:bCs/>
          <w:sz w:val="24"/>
          <w:lang w:val="en-US" w:eastAsia="zh-CN"/>
        </w:rPr>
        <w:outlineLvl w:val="0"/>
      </w:pPr>
      <w:r/>
      <w:bookmarkStart w:id="256" w:name="_Toc23006"/>
      <w:r/>
      <w:bookmarkStart w:id="257" w:name="_Toc11031"/>
      <w:r/>
      <w:bookmarkStart w:id="258" w:name="_Toc18080"/>
      <w:r/>
      <w:bookmarkStart w:id="259" w:name="_Toc21886"/>
      <w:r>
        <w:rPr>
          <w:rFonts w:hint="eastAsia" w:ascii="宋体" w:hAnsi="宋体" w:eastAsia="宋体" w:cs="宋体"/>
          <w:b/>
          <w:bCs/>
          <w:sz w:val="24"/>
          <w:lang w:val="en-US" w:eastAsia="zh-CN"/>
        </w:rPr>
        <w:t xml:space="preserve">二、项目</w:t>
      </w:r>
      <w:bookmarkEnd w:id="256"/>
      <w:r/>
      <w:bookmarkEnd w:id="257"/>
      <w:r>
        <w:rPr>
          <w:rFonts w:hint="eastAsia" w:ascii="宋体" w:hAnsi="宋体" w:eastAsia="宋体" w:cs="宋体"/>
          <w:b/>
          <w:bCs/>
          <w:sz w:val="24"/>
          <w:lang w:val="en-US" w:eastAsia="zh-CN"/>
        </w:rPr>
        <w:t xml:space="preserve">概况</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bookmarkStart w:id="260" w:name="_Toc13675"/>
      <w:r/>
      <w:bookmarkStart w:id="261" w:name="_Toc3093"/>
      <w:r>
        <w:rPr>
          <w:rFonts w:hint="eastAsia" w:ascii="宋体" w:hAnsi="宋体" w:eastAsia="宋体" w:cs="宋体"/>
          <w:sz w:val="24"/>
          <w:szCs w:val="24"/>
          <w:lang w:val="en-US" w:eastAsia="zh-CN"/>
        </w:rPr>
        <w:t xml:space="preserve">（一）服务时间</w:t>
      </w:r>
      <w:bookmarkEnd w:id="260"/>
      <w:r/>
      <w:bookmarkEnd w:id="261"/>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兴化市“一老一小”监管平台由兴化市民政局于2021年7月正式启动建设工作，首次合同期限为30个月,费用286万（含未成年关爱保护项目），通过公开招标由兴化市企盟计算机软件有限公司负责开发和运维。平台上线后，于2024年6月完成首次功能优化升级，合同期限为24个月，费用198.89万，通过公开招标由中电鸿信信息科技有限公司负责运维。</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本次项目针对兴化市已建成运行的“一老一小”监管平台提供全周期运维服务。项目服务周期为24个月，其中前2个月须完成平台相关功能的优化升级，并同步开展常态化运维保障，确保平台服务周期无缝衔接。</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运维期间须完成原有平台系统功能的升级完善、驻场运营支撑及安全合规保障，持续强化平台在养老服务的监管效能，契合兴化市26个镇街全覆盖的民生服务格局，推动平台从基础信息化管理向智能化监管稳步迈进。</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兴化市“一老一小”监管平台初期建设范畴涵盖养老服务监管与未成年人关爱保护两大业务板块。按照江苏省民政厅关于未成年人保护工作的统一信息化部署要求，全省未成年人关爱保护业务已统一归集至“苏童成长”平台规范运行，本市原有未成年人关爱保护相关功能模块已同步停用。</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基于上述业务调整，本次24个月运维服务的服务边界、功能升级任务、驻场团队配置、考核指标体系及150万元资金预算均不涉及未成年人关爱保护平台相关事项，全部运维工作仅围绕平台养老服务监管板块展开，聚焦养老助餐服务AI升级、AI智慧助浴系统完善、驻场运营支撑、网络安全合规保障等养老领域核心任务，保障养老服务监管板块平稳运行与迭代升级。</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bookmarkStart w:id="262" w:name="_Toc32474"/>
      <w:r>
        <w:rPr>
          <w:rFonts w:hint="eastAsia" w:ascii="宋体" w:hAnsi="宋体" w:eastAsia="宋体" w:cs="宋体"/>
          <w:sz w:val="24"/>
          <w:szCs w:val="24"/>
          <w:lang w:val="en-US" w:eastAsia="zh-CN"/>
        </w:rPr>
        <w:t xml:space="preserve">（二）</w:t>
      </w:r>
      <w:bookmarkEnd w:id="262"/>
      <w:r/>
      <w:bookmarkStart w:id="263" w:name="_Toc21189"/>
      <w:r/>
      <w:bookmarkStart w:id="264" w:name="_Toc21499"/>
      <w:r>
        <w:rPr>
          <w:rFonts w:hint="eastAsia" w:ascii="宋体" w:hAnsi="宋体" w:eastAsia="宋体" w:cs="宋体"/>
          <w:sz w:val="24"/>
          <w:szCs w:val="24"/>
          <w:lang w:val="en-US" w:eastAsia="zh-CN"/>
        </w:rPr>
        <w:t xml:space="preserve">功能作用</w:t>
      </w:r>
      <w:bookmarkEnd w:id="263"/>
      <w:r/>
      <w:bookmarkEnd w:id="264"/>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1.功能作用</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兴化市“一老一小”监管平台是集服务供给、过程监管、数据分析、应急响应于一体的智慧民生服务平台，通过整合线上系统与线下服务资源，构建“养老服务精准化、监管考核智能化”的服务管理体系。平台依托大数据技术实现服务对象精准画像，通过实时数据采集、智能预警、工单流转等功能，打通服务供给与需求对接的“最后一公里”，为民政部门、服务机构、从业人员及服务对象提供全链条支撑。</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平台核心功能模块分为四大类，具体如下：</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老智慧助餐\助浴服务模块：涵盖PC管理后台、微信小程序端，实现助餐\助浴需求在线申报、订单智能分派、订单轨迹追踪、服务满意度评价等功能。助老员需在服务对象定位范围内完成签到确认，确保服务真实可追溯。</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老服务”服务监管模块：养老服务端实现养老机构运营状态、居家养老服务过程、特殊困难老年人探访等监管功能；模块支持跨部门数据共享，民政、乡镇（街道）、服务机构可根据权限获取对应数据，形成监管闭环。</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专业化客服中心模块：整合政策咨询、服务预约、投诉受理等功能，提供“一站式”民生服务通道。客服人员可实时录入咨询信息，跟踪工单处理进度，确保问题100%办结回复，同时自动统计客服数据形成月度报告。</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数据统计分析模块：自动汇总平台各类数据，生成养老服务供给、服务质量评价等统计报表，通过可视化图表展示服务覆盖情况、资源配置效率等核心指标，为政策制定和服务优化提供数据支撑。</w:t>
      </w:r>
      <w:r/>
    </w:p>
    <w:p>
      <w:pPr>
        <w:ind w:left="0" w:firstLine="560"/>
        <w:keepLines w:val="0"/>
        <w:keepNext w:val="0"/>
        <w:pageBreakBefore w:val="0"/>
        <w:spacing w:line="420" w:lineRule="exact"/>
        <w:widowControl w:val="off"/>
        <w:rPr>
          <w:rFonts w:hint="default" w:ascii="宋体" w:hAnsi="宋体" w:eastAsia="宋体" w:cs="宋体"/>
          <w:sz w:val="24"/>
          <w:szCs w:val="24"/>
          <w:lang w:val="en-US" w:eastAsia="zh-CN"/>
        </w:rPr>
      </w:pPr>
      <w:r>
        <w:rPr>
          <w:rFonts w:hint="eastAsia" w:ascii="宋体" w:hAnsi="宋体" w:eastAsia="宋体" w:cs="宋体"/>
          <w:sz w:val="24"/>
          <w:szCs w:val="24"/>
          <w:lang w:val="en-US" w:eastAsia="zh-CN"/>
        </w:rPr>
        <w:t xml:space="preserve">2.应用成效</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rPr>
        <w:outlineLvl w:val="0"/>
      </w:pPr>
      <w:r/>
      <w:bookmarkStart w:id="265" w:name="_Toc12674"/>
      <w:r/>
      <w:bookmarkStart w:id="266" w:name="_Toc12090"/>
      <w:r>
        <w:rPr>
          <w:rFonts w:hint="eastAsia" w:ascii="宋体" w:hAnsi="宋体" w:eastAsia="宋体" w:cs="宋体"/>
          <w:sz w:val="24"/>
          <w:szCs w:val="24"/>
        </w:rPr>
        <w:t xml:space="preserve">兴化市“</w:t>
      </w:r>
      <w:r>
        <w:rPr>
          <w:rFonts w:hint="eastAsia" w:ascii="宋体" w:hAnsi="宋体" w:eastAsia="宋体" w:cs="宋体"/>
          <w:sz w:val="24"/>
          <w:szCs w:val="24"/>
          <w:lang w:eastAsia="zh-CN"/>
        </w:rPr>
        <w:t xml:space="preserve">一老一小</w:t>
      </w:r>
      <w:r>
        <w:rPr>
          <w:rFonts w:hint="eastAsia" w:ascii="宋体" w:hAnsi="宋体" w:eastAsia="宋体" w:cs="宋体"/>
          <w:sz w:val="24"/>
          <w:szCs w:val="24"/>
        </w:rPr>
        <w:t xml:space="preserve">”监管平台成效显著，核心在于通过数字化手段打破信息壁垒，实现服务的精准化、监管的智能化、治理的高效化。</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1.精准匹配供需，实现“政策找人”</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整合了民政、医保、教育等多部门数据，建立了老年人的精准数据库，涵盖90566名空巢独居老人的信息。</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推动养老服务等政策的主动触达，实现了从“人找政策”到“政策找人”的转变。</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2.创新服务场景，覆盖全周期需求</w:t>
      </w:r>
      <w:r/>
    </w:p>
    <w:p>
      <w:pPr>
        <w:ind w:firstLine="482"/>
        <w:jc w:val="left"/>
        <w:keepLines w:val="0"/>
        <w:keepNext w:val="0"/>
        <w:pageBreakBefore w:val="0"/>
        <w:spacing w:before="100" w:after="100" w:line="420" w:lineRule="exact"/>
        <w:widowControl w:val="off"/>
        <w:rPr>
          <w:rFonts w:hint="eastAsia" w:ascii="宋体" w:hAnsi="宋体" w:eastAsia="宋体" w:cs="宋体"/>
          <w:sz w:val="24"/>
          <w:szCs w:val="24"/>
        </w:rPr>
        <w:outlineLvl w:val="0"/>
      </w:pPr>
      <w:r>
        <w:rPr>
          <w:rFonts w:hint="eastAsia" w:ascii="宋体" w:hAnsi="宋体" w:eastAsia="宋体" w:cs="宋体"/>
          <w:sz w:val="24"/>
          <w:szCs w:val="24"/>
        </w:rPr>
        <w:t xml:space="preserve">养老服务方面，推出了居家养老上门服务；自平台运营以来，已提供上门服务228.9742万次，提供助餐服务75.61万次。</w:t>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rPr>
          <w:rFonts w:hint="eastAsia" w:ascii="宋体" w:hAnsi="宋体" w:eastAsia="宋体" w:cs="宋体"/>
          <w:b/>
          <w:bCs/>
          <w:sz w:val="24"/>
          <w:lang w:val="en-US" w:eastAsia="zh-CN"/>
        </w:rPr>
        <w:t xml:space="preserve">二、</w:t>
      </w:r>
      <w:bookmarkEnd w:id="265"/>
      <w:r/>
      <w:bookmarkEnd w:id="266"/>
      <w:r>
        <w:rPr>
          <w:rFonts w:hint="eastAsia" w:ascii="宋体" w:hAnsi="宋体" w:eastAsia="宋体" w:cs="宋体"/>
          <w:b/>
          <w:bCs/>
          <w:sz w:val="24"/>
          <w:lang w:val="en-US" w:eastAsia="zh-CN"/>
        </w:rPr>
        <w:t xml:space="preserve">项目实施方案</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bookmarkStart w:id="267" w:name="_Toc10299"/>
      <w:r/>
      <w:bookmarkStart w:id="268" w:name="_Toc196"/>
      <w:r>
        <w:rPr>
          <w:rFonts w:hint="eastAsia" w:ascii="宋体" w:hAnsi="宋体" w:eastAsia="宋体" w:cs="宋体"/>
          <w:sz w:val="24"/>
          <w:szCs w:val="24"/>
          <w:lang w:val="en-US" w:eastAsia="zh-CN"/>
        </w:rPr>
        <w:t xml:space="preserve">（一）运维时间</w:t>
      </w:r>
      <w:bookmarkEnd w:id="267"/>
      <w:r/>
      <w:bookmarkEnd w:id="268"/>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本运维时间：无缝衔接平台现有服务周期，周期为24个月（含2个月平台升级期）。</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bookmarkStart w:id="269" w:name="_Toc18608"/>
      <w:r/>
      <w:bookmarkStart w:id="270" w:name="_Toc18626"/>
      <w:r>
        <w:rPr>
          <w:rFonts w:hint="eastAsia" w:ascii="宋体" w:hAnsi="宋体" w:eastAsia="宋体" w:cs="宋体"/>
          <w:sz w:val="24"/>
          <w:szCs w:val="24"/>
          <w:lang w:val="en-US" w:eastAsia="zh-CN"/>
        </w:rPr>
        <w:t xml:space="preserve">（二）运维目标</w:t>
      </w:r>
      <w:bookmarkEnd w:id="269"/>
      <w:r/>
      <w:bookmarkEnd w:id="270"/>
      <w:r/>
      <w:r/>
    </w:p>
    <w:p>
      <w:pPr>
        <w:ind w:left="0" w:firstLine="560"/>
        <w:keepLines w:val="0"/>
        <w:keepNext w:val="0"/>
        <w:pageBreakBefore w:val="0"/>
        <w:spacing w:line="420" w:lineRule="exact"/>
        <w:widowControl w:val="off"/>
        <w:rPr>
          <w:rFonts w:hint="eastAsia" w:ascii="宋体" w:hAnsi="宋体" w:eastAsia="宋体" w:cs="宋体"/>
          <w:sz w:val="24"/>
          <w:szCs w:val="24"/>
        </w:rPr>
      </w:pPr>
      <w:r/>
      <w:bookmarkStart w:id="271" w:name="_Toc18341"/>
      <w:r>
        <w:rPr>
          <w:rFonts w:hint="eastAsia" w:ascii="宋体" w:hAnsi="宋体" w:eastAsia="宋体" w:cs="宋体"/>
          <w:sz w:val="24"/>
          <w:szCs w:val="24"/>
        </w:rPr>
        <w:t xml:space="preserve">为全面落实国家、省、市关于智慧养老、智慧民政、AI赋能民生工作部署，本运维服务对养老助餐服务AI升级、并同步升级补充AI智慧助浴系统,实现从信息化到智能化的跨越式升级，真正做到数据多跑路、人员少跑腿、监管无死角、服务有温度。</w:t>
      </w:r>
      <w:r/>
    </w:p>
    <w:p>
      <w:pPr>
        <w:ind w:left="0" w:firstLine="56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所有系统功能升级完善工作均基于原有兴化市“</w:t>
      </w:r>
      <w:r>
        <w:rPr>
          <w:rFonts w:hint="eastAsia" w:ascii="宋体" w:hAnsi="宋体" w:eastAsia="宋体" w:cs="宋体"/>
          <w:sz w:val="24"/>
          <w:szCs w:val="24"/>
          <w:lang w:eastAsia="zh-CN"/>
        </w:rPr>
        <w:t xml:space="preserve">一老一小</w:t>
      </w:r>
      <w:r>
        <w:rPr>
          <w:rFonts w:hint="eastAsia" w:ascii="宋体" w:hAnsi="宋体" w:eastAsia="宋体" w:cs="宋体"/>
          <w:sz w:val="24"/>
          <w:szCs w:val="24"/>
        </w:rPr>
        <w:t xml:space="preserve">”监管平台架构开展，不得脱离现有平台独立建设，确保与原有系统数据互通、业务连贯、账号体系统一。</w:t>
      </w:r>
      <w:r/>
    </w:p>
    <w:p>
      <w:pPr>
        <w:ind w:left="0" w:firstLine="56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升级完善后的平台需符合国家、省、市民政行业信息化建设规范，满足《中华人民共和国个人信息保护法》《网络安全等级保护条例》等法律法规要求，持续保持网络安全等级保护二级合规水平。</w:t>
      </w:r>
      <w:r/>
    </w:p>
    <w:p>
      <w:pPr>
        <w:ind w:left="0" w:firstLine="56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服务期内运维保障平台7×24小时稳定运行；故障响应时间不超过30分钟，一般故障2小时内修复，重大故障3小时内提出解决方案并推进处置。</w:t>
      </w:r>
      <w:r/>
    </w:p>
    <w:p>
      <w:pPr>
        <w:ind w:left="0" w:firstLine="56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所有升级功能需满足国产化需求，且适配原有PC管理端、各角色小程序端、指挥中心大屏端，实现多端数据实时同步、操作流程一致。</w:t>
      </w:r>
      <w:r/>
    </w:p>
    <w:p>
      <w:pPr>
        <w:ind w:left="0" w:firstLine="56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项目实施过程中不得影响原有平台正常业务运行，升级操作需在非业务高峰时段开展，保障业务连续性。</w:t>
      </w:r>
      <w:r/>
    </w:p>
    <w:p>
      <w:pPr>
        <w:ind w:left="0" w:firstLine="560"/>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（三）</w:t>
      </w:r>
      <w:bookmarkEnd w:id="271"/>
      <w:r/>
      <w:bookmarkStart w:id="272" w:name="_Toc24870"/>
      <w:r/>
      <w:bookmarkStart w:id="273" w:name="_Toc24659"/>
      <w:r>
        <w:rPr>
          <w:rFonts w:hint="eastAsia" w:ascii="宋体" w:hAnsi="宋体" w:eastAsia="宋体" w:cs="宋体"/>
          <w:b/>
          <w:bCs/>
          <w:sz w:val="24"/>
          <w:szCs w:val="24"/>
          <w:lang w:val="en-US" w:eastAsia="zh-CN"/>
        </w:rPr>
        <w:t xml:space="preserve">运维计划</w:t>
      </w:r>
      <w:bookmarkEnd w:id="272"/>
      <w:r/>
      <w:bookmarkEnd w:id="273"/>
      <w:r/>
      <w:r/>
    </w:p>
    <w:p>
      <w:pPr>
        <w:ind w:left="0" w:firstLine="560"/>
        <w:keepLines w:val="0"/>
        <w:keepNext w:val="0"/>
        <w:pageBreakBefore w:val="0"/>
        <w:spacing w:line="42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1.总体运维需求</w:t>
      </w:r>
      <w:r/>
    </w:p>
    <w:p>
      <w:pPr>
        <w:ind w:left="0" w:firstLine="560"/>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（1）核心升级与运维需求</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功能完善需求：本运维服务对养老助餐服务AI升级、并同步升级补充AI智慧助浴系统。</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运维保障需求：组建专业驻场运维团队，提供7×24小时运维服务，涵盖平台运行监控、故障处置、版本迭代、数据备份、安全防护等全环节，保障平台稳定运行。</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合规建设需求：完成等保二级测评及年度复测、整改，完善数据脱敏、访问控制、日志审计等安全功能，确保老年人敏感信息的合规保护。</w:t>
      </w:r>
      <w:r/>
    </w:p>
    <w:p>
      <w:pPr>
        <w:ind w:left="0" w:firstLine="560"/>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驻场服务需求：配置2年全职驻场团队，完成政策咨询、投诉受理、服务预约、工单回访、数据录入、报表生成及平台日常运维等全业务服务。</w:t>
      </w:r>
      <w:r/>
    </w:p>
    <w:p>
      <w:pPr>
        <w:ind w:left="0"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（2）“养老服务”服务监管平台运营升级详细参数</w:t>
      </w:r>
      <w:r/>
    </w:p>
    <w:tbl>
      <w:tblPr>
        <w:tblStyle w:val="789"/>
        <w:tblW w:w="8236" w:type="dxa"/>
        <w:jc w:val="center"/>
        <w:tblLayout w:type="fixed"/>
        <w:tblCellMar>
          <w:left w:w="108" w:type="dxa"/>
          <w:top w:w="0" w:type="dxa"/>
          <w:right w:w="108" w:type="dxa"/>
          <w:bottom w:w="0" w:type="dxa"/>
        </w:tblCellMar>
        <w:tblLook w:val="04A0" w:firstRow="1" w:lastRow="0" w:firstColumn="1" w:lastColumn="0" w:noHBand="0" w:noVBand="1"/>
      </w:tblPr>
      <w:tblGrid>
        <w:gridCol w:w="811"/>
        <w:gridCol w:w="1255"/>
        <w:gridCol w:w="2850"/>
        <w:gridCol w:w="818"/>
        <w:gridCol w:w="805"/>
        <w:gridCol w:w="1697"/>
      </w:tblGrid>
      <w:tr>
        <w:trPr>
          <w:jc w:val="center"/>
          <w:trHeight w:val="0"/>
          <w:tblHeader/>
        </w:trPr>
        <w:tc>
          <w:tcPr>
            <w:tcBorders>
              <w:top w:val="single" w:color="000000" w:sz="4" w:space="0"/>
              <w:left w:val="single" w:color="000000" w:sz="4" w:space="0"/>
              <w:bottom w:val="single" w:color="000000" w:sz="4" w:space="0"/>
              <w:right w:val="single" w:color="000000" w:sz="4" w:space="0"/>
            </w:tcBorders>
            <w:tcW w:w="811"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序号</w:t>
            </w:r>
            <w:r/>
          </w:p>
        </w:tc>
        <w:tc>
          <w:tcPr>
            <w:gridSpan w:val="2"/>
            <w:tcBorders>
              <w:top w:val="single" w:color="000000" w:sz="4" w:space="0"/>
              <w:left w:val="single" w:color="000000" w:sz="4" w:space="0"/>
              <w:bottom w:val="single" w:color="000000" w:sz="4" w:space="0"/>
              <w:right w:val="single" w:color="000000" w:sz="4" w:space="0"/>
            </w:tcBorders>
            <w:tcW w:w="4105"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项目</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单位</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数量</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b/>
                <w:bCs/>
                <w:color w:val="000000"/>
                <w:sz w:val="24"/>
                <w:szCs w:val="24"/>
              </w:rPr>
            </w:pPr>
            <w:r>
              <w:rPr>
                <w:rFonts w:hint="eastAsia" w:ascii="仿宋" w:hAnsi="仿宋" w:eastAsia="仿宋" w:cs="仿宋"/>
                <w:b/>
                <w:bCs/>
                <w:color w:val="000000"/>
                <w:sz w:val="24"/>
                <w:szCs w:val="24"/>
              </w:rPr>
              <w:t xml:space="preserve">要求配置</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平台升级</w:t>
            </w:r>
            <w:r/>
          </w:p>
        </w:tc>
        <w:tc>
          <w:tcPr>
            <w:tcBorders>
              <w:top w:val="single" w:color="000000" w:sz="4" w:space="0"/>
              <w:left w:val="single" w:color="auto" w:sz="4" w:space="0"/>
              <w:bottom w:val="single" w:color="000000"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养老服务综合监管平台实现</w:t>
            </w:r>
            <w:r>
              <w:rPr>
                <w:rFonts w:hint="eastAsia" w:ascii="仿宋" w:hAnsi="仿宋" w:eastAsia="仿宋" w:cs="仿宋"/>
                <w:sz w:val="24"/>
                <w:szCs w:val="24"/>
              </w:rPr>
              <w:t xml:space="preserve">养老助餐服务AI升级以及升级补充AI智慧助浴系统</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lang w:bidi="ar"/>
              </w:rPr>
              <w:t xml:space="preserve">套</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1</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详见服务范围</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2</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平台运维</w:t>
            </w:r>
            <w:r/>
          </w:p>
        </w:tc>
        <w:tc>
          <w:tcPr>
            <w:tcBorders>
              <w:top w:val="single" w:color="000000" w:sz="4" w:space="0"/>
              <w:left w:val="single" w:color="auto" w:sz="4" w:space="0"/>
              <w:bottom w:val="single" w:color="000000"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cs="仿宋"/>
                <w:color w:val="000000"/>
                <w:sz w:val="24"/>
                <w:szCs w:val="24"/>
                <w:lang w:eastAsia="zh-CN" w:bidi="ar"/>
              </w:rPr>
              <w:t xml:space="preserve">“养老服务”</w:t>
            </w:r>
            <w:r>
              <w:rPr>
                <w:rFonts w:hint="eastAsia" w:ascii="仿宋" w:hAnsi="仿宋" w:eastAsia="仿宋" w:cs="仿宋"/>
                <w:color w:val="000000"/>
                <w:sz w:val="24"/>
                <w:szCs w:val="24"/>
                <w:lang w:bidi="ar"/>
              </w:rPr>
              <w:t xml:space="preserve">服务监管平台运维</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详见服务范围</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3</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客服中心</w:t>
            </w:r>
            <w:r/>
          </w:p>
        </w:tc>
        <w:tc>
          <w:tcPr>
            <w:tcBorders>
              <w:top w:val="single" w:color="000000" w:sz="4" w:space="0"/>
              <w:left w:val="single" w:color="auto" w:sz="4" w:space="0"/>
              <w:bottom w:val="single" w:color="000000"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val="en-US" w:eastAsia="zh-CN" w:bidi="ar"/>
              </w:rPr>
              <w:t xml:space="preserve">6</w:t>
            </w:r>
            <w:r>
              <w:rPr>
                <w:rFonts w:hint="eastAsia" w:ascii="仿宋" w:hAnsi="仿宋" w:eastAsia="仿宋" w:cs="仿宋"/>
                <w:color w:val="000000"/>
                <w:sz w:val="24"/>
                <w:szCs w:val="24"/>
                <w:lang w:bidi="ar"/>
              </w:rPr>
              <w:t xml:space="preserve">名（组长1人，组员</w:t>
            </w:r>
            <w:r>
              <w:rPr>
                <w:rFonts w:hint="eastAsia" w:ascii="仿宋" w:hAnsi="仿宋" w:eastAsia="仿宋" w:cs="仿宋"/>
                <w:color w:val="000000"/>
                <w:sz w:val="24"/>
                <w:szCs w:val="24"/>
                <w:lang w:val="en-US" w:eastAsia="zh-CN" w:bidi="ar"/>
              </w:rPr>
              <w:t xml:space="preserve">4</w:t>
            </w:r>
            <w:r>
              <w:rPr>
                <w:rFonts w:hint="eastAsia" w:ascii="仿宋" w:hAnsi="仿宋" w:eastAsia="仿宋" w:cs="仿宋"/>
                <w:color w:val="000000"/>
                <w:sz w:val="24"/>
                <w:szCs w:val="24"/>
                <w:lang w:bidi="ar"/>
              </w:rPr>
              <w:t xml:space="preserve">人，驻场技术人员1人）。需为客服人员缴纳社保</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详见服务范围</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w:t>
            </w:r>
            <w:r/>
          </w:p>
        </w:tc>
        <w:tc>
          <w:tcPr>
            <w:tcBorders>
              <w:top w:val="single" w:color="auto" w:sz="4" w:space="0"/>
              <w:left w:val="single" w:color="auto" w:sz="4" w:space="0"/>
              <w:bottom w:val="single" w:color="auto" w:sz="4" w:space="0"/>
              <w:right w:val="single" w:color="auto" w:sz="4" w:space="0"/>
            </w:tcBorders>
            <w:tcW w:w="1255"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sz w:val="24"/>
                <w:szCs w:val="24"/>
              </w:rPr>
              <w:t xml:space="preserve">信息化网络安全管理</w:t>
            </w:r>
            <w:r/>
          </w:p>
        </w:tc>
        <w:tc>
          <w:tcPr>
            <w:tcBorders>
              <w:top w:val="single" w:color="000000" w:sz="4" w:space="0"/>
              <w:left w:val="single" w:color="auto" w:sz="4" w:space="0"/>
              <w:bottom w:val="single" w:color="000000"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cs="仿宋"/>
                <w:color w:val="000000"/>
                <w:sz w:val="24"/>
                <w:szCs w:val="24"/>
                <w:lang w:eastAsia="zh-CN" w:bidi="ar"/>
              </w:rPr>
              <w:t xml:space="preserve">“养老服务”</w:t>
            </w:r>
            <w:r>
              <w:rPr>
                <w:rFonts w:hint="eastAsia" w:ascii="仿宋" w:hAnsi="仿宋" w:eastAsia="仿宋" w:cs="仿宋"/>
                <w:color w:val="000000"/>
                <w:sz w:val="24"/>
                <w:szCs w:val="24"/>
                <w:lang w:bidi="ar"/>
              </w:rPr>
              <w:t xml:space="preserve">服务监管平台安全等级保护评定及整改</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须满足网络安全二级等保及完成整改工作</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restart"/>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5</w:t>
            </w:r>
            <w:r/>
          </w:p>
        </w:tc>
        <w:tc>
          <w:tcPr>
            <w:tcBorders>
              <w:top w:val="single" w:color="auto" w:sz="4" w:space="0"/>
              <w:left w:val="single" w:color="auto" w:sz="4" w:space="0"/>
              <w:bottom w:val="single" w:color="auto" w:sz="4" w:space="0"/>
              <w:right w:val="single" w:color="auto" w:sz="4" w:space="0"/>
            </w:tcBorders>
            <w:tcW w:w="1255" w:type="dxa"/>
            <w:vAlign w:val="center"/>
            <w:vMerge w:val="restart"/>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其他费用</w:t>
            </w:r>
            <w:r/>
          </w:p>
        </w:tc>
        <w:tc>
          <w:tcPr>
            <w:tcBorders>
              <w:top w:val="single" w:color="000000" w:sz="4" w:space="0"/>
              <w:left w:val="single" w:color="auto" w:sz="4" w:space="0"/>
              <w:bottom w:val="single" w:color="000000"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云端服务器租用费</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VCPU≥16核、内存≥32GB、存储≥1TB，支持弹性扩容</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000000" w:sz="4" w:space="0"/>
              <w:left w:val="single" w:color="auto" w:sz="4" w:space="0"/>
              <w:bottom w:val="single" w:color="000000"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光纤接入租用</w:t>
            </w:r>
            <w:r/>
          </w:p>
        </w:tc>
        <w:tc>
          <w:tcPr>
            <w:tcBorders>
              <w:top w:val="single" w:color="000000" w:sz="4" w:space="0"/>
              <w:left w:val="single" w:color="000000" w:sz="4" w:space="0"/>
              <w:bottom w:val="single" w:color="000000"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000000"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不低于100M</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000000" w:sz="4" w:space="0"/>
              <w:left w:val="single" w:color="auto" w:sz="4" w:space="0"/>
              <w:bottom w:val="single" w:color="auto"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人脸识别</w:t>
            </w:r>
            <w:r/>
          </w:p>
        </w:tc>
        <w:tc>
          <w:tcPr>
            <w:tcBorders>
              <w:top w:val="single" w:color="000000" w:sz="4" w:space="0"/>
              <w:left w:val="single" w:color="000000" w:sz="4" w:space="0"/>
              <w:bottom w:val="single" w:color="auto"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auto"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auto"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约400万次</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000000" w:sz="4" w:space="0"/>
              <w:left w:val="single" w:color="auto" w:sz="4" w:space="0"/>
              <w:bottom w:val="single" w:color="auto"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短信</w:t>
            </w:r>
            <w:r/>
          </w:p>
        </w:tc>
        <w:tc>
          <w:tcPr>
            <w:tcBorders>
              <w:top w:val="single" w:color="000000" w:sz="4" w:space="0"/>
              <w:left w:val="single" w:color="000000" w:sz="4" w:space="0"/>
              <w:bottom w:val="single" w:color="auto"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auto"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auto"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约4万条</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000000" w:sz="4" w:space="0"/>
              <w:left w:val="single" w:color="auto" w:sz="4" w:space="0"/>
              <w:bottom w:val="single" w:color="auto" w:sz="4" w:space="0"/>
              <w:right w:val="single" w:color="000000"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算力服务</w:t>
            </w:r>
            <w:r/>
          </w:p>
        </w:tc>
        <w:tc>
          <w:tcPr>
            <w:tcBorders>
              <w:top w:val="single" w:color="000000" w:sz="4" w:space="0"/>
              <w:left w:val="single" w:color="000000" w:sz="4" w:space="0"/>
              <w:bottom w:val="single" w:color="auto" w:sz="4" w:space="0"/>
              <w:right w:val="single" w:color="000000"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000000" w:sz="4" w:space="0"/>
              <w:left w:val="single" w:color="000000" w:sz="4" w:space="0"/>
              <w:bottom w:val="single" w:color="auto" w:sz="4" w:space="0"/>
              <w:right w:val="single" w:color="000000"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000000" w:sz="4" w:space="0"/>
              <w:left w:val="single" w:color="000000" w:sz="4" w:space="0"/>
              <w:bottom w:val="single" w:color="auto" w:sz="4" w:space="0"/>
              <w:right w:val="single" w:color="000000" w:sz="4" w:space="0"/>
            </w:tcBorders>
            <w:tcW w:w="1697"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20B token</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台式电脑</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697" w:type="dxa"/>
            <w:vAlign w:val="center"/>
            <w:vMerge w:val="restart"/>
            <w:textDirection w:val="lrTb"/>
            <w:noWrap/>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用于日常办公，服务商自行提供</w:t>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打印机</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697"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高速扫描仪</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台</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697"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电话</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val="en-US" w:eastAsia="zh-CN" w:bidi="ar"/>
              </w:rPr>
            </w:pPr>
            <w:r>
              <w:rPr>
                <w:rFonts w:hint="eastAsia" w:ascii="仿宋" w:hAnsi="仿宋" w:eastAsia="仿宋" w:cs="仿宋"/>
                <w:color w:val="000000"/>
                <w:sz w:val="24"/>
                <w:szCs w:val="24"/>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697"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配套办公设备</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套</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eastAsia="zh-CN" w:bidi="ar"/>
              </w:rPr>
            </w:pPr>
            <w:r>
              <w:rPr>
                <w:rFonts w:hint="eastAsia" w:ascii="仿宋" w:hAnsi="仿宋" w:eastAsia="仿宋" w:cs="仿宋"/>
                <w:color w:val="000000"/>
                <w:sz w:val="24"/>
                <w:szCs w:val="24"/>
                <w:lang w:val="en-US" w:eastAsia="zh-CN" w:bidi="ar"/>
              </w:rPr>
              <w:t xml:space="preserve">6</w:t>
            </w:r>
            <w:r/>
          </w:p>
        </w:tc>
        <w:tc>
          <w:tcPr>
            <w:tcBorders>
              <w:top w:val="single" w:color="auto" w:sz="4" w:space="0"/>
              <w:left w:val="single" w:color="auto" w:sz="4" w:space="0"/>
              <w:bottom w:val="single" w:color="auto" w:sz="4" w:space="0"/>
              <w:right w:val="single" w:color="auto" w:sz="4" w:space="0"/>
            </w:tcBorders>
            <w:tcW w:w="1697"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硬件、设备维修</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697"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r>
        <w:trPr>
          <w:jc w:val="center"/>
          <w:trHeight w:val="0"/>
        </w:trPr>
        <w:tc>
          <w:tcPr>
            <w:tcBorders>
              <w:top w:val="single" w:color="auto" w:sz="4" w:space="0"/>
              <w:left w:val="single" w:color="auto" w:sz="4" w:space="0"/>
              <w:bottom w:val="single" w:color="auto" w:sz="4" w:space="0"/>
              <w:right w:val="single" w:color="auto" w:sz="4" w:space="0"/>
            </w:tcBorders>
            <w:tcW w:w="811"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c>
          <w:tcPr>
            <w:tcBorders>
              <w:top w:val="single" w:color="auto" w:sz="4" w:space="0"/>
              <w:left w:val="single" w:color="auto" w:sz="4" w:space="0"/>
              <w:bottom w:val="single" w:color="auto" w:sz="4" w:space="0"/>
              <w:right w:val="single" w:color="auto" w:sz="4" w:space="0"/>
            </w:tcBorders>
            <w:tcW w:w="1255" w:type="dxa"/>
            <w:vAlign w:val="center"/>
            <w:vMerge w:val="continue"/>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r>
            <w:r/>
          </w:p>
        </w:tc>
        <w:tc>
          <w:tcPr>
            <w:tcBorders>
              <w:top w:val="single" w:color="auto" w:sz="4" w:space="0"/>
              <w:left w:val="single" w:color="auto" w:sz="4" w:space="0"/>
              <w:bottom w:val="single" w:color="auto" w:sz="4" w:space="0"/>
              <w:right w:val="single" w:color="auto" w:sz="4" w:space="0"/>
            </w:tcBorders>
            <w:tcW w:w="2850"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配件、耗材</w:t>
            </w:r>
            <w:r/>
          </w:p>
        </w:tc>
        <w:tc>
          <w:tcPr>
            <w:tcBorders>
              <w:top w:val="single" w:color="auto" w:sz="4" w:space="0"/>
              <w:left w:val="single" w:color="auto" w:sz="4" w:space="0"/>
              <w:bottom w:val="single" w:color="auto" w:sz="4" w:space="0"/>
              <w:right w:val="single" w:color="auto" w:sz="4" w:space="0"/>
            </w:tcBorders>
            <w:tcW w:w="818"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年</w:t>
            </w:r>
            <w:r/>
          </w:p>
        </w:tc>
        <w:tc>
          <w:tcPr>
            <w:tcBorders>
              <w:top w:val="single" w:color="auto" w:sz="4" w:space="0"/>
              <w:left w:val="single" w:color="auto" w:sz="4" w:space="0"/>
              <w:bottom w:val="single" w:color="auto" w:sz="4" w:space="0"/>
              <w:right w:val="single" w:color="auto" w:sz="4" w:space="0"/>
            </w:tcBorders>
            <w:tcW w:w="805"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2</w:t>
            </w:r>
            <w:r/>
          </w:p>
        </w:tc>
        <w:tc>
          <w:tcPr>
            <w:tcBorders>
              <w:top w:val="single" w:color="auto" w:sz="4" w:space="0"/>
              <w:left w:val="single" w:color="auto" w:sz="4" w:space="0"/>
              <w:bottom w:val="single" w:color="auto" w:sz="4" w:space="0"/>
              <w:right w:val="single" w:color="auto" w:sz="4" w:space="0"/>
            </w:tcBorders>
            <w:tcW w:w="1697" w:type="dxa"/>
            <w:vAlign w:val="center"/>
            <w:vMerge w:val="continue"/>
            <w:textDirection w:val="lrTb"/>
            <w:noWrap w:val="false"/>
          </w:tcPr>
          <w:p>
            <w:pPr>
              <w:ind w:left="0" w:right="0" w:firstLine="0"/>
              <w:jc w:val="left"/>
              <w:keepLines w:val="0"/>
              <w:keepNext w:val="0"/>
              <w:pageBreakBefore w:val="0"/>
              <w:spacing w:line="240" w:lineRule="auto"/>
              <w:widowControl w:val="off"/>
              <w:rPr>
                <w:rFonts w:hint="eastAsia" w:ascii="仿宋" w:hAnsi="仿宋" w:eastAsia="仿宋" w:cs="仿宋"/>
                <w:color w:val="000000"/>
                <w:sz w:val="24"/>
                <w:szCs w:val="24"/>
              </w:rPr>
            </w:pPr>
            <w:r>
              <w:rPr>
                <w:rFonts w:hint="eastAsia" w:ascii="仿宋" w:hAnsi="仿宋" w:eastAsia="仿宋" w:cs="仿宋"/>
                <w:color w:val="000000"/>
                <w:sz w:val="24"/>
                <w:szCs w:val="24"/>
              </w:rPr>
            </w:r>
            <w:r/>
          </w:p>
        </w:tc>
      </w:tr>
    </w:tbl>
    <w:p>
      <w:pPr>
        <w:ind w:left="0" w:firstLine="561"/>
        <w:keepLines w:val="0"/>
        <w:keepNext w:val="0"/>
        <w:pageBreakBefore w:val="0"/>
        <w:spacing w:line="420" w:lineRule="exact"/>
        <w:widowControl w:val="off"/>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（3）业务需求</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核心用户：</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兴化市老年群体、养老服务机构、政府监管部门；</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主要业务：</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养老服务综合监管平台实现养老助餐服务AI升级以及升级补充AI智慧助浴系统。</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“养老服务”服务监管平台运维：提供远程支持、现场技术服务、定期跟踪等售后保障。</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客服中心服务：支持电话咨询、投诉受理、服务预约、回访调研、数据统计分析等功能，实现服务全程留痕。</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信息化网络安全：满足网络安全二级等保及完成整改工作。</w:t>
      </w:r>
      <w:r/>
    </w:p>
    <w:p>
      <w:pPr>
        <w:numPr>
          <w:ilvl w:val="0"/>
          <w:numId w:val="2"/>
        </w:num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技术需求</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部署需求：泰州政务云，VCPU≥16核、内存≥32GB、存储≥1TB，弹性扩容。</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性能需求：支持同时在线用户数≥500人，并发请求≥100次/秒，系统响应≤3秒。</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对接需求：按需对接泰州通、泰政通、市级数据平台、信创园，确保与原有系统数据互通、业务连贯、账号体系统一。本平台严格遵循国家信息技术应用创新（信创）战略要求，坚持"全面适配、分步实施、安全可控、平滑过渡"的总体原则，在平台设计、开发、部署各环节全面考虑信创兼容性，确保平台可在国产化软硬件环境下稳定运行。数据层采用标准化接口，支持国产数据库迁移；前端采用响应式设计，全面兼容国产浏览器。信创迁移不改变平台业务功能和用户操作习惯，确保迁移过程业务不中断、数据不丢失。</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安全需求：等保二级、数据脱敏、加密传输、加密存储、双重身份认证、全日志审计。</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AI技术需求：计算机视觉（人脸识别、图像识别）、深度学习算法。</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设备需求：适配国产电脑、小程序、移动端、大数据大屏、人脸识别终端。</w:t>
      </w:r>
      <w:r/>
    </w:p>
    <w:p>
      <w:pPr>
        <w:ind w:left="0" w:firstLine="560"/>
        <w:keepLines w:val="0"/>
        <w:keepNext w:val="0"/>
        <w:pageBreakBefore w:val="0"/>
        <w:spacing w:line="420" w:lineRule="exact"/>
        <w:widowControl w:val="off"/>
        <w:rPr>
          <w:rFonts w:hint="eastAsia" w:ascii="宋体" w:hAnsi="宋体" w:eastAsia="方正仿宋_GBK" w:cs="宋体"/>
          <w:b/>
          <w:bCs/>
          <w:sz w:val="28"/>
          <w:szCs w:val="28"/>
          <w:lang w:val="en-US" w:eastAsia="zh-CN"/>
        </w:rPr>
      </w:pPr>
      <w:r>
        <w:rPr>
          <w:rFonts w:hint="eastAsia" w:ascii="宋体" w:hAnsi="宋体" w:eastAsia="宋体" w:cs="宋体"/>
          <w:b/>
          <w:bCs/>
          <w:sz w:val="28"/>
          <w:szCs w:val="28"/>
          <w:lang w:val="en-US" w:eastAsia="zh-CN"/>
        </w:rPr>
        <w:t xml:space="preserve">2.平台升级建设要求</w:t>
      </w:r>
      <w:r/>
    </w:p>
    <w:p>
      <w:pPr>
        <w:ind w:firstLine="482"/>
        <w:keepLines w:val="0"/>
        <w:keepNext w:val="0"/>
        <w:pageBreakBefore w:val="0"/>
        <w:spacing w:line="420" w:lineRule="exact"/>
        <w:widowControl w:val="off"/>
        <w:rPr>
          <w:rFonts w:hint="eastAsia" w:ascii="宋体" w:hAnsi="宋体" w:eastAsia="宋体" w:cs="宋体"/>
          <w:b/>
          <w:bCs/>
          <w:sz w:val="24"/>
          <w:szCs w:val="24"/>
        </w:rPr>
      </w:pPr>
      <w:r/>
      <w:bookmarkStart w:id="274" w:name="heading_4"/>
      <w:r>
        <w:rPr>
          <w:rFonts w:hint="eastAsia" w:ascii="宋体" w:hAnsi="宋体" w:eastAsia="宋体" w:cs="宋体"/>
          <w:b/>
          <w:bCs/>
          <w:sz w:val="24"/>
          <w:szCs w:val="24"/>
        </w:rPr>
        <w:t xml:space="preserve">（1）养老助餐监管系统AI功能升级完善</w:t>
      </w:r>
      <w:bookmarkEnd w:id="274"/>
      <w:r/>
      <w:r/>
    </w:p>
    <w:p>
      <w:pPr>
        <w:ind w:firstLine="480"/>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对原有助餐监管模块进行AI智能化功能优化，强化服务核验能力、提升合规监管效能。</w:t>
      </w:r>
      <w:r/>
    </w:p>
    <w:p>
      <w:pPr>
        <w:ind w:firstLine="482"/>
        <w:jc w:val="left"/>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1）登记核验功能升级：</w:t>
      </w:r>
      <w:r/>
    </w:p>
    <w:p>
      <w:pPr>
        <w:numPr>
          <w:ilvl w:val="0"/>
          <w:numId w:val="3"/>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扫脸登记（标准模式）：</w:t>
      </w:r>
      <w:r>
        <w:rPr>
          <w:rFonts w:hint="eastAsia" w:ascii="宋体" w:hAnsi="宋体" w:eastAsia="宋体" w:cs="宋体"/>
          <w:color w:val="000000" w:themeColor="text1"/>
          <w:sz w:val="24"/>
          <w:szCs w:val="24"/>
          <w14:textFill>
            <w14:solidFill>
              <w14:schemeClr w14:val="tx1"/>
            </w14:solidFill>
          </w14:textFill>
        </w:rPr>
        <w:t xml:space="preserve">3D活体检测，拦截照片、视频、面具、翻拍作弊</w:t>
      </w:r>
      <w:r>
        <w:rPr>
          <w:rFonts w:hint="eastAsia" w:ascii="宋体" w:hAnsi="宋体" w:eastAsia="宋体" w:cs="宋体"/>
          <w:sz w:val="24"/>
          <w:szCs w:val="24"/>
        </w:rPr>
        <w:t xml:space="preserve">；人脸比对自动匹配档案，相似度低时弹出备选提示；</w:t>
      </w:r>
      <w:r>
        <w:rPr>
          <w:rFonts w:hint="eastAsia" w:ascii="宋体" w:hAnsi="宋体" w:eastAsia="宋体" w:cs="宋体"/>
          <w:color w:val="000000" w:themeColor="text1"/>
          <w:sz w:val="24"/>
          <w:szCs w:val="24"/>
          <w14:textFill>
            <w14:solidFill>
              <w14:schemeClr w14:val="tx1"/>
            </w14:solidFill>
          </w14:textFill>
        </w:rPr>
        <w:t xml:space="preserve">强制校验老人+餐盒同框、餐盒透明、可见饭菜</w:t>
      </w:r>
      <w:r>
        <w:rPr>
          <w:rFonts w:hint="eastAsia" w:ascii="宋体" w:hAnsi="宋体" w:eastAsia="宋体" w:cs="宋体"/>
          <w:sz w:val="24"/>
          <w:szCs w:val="24"/>
        </w:rPr>
        <w:t xml:space="preserve">。</w:t>
      </w:r>
      <w:r/>
    </w:p>
    <w:p>
      <w:pPr>
        <w:numPr>
          <w:ilvl w:val="0"/>
          <w:numId w:val="3"/>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非扫脸登记（特殊老人模式）：针对面部萎缩、失能、卧床、高龄、无自理能力老人，支持选择老人→上传老人现场照→上传餐食照→二图至少一张同框；代拿餐强制填写备注；提交后自动进入人工复核队列，不经审核不结算。</w:t>
      </w:r>
      <w:r/>
    </w:p>
    <w:p>
      <w:pPr>
        <w:numPr>
          <w:ilvl w:val="0"/>
          <w:numId w:val="3"/>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登记规则AI强约束：限定午餐时段10:00—14:30、</w:t>
      </w:r>
      <w:r>
        <w:rPr>
          <w:rFonts w:hint="eastAsia" w:ascii="宋体" w:hAnsi="宋体" w:eastAsia="宋体" w:cs="宋体"/>
          <w:color w:val="auto"/>
          <w:sz w:val="24"/>
          <w:szCs w:val="24"/>
        </w:rPr>
        <w:t xml:space="preserve">晚餐时段15:00-20:00</w:t>
      </w:r>
      <w:r>
        <w:rPr>
          <w:rFonts w:hint="eastAsia" w:ascii="宋体" w:hAnsi="宋体" w:eastAsia="宋体" w:cs="宋体"/>
          <w:sz w:val="24"/>
          <w:szCs w:val="24"/>
        </w:rPr>
        <w:t xml:space="preserve">录单，非时段无法录单；每人每日仅限1单，重复提交自动拦截；照片模糊、餐盒不透明、无餐食、非老人本人自动识别不通过。</w:t>
      </w:r>
      <w:r/>
    </w:p>
    <w:p>
      <w:pPr>
        <w:ind w:firstLine="482"/>
        <w:jc w:val="left"/>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2）餐食合规AI识别优化:</w:t>
      </w:r>
      <w:r/>
    </w:p>
    <w:p>
      <w:pPr>
        <w:numPr>
          <w:ilvl w:val="0"/>
          <w:numId w:val="4"/>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餐食标准识别：AI自动识别一饭一菜、餐盒透明、饭菜可见。</w:t>
      </w:r>
      <w:r/>
    </w:p>
    <w:p>
      <w:pPr>
        <w:numPr>
          <w:ilvl w:val="0"/>
          <w:numId w:val="4"/>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违规场景自动拦截：空餐盒、白板餐盒、翻拍照片、图片盗用、老人不在场、家中饭菜全部拦截。</w:t>
      </w:r>
      <w:r/>
    </w:p>
    <w:p>
      <w:pPr>
        <w:numPr>
          <w:ilvl w:val="0"/>
          <w:numId w:val="4"/>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同框强制校验：必须老人面部清晰+餐盒同时入镜，缺一不可。</w:t>
      </w:r>
      <w:r/>
    </w:p>
    <w:p>
      <w:pPr>
        <w:numPr>
          <w:ilvl w:val="0"/>
          <w:numId w:val="4"/>
        </w:numPr>
        <w:ind w:firstLine="480"/>
        <w:jc w:val="left"/>
        <w:keepLines w:val="0"/>
        <w:keepNext w:val="0"/>
        <w:pageBreakBefore w:val="0"/>
        <w:spacing w:line="420" w:lineRule="exact"/>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rPr>
        <w:t xml:space="preserve">反馈</w:t>
      </w:r>
      <w:r>
        <w:rPr>
          <w:rFonts w:hint="eastAsia" w:ascii="宋体" w:hAnsi="宋体" w:eastAsia="宋体" w:cs="宋体"/>
          <w:color w:val="auto"/>
          <w:sz w:val="24"/>
          <w:szCs w:val="24"/>
        </w:rPr>
        <w:t xml:space="preserve">：不合规即时提示原因，引导规范拍摄。</w:t>
      </w:r>
      <w:r/>
    </w:p>
    <w:p>
      <w:pPr>
        <w:ind w:firstLine="482"/>
        <w:jc w:val="left"/>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3）工单智能审核模块升级：</w:t>
      </w:r>
      <w:r/>
    </w:p>
    <w:p>
      <w:pPr>
        <w:numPr>
          <w:ilvl w:val="0"/>
          <w:numId w:val="5"/>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AI自动初审：扫脸工单自动核验人脸、定位、时段、餐食、同框，合规自动通过。</w:t>
      </w:r>
      <w:r/>
    </w:p>
    <w:p>
      <w:pPr>
        <w:numPr>
          <w:ilvl w:val="0"/>
          <w:numId w:val="5"/>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人工专项复审：非扫脸工单、疑似异常工单，人工逐一审核。</w:t>
      </w:r>
      <w:r/>
    </w:p>
    <w:p>
      <w:pPr>
        <w:numPr>
          <w:ilvl w:val="0"/>
          <w:numId w:val="5"/>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重复工单合并：同一老人同日多单自动识别，只保留最真实一单，其余标记无效。</w:t>
      </w:r>
      <w:r/>
    </w:p>
    <w:p>
      <w:pPr>
        <w:numPr>
          <w:ilvl w:val="0"/>
          <w:numId w:val="5"/>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工单状态全流程管理：支持待审核、已通过、已驳回、已结算、无效单、</w:t>
      </w:r>
      <w:r>
        <w:rPr>
          <w:rFonts w:hint="eastAsia" w:ascii="宋体" w:hAnsi="宋体" w:eastAsia="宋体" w:cs="宋体"/>
          <w:color w:val="auto"/>
          <w:sz w:val="24"/>
          <w:szCs w:val="24"/>
          <w:highlight w:val="none"/>
        </w:rPr>
        <w:t xml:space="preserve">黑名单</w:t>
      </w:r>
      <w:r>
        <w:rPr>
          <w:rFonts w:hint="eastAsia" w:ascii="宋体" w:hAnsi="宋体" w:eastAsia="宋体" w:cs="宋体"/>
          <w:sz w:val="24"/>
          <w:szCs w:val="24"/>
        </w:rPr>
        <w:t xml:space="preserve">单全状态管控。</w:t>
      </w:r>
      <w:r/>
    </w:p>
    <w:p>
      <w:pPr>
        <w:numPr>
          <w:ilvl w:val="0"/>
          <w:numId w:val="5"/>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驳回原因标准化：内置信息不符、照片不实、餐食不合格、时间不符、非本人、身故录单等标准化驳回原因。</w:t>
      </w:r>
      <w:r/>
    </w:p>
    <w:p>
      <w:pPr>
        <w:numPr>
          <w:ilvl w:val="0"/>
          <w:numId w:val="0"/>
        </w:numPr>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r>
      <w:r/>
    </w:p>
    <w:tbl>
      <w:tblPr>
        <w:tblStyle w:val="789"/>
        <w:tblW w:w="852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548"/>
        <w:gridCol w:w="2127"/>
        <w:gridCol w:w="4847"/>
      </w:tblGrid>
      <w:tr>
        <w:trPr>
          <w:jc w:val="center"/>
          <w:trHeight w:val="0"/>
          <w:tblHeader/>
        </w:trPr>
        <w:tc>
          <w:tcPr>
            <w:tcMar>
              <w:left w:w="120" w:type="dxa"/>
              <w:top w:w="60" w:type="dxa"/>
              <w:right w:w="120" w:type="dxa"/>
              <w:bottom w:w="30" w:type="dxa"/>
            </w:tcMar>
            <w:tcW w:w="1548"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b/>
                <w:sz w:val="24"/>
                <w:szCs w:val="24"/>
              </w:rPr>
            </w:pPr>
            <w:r>
              <w:rPr>
                <w:rFonts w:hint="eastAsia" w:ascii="宋体" w:hAnsi="宋体" w:eastAsia="宋体" w:cs="宋体"/>
                <w:b/>
                <w:bCs/>
                <w:sz w:val="24"/>
                <w:szCs w:val="24"/>
                <w:lang w:val="en-US" w:eastAsia="zh-CN"/>
              </w:rPr>
              <w:t xml:space="preserve">一</w:t>
            </w:r>
            <w:r>
              <w:rPr>
                <w:rFonts w:hint="eastAsia" w:ascii="宋体" w:hAnsi="宋体" w:eastAsia="宋体" w:cs="宋体"/>
                <w:b/>
                <w:bCs/>
                <w:sz w:val="24"/>
                <w:szCs w:val="24"/>
              </w:rPr>
              <w:t xml:space="preserve">级模块</w:t>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b/>
                <w:sz w:val="24"/>
                <w:szCs w:val="24"/>
              </w:rPr>
            </w:pPr>
            <w:r>
              <w:rPr>
                <w:rFonts w:hint="eastAsia" w:ascii="宋体" w:hAnsi="宋体" w:eastAsia="宋体" w:cs="宋体"/>
                <w:b/>
                <w:bCs/>
                <w:sz w:val="24"/>
                <w:szCs w:val="24"/>
                <w:lang w:val="en-US" w:eastAsia="zh-CN"/>
              </w:rPr>
              <w:t xml:space="preserve">二</w:t>
            </w:r>
            <w:r>
              <w:rPr>
                <w:rFonts w:hint="eastAsia" w:ascii="宋体" w:hAnsi="宋体" w:eastAsia="宋体" w:cs="宋体"/>
                <w:b/>
                <w:bCs/>
                <w:sz w:val="24"/>
                <w:szCs w:val="24"/>
              </w:rPr>
              <w:t xml:space="preserve">级功能模块</w:t>
            </w:r>
            <w:r/>
          </w:p>
        </w:tc>
        <w:tc>
          <w:tcPr>
            <w:tcMar>
              <w:left w:w="120" w:type="dxa"/>
              <w:top w:w="60" w:type="dxa"/>
              <w:right w:w="120" w:type="dxa"/>
              <w:bottom w:w="30" w:type="dxa"/>
            </w:tcMar>
            <w:tcW w:w="484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b/>
                <w:sz w:val="24"/>
                <w:szCs w:val="24"/>
              </w:rPr>
            </w:pPr>
            <w:r>
              <w:rPr>
                <w:rFonts w:hint="eastAsia" w:ascii="宋体" w:hAnsi="宋体" w:eastAsia="宋体" w:cs="宋体"/>
                <w:b/>
                <w:bCs/>
                <w:sz w:val="24"/>
                <w:szCs w:val="24"/>
              </w:rPr>
              <w:t xml:space="preserve">三级核心功能点</w:t>
            </w:r>
            <w:r/>
          </w:p>
        </w:tc>
      </w:tr>
      <w:tr>
        <w:trPr>
          <w:jc w:val="center"/>
          <w:trHeight w:val="0"/>
        </w:trPr>
        <w:tc>
          <w:tcPr>
            <w:tcMar>
              <w:left w:w="120" w:type="dxa"/>
              <w:top w:w="60" w:type="dxa"/>
              <w:right w:w="120" w:type="dxa"/>
              <w:bottom w:w="30" w:type="dxa"/>
            </w:tcMar>
            <w:tcW w:w="1548" w:type="dxa"/>
            <w:vAlign w:val="center"/>
            <w:vMerge w:val="restart"/>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助餐登记与核验</w:t>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扫脸登记标准模式</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color w:val="000000" w:themeColor="text1"/>
                <w:sz w:val="24"/>
                <w:szCs w:val="24"/>
                <w14:textFill>
                  <w14:solidFill>
                    <w14:schemeClr w14:val="tx1"/>
                  </w14:solidFill>
                </w14:textFill>
              </w:rPr>
              <w:t xml:space="preserve">3D活体检测+人脸比对自动匹配老人档案；强制校验老人+餐盒同框、餐盒透明、饭菜可见；</w:t>
            </w:r>
            <w:r>
              <w:rPr>
                <w:rFonts w:hint="eastAsia" w:ascii="宋体" w:hAnsi="宋体" w:eastAsia="宋体" w:cs="宋体"/>
                <w:sz w:val="24"/>
                <w:szCs w:val="24"/>
              </w:rPr>
              <w:t xml:space="preserve">合规直接归档</w:t>
            </w:r>
            <w:r/>
          </w:p>
        </w:tc>
      </w:tr>
      <w:tr>
        <w:trPr>
          <w:jc w:val="center"/>
          <w:trHeight w:val="0"/>
        </w:trPr>
        <w:tc>
          <w:tcPr>
            <w:tcMar>
              <w:left w:w="120" w:type="dxa"/>
              <w:top w:w="60" w:type="dxa"/>
              <w:right w:w="120" w:type="dxa"/>
              <w:bottom w:w="30" w:type="dxa"/>
            </w:tcMar>
            <w:tcW w:w="1548" w:type="dxa"/>
            <w:vAlign w:val="center"/>
            <w:vMerge w:val="continue"/>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非扫脸登记特殊模式</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针对特殊老人，支持老人现场照+餐食照</w:t>
            </w:r>
            <w:r>
              <w:rPr>
                <w:rFonts w:hint="eastAsia" w:ascii="宋体" w:hAnsi="宋体" w:eastAsia="宋体" w:cs="宋体"/>
                <w:color w:val="0d0d0d" w:themeColor="text1" w:themeTint="F2"/>
                <w:sz w:val="24"/>
                <w:szCs w:val="24"/>
                <w14:textFill>
                  <w14:solidFill>
                    <w14:schemeClr w14:val="tx1">
                      <w14:lumMod w14:val="95000"/>
                      <w14:lumOff w14:val="5000"/>
                    </w14:schemeClr>
                  </w14:solidFill>
                </w14:textFill>
              </w:rPr>
              <w:t xml:space="preserve">双图上传，强制同框要求；</w:t>
            </w:r>
            <w:r>
              <w:rPr>
                <w:rFonts w:hint="eastAsia" w:ascii="宋体" w:hAnsi="宋体" w:eastAsia="宋体" w:cs="宋体"/>
                <w:color w:val="auto"/>
                <w:sz w:val="24"/>
                <w:szCs w:val="24"/>
              </w:rPr>
              <w:t xml:space="preserve">代拿餐填写备注与代领人信息；提交后进入人工复核队列，未经审核不进入结算池</w:t>
            </w:r>
            <w:r/>
          </w:p>
        </w:tc>
      </w:tr>
      <w:tr>
        <w:trPr>
          <w:jc w:val="center"/>
          <w:trHeight w:val="0"/>
        </w:trPr>
        <w:tc>
          <w:tcPr>
            <w:tcMar>
              <w:left w:w="120" w:type="dxa"/>
              <w:top w:w="60" w:type="dxa"/>
              <w:right w:w="120" w:type="dxa"/>
              <w:bottom w:w="30" w:type="dxa"/>
            </w:tcMar>
            <w:tcW w:w="1548" w:type="dxa"/>
            <w:vAlign w:val="center"/>
            <w:vMerge w:val="continue"/>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登记规则强约束</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限定午餐10:00-14:30、</w:t>
            </w:r>
            <w:r>
              <w:rPr>
                <w:rFonts w:hint="eastAsia" w:ascii="宋体" w:hAnsi="宋体" w:eastAsia="宋体" w:cs="宋体"/>
                <w:color w:val="auto"/>
                <w:sz w:val="24"/>
                <w:szCs w:val="24"/>
              </w:rPr>
              <w:t xml:space="preserve">晚餐时段15:00-20:00</w:t>
            </w:r>
            <w:r>
              <w:rPr>
                <w:rFonts w:hint="eastAsia" w:ascii="宋体" w:hAnsi="宋体" w:eastAsia="宋体" w:cs="宋体"/>
                <w:sz w:val="24"/>
                <w:szCs w:val="24"/>
              </w:rPr>
              <w:t xml:space="preserve">录单，非时段禁止操作；每人每日仅限1单，重复提交自动拦截；照片模糊、餐盒不透明、无餐食、非本人自动识别不通过</w:t>
            </w:r>
            <w:r/>
          </w:p>
        </w:tc>
      </w:tr>
      <w:tr>
        <w:trPr>
          <w:jc w:val="center"/>
          <w:trHeight w:val="0"/>
        </w:trPr>
        <w:tc>
          <w:tcPr>
            <w:tcMar>
              <w:left w:w="120" w:type="dxa"/>
              <w:top w:w="60" w:type="dxa"/>
              <w:right w:w="120" w:type="dxa"/>
              <w:bottom w:w="30" w:type="dxa"/>
            </w:tcMar>
            <w:tcW w:w="1548" w:type="dxa"/>
            <w:vAlign w:val="center"/>
            <w:vMerge w:val="restart"/>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餐食合规AI识别</w:t>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餐食标准识别</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AI自动识别一饭一菜标配、餐盒透明、饭菜可见</w:t>
            </w:r>
            <w:r/>
          </w:p>
        </w:tc>
      </w:tr>
      <w:tr>
        <w:trPr>
          <w:jc w:val="center"/>
          <w:trHeight w:val="0"/>
        </w:trPr>
        <w:tc>
          <w:tcPr>
            <w:tcMar>
              <w:left w:w="120" w:type="dxa"/>
              <w:top w:w="60" w:type="dxa"/>
              <w:right w:w="120" w:type="dxa"/>
              <w:bottom w:w="30" w:type="dxa"/>
            </w:tcMar>
            <w:tcW w:w="1548" w:type="dxa"/>
            <w:vAlign w:val="center"/>
            <w:vMerge w:val="continue"/>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违规场景拦截</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自动拦截空餐盒、白板餐盒、翻拍照片、图片盗用、老人不在场、家中饭菜等违规场景</w:t>
            </w:r>
            <w:r/>
          </w:p>
        </w:tc>
      </w:tr>
      <w:tr>
        <w:trPr>
          <w:jc w:val="center"/>
          <w:trHeight w:val="0"/>
        </w:trPr>
        <w:tc>
          <w:tcPr>
            <w:tcMar>
              <w:left w:w="120" w:type="dxa"/>
              <w:top w:w="60" w:type="dxa"/>
              <w:right w:w="120" w:type="dxa"/>
              <w:bottom w:w="30" w:type="dxa"/>
            </w:tcMar>
            <w:tcW w:w="1548" w:type="dxa"/>
            <w:vAlign w:val="center"/>
            <w:vMerge w:val="continue"/>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同框强制校验</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强制要求老人面部清晰+餐盒同时入镜，缺一不可，不合规无法提交</w:t>
            </w:r>
            <w:r/>
          </w:p>
        </w:tc>
      </w:tr>
      <w:tr>
        <w:trPr>
          <w:jc w:val="center"/>
          <w:trHeight w:val="0"/>
        </w:trPr>
        <w:tc>
          <w:tcPr>
            <w:tcMar>
              <w:left w:w="120" w:type="dxa"/>
              <w:top w:w="60" w:type="dxa"/>
              <w:right w:w="120" w:type="dxa"/>
              <w:bottom w:w="30" w:type="dxa"/>
            </w:tcMar>
            <w:tcW w:w="1548" w:type="dxa"/>
            <w:vAlign w:val="center"/>
            <w:vMerge w:val="restart"/>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w:t>
            </w:r>
            <w:r>
              <w:rPr>
                <w:rFonts w:hint="eastAsia" w:ascii="宋体" w:hAnsi="方正仿宋_GB2312" w:eastAsia="宋体" w:cs="方正仿宋_GB2312"/>
                <w:sz w:val="24"/>
                <w:szCs w:val="32"/>
              </w:rPr>
              <w:t xml:space="preserve">工单智能审核</w:t>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AI自动初审</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扫脸工单自动核验人脸、定位、时段、</w:t>
            </w:r>
            <w:r>
              <w:rPr>
                <w:rFonts w:hint="eastAsia" w:ascii="宋体" w:hAnsi="宋体" w:eastAsia="宋体" w:cs="宋体"/>
                <w:color w:val="auto"/>
                <w:sz w:val="24"/>
                <w:szCs w:val="24"/>
              </w:rPr>
              <w:t xml:space="preserve">餐食、同框全维度信</w:t>
            </w:r>
            <w:r>
              <w:rPr>
                <w:rFonts w:hint="eastAsia" w:ascii="宋体" w:hAnsi="宋体" w:eastAsia="宋体" w:cs="宋体"/>
                <w:sz w:val="24"/>
                <w:szCs w:val="24"/>
              </w:rPr>
              <w:t xml:space="preserve">息，合规自动通过，进入结算池</w:t>
            </w:r>
            <w:r/>
          </w:p>
        </w:tc>
      </w:tr>
      <w:tr>
        <w:trPr>
          <w:jc w:val="center"/>
          <w:trHeight w:val="0"/>
        </w:trPr>
        <w:tc>
          <w:tcPr>
            <w:tcMar>
              <w:left w:w="120" w:type="dxa"/>
              <w:top w:w="60" w:type="dxa"/>
              <w:right w:w="120" w:type="dxa"/>
              <w:bottom w:w="30" w:type="dxa"/>
            </w:tcMar>
            <w:tcW w:w="1548" w:type="dxa"/>
            <w:vAlign w:val="center"/>
            <w:vMerge w:val="continue"/>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人工专项复审</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非扫脸工单、疑似异常工单人工逐一审核，支持批量审核、驳回、标注原因</w:t>
            </w:r>
            <w:r/>
          </w:p>
        </w:tc>
      </w:tr>
      <w:tr>
        <w:trPr>
          <w:jc w:val="center"/>
          <w:trHeight w:val="0"/>
        </w:trPr>
        <w:tc>
          <w:tcPr>
            <w:tcMar>
              <w:left w:w="120" w:type="dxa"/>
              <w:top w:w="60" w:type="dxa"/>
              <w:right w:w="120" w:type="dxa"/>
              <w:bottom w:w="30" w:type="dxa"/>
            </w:tcMar>
            <w:tcW w:w="1548" w:type="dxa"/>
            <w:vAlign w:val="center"/>
            <w:vMerge w:val="continue"/>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重复工单处理</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同一老人同日多单自动识别，仅保留有效单，其余标记无效，禁止重复结算</w:t>
            </w:r>
            <w:r/>
          </w:p>
        </w:tc>
      </w:tr>
      <w:tr>
        <w:trPr>
          <w:jc w:val="center"/>
          <w:trHeight w:val="0"/>
        </w:trPr>
        <w:tc>
          <w:tcPr>
            <w:tcMar>
              <w:left w:w="120" w:type="dxa"/>
              <w:top w:w="60" w:type="dxa"/>
              <w:right w:w="120" w:type="dxa"/>
              <w:bottom w:w="30" w:type="dxa"/>
            </w:tcMar>
            <w:tcW w:w="1548" w:type="dxa"/>
            <w:vAlign w:val="center"/>
            <w:vMerge w:val="continue"/>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27" w:type="dxa"/>
            <w:vAlign w:val="center"/>
            <w:textDirection w:val="lrTb"/>
            <w:noWrap w:val="false"/>
          </w:tcPr>
          <w:p>
            <w:pPr>
              <w:ind w:left="0" w:right="0" w:firstLine="0"/>
              <w:jc w:val="center"/>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工单全状态管控</w:t>
            </w:r>
            <w:r/>
          </w:p>
        </w:tc>
        <w:tc>
          <w:tcPr>
            <w:tcMar>
              <w:left w:w="120" w:type="dxa"/>
              <w:top w:w="60" w:type="dxa"/>
              <w:right w:w="120" w:type="dxa"/>
              <w:bottom w:w="30" w:type="dxa"/>
            </w:tcMar>
            <w:tcW w:w="4847" w:type="dxa"/>
            <w:vAlign w:val="center"/>
            <w:textDirection w:val="lrTb"/>
            <w:noWrap w:val="false"/>
          </w:tcPr>
          <w:p>
            <w:pPr>
              <w:ind w:left="0" w:right="0" w:firstLine="0"/>
              <w:jc w:val="left"/>
              <w:keepLines w:val="0"/>
              <w:keepNext w:val="0"/>
              <w:pageBreakBefore w:val="0"/>
              <w:spacing w:before="60"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支持待审核、已通过、已驳回、已结算、无效单、</w:t>
            </w:r>
            <w:r>
              <w:rPr>
                <w:rFonts w:hint="eastAsia" w:ascii="宋体" w:hAnsi="宋体" w:eastAsia="宋体" w:cs="宋体"/>
                <w:color w:val="auto"/>
                <w:sz w:val="24"/>
                <w:szCs w:val="24"/>
              </w:rPr>
              <w:t xml:space="preserve">黑名单全状</w:t>
            </w:r>
            <w:r>
              <w:rPr>
                <w:rFonts w:hint="eastAsia" w:ascii="宋体" w:hAnsi="宋体" w:eastAsia="宋体" w:cs="宋体"/>
                <w:sz w:val="24"/>
                <w:szCs w:val="24"/>
              </w:rPr>
              <w:t xml:space="preserve">态跟踪管理，状态变更全程留痕</w:t>
            </w:r>
            <w:r/>
          </w:p>
        </w:tc>
      </w:tr>
    </w:tbl>
    <w:p>
      <w:pPr>
        <w:ind w:firstLine="482"/>
        <w:keepLines w:val="0"/>
        <w:keepNext w:val="0"/>
        <w:pageBreakBefore w:val="0"/>
        <w:spacing w:before="60"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（2）养老智慧助浴系统功能完善</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养老助浴系统基于现有“养老服务综合监管平台”，聚焦养老助浴服务全流程，通过补充核心功能模块、优化现有模块，构建“安全有保障、家属能参与、监管可追溯、服务更高效”的专业化助浴服务体系，最终实现助浴服务从“基础服务”向“安全化、精细化、智能化”升级，满足老人高品质助浴需求，同时为监管部门、服务商家提供高效协同工具。</w:t>
      </w:r>
      <w:r/>
    </w:p>
    <w:p>
      <w:pPr>
        <w:ind w:firstLine="482"/>
        <w:keepLines w:val="0"/>
        <w:keepNext w:val="0"/>
        <w:pageBreakBefore w:val="0"/>
        <w:spacing w:before="60" w:line="420" w:lineRule="exact"/>
        <w:widowControl w:val="off"/>
        <w:rPr>
          <w:rFonts w:hint="eastAsia" w:ascii="宋体" w:hAnsi="宋体" w:eastAsia="宋体" w:cs="宋体"/>
          <w:b/>
          <w:bCs/>
          <w:color w:val="000000"/>
          <w:sz w:val="24"/>
          <w:szCs w:val="24"/>
          <w:lang w:bidi="ar"/>
        </w:rPr>
      </w:pPr>
      <w:r/>
      <w:bookmarkStart w:id="275" w:name="heading_1"/>
      <w:r>
        <w:rPr>
          <w:rFonts w:hint="eastAsia" w:ascii="宋体" w:hAnsi="宋体" w:eastAsia="宋体" w:cs="宋体"/>
          <w:b/>
          <w:bCs/>
          <w:color w:val="000000"/>
          <w:sz w:val="24"/>
          <w:szCs w:val="24"/>
          <w:lang w:bidi="ar"/>
        </w:rPr>
        <w:t xml:space="preserve">1）服务机构管理模块</w:t>
      </w:r>
      <w:bookmarkEnd w:id="275"/>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面向平台运营方与入驻养老服务机构，实现机构从入驻到运营的全生命周期管理，保障服务供给端合规运营。</w:t>
      </w:r>
      <w:r/>
    </w:p>
    <w:p>
      <w:pPr>
        <w:numPr>
          <w:ilvl w:val="0"/>
          <w:numId w:val="6"/>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76" w:name="heading_2"/>
      <w:r>
        <w:rPr>
          <w:rFonts w:hint="eastAsia" w:ascii="宋体" w:hAnsi="宋体" w:eastAsia="宋体" w:cs="宋体"/>
          <w:color w:val="000000"/>
          <w:sz w:val="24"/>
          <w:szCs w:val="24"/>
          <w:lang w:bidi="ar"/>
        </w:rPr>
        <w:t xml:space="preserve">机构入驻与审核</w:t>
      </w:r>
      <w:bookmarkEnd w:id="276"/>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000000"/>
          <w:sz w:val="24"/>
          <w:szCs w:val="24"/>
          <w:lang w:bidi="ar"/>
        </w:rPr>
        <w:t xml:space="preserve">机构基本信息提交：支持机构在线填写名称、</w:t>
      </w:r>
      <w:r>
        <w:rPr>
          <w:rFonts w:hint="eastAsia" w:ascii="宋体" w:hAnsi="宋体" w:eastAsia="宋体" w:cs="宋体"/>
          <w:color w:val="auto"/>
          <w:sz w:val="24"/>
          <w:szCs w:val="24"/>
          <w:lang w:bidi="ar"/>
        </w:rPr>
        <w:t xml:space="preserve">地址、法人、联系方式等基础信息，完成入驻申请填报。</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资质文件上传：支持上传营业执照、养老服务许可证、卫生许可证等合规资质文件，作为平台审核依据。</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审核进度与结果通知：机构可实时查询平台审核进度，审核结果通过系统通知同步推送，驳回场景同步告知具体原因。</w:t>
      </w:r>
      <w:r/>
    </w:p>
    <w:p>
      <w:pPr>
        <w:numPr>
          <w:ilvl w:val="0"/>
          <w:numId w:val="6"/>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77" w:name="heading_3"/>
      <w:r>
        <w:rPr>
          <w:rFonts w:hint="eastAsia" w:ascii="宋体" w:hAnsi="宋体" w:eastAsia="宋体" w:cs="宋体"/>
          <w:color w:val="000000"/>
          <w:sz w:val="24"/>
          <w:szCs w:val="24"/>
          <w:lang w:bidi="ar"/>
        </w:rPr>
        <w:t xml:space="preserve">机构信息管理</w:t>
      </w:r>
      <w:bookmarkEnd w:id="277"/>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000000"/>
          <w:sz w:val="24"/>
          <w:szCs w:val="24"/>
          <w:lang w:bidi="ar"/>
        </w:rPr>
        <w:t xml:space="preserve">基础信息维护：</w:t>
      </w:r>
      <w:r>
        <w:rPr>
          <w:rFonts w:hint="eastAsia" w:ascii="宋体" w:hAnsi="宋体" w:eastAsia="宋体" w:cs="宋体"/>
          <w:color w:val="auto"/>
          <w:sz w:val="24"/>
          <w:szCs w:val="24"/>
          <w:lang w:bidi="ar"/>
        </w:rPr>
        <w:t xml:space="preserve">支持机构自主维护联系方式、经营地址等基础信息，信息变更需提交平台核验生效。</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资质证书更新与审核：机构资质到期前可在线提交更新材料，平台完成二次审核，保障机构资质持续有效。</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服务能力维护：机构可自主维护服务项目、人员规模、承接上限等服务范围与能力信息，同步至派单调度体系。</w:t>
      </w:r>
      <w:r/>
    </w:p>
    <w:p>
      <w:pPr>
        <w:numPr>
          <w:ilvl w:val="0"/>
          <w:numId w:val="6"/>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服务范围管理</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服务区域设置：支持基于地理位置定位设置服务覆盖区域，可添加多个服务片区，灵活调整服务边界。</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老人分布查看：机构可查看所辖服务区域内的在册老人分布情况。</w:t>
      </w:r>
      <w:r/>
    </w:p>
    <w:p>
      <w:pPr>
        <w:numPr>
          <w:ilvl w:val="0"/>
          <w:numId w:val="6"/>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78" w:name="heading_5"/>
      <w:r>
        <w:rPr>
          <w:rFonts w:hint="eastAsia" w:ascii="宋体" w:hAnsi="宋体" w:eastAsia="宋体" w:cs="宋体"/>
          <w:color w:val="000000"/>
          <w:sz w:val="24"/>
          <w:szCs w:val="24"/>
          <w:lang w:bidi="ar"/>
        </w:rPr>
        <w:t xml:space="preserve">机构评价管理</w:t>
      </w:r>
      <w:bookmarkEnd w:id="278"/>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机构可查看老人及家属提交的服务评价与星级评分，掌握服务口碑与问题点，针对性优化服务质量。</w:t>
      </w:r>
      <w:r/>
    </w:p>
    <w:p>
      <w:pPr>
        <w:numPr>
          <w:ilvl w:val="0"/>
          <w:numId w:val="6"/>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79" w:name="heading_6"/>
      <w:r>
        <w:rPr>
          <w:rFonts w:hint="eastAsia" w:ascii="宋体" w:hAnsi="宋体" w:eastAsia="宋体" w:cs="宋体"/>
          <w:color w:val="000000"/>
          <w:sz w:val="24"/>
          <w:szCs w:val="24"/>
          <w:lang w:bidi="ar"/>
        </w:rPr>
        <w:t xml:space="preserve">结算管理</w:t>
      </w:r>
      <w:bookmarkEnd w:id="279"/>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结算明细查询：支持按时间段、服务类型查看服务费用结算明细，清晰核对每笔订单收益。</w:t>
      </w:r>
      <w:r/>
    </w:p>
    <w:p>
      <w:pPr>
        <w:ind w:firstLine="482"/>
        <w:keepLines w:val="0"/>
        <w:keepNext w:val="0"/>
        <w:pageBreakBefore w:val="0"/>
        <w:spacing w:before="60" w:line="420" w:lineRule="exact"/>
        <w:widowControl w:val="off"/>
        <w:rPr>
          <w:rFonts w:hint="eastAsia" w:ascii="宋体" w:hAnsi="宋体" w:eastAsia="宋体" w:cs="宋体"/>
          <w:b/>
          <w:bCs/>
          <w:color w:val="000000"/>
          <w:sz w:val="24"/>
          <w:szCs w:val="24"/>
          <w:lang w:bidi="ar"/>
        </w:rPr>
      </w:pPr>
      <w:r/>
      <w:bookmarkStart w:id="280" w:name="heading_7"/>
      <w:r>
        <w:rPr>
          <w:rFonts w:hint="eastAsia" w:ascii="宋体" w:hAnsi="宋体" w:eastAsia="宋体" w:cs="宋体"/>
          <w:b/>
          <w:bCs/>
          <w:color w:val="000000"/>
          <w:sz w:val="24"/>
          <w:szCs w:val="24"/>
          <w:lang w:bidi="ar"/>
        </w:rPr>
        <w:t xml:space="preserve">2）助浴员管理模块</w:t>
      </w:r>
      <w:bookmarkEnd w:id="280"/>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面向平台与服务机构，实现助浴从业人员的档案、资质、考勤、培训、评价全流程管理，保障服务人员专业合规。</w:t>
      </w:r>
      <w:r/>
    </w:p>
    <w:p>
      <w:pPr>
        <w:numPr>
          <w:ilvl w:val="0"/>
          <w:numId w:val="7"/>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1" w:name="heading_8"/>
      <w:r>
        <w:rPr>
          <w:rFonts w:hint="eastAsia" w:ascii="宋体" w:hAnsi="宋体" w:eastAsia="宋体" w:cs="宋体"/>
          <w:color w:val="000000"/>
          <w:sz w:val="24"/>
          <w:szCs w:val="24"/>
          <w:lang w:bidi="ar"/>
        </w:rPr>
        <w:t xml:space="preserve">人员档案管理</w:t>
      </w:r>
      <w:bookmarkEnd w:id="281"/>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基础信息录入：录入助浴员姓名、性别、年龄、联系方式等基础身份信息，建立人员电子档案。</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专业资质上传：支持上传健康证、助浴培训证书、</w:t>
      </w:r>
      <w:r>
        <w:rPr>
          <w:rFonts w:hint="eastAsia" w:ascii="宋体" w:hAnsi="宋体" w:eastAsia="宋体" w:cs="宋体"/>
          <w:color w:val="auto"/>
          <w:sz w:val="24"/>
          <w:szCs w:val="24"/>
          <w:lang w:bidi="ar"/>
        </w:rPr>
        <w:t xml:space="preserve">技能等级证书</w:t>
      </w:r>
      <w:r>
        <w:rPr>
          <w:rFonts w:hint="eastAsia" w:ascii="宋体" w:hAnsi="宋体" w:eastAsia="宋体" w:cs="宋体"/>
          <w:color w:val="000000"/>
          <w:sz w:val="24"/>
          <w:szCs w:val="24"/>
          <w:lang w:bidi="ar"/>
        </w:rPr>
        <w:t xml:space="preserve">等执业资质文件存档。</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档案信息维护：支持人员信息动态更新与维护，确保档案信息准确有效。</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000000"/>
          <w:sz w:val="24"/>
          <w:szCs w:val="24"/>
          <w:lang w:bidi="ar"/>
        </w:rPr>
        <w:t xml:space="preserve">有效期提醒：</w:t>
      </w:r>
      <w:r>
        <w:rPr>
          <w:rFonts w:hint="eastAsia" w:ascii="宋体" w:hAnsi="宋体" w:eastAsia="宋体" w:cs="宋体"/>
          <w:color w:val="auto"/>
          <w:sz w:val="24"/>
          <w:szCs w:val="24"/>
          <w:lang w:bidi="ar"/>
        </w:rPr>
        <w:t xml:space="preserve">系统自动监测健康证等资质有效期，到期前自动推送提醒，督促及时更新。</w:t>
      </w:r>
      <w:r/>
    </w:p>
    <w:p>
      <w:pPr>
        <w:numPr>
          <w:ilvl w:val="0"/>
          <w:numId w:val="7"/>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2" w:name="heading_9"/>
      <w:r>
        <w:rPr>
          <w:rFonts w:hint="eastAsia" w:ascii="宋体" w:hAnsi="宋体" w:eastAsia="宋体" w:cs="宋体"/>
          <w:color w:val="000000"/>
          <w:sz w:val="24"/>
          <w:szCs w:val="24"/>
          <w:lang w:bidi="ar"/>
        </w:rPr>
        <w:t xml:space="preserve">资质审核与升级</w:t>
      </w:r>
      <w:bookmarkEnd w:id="282"/>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入职资质审核：新入职助浴员提交资质后，平台/机构完成审核，</w:t>
      </w:r>
      <w:r>
        <w:rPr>
          <w:rFonts w:hint="eastAsia" w:ascii="宋体" w:hAnsi="宋体" w:eastAsia="宋体" w:cs="宋体"/>
          <w:color w:val="auto"/>
          <w:sz w:val="24"/>
          <w:szCs w:val="24"/>
          <w:lang w:bidi="ar"/>
        </w:rPr>
        <w:t xml:space="preserve">结果同步通知本人。</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审核反馈与整改：资质审核不通过时，系统反馈具体原因并提供整改指引，支持二次提交。</w:t>
      </w:r>
      <w:r/>
    </w:p>
    <w:p>
      <w:pPr>
        <w:numPr>
          <w:ilvl w:val="0"/>
          <w:numId w:val="7"/>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3" w:name="heading_10"/>
      <w:r>
        <w:rPr>
          <w:rFonts w:hint="eastAsia" w:ascii="宋体" w:hAnsi="宋体" w:eastAsia="宋体" w:cs="宋体"/>
          <w:color w:val="000000"/>
          <w:sz w:val="24"/>
          <w:szCs w:val="24"/>
          <w:lang w:bidi="ar"/>
        </w:rPr>
        <w:t xml:space="preserve">定位与考勤管理</w:t>
      </w:r>
      <w:bookmarkEnd w:id="283"/>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定位追踪：</w:t>
      </w:r>
      <w:r>
        <w:rPr>
          <w:rFonts w:hint="eastAsia" w:ascii="宋体" w:hAnsi="宋体" w:eastAsia="宋体" w:cs="宋体"/>
          <w:color w:val="auto"/>
          <w:sz w:val="24"/>
          <w:szCs w:val="24"/>
          <w:lang w:bidi="ar"/>
        </w:rPr>
        <w:t xml:space="preserve">平台与机构可查看助浴员实时位置与服务轨迹，掌握外勤服务动态。</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签到签退管理：助浴员到达服务地点后基于定位完成签到，服务结束后签退，系统自动生成考勤记录。</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考勤数据统计：自动汇总出勤时长、服务单量等考勤数据，支持导出对接薪酬核算。</w:t>
      </w:r>
      <w:r/>
    </w:p>
    <w:p>
      <w:pPr>
        <w:numPr>
          <w:ilvl w:val="0"/>
          <w:numId w:val="7"/>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4" w:name="heading_11"/>
      <w:r>
        <w:rPr>
          <w:rFonts w:hint="eastAsia" w:ascii="宋体" w:hAnsi="宋体" w:eastAsia="宋体" w:cs="宋体"/>
          <w:color w:val="000000"/>
          <w:sz w:val="24"/>
          <w:szCs w:val="24"/>
          <w:lang w:bidi="ar"/>
        </w:rPr>
        <w:t xml:space="preserve">培训与考核管理</w:t>
      </w:r>
      <w:bookmarkEnd w:id="284"/>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平台可定向推送助浴服务规范、应急处理等线上培训课程，跟踪助浴员学习进度，记录考核成绩，支持个人与机构查询培训结果。</w:t>
      </w:r>
      <w:r/>
    </w:p>
    <w:p>
      <w:pPr>
        <w:numPr>
          <w:ilvl w:val="0"/>
          <w:numId w:val="7"/>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5" w:name="heading_12"/>
      <w:r>
        <w:rPr>
          <w:rFonts w:hint="eastAsia" w:ascii="宋体" w:hAnsi="宋体" w:eastAsia="宋体" w:cs="宋体"/>
          <w:color w:val="000000"/>
          <w:sz w:val="24"/>
          <w:szCs w:val="24"/>
          <w:lang w:bidi="ar"/>
        </w:rPr>
        <w:t xml:space="preserve">服务评价管理</w:t>
      </w:r>
      <w:bookmarkEnd w:id="285"/>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个人评价查看：助浴员可查看老人、家属及所属机构的服务评价，了解自身服务问题。</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整改反馈提交：针对评价中指出的问题，可提交整改反馈与改进说明，形成个人服务提升闭环。</w:t>
      </w:r>
      <w:r/>
    </w:p>
    <w:p>
      <w:pPr>
        <w:ind w:firstLine="482"/>
        <w:keepLines w:val="0"/>
        <w:keepNext w:val="0"/>
        <w:pageBreakBefore w:val="0"/>
        <w:spacing w:before="60" w:line="420" w:lineRule="exact"/>
        <w:widowControl w:val="off"/>
        <w:rPr>
          <w:rFonts w:hint="eastAsia" w:ascii="宋体" w:hAnsi="宋体" w:eastAsia="宋体" w:cs="宋体"/>
          <w:b/>
          <w:bCs/>
          <w:color w:val="000000"/>
          <w:sz w:val="24"/>
          <w:szCs w:val="24"/>
          <w:lang w:bidi="ar"/>
        </w:rPr>
      </w:pPr>
      <w:r/>
      <w:bookmarkStart w:id="286" w:name="heading_13"/>
      <w:r>
        <w:rPr>
          <w:rFonts w:hint="eastAsia" w:ascii="宋体" w:hAnsi="宋体" w:eastAsia="宋体" w:cs="宋体"/>
          <w:b/>
          <w:bCs/>
          <w:color w:val="000000"/>
          <w:sz w:val="24"/>
          <w:szCs w:val="24"/>
          <w:lang w:bidi="ar"/>
        </w:rPr>
        <w:t xml:space="preserve">3）老人信息管理模块</w:t>
      </w:r>
      <w:bookmarkEnd w:id="286"/>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构建老人全维度信息档案，支撑服务精准匹配与安全保障，兼顾隐私保护与信息便捷维护。</w:t>
      </w:r>
      <w:r/>
    </w:p>
    <w:p>
      <w:pPr>
        <w:numPr>
          <w:ilvl w:val="0"/>
          <w:numId w:val="8"/>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基础信息管理</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老人基础信息录入：记录姓名、性别、年龄、身份证号、联系方式等核心身份信息，建立个人专属档案。</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家属信息登记：登记紧急联系人姓名、亲属关系、联系方式等信息，保障异常场景及时联动。</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信息更新维护：支持老人本人或家属协助更新基础信息，确保信息时效性。</w:t>
      </w:r>
      <w:r/>
    </w:p>
    <w:p>
      <w:pPr>
        <w:numPr>
          <w:ilvl w:val="0"/>
          <w:numId w:val="8"/>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7" w:name="heading_15"/>
      <w:r>
        <w:rPr>
          <w:rFonts w:hint="eastAsia" w:ascii="宋体" w:hAnsi="宋体" w:eastAsia="宋体" w:cs="宋体"/>
          <w:color w:val="000000"/>
          <w:sz w:val="24"/>
          <w:szCs w:val="24"/>
          <w:lang w:bidi="ar"/>
        </w:rPr>
        <w:t xml:space="preserve">健康档案管理</w:t>
      </w:r>
      <w:bookmarkEnd w:id="287"/>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健康基础信息录入：记录既往病史、过敏史、当前健康状况，形成健康基础档案。</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日常健康数据记录：</w:t>
      </w:r>
      <w:r>
        <w:rPr>
          <w:rFonts w:hint="eastAsia" w:ascii="宋体" w:hAnsi="宋体" w:eastAsia="宋体" w:cs="宋体"/>
          <w:color w:val="0d0d0d" w:themeColor="text1" w:themeTint="F2"/>
          <w:sz w:val="24"/>
          <w:szCs w:val="24"/>
          <w:lang w:bidi="ar"/>
          <w14:textFill>
            <w14:solidFill>
              <w14:schemeClr w14:val="tx1">
                <w14:lumMod w14:val="95000"/>
                <w14:lumOff w14:val="5000"/>
              </w14:schemeClr>
            </w14:solidFill>
          </w14:textFill>
        </w:rPr>
        <w:t xml:space="preserve">支持手动录入血压、血糖等日常健康数据</w:t>
      </w:r>
      <w:r>
        <w:rPr>
          <w:rFonts w:hint="eastAsia" w:ascii="宋体" w:hAnsi="宋体" w:eastAsia="宋体" w:cs="宋体"/>
          <w:color w:val="auto"/>
          <w:sz w:val="24"/>
          <w:szCs w:val="24"/>
          <w:lang w:bidi="ar"/>
        </w:rPr>
        <w:t xml:space="preserve">。</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健康评估报告：基于健康数据生成健康评估报告，支持老人、家属与机构查看。</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000000"/>
          <w:sz w:val="24"/>
          <w:szCs w:val="24"/>
          <w:lang w:bidi="ar"/>
        </w:rPr>
        <w:t xml:space="preserve">助浴禁忌提示：</w:t>
      </w:r>
      <w:r>
        <w:rPr>
          <w:rFonts w:hint="eastAsia" w:ascii="宋体" w:hAnsi="宋体" w:eastAsia="宋体" w:cs="宋体"/>
          <w:color w:val="auto"/>
          <w:sz w:val="24"/>
          <w:szCs w:val="24"/>
          <w:lang w:bidi="ar"/>
        </w:rPr>
        <w:t xml:space="preserve">根据老人健康状况自动提示助浴相关禁忌，如水温度限制、服务时长限制、不适宜服务场景等，规避服务风险。</w:t>
      </w:r>
      <w:r/>
    </w:p>
    <w:p>
      <w:pPr>
        <w:numPr>
          <w:ilvl w:val="0"/>
          <w:numId w:val="8"/>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8" w:name="heading_16"/>
      <w:r>
        <w:rPr>
          <w:rFonts w:hint="eastAsia" w:ascii="宋体" w:hAnsi="宋体" w:eastAsia="宋体" w:cs="宋体"/>
          <w:color w:val="000000"/>
          <w:sz w:val="24"/>
          <w:szCs w:val="24"/>
          <w:lang w:bidi="ar"/>
        </w:rPr>
        <w:t xml:space="preserve">人脸识别信息管理</w:t>
      </w:r>
      <w:bookmarkEnd w:id="288"/>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人脸信息采集：支持现场采集、相册上传两种方式录入老人人脸信息，用于服务核验。</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信息安全管理：人脸信息加密存储，严格落实隐私保护要求，支持信息更新与删除。</w:t>
      </w:r>
      <w:r/>
    </w:p>
    <w:p>
      <w:pPr>
        <w:numPr>
          <w:ilvl w:val="0"/>
          <w:numId w:val="8"/>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89" w:name="heading_17"/>
      <w:r>
        <w:rPr>
          <w:rFonts w:hint="eastAsia" w:ascii="宋体" w:hAnsi="宋体" w:eastAsia="宋体" w:cs="宋体"/>
          <w:color w:val="000000"/>
          <w:sz w:val="24"/>
          <w:szCs w:val="24"/>
          <w:lang w:bidi="ar"/>
        </w:rPr>
        <w:t xml:space="preserve">服务偏好管理</w:t>
      </w:r>
      <w:bookmarkEnd w:id="289"/>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记录老人助浴时间偏好、水温偏好、服务人员性别偏好等个性化需求，支撑服务定制化匹配，提升服务体验。</w:t>
      </w:r>
      <w:r/>
    </w:p>
    <w:p>
      <w:pPr>
        <w:numPr>
          <w:ilvl w:val="0"/>
          <w:numId w:val="8"/>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90" w:name="heading_18"/>
      <w:r>
        <w:rPr>
          <w:rFonts w:hint="eastAsia" w:ascii="宋体" w:hAnsi="宋体" w:eastAsia="宋体" w:cs="宋体"/>
          <w:color w:val="000000"/>
          <w:sz w:val="24"/>
          <w:szCs w:val="24"/>
          <w:lang w:bidi="ar"/>
        </w:rPr>
        <w:t xml:space="preserve">服务记录查询</w:t>
      </w:r>
      <w:bookmarkEnd w:id="290"/>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历史工单查询：可查询历史助浴服务工单，包含服务时间、服务助浴员、服务评价等全维度信息。</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健康变化记录：可查看历次服务前后的健康状况变化记录，跟踪老人长期健康趋势。</w:t>
      </w:r>
      <w:r/>
    </w:p>
    <w:p>
      <w:pPr>
        <w:ind w:firstLine="482"/>
        <w:keepLines w:val="0"/>
        <w:keepNext w:val="0"/>
        <w:pageBreakBefore w:val="0"/>
        <w:spacing w:before="60" w:line="420" w:lineRule="exact"/>
        <w:widowControl w:val="off"/>
        <w:rPr>
          <w:rFonts w:hint="eastAsia" w:ascii="宋体" w:hAnsi="宋体" w:eastAsia="宋体" w:cs="宋体"/>
          <w:b/>
          <w:bCs/>
          <w:color w:val="000000"/>
          <w:sz w:val="24"/>
          <w:szCs w:val="24"/>
          <w:lang w:bidi="ar"/>
        </w:rPr>
      </w:pPr>
      <w:r/>
      <w:bookmarkStart w:id="291" w:name="heading_19"/>
      <w:r>
        <w:rPr>
          <w:rFonts w:hint="eastAsia" w:ascii="宋体" w:hAnsi="宋体" w:eastAsia="宋体" w:cs="宋体"/>
          <w:b/>
          <w:bCs/>
          <w:color w:val="000000"/>
          <w:sz w:val="24"/>
          <w:szCs w:val="24"/>
          <w:lang w:bidi="ar"/>
        </w:rPr>
        <w:t xml:space="preserve">4）工单管理模块（AI智能中枢）</w:t>
      </w:r>
      <w:bookmarkEnd w:id="291"/>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以AI能力为核心，实现助浴工单从派单、执行到收尾的全流程智能化管控，保障服务合规、高效、可追溯。</w:t>
      </w:r>
      <w:r/>
    </w:p>
    <w:p>
      <w:pPr>
        <w:numPr>
          <w:ilvl w:val="0"/>
          <w:numId w:val="9"/>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92" w:name="heading_21"/>
      <w:r>
        <w:rPr>
          <w:rFonts w:hint="eastAsia" w:ascii="宋体" w:hAnsi="宋体" w:eastAsia="宋体" w:cs="宋体"/>
          <w:color w:val="000000"/>
          <w:sz w:val="24"/>
          <w:szCs w:val="24"/>
          <w:lang w:bidi="ar"/>
        </w:rPr>
        <w:t xml:space="preserve">工单全状态管控</w:t>
      </w:r>
      <w:bookmarkEnd w:id="292"/>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覆盖工单全生命周期状态管理，支持待服务、已完成、已评价、异常五大核心状态的实时跟踪与流转；支持按服务时间、区域、助浴员、机构等多条件筛选查询工单，满足不同管理视角的查询需求。</w:t>
      </w:r>
      <w:r/>
    </w:p>
    <w:p>
      <w:pPr>
        <w:numPr>
          <w:ilvl w:val="0"/>
          <w:numId w:val="9"/>
        </w:numPr>
        <w:keepLines w:val="0"/>
        <w:keepNext w:val="0"/>
        <w:pageBreakBefore w:val="0"/>
        <w:spacing w:before="60" w:line="420" w:lineRule="exact"/>
        <w:widowControl w:val="off"/>
        <w:rPr>
          <w:rFonts w:hint="eastAsia" w:ascii="宋体" w:hAnsi="宋体" w:eastAsia="宋体" w:cs="宋体"/>
          <w:color w:val="auto"/>
          <w:sz w:val="24"/>
          <w:szCs w:val="24"/>
          <w:lang w:bidi="ar"/>
        </w:rPr>
      </w:pPr>
      <w:r/>
      <w:bookmarkStart w:id="293" w:name="heading_22"/>
      <w:r>
        <w:rPr>
          <w:rFonts w:hint="eastAsia" w:ascii="宋体" w:hAnsi="宋体" w:eastAsia="宋体" w:cs="宋体"/>
          <w:color w:val="auto"/>
          <w:sz w:val="24"/>
          <w:szCs w:val="24"/>
          <w:lang w:bidi="ar"/>
        </w:rPr>
        <w:t xml:space="preserve">AI过程监护</w:t>
      </w:r>
      <w:bookmarkEnd w:id="293"/>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通过AI能力实现服务全流程合规校验：</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签到定位核验：校验助浴员签到位置与服务地址的一致性，杜绝虚假签到；</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人脸识别核验：服务前后通过人脸识别确认服务对象身份，防止冒单；</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服务时长校验：自动监测实际服务时长，与标准时长比对，保障服务足量；</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服务照片合规检测：AI自动检测服务前/中/后上传照片的真实性、规范性，识别不合规拍摄并预警。</w:t>
      </w:r>
      <w:r/>
    </w:p>
    <w:p>
      <w:pPr>
        <w:numPr>
          <w:ilvl w:val="0"/>
          <w:numId w:val="10"/>
        </w:numPr>
        <w:ind w:firstLine="482"/>
        <w:keepLines w:val="0"/>
        <w:keepNext w:val="0"/>
        <w:pageBreakBefore w:val="0"/>
        <w:spacing w:before="60" w:line="420" w:lineRule="exact"/>
        <w:widowControl w:val="off"/>
        <w:rPr>
          <w:rFonts w:hint="eastAsia" w:ascii="宋体" w:hAnsi="宋体" w:eastAsia="宋体" w:cs="宋体"/>
          <w:b/>
          <w:bCs/>
          <w:color w:val="000000"/>
          <w:sz w:val="24"/>
          <w:szCs w:val="24"/>
          <w:lang w:bidi="ar"/>
        </w:rPr>
      </w:pPr>
      <w:r/>
      <w:bookmarkStart w:id="294" w:name="heading_23"/>
      <w:r>
        <w:rPr>
          <w:rFonts w:hint="eastAsia" w:ascii="宋体" w:hAnsi="宋体" w:eastAsia="宋体" w:cs="宋体"/>
          <w:b/>
          <w:bCs/>
          <w:color w:val="000000"/>
          <w:sz w:val="24"/>
          <w:szCs w:val="24"/>
          <w:lang w:bidi="ar"/>
        </w:rPr>
        <w:t xml:space="preserve">助浴员微信小程序（照护版）</w:t>
      </w:r>
      <w:bookmarkEnd w:id="294"/>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面向助浴员移动端的作业工具，覆盖接单、服务执行、信息采集、个人管理全场景，实现上门服务全流程线上化。</w:t>
      </w:r>
      <w:r/>
    </w:p>
    <w:p>
      <w:pPr>
        <w:numPr>
          <w:ilvl w:val="0"/>
          <w:numId w:val="11"/>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95" w:name="heading_24"/>
      <w:r>
        <w:rPr>
          <w:rFonts w:hint="eastAsia" w:ascii="宋体" w:hAnsi="宋体" w:eastAsia="宋体" w:cs="宋体"/>
          <w:color w:val="000000"/>
          <w:sz w:val="24"/>
          <w:szCs w:val="24"/>
          <w:lang w:bidi="ar"/>
        </w:rPr>
        <w:t xml:space="preserve">预约工单接单</w:t>
      </w:r>
      <w:bookmarkEnd w:id="295"/>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工单查看：助浴员可查看分配至本人的预约助浴工单，了解服务地址、老人信息、服务要求等详情。</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服务启动与签到：确认接单后可启动服务，到达现场完成签到打卡。</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双重核验机制：采用GPS定位+人脸识别双重核验，确保助浴员本人到场、服务对象匹配，从源头防止虚假服务。</w:t>
      </w:r>
      <w:r/>
    </w:p>
    <w:p>
      <w:pPr>
        <w:numPr>
          <w:ilvl w:val="0"/>
          <w:numId w:val="11"/>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96" w:name="heading_25"/>
      <w:r>
        <w:rPr>
          <w:rFonts w:hint="eastAsia" w:ascii="宋体" w:hAnsi="宋体" w:eastAsia="宋体" w:cs="宋体"/>
          <w:color w:val="000000"/>
          <w:sz w:val="24"/>
          <w:szCs w:val="24"/>
          <w:lang w:bidi="ar"/>
        </w:rPr>
        <w:t xml:space="preserve">助浴服务执行</w:t>
      </w:r>
      <w:bookmarkEnd w:id="296"/>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服务照片上传：支持上传服务前、服务后三个节点的现场照片，留存服务凭证。</w:t>
      </w:r>
      <w:r/>
    </w:p>
    <w:p>
      <w:pPr>
        <w:ind w:firstLine="480"/>
        <w:keepLines w:val="0"/>
        <w:keepNext w:val="0"/>
        <w:pageBreakBefore w:val="0"/>
        <w:spacing w:before="60" w:line="420" w:lineRule="exact"/>
        <w:widowControl w:val="off"/>
        <w:rPr>
          <w:rFonts w:hint="eastAsia" w:ascii="宋体" w:hAnsi="宋体" w:eastAsia="宋体" w:cs="宋体"/>
          <w:color w:val="ff0000"/>
          <w:sz w:val="24"/>
          <w:szCs w:val="24"/>
          <w:lang w:bidi="ar"/>
        </w:rPr>
      </w:pPr>
      <w:r>
        <w:rPr>
          <w:rFonts w:hint="eastAsia" w:ascii="宋体" w:hAnsi="宋体" w:eastAsia="宋体" w:cs="宋体"/>
          <w:color w:val="auto"/>
          <w:sz w:val="24"/>
          <w:szCs w:val="24"/>
          <w:highlight w:val="none"/>
          <w:lang w:bidi="ar"/>
        </w:rPr>
        <w:t xml:space="preserve">AI照片真实性检测：上传照片经AI自动检测，校验照片真实性、场景合规性，杜绝补拍、网图替代等违规行为。</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服务完成确认：服务结束后通过人脸识别完成服务对象确认，系统自动生成已完成工单，无需手动填报。</w:t>
      </w:r>
      <w:r/>
    </w:p>
    <w:p>
      <w:pPr>
        <w:numPr>
          <w:ilvl w:val="0"/>
          <w:numId w:val="11"/>
        </w:numPr>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97" w:name="heading_26"/>
      <w:r>
        <w:rPr>
          <w:rFonts w:hint="eastAsia" w:ascii="宋体" w:hAnsi="宋体" w:eastAsia="宋体" w:cs="宋体"/>
          <w:color w:val="000000"/>
          <w:sz w:val="24"/>
          <w:szCs w:val="24"/>
          <w:lang w:bidi="ar"/>
        </w:rPr>
        <w:t xml:space="preserve">老人信息采集</w:t>
      </w:r>
      <w:bookmarkEnd w:id="297"/>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000000"/>
          <w:sz w:val="24"/>
          <w:szCs w:val="24"/>
          <w:lang w:bidi="ar"/>
        </w:rPr>
        <w:t xml:space="preserve">身份证OCR建档</w:t>
      </w:r>
      <w:r>
        <w:rPr>
          <w:rFonts w:hint="eastAsia" w:ascii="宋体" w:hAnsi="宋体" w:eastAsia="宋体" w:cs="宋体"/>
          <w:color w:val="auto"/>
          <w:sz w:val="24"/>
          <w:szCs w:val="24"/>
          <w:lang w:bidi="ar"/>
        </w:rPr>
        <w:t xml:space="preserve">：支持扫描老人身份证自动识别并填充基础信息，快速完成老人档案建立，减少手动录入工作量。</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人脸采集与更新：支持现场采集老人人脸照片，完成人脸信息录入与头像更新。</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auto"/>
          <w:sz w:val="24"/>
          <w:szCs w:val="24"/>
          <w:lang w:bidi="ar"/>
        </w:rPr>
        <w:t xml:space="preserve">AI信息校验：AI自动校验录入信息的完整性，对缺失项自动弹出提醒，引导助浴员补充完善，保障档案质量。</w:t>
      </w:r>
      <w:r/>
    </w:p>
    <w:p>
      <w:pPr>
        <w:numPr>
          <w:ilvl w:val="0"/>
          <w:numId w:val="11"/>
        </w:num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bookmarkStart w:id="298" w:name="heading_27"/>
      <w:r>
        <w:rPr>
          <w:rFonts w:hint="eastAsia" w:ascii="宋体" w:hAnsi="宋体" w:eastAsia="宋体" w:cs="宋体"/>
          <w:color w:val="auto"/>
          <w:sz w:val="24"/>
          <w:szCs w:val="24"/>
          <w:lang w:bidi="ar"/>
        </w:rPr>
        <w:t xml:space="preserve">基础作业功能</w:t>
      </w:r>
      <w:bookmarkEnd w:id="298"/>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人脸采集：首次上门服务时采集老人人脸照片，录入系统人脸库。</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扫脸下单：通过人脸识别快速创建服务工单并完成服务确认，提升下单效率。</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待办服务：集中展示待上门的助浴服务任务，支持按时间排序查看。</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完成服务：查看历史已完成的助浴服务记录，支持按时间、服务对象筛选。</w:t>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中止服务：因老人身体原因、个人突发情况等无法继续服务时，可提交服务中止申请并说明原因。</w:t>
      </w:r>
      <w:r/>
    </w:p>
    <w:p>
      <w:pPr>
        <w:ind w:firstLine="480"/>
        <w:keepLines w:val="0"/>
        <w:keepNext w:val="0"/>
        <w:pageBreakBefore w:val="0"/>
        <w:spacing w:before="60" w:line="420" w:lineRule="exact"/>
        <w:widowControl w:val="off"/>
        <w:rPr>
          <w:rFonts w:hint="eastAsia" w:ascii="宋体" w:hAnsi="宋体" w:eastAsia="宋体" w:cs="宋体"/>
          <w:color w:val="auto"/>
          <w:sz w:val="24"/>
          <w:szCs w:val="24"/>
          <w:lang w:bidi="ar"/>
        </w:rPr>
      </w:pPr>
      <w:r>
        <w:rPr>
          <w:rFonts w:hint="eastAsia" w:ascii="宋体" w:hAnsi="宋体" w:eastAsia="宋体" w:cs="宋体"/>
          <w:color w:val="000000"/>
          <w:sz w:val="24"/>
          <w:szCs w:val="24"/>
          <w:lang w:bidi="ar"/>
        </w:rPr>
        <w:t xml:space="preserve">我的位置：展示自身定位，配合平台位置</w:t>
      </w:r>
      <w:r>
        <w:rPr>
          <w:rFonts w:hint="eastAsia" w:ascii="宋体" w:hAnsi="宋体" w:eastAsia="宋体" w:cs="宋体"/>
          <w:color w:val="auto"/>
          <w:sz w:val="24"/>
          <w:szCs w:val="24"/>
          <w:lang w:bidi="ar"/>
        </w:rPr>
        <w:t xml:space="preserve">监管，同时辅助导航前往服务地点。</w:t>
      </w:r>
      <w:r/>
    </w:p>
    <w:p>
      <w:pPr>
        <w:numPr>
          <w:ilvl w:val="0"/>
          <w:numId w:val="11"/>
        </w:num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bookmarkStart w:id="299" w:name="heading_28"/>
      <w:r>
        <w:rPr>
          <w:rFonts w:hint="eastAsia" w:ascii="宋体" w:hAnsi="宋体" w:eastAsia="宋体" w:cs="宋体"/>
          <w:color w:val="000000"/>
          <w:sz w:val="24"/>
          <w:szCs w:val="24"/>
          <w:lang w:bidi="ar"/>
        </w:rPr>
        <w:t xml:space="preserve">个人中心</w:t>
      </w:r>
      <w:bookmarkEnd w:id="299"/>
      <w:r/>
      <w:r/>
    </w:p>
    <w:p>
      <w:pPr>
        <w:ind w:firstLine="480"/>
        <w:keepLines w:val="0"/>
        <w:keepNext w:val="0"/>
        <w:pageBreakBefore w:val="0"/>
        <w:spacing w:before="60" w:line="420" w:lineRule="exact"/>
        <w:widowControl w:val="off"/>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包含个人信息查看与修改、系统设置、账号安全管理等功能。</w:t>
      </w:r>
      <w:r/>
    </w:p>
    <w:tbl>
      <w:tblPr>
        <w:tblStyle w:val="789"/>
        <w:tblW w:w="825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 w:type="dxa"/>
          <w:top w:w="0" w:type="dxa"/>
          <w:right w:w="10" w:type="dxa"/>
          <w:bottom w:w="0" w:type="dxa"/>
        </w:tblCellMar>
        <w:tblLook w:val="04A0" w:firstRow="1" w:lastRow="0" w:firstColumn="1" w:lastColumn="0" w:noHBand="0" w:noVBand="1"/>
      </w:tblPr>
      <w:tblGrid>
        <w:gridCol w:w="1384"/>
        <w:gridCol w:w="2114"/>
        <w:gridCol w:w="4756"/>
      </w:tblGrid>
      <w:tr>
        <w:trPr>
          <w:jc w:val="center"/>
          <w:trHeight w:val="0"/>
          <w:tblHeader/>
        </w:trPr>
        <w:tc>
          <w:tcPr>
            <w:tcMar>
              <w:left w:w="120" w:type="dxa"/>
              <w:top w:w="60" w:type="dxa"/>
              <w:right w:w="120" w:type="dxa"/>
              <w:bottom w:w="30" w:type="dxa"/>
            </w:tcMar>
            <w:tcW w:w="138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一级模块</w:t>
            </w:r>
            <w:r/>
          </w:p>
        </w:tc>
        <w:tc>
          <w:tcPr>
            <w:tcMar>
              <w:left w:w="120" w:type="dxa"/>
              <w:top w:w="60" w:type="dxa"/>
              <w:right w:w="120" w:type="dxa"/>
              <w:bottom w:w="30" w:type="dxa"/>
            </w:tcMar>
            <w:tcW w:w="21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二级功能模块</w:t>
            </w:r>
            <w:r/>
          </w:p>
        </w:tc>
        <w:tc>
          <w:tcPr>
            <w:tcMar>
              <w:left w:w="120" w:type="dxa"/>
              <w:top w:w="60" w:type="dxa"/>
              <w:right w:w="120" w:type="dxa"/>
              <w:bottom w:w="30" w:type="dxa"/>
            </w:tcMar>
            <w:tcW w:w="4756"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三级核心功能点</w:t>
            </w:r>
            <w:r/>
          </w:p>
        </w:tc>
      </w:tr>
      <w:tr>
        <w:trPr>
          <w:jc w:val="center"/>
          <w:trHeight w:val="0"/>
        </w:trPr>
        <w:tc>
          <w:tcPr>
            <w:tcMar>
              <w:left w:w="120" w:type="dxa"/>
              <w:top w:w="60" w:type="dxa"/>
              <w:right w:w="120" w:type="dxa"/>
              <w:bottom w:w="30" w:type="dxa"/>
            </w:tcMar>
            <w:tcW w:w="138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服务机构管理</w:t>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机构入驻与审核</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机构基本信息提交（名称、地址、法人、联系方式等）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资质文件上传（营业执照、养老服务许可证、卫生许可证等）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平台审核进度查询、审核结果通知</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机构信息管理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机构基本信息维护（联系方式、地址变更等）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机构资质证书更新与审核</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机构服务范围与能力信息维护</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服务范围管理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基于定位设置服务覆盖区域（支持多区域添加）</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服务区域内老人分布查看</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机构评价管理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查看老人及家属对机构的服务评价与评分</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结算管理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000000"/>
                <w:sz w:val="24"/>
                <w:szCs w:val="24"/>
                <w:lang w:bidi="ar"/>
              </w:rPr>
              <w:t xml:space="preserve">结算明细查询：支持按时间段、服务类型查看服务费用结算明细，清晰核对每笔订单收益。</w:t>
            </w:r>
            <w:r/>
          </w:p>
        </w:tc>
      </w:tr>
      <w:tr>
        <w:trPr>
          <w:jc w:val="center"/>
          <w:trHeight w:val="0"/>
        </w:trPr>
        <w:tc>
          <w:tcPr>
            <w:tcMar>
              <w:left w:w="120" w:type="dxa"/>
              <w:top w:w="60" w:type="dxa"/>
              <w:right w:w="120" w:type="dxa"/>
              <w:bottom w:w="30" w:type="dxa"/>
            </w:tcMar>
            <w:tcW w:w="138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助浴员管理</w:t>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人员档案管理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助浴员基本信息录入（姓名、性别、年龄、联系方式等）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专业资质上传（健康证、助浴培训证书、技能等级证书等）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人员档案信息维护与更新</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健康证明有效期提醒与更新</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资质审核与升级</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新入职助浴员资质审核与结果通知</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资质审核不通过原因反馈与整改指引</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定位与考勤管理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定位追踪（显示助浴员当前位置与</w:t>
            </w:r>
            <w:r>
              <w:rPr>
                <w:rFonts w:hint="eastAsia" w:ascii="宋体" w:hAnsi="宋体" w:eastAsia="宋体" w:cs="宋体"/>
                <w:color w:val="auto"/>
                <w:sz w:val="24"/>
                <w:szCs w:val="24"/>
              </w:rPr>
              <w:t xml:space="preserve">服务轨迹</w:t>
            </w:r>
            <w:r>
              <w:rPr>
                <w:rFonts w:hint="eastAsia" w:ascii="宋体" w:hAnsi="宋体" w:eastAsia="宋体" w:cs="宋体"/>
                <w:sz w:val="24"/>
                <w:szCs w:val="24"/>
              </w:rPr>
              <w:t xml:space="preserve">）</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上门服务签到（基于定位确认到达服务地点）</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服务结束签退与考勤记录生成</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培训与考核管理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color w:val="auto"/>
                <w:sz w:val="24"/>
                <w:szCs w:val="24"/>
              </w:rPr>
              <w:t xml:space="preserve">线上培训课程推送、培训进度跟踪、考核成绩记录与查询</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服务评价管理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查看个人服务评价（老人及家属评价、机构评价）</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评价问题整改反馈提交</w:t>
            </w:r>
            <w:r/>
          </w:p>
        </w:tc>
      </w:tr>
      <w:tr>
        <w:trPr>
          <w:jc w:val="center"/>
          <w:trHeight w:val="0"/>
        </w:trPr>
        <w:tc>
          <w:tcPr>
            <w:tcMar>
              <w:left w:w="120" w:type="dxa"/>
              <w:top w:w="60" w:type="dxa"/>
              <w:right w:w="120" w:type="dxa"/>
              <w:bottom w:w="30" w:type="dxa"/>
            </w:tcMar>
            <w:tcW w:w="138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老人信息管理</w:t>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基础信息管理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老人基本信息录入（姓名、性别、年龄、身份证号、联系方式等）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家属信息登记（紧急联系人、关系、联系方式等）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基础信息更新与维护（支持家属协助更新）</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健康档案管理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既往病史、过敏史、当前健康状况录入与更新</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日常健康数据记录（血压、血糖等，支持手动录入与设备同步）</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健康评估报告生成与查看</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助浴相关健康禁忌提示（如水温限制、服务时长限制等）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人脸识别信息管理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老人人脸信息采集与录入（支持现场采集与相册上传）</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人脸信息更新、加密存储与隐私保护</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服务偏好管理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助浴时间偏好、水温偏好、服务人员性别偏好等记录与维护</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服务记录查询</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历史助浴服务工单查询（服务时间、助浴员、服务评价等）</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健康状况变化记录查询</w:t>
            </w:r>
            <w:r/>
          </w:p>
        </w:tc>
      </w:tr>
      <w:tr>
        <w:trPr>
          <w:jc w:val="center"/>
          <w:trHeight w:val="0"/>
        </w:trPr>
        <w:tc>
          <w:tcPr>
            <w:tcMar>
              <w:left w:w="120" w:type="dxa"/>
              <w:top w:w="60" w:type="dxa"/>
              <w:right w:w="120" w:type="dxa"/>
              <w:bottom w:w="30" w:type="dxa"/>
            </w:tcMar>
            <w:tcW w:w="138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工单管理模块（AI智能中枢）</w:t>
            </w:r>
            <w:r>
              <w:rPr>
                <w:rFonts w:hint="eastAsia" w:ascii="宋体" w:hAnsi="宋体" w:eastAsia="宋体" w:cs="宋体"/>
                <w:sz w:val="24"/>
                <w:szCs w:val="24"/>
              </w:rPr>
              <w:b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AI全流程工单管理</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工单状态全流程管控，支持待服务、已完成、已评价、异常全状态跟踪</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AI过程监护：签到定位核验、人脸识别核验、服务时长校验、服务照片合规检测</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支持多条件筛选查询工单</w:t>
            </w:r>
            <w:r/>
          </w:p>
        </w:tc>
      </w:tr>
      <w:tr>
        <w:trPr>
          <w:jc w:val="center"/>
          <w:trHeight w:val="0"/>
        </w:trPr>
        <w:tc>
          <w:tcPr>
            <w:tcMar>
              <w:left w:w="120" w:type="dxa"/>
              <w:top w:w="60" w:type="dxa"/>
              <w:right w:w="120" w:type="dxa"/>
              <w:bottom w:w="30" w:type="dxa"/>
            </w:tcMar>
            <w:tcW w:w="138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助浴员微信小程序（照护版）</w:t>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预约工单接单</w:t>
            </w:r>
            <w:r>
              <w:rPr>
                <w:rFonts w:hint="eastAsia" w:ascii="宋体" w:hAnsi="宋体" w:eastAsia="宋体" w:cs="宋体"/>
                <w:sz w:val="24"/>
                <w:szCs w:val="24"/>
              </w:rPr>
              <w:b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查看预约工单、开始服务、签到打卡</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GPS定位+人脸识别双重核验，防止虚假服务</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助浴服务执行</w:t>
            </w:r>
            <w:r>
              <w:rPr>
                <w:rFonts w:hint="eastAsia" w:ascii="宋体" w:hAnsi="宋体" w:eastAsia="宋体" w:cs="宋体"/>
                <w:sz w:val="24"/>
                <w:szCs w:val="24"/>
              </w:rPr>
              <w:b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上传服务前/后照片，</w:t>
            </w:r>
            <w:r>
              <w:rPr>
                <w:rFonts w:hint="eastAsia" w:ascii="宋体" w:hAnsi="宋体" w:eastAsia="宋体" w:cs="宋体"/>
                <w:color w:val="auto"/>
                <w:sz w:val="24"/>
                <w:szCs w:val="24"/>
              </w:rPr>
              <w:t xml:space="preserve">AI检测照片真实性</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服务完成人脸确认，自动生成完成工单</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老人信息采集</w:t>
            </w:r>
            <w:r>
              <w:rPr>
                <w:rFonts w:hint="eastAsia" w:ascii="宋体" w:hAnsi="宋体" w:eastAsia="宋体" w:cs="宋体"/>
                <w:sz w:val="24"/>
                <w:szCs w:val="24"/>
              </w:rPr>
              <w:b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身份证OCR快速建档、人脸采集、头像更新</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AI自动校验信息完整性，缺失项自动提醒</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基础作业功能</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人脸采集：首次上门采集老人人脸照片</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扫脸下单：扫脸完成服务工单创建及服务确认</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待办服务：查看待上门的助浴服务任务</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完成服务：查看过往已完成的服务记录</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中止服务：提交服务中止申请并说明原因</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我的位置：位置监</w:t>
            </w:r>
            <w:r>
              <w:rPr>
                <w:rFonts w:hint="eastAsia" w:ascii="宋体" w:hAnsi="宋体" w:eastAsia="宋体" w:cs="宋体"/>
                <w:color w:val="auto"/>
                <w:sz w:val="24"/>
                <w:szCs w:val="24"/>
              </w:rPr>
              <w:t xml:space="preserve">管与导航辅助</w:t>
            </w:r>
            <w:r/>
          </w:p>
        </w:tc>
      </w:tr>
      <w:tr>
        <w:trPr>
          <w:jc w:val="center"/>
          <w:trHeight w:val="0"/>
        </w:trPr>
        <w:tc>
          <w:tcPr>
            <w:tcMar>
              <w:left w:w="120" w:type="dxa"/>
              <w:top w:w="60" w:type="dxa"/>
              <w:right w:w="120" w:type="dxa"/>
              <w:bottom w:w="30" w:type="dxa"/>
            </w:tcMar>
            <w:tcW w:w="1384" w:type="dxa"/>
            <w:vAlign w:val="center"/>
            <w:vMerge w:val="continue"/>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Mar>
              <w:left w:w="120" w:type="dxa"/>
              <w:top w:w="60" w:type="dxa"/>
              <w:right w:w="120" w:type="dxa"/>
              <w:bottom w:w="30" w:type="dxa"/>
            </w:tcMar>
            <w:tcW w:w="2114" w:type="dxa"/>
            <w:vAlign w:val="center"/>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个人中心</w:t>
            </w:r>
            <w:r/>
          </w:p>
        </w:tc>
        <w:tc>
          <w:tcPr>
            <w:tcMar>
              <w:left w:w="120" w:type="dxa"/>
              <w:top w:w="60" w:type="dxa"/>
              <w:right w:w="120" w:type="dxa"/>
              <w:bottom w:w="30" w:type="dxa"/>
            </w:tcMar>
            <w:tcW w:w="4756" w:type="dxa"/>
            <w:vAlign w:val="center"/>
            <w:textDirection w:val="lrTb"/>
            <w:noWrap w:val="false"/>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个人信息、个人设置、账号管理等</w:t>
            </w:r>
            <w:r/>
          </w:p>
        </w:tc>
      </w:tr>
    </w:tbl>
    <w:p>
      <w:pPr>
        <w:ind w:left="0" w:firstLine="560"/>
        <w:keepLines w:val="0"/>
        <w:keepNext w:val="0"/>
        <w:pageBreakBefore w:val="0"/>
        <w:spacing w:line="420" w:lineRule="exact"/>
        <w:widowControl w:val="off"/>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3.平台运维</w:t>
      </w:r>
      <w:r/>
    </w:p>
    <w:p>
      <w:pPr>
        <w:ind w:left="0"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（1）</w:t>
      </w:r>
      <w:bookmarkStart w:id="300" w:name="heading_14"/>
      <w:r>
        <w:rPr>
          <w:rFonts w:hint="eastAsia" w:ascii="宋体" w:hAnsi="宋体" w:eastAsia="宋体" w:cs="宋体"/>
          <w:b/>
          <w:bCs/>
          <w:sz w:val="24"/>
          <w:szCs w:val="24"/>
          <w:lang w:val="en-US" w:eastAsia="zh-CN"/>
        </w:rPr>
        <w:t xml:space="preserve">运维服务实施要求</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需有专业的技术团队，需具有相应的专业工程师，有完善的维护方案，需1名以上常驻兴化的维保工程师。</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日常运行监控：7×24小时监控平台运行状态，包括服务器性能、数据库状态、应用服务可用性、接口连通性，发现异常及时预警处置。</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故障处置服务：建立分级故障响应机制，故障响应时间不超过30分钟；一般功能性故障2小时内修复，重大系统故障3小时内出具解决方案并推进修复；故障处置完成后出具故障分析报告。</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版本迭代优化：根据业务需求变化，对平台功能进行小版本迭代优化、BUG修复；配合民政部门完成业务规则调整、流程优化对应的系统适配工作。</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数据运维服务：负责平台日常数据备份、数据校验、数据清理、数据恢复工作；每日自动备份核心数据，每月开展人工备份校验，保障数据完整性与可用性。</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定期巡检服务：每半年开展一次全面系统巡检，涵盖服务器、数据库、应用系统、安全体系全维度，巡检完成后出具正式巡检报告与优化建议。</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养老居家上门、助餐、助浴等系统运维：分别负责对应业务系统的日常运维保障、故障处置、功能优化、数据维护，支撑一线服务业务稳定运行。</w:t>
      </w:r>
      <w:r/>
    </w:p>
    <w:p>
      <w:pPr>
        <w:ind w:left="0"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（2）运维服务</w:t>
      </w:r>
      <w:bookmarkEnd w:id="300"/>
      <w:r>
        <w:rPr>
          <w:rFonts w:hint="eastAsia" w:ascii="宋体" w:hAnsi="宋体" w:eastAsia="宋体" w:cs="宋体"/>
          <w:b/>
          <w:bCs/>
          <w:sz w:val="24"/>
          <w:szCs w:val="24"/>
          <w:lang w:val="en-US" w:eastAsia="zh-CN"/>
        </w:rPr>
        <w:t xml:space="preserve">方式</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现场服务：针对系统宕机、硬件故障、本地操作异常等问题，工程师1小时内抵达现场排查维修；每半年进行周期性全面巡检，覆盖设备运行、系统功能、数据安全等维度，形成巡检报告并整改问题。</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远程技术支持：通过电话、远程控制等方式，7×24小时响应日常操作咨询、软件小故障处理，指导助老员、客服人员等用户解决使用问题，响应时间不超过30分钟。</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定制化培训服务：结合不同用户群体需求，每年开展1次集中培训，包括运维人员的系统维护培训、一线服务人员的操作技能培训（如助餐下单、工单流转），培训形式采用线下授课+线上教程结合。</w:t>
      </w:r>
      <w:r/>
    </w:p>
    <w:p>
      <w:pPr>
        <w:ind w:left="0" w:firstLine="56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4.客服中心</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本次运维服务周期为24个月，含前2个月平台升级期，无缝衔接现有服务周期，建立“驻场服务+远程支撑+全流程管控”的运维体系，确保平台稳定、安全、高效运行。</w:t>
      </w:r>
      <w:r/>
    </w:p>
    <w:p>
      <w:pPr>
        <w:ind w:left="0" w:firstLine="480"/>
        <w:rPr>
          <w:rFonts w:hint="eastAsia" w:ascii="宋体" w:hAnsi="宋体" w:eastAsia="宋体" w:cs="宋体"/>
          <w:sz w:val="24"/>
          <w:szCs w:val="24"/>
          <w:lang w:val="en-US" w:eastAsia="zh-CN"/>
        </w:rPr>
      </w:pPr>
      <w:r/>
      <w:bookmarkStart w:id="301" w:name="_Toc28996"/>
      <w:r>
        <w:rPr>
          <w:rFonts w:hint="eastAsia" w:ascii="宋体" w:hAnsi="宋体" w:eastAsia="宋体" w:cs="宋体"/>
          <w:sz w:val="24"/>
          <w:szCs w:val="24"/>
          <w:lang w:val="en-US" w:eastAsia="zh-CN"/>
        </w:rPr>
        <w:t xml:space="preserve">（1）驻场服务体系</w:t>
      </w:r>
      <w:bookmarkEnd w:id="301"/>
      <w:r/>
      <w:r/>
    </w:p>
    <w:p>
      <w:pPr>
        <w:ind w:left="0" w:firstLine="560"/>
        <w:rPr>
          <w:rFonts w:hint="eastAsia" w:ascii="宋体" w:hAnsi="宋体" w:eastAsia="宋体" w:cs="宋体"/>
          <w:sz w:val="24"/>
          <w:szCs w:val="24"/>
          <w:lang w:val="en-US" w:eastAsia="zh-CN"/>
        </w:rPr>
      </w:pPr>
      <w:r/>
      <w:bookmarkStart w:id="302" w:name="_Toc24359"/>
      <w:r>
        <w:rPr>
          <w:rFonts w:hint="eastAsia" w:ascii="宋体" w:hAnsi="宋体" w:eastAsia="宋体" w:cs="宋体"/>
          <w:sz w:val="24"/>
          <w:szCs w:val="24"/>
          <w:lang w:val="en-US" w:eastAsia="zh-CN"/>
        </w:rPr>
        <w:t xml:space="preserve">1）</w:t>
      </w:r>
      <w:bookmarkStart w:id="303" w:name="_Toc32034"/>
      <w:r>
        <w:rPr>
          <w:rFonts w:hint="eastAsia" w:ascii="宋体" w:hAnsi="宋体" w:eastAsia="宋体" w:cs="宋体"/>
          <w:sz w:val="24"/>
          <w:szCs w:val="24"/>
          <w:lang w:val="en-US" w:eastAsia="zh-CN"/>
        </w:rPr>
        <w:t xml:space="preserve">驻场人员组织架构</w:t>
      </w:r>
      <w:bookmarkEnd w:id="303"/>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客服组长1名：负责整个团队的管理和协调工作，包括制订工作计划、分配工作任务、监督工作进度等。组长需要熟悉全业务，能够有效地指导和帮助组员解决工作中遇到的问题。</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客服组员4名：负责处理养老服务平台的各类问题（含组长1名），包括用户咨询、投诉处理、技术支持等。需要具备良好的沟通能力和服务意识，能够快速准确地解答用户的问题。</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常驻维保工程师1名：负责客服中心及关联业务系统的日常运维保障，包括养老服务综合监管平台运行状态监控、故障快速排查与修复；定期对客服中心硬件设备（如电脑、打印机、高速扫描仪、电话终端等）进行检测维护，确保设备无间断运行；协助客服人员解决系统操作中的技术问题，提供实时技术支持；参与系统功能升级与优化的测试工作，配合开发团队完成上线前的验证；每年编制运维分析报告提交甲方；严格遵循数据安全与隐私保护要求，配合执行系统安全加固、漏洞扫描等工作，保障平台数据安全。</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2）驻场服务内容</w:t>
      </w:r>
      <w:bookmarkEnd w:id="302"/>
      <w:r/>
      <w:r/>
    </w:p>
    <w:p>
      <w:pPr>
        <w:numPr>
          <w:ilvl w:val="0"/>
          <w:numId w:val="12"/>
        </w:numPr>
        <w:ind w:left="0" w:firstLine="482"/>
        <w:rPr>
          <w:rFonts w:hint="eastAsia" w:ascii="宋体" w:hAnsi="宋体" w:eastAsia="宋体" w:cs="宋体"/>
          <w:b/>
          <w:bCs/>
          <w:sz w:val="24"/>
          <w:szCs w:val="24"/>
          <w:lang w:val="en-US" w:eastAsia="zh-CN"/>
        </w:rPr>
      </w:pPr>
      <w:r/>
      <w:bookmarkStart w:id="304" w:name="_Toc28203"/>
      <w:r>
        <w:rPr>
          <w:rFonts w:hint="eastAsia" w:ascii="宋体" w:hAnsi="宋体" w:eastAsia="宋体" w:cs="宋体"/>
          <w:b/>
          <w:bCs/>
          <w:sz w:val="24"/>
          <w:szCs w:val="24"/>
          <w:lang w:val="en-US" w:eastAsia="zh-CN"/>
        </w:rPr>
        <w:t xml:space="preserve">养老服务中心客服服务内容</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A.为老年人提供养老服务相关的政策法规、服务项目等方面的咨询。</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B.接受并处理老年人对养老服务的投诉，确保他们的权益得到维护。</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C.协助老年人预约上门服务。</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D.为老年人提供养老服务机构的详细信息，包括地址、联系方式、服务项目等。</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E.协助甲方对全市申请等级评定的居家养老服务中心及新建小区进行实地走访及运营考核工作，每日存储所有居家养老服务中心活动照片并进行存档，每日通过监控系统对新建小区的运营情况进行实时考核，每月形成分析报表。</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F.要求熟悉养老服务综合监管平台全部业务，并服从采购人管理。</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负责养老、助餐及助浴服务基础数据录入和养老信息平台的日常监管，每天对开展上门服务的养老服务供应商及助浴服务供应商服务的工单进行回访电话并每月做分析报表。每季度将平台管理情况报送至业务对应科室。每月ai自检助餐工单，对ai异常的工单进行人工复核，并做分析报表。每月审核所有助浴工单并做分析报表。</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H.对正在进行服务的工单进行视频抽查，确认服务项目和服务对象，询问服务对象满意度，将抽查视频跟随工单永久保存并记录在案。</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I.每月20日前上交养老服务供应商及助餐的上月服务抽查情况汇总表及上月工单初核表格。</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J.协助甲方完成对全市中度以上失能老年人发放养老服务消费补贴工作，每周通报消费券具体统计进度，每月定期跟进各机构领取核销消费券进度，辅导养老机构和评估机构使用系统，协助机构在全国系统注册并核销消费券，每月10日前对机构提供的老人核销材料进行审批。</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K.协助甲方完成全市敬老院相关工作。</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L.自备项目内配套使用的电脑、打印机、高速扫描仪、电话桌椅和其他为履职工作而准备的办公用品。</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M.项目内使用的电脑、打印机、扫描仪等设备的维修。</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N.驻场人员的组织架构和驻场内容，需要在评审标准中的技术部分，项目建设方案和项目实施方案中有充分的体现。</w:t>
      </w:r>
      <w:r/>
    </w:p>
    <w:p>
      <w:pPr>
        <w:numPr>
          <w:ilvl w:val="0"/>
          <w:numId w:val="12"/>
        </w:numPr>
        <w:ind w:left="0" w:firstLine="482"/>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常驻维保工程师</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A.负责基础设施、软件及信息资源的维护，提供日常性能与运行状况监控，对故障进行分析处理，并建立完善的预警机制。</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B.负责保障基础设施正常运行，遵循用户的安全保障管理要求。</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C.接受用户对信息系统维护事件的督办与检查，完成用户意见回访及事件统计与分析，对服务过程及反馈意见进行改进。</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D.及时提供信息系统运行和问题处理情况，并向用户负责，并按年提交运维服务工作进度总结。</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E.负责整理和归纳服务器日常维护知识库，提交至运维服务平台。</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F.负责整理并提交信息系统运维过程资料及相关配套维护文档。</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G.协助客服人员解决系统操作中的技术问题，配合完成系统升级测试与上线工作。</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（3）客服中心管理实施要求</w:t>
      </w:r>
      <w:bookmarkEnd w:id="304"/>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安排运维客服人员驻场办公并服从管理。通过专业的服务，提升老年人及子女对养老服务的满意度和信任度。客服人员须具备相关专业知识，经过专业培训后上岗，确保服务响应及时、准确，处理咨询和投诉在指定时限内完成。建立完善的客服管理制度，包括人员排班、日常考核及定期报告机制，确保所有服务记录完整可追溯。同时，客服中心需配备必要的办公设备和系统支持，保障服务不间断运行，并通过数据分析和用户反馈持续优化流程，以提升整体服务水平和用户满意度。</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协助做好以下养老服务工作：</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困难老年人助浴：工单审批，质量回访，策划支撑</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养老服务消费券：合规审批，走访调查，操作指导</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居家养老服务中心：走访检查，监控查点，等级评定</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适老化改造：走访调查，数据汇总</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老年人手机培训：走访调查，数据汇总</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居家上门服务：操作培训指导，工单审批，工单抽查、回访，工单整理上传、信息录入审批，配合做好相关工作</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老年人助餐：操作培训指导，工单审批，工单回访，信息录入审批，配合做好相关工作</w:t>
      </w:r>
      <w:r>
        <w:rPr>
          <w:rFonts w:hint="eastAsia" w:ascii="宋体" w:hAnsi="宋体" w:eastAsia="宋体" w:cs="宋体"/>
          <w:sz w:val="24"/>
          <w:szCs w:val="24"/>
          <w:lang w:val="en-US" w:eastAsia="zh-CN"/>
        </w:rPr>
        <w:tab/>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养老机构运营补贴：金民数据更新，系统维护，养老机构入住老人信息核查；</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涉企行政检查（双随机）：江苏省双随机移动监管系统任务设置，以及联合检查；</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祥泰颐养监管版：消防安全检查以及检查问题上传；</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泰州养老综合监管平台：系统维护；</w:t>
      </w:r>
      <w:r/>
    </w:p>
    <w:p>
      <w:pPr>
        <w:ind w:left="0" w:firstLine="561"/>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协助运营乡镇（街道）养老服务指导站、社区（村）养老服务指导点等其他工作。</w:t>
      </w:r>
      <w:r/>
    </w:p>
    <w:p>
      <w:pPr>
        <w:ind w:left="0"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客服中心人员要求：</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①普通话流利，懂兴化方言，遵守道德风尚。</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②熟悉办公软件，有相关工作经验。</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③服务时间分为夏季和冬季，法定节假日须有值班人员。</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夏季（5.1-9.30）：8:30-12:00、14:30-18:00；</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冬季（10.1-4.30）：8:30-12:00、14:00-17:30。</w:t>
      </w:r>
      <w:r/>
    </w:p>
    <w:p>
      <w:pPr>
        <w:ind w:left="0"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客服中心服务流程：</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①接听电话或在线接待：客服人员应热情、耐心地接听电话或在线咨询。</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②了解需求：客服人员应详细询问来电人员的需求，以便提供准确的服务。</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③提供服务：根据来点人员的需求，客服人员应提供相应的服务，如解答问题、处理投诉、提供信息等。</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④反馈结果：客服人员应向来电人员反馈服务的结果，如问题的解决情况、投诉的处理结果等。</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⑤跟踪服务：客服人员应对提供的服务进行跟踪，以确保服务对象的满意度。</w:t>
      </w:r>
      <w:r/>
    </w:p>
    <w:p>
      <w:pPr>
        <w:ind w:left="0" w:firstLine="560"/>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服务质量控制：</w:t>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如服务人员不能满足业务需求，我单位有权要求更换客服服务人员，平台服务人员须熟悉养老相关政策。</w:t>
      </w:r>
      <w:r/>
    </w:p>
    <w:p>
      <w:pPr>
        <w:ind w:left="0" w:firstLine="560"/>
        <w:rPr>
          <w:rFonts w:hint="eastAsia" w:ascii="宋体" w:hAnsi="宋体" w:eastAsia="宋体" w:cs="宋体"/>
          <w:b/>
          <w:bCs/>
          <w:sz w:val="24"/>
          <w:szCs w:val="24"/>
          <w:lang w:val="en-US" w:eastAsia="zh-CN"/>
        </w:rPr>
      </w:pPr>
      <w:r/>
      <w:bookmarkStart w:id="305" w:name="_Toc22634"/>
      <w:r>
        <w:rPr>
          <w:rFonts w:hint="eastAsia" w:ascii="宋体" w:hAnsi="宋体" w:eastAsia="宋体" w:cs="宋体"/>
          <w:b/>
          <w:bCs/>
          <w:sz w:val="24"/>
          <w:szCs w:val="24"/>
          <w:lang w:val="en-US" w:eastAsia="zh-CN"/>
        </w:rPr>
        <w:t xml:space="preserve">客服中心服务期限</w:t>
      </w:r>
      <w:bookmarkEnd w:id="305"/>
      <w:r/>
      <w:r/>
    </w:p>
    <w:p>
      <w:pPr>
        <w:ind w:left="0" w:firstLine="560"/>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服务时间：周期为24个月。</w:t>
      </w:r>
      <w:r/>
    </w:p>
    <w:p>
      <w:pPr>
        <w:ind w:left="0" w:firstLine="560"/>
        <w:rPr>
          <w:rFonts w:hint="eastAsia" w:ascii="宋体" w:hAnsi="宋体" w:eastAsia="宋体" w:cs="宋体"/>
          <w:b/>
          <w:bCs/>
          <w:sz w:val="24"/>
          <w:szCs w:val="24"/>
          <w:lang w:val="en-US" w:eastAsia="zh-CN"/>
        </w:rPr>
      </w:pPr>
      <w:r/>
      <w:bookmarkStart w:id="306" w:name="_Toc18188"/>
      <w:r/>
      <w:bookmarkStart w:id="307" w:name="_Toc3141"/>
      <w:r>
        <w:rPr>
          <w:rFonts w:hint="eastAsia" w:ascii="宋体" w:hAnsi="宋体" w:eastAsia="宋体" w:cs="宋体"/>
          <w:b/>
          <w:bCs/>
          <w:sz w:val="24"/>
          <w:szCs w:val="24"/>
          <w:lang w:val="en-US" w:eastAsia="zh-CN"/>
        </w:rPr>
        <w:t xml:space="preserve">客服中心详细采购清单</w:t>
      </w:r>
      <w:bookmarkEnd w:id="306"/>
      <w:r/>
      <w:bookmarkEnd w:id="307"/>
      <w:r/>
      <w:r/>
    </w:p>
    <w:tbl>
      <w:tblPr>
        <w:tblStyle w:val="789"/>
        <w:tblW w:w="788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477"/>
        <w:gridCol w:w="4025"/>
        <w:gridCol w:w="1064"/>
        <w:gridCol w:w="1323"/>
      </w:tblGrid>
      <w:tr>
        <w:trPr>
          <w:jc w:val="center"/>
          <w:trHeight w:val="0"/>
          <w:tblHeader/>
        </w:trPr>
        <w:tc>
          <w:tcPr>
            <w:tcW w:w="1477" w:type="dxa"/>
            <w:vAlign w:val="center"/>
            <w:textDirection w:val="lrTb"/>
            <w:noWrap/>
          </w:tcPr>
          <w:p>
            <w:pPr>
              <w:ind w:left="0" w:right="0" w:firstLine="0"/>
              <w:jc w:val="center"/>
              <w:spacing w:before="6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项目</w:t>
            </w:r>
            <w:r/>
          </w:p>
        </w:tc>
        <w:tc>
          <w:tcPr>
            <w:tcW w:w="4025" w:type="dxa"/>
            <w:vAlign w:val="center"/>
            <w:textDirection w:val="lrTb"/>
            <w:noWrap/>
          </w:tcPr>
          <w:p>
            <w:pPr>
              <w:ind w:left="0" w:right="0" w:firstLine="0"/>
              <w:jc w:val="center"/>
              <w:spacing w:before="6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要求配置</w:t>
            </w:r>
            <w:r/>
          </w:p>
        </w:tc>
        <w:tc>
          <w:tcPr>
            <w:tcW w:w="1064" w:type="dxa"/>
            <w:vAlign w:val="center"/>
            <w:textDirection w:val="lrTb"/>
            <w:noWrap/>
          </w:tcPr>
          <w:p>
            <w:pPr>
              <w:ind w:left="0" w:right="0" w:firstLine="0"/>
              <w:jc w:val="center"/>
              <w:spacing w:before="6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单位</w:t>
            </w:r>
            <w:r/>
          </w:p>
        </w:tc>
        <w:tc>
          <w:tcPr>
            <w:tcW w:w="1323" w:type="dxa"/>
            <w:vAlign w:val="center"/>
            <w:textDirection w:val="lrTb"/>
            <w:noWrap/>
          </w:tcPr>
          <w:p>
            <w:pPr>
              <w:ind w:left="0" w:right="0" w:firstLine="0"/>
              <w:jc w:val="center"/>
              <w:spacing w:before="60" w:line="240" w:lineRule="auto"/>
              <w:rPr>
                <w:rFonts w:hint="eastAsia" w:ascii="仿宋" w:hAnsi="仿宋" w:eastAsia="仿宋" w:cs="仿宋"/>
                <w:b/>
                <w:bCs/>
                <w:sz w:val="24"/>
                <w:szCs w:val="24"/>
              </w:rPr>
            </w:pPr>
            <w:r>
              <w:rPr>
                <w:rFonts w:hint="eastAsia" w:ascii="仿宋" w:hAnsi="仿宋" w:eastAsia="仿宋" w:cs="仿宋"/>
                <w:b/>
                <w:bCs/>
                <w:sz w:val="24"/>
                <w:szCs w:val="24"/>
              </w:rPr>
              <w:t xml:space="preserve">数量</w:t>
            </w:r>
            <w:r/>
          </w:p>
        </w:tc>
      </w:tr>
      <w:tr>
        <w:trPr>
          <w:jc w:val="center"/>
          <w:trHeight w:val="0"/>
        </w:trPr>
        <w:tc>
          <w:tcPr>
            <w:tcW w:w="1477" w:type="dxa"/>
            <w:vAlign w:val="center"/>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客服人员</w:t>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按24个月算，每人每月须缴纳社保</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人</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p>
        </w:tc>
      </w:tr>
      <w:tr>
        <w:trPr>
          <w:jc w:val="center"/>
          <w:trHeight w:val="0"/>
        </w:trPr>
        <w:tc>
          <w:tcPr>
            <w:tcW w:w="1477" w:type="dxa"/>
            <w:vAlign w:val="center"/>
            <w:vMerge w:val="restart"/>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办公用品</w:t>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台式电脑</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台</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p>
        </w:tc>
      </w:tr>
      <w:tr>
        <w:trPr>
          <w:jc w:val="center"/>
          <w:trHeight w:val="0"/>
        </w:trPr>
        <w:tc>
          <w:tcPr>
            <w:tcW w:w="1477" w:type="dxa"/>
            <w:vAlign w:val="center"/>
            <w:vMerge w:val="continue"/>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打印机</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台</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2</w:t>
            </w:r>
            <w:r/>
          </w:p>
        </w:tc>
      </w:tr>
      <w:tr>
        <w:trPr>
          <w:jc w:val="center"/>
          <w:trHeight w:val="0"/>
        </w:trPr>
        <w:tc>
          <w:tcPr>
            <w:tcW w:w="1477" w:type="dxa"/>
            <w:vAlign w:val="center"/>
            <w:vMerge w:val="continue"/>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高速扫描仪</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台</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2</w:t>
            </w:r>
            <w:r/>
          </w:p>
        </w:tc>
      </w:tr>
      <w:tr>
        <w:trPr>
          <w:jc w:val="center"/>
          <w:trHeight w:val="0"/>
        </w:trPr>
        <w:tc>
          <w:tcPr>
            <w:tcW w:w="1477" w:type="dxa"/>
            <w:vAlign w:val="center"/>
            <w:vMerge w:val="continue"/>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电话</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套</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p>
        </w:tc>
      </w:tr>
      <w:tr>
        <w:trPr>
          <w:jc w:val="center"/>
          <w:trHeight w:val="0"/>
        </w:trPr>
        <w:tc>
          <w:tcPr>
            <w:tcW w:w="1477" w:type="dxa"/>
            <w:vAlign w:val="center"/>
            <w:vMerge w:val="continue"/>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桌椅</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套</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lang w:eastAsia="zh-CN"/>
              </w:rPr>
            </w:pPr>
            <w:r>
              <w:rPr>
                <w:rFonts w:hint="eastAsia" w:ascii="仿宋" w:hAnsi="仿宋" w:eastAsia="仿宋" w:cs="仿宋"/>
                <w:sz w:val="24"/>
                <w:szCs w:val="24"/>
                <w:lang w:val="en-US" w:eastAsia="zh-CN"/>
              </w:rPr>
              <w:t xml:space="preserve">6</w:t>
            </w:r>
            <w:r/>
          </w:p>
        </w:tc>
      </w:tr>
      <w:tr>
        <w:trPr>
          <w:jc w:val="center"/>
          <w:trHeight w:val="0"/>
        </w:trPr>
        <w:tc>
          <w:tcPr>
            <w:tcW w:w="1477" w:type="dxa"/>
            <w:vAlign w:val="center"/>
            <w:vMerge w:val="continue"/>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维修</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年</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2</w:t>
            </w:r>
            <w:r/>
          </w:p>
        </w:tc>
      </w:tr>
      <w:tr>
        <w:trPr>
          <w:jc w:val="center"/>
          <w:trHeight w:val="0"/>
        </w:trPr>
        <w:tc>
          <w:tcPr>
            <w:tcW w:w="1477" w:type="dxa"/>
            <w:vAlign w:val="center"/>
            <w:vMerge w:val="continue"/>
            <w:textDirection w:val="lrTb"/>
            <w:noWrap/>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r>
            <w:r/>
          </w:p>
        </w:tc>
        <w:tc>
          <w:tcPr>
            <w:tcW w:w="4025" w:type="dxa"/>
            <w:vAlign w:val="center"/>
            <w:textDirection w:val="lrTb"/>
            <w:noWrap w:val="false"/>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配件、耗材</w:t>
            </w:r>
            <w:r/>
          </w:p>
        </w:tc>
        <w:tc>
          <w:tcPr>
            <w:tcW w:w="1064"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年</w:t>
            </w:r>
            <w:r/>
          </w:p>
        </w:tc>
        <w:tc>
          <w:tcPr>
            <w:tcW w:w="1323" w:type="dxa"/>
            <w:vAlign w:val="center"/>
            <w:textDirection w:val="lrTb"/>
            <w:noWrap w:val="false"/>
          </w:tcPr>
          <w:p>
            <w:pPr>
              <w:ind w:left="0" w:right="0" w:firstLine="0"/>
              <w:jc w:val="center"/>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2</w:t>
            </w:r>
            <w:r/>
          </w:p>
        </w:tc>
      </w:tr>
      <w:tr>
        <w:trPr>
          <w:jc w:val="center"/>
          <w:trHeight w:val="0"/>
        </w:trPr>
        <w:tc>
          <w:tcPr>
            <w:gridSpan w:val="4"/>
            <w:tcW w:w="7889" w:type="dxa"/>
            <w:vAlign w:val="center"/>
            <w:textDirection w:val="lrTb"/>
            <w:noWrap/>
          </w:tcPr>
          <w:p>
            <w:pPr>
              <w:ind w:left="0" w:right="0" w:firstLine="0"/>
              <w:jc w:val="left"/>
              <w:spacing w:before="60" w:line="240" w:lineRule="auto"/>
              <w:rPr>
                <w:rFonts w:hint="eastAsia" w:ascii="仿宋" w:hAnsi="仿宋" w:eastAsia="仿宋" w:cs="仿宋"/>
                <w:sz w:val="24"/>
                <w:szCs w:val="24"/>
              </w:rPr>
            </w:pPr>
            <w:r>
              <w:rPr>
                <w:rFonts w:hint="eastAsia" w:ascii="仿宋" w:hAnsi="仿宋" w:eastAsia="仿宋" w:cs="仿宋"/>
                <w:sz w:val="24"/>
                <w:szCs w:val="24"/>
              </w:rPr>
              <w:t xml:space="preserve">备注：1、需为客服人员缴纳社保。</w:t>
            </w:r>
            <w:r>
              <w:rPr>
                <w:rFonts w:hint="eastAsia" w:ascii="仿宋" w:hAnsi="仿宋" w:cs="仿宋"/>
                <w:sz w:val="24"/>
                <w:szCs w:val="24"/>
                <w:lang w:val="en-US" w:eastAsia="zh-CN"/>
              </w:rPr>
              <w:t xml:space="preserve">2、</w:t>
            </w:r>
            <w:r>
              <w:rPr>
                <w:rFonts w:hint="eastAsia" w:ascii="仿宋" w:hAnsi="仿宋" w:eastAsia="仿宋" w:cs="仿宋"/>
                <w:sz w:val="24"/>
                <w:szCs w:val="24"/>
              </w:rPr>
              <w:t xml:space="preserve">办公用品用于客服人员日常办公使用</w:t>
            </w:r>
            <w:r>
              <w:rPr>
                <w:rFonts w:hint="eastAsia" w:ascii="仿宋" w:hAnsi="仿宋" w:cs="仿宋"/>
                <w:sz w:val="24"/>
                <w:szCs w:val="24"/>
                <w:lang w:eastAsia="zh-CN"/>
              </w:rPr>
              <w:t xml:space="preserve">，办公设备服务商免费提供使用</w:t>
            </w:r>
            <w:r>
              <w:rPr>
                <w:rFonts w:hint="eastAsia" w:ascii="仿宋" w:hAnsi="仿宋" w:eastAsia="仿宋" w:cs="仿宋"/>
                <w:sz w:val="24"/>
                <w:szCs w:val="24"/>
              </w:rPr>
              <w:t xml:space="preserve">。</w:t>
            </w:r>
            <w:r>
              <w:rPr>
                <w:rFonts w:hint="eastAsia" w:ascii="仿宋" w:hAnsi="仿宋" w:cs="仿宋"/>
                <w:sz w:val="24"/>
                <w:szCs w:val="24"/>
                <w:lang w:val="en-US" w:eastAsia="zh-CN"/>
              </w:rPr>
              <w:t xml:space="preserve">3、</w:t>
            </w:r>
            <w:r>
              <w:rPr>
                <w:rFonts w:hint="eastAsia" w:ascii="仿宋" w:hAnsi="仿宋" w:eastAsia="仿宋" w:cs="仿宋"/>
                <w:sz w:val="24"/>
                <w:szCs w:val="24"/>
              </w:rPr>
              <w:t xml:space="preserve">项目所用台式电脑、打印机、高速扫描仪、桌椅等固定资产，服务期满后归还服务商。</w:t>
            </w:r>
            <w:r/>
          </w:p>
        </w:tc>
      </w:tr>
    </w:tbl>
    <w:p>
      <w:pPr>
        <w:ind w:left="0" w:firstLine="56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5.信息化网络安全管理</w:t>
      </w:r>
      <w:r/>
    </w:p>
    <w:p>
      <w:pPr>
        <w:ind w:firstLine="480"/>
        <w:spacing w:before="60" w:line="360" w:lineRule="exact"/>
        <w:rPr>
          <w:rFonts w:hint="eastAsia" w:ascii="宋体" w:hAnsi="宋体" w:eastAsia="宋体" w:cs="宋体"/>
          <w:color w:val="000000"/>
          <w:sz w:val="24"/>
          <w:szCs w:val="24"/>
          <w:lang w:bidi="ar"/>
        </w:rPr>
      </w:pPr>
      <w:r>
        <w:rPr>
          <w:rFonts w:hint="eastAsia" w:ascii="宋体" w:hAnsi="宋体" w:eastAsia="宋体" w:cs="宋体"/>
          <w:color w:val="000000"/>
          <w:sz w:val="24"/>
          <w:szCs w:val="24"/>
          <w:lang w:bidi="ar"/>
        </w:rPr>
        <w:t xml:space="preserve">平台严格按照《信息安全技术网络安全等级保护基本要求》（GB/T22239-2019）二级标准，构建“物理安全、网络安全、主机安全、应用安全、数据安全、管理安全”六位一体的全维度信息安全体系，确保平台运行安全、数据安全、操作安全。</w:t>
      </w:r>
      <w:r/>
    </w:p>
    <w:p>
      <w:pPr>
        <w:ind w:left="0" w:firstLine="560"/>
        <w:rPr>
          <w:rFonts w:hint="eastAsia" w:ascii="宋体" w:hAnsi="宋体" w:eastAsia="宋体" w:cs="宋体"/>
          <w:b/>
          <w:bCs/>
          <w:sz w:val="28"/>
          <w:szCs w:val="28"/>
          <w:lang w:val="en-US" w:eastAsia="zh-CN"/>
        </w:rPr>
      </w:pPr>
      <w:r>
        <w:rPr>
          <w:rFonts w:hint="eastAsia" w:ascii="宋体" w:hAnsi="宋体" w:eastAsia="宋体" w:cs="宋体"/>
          <w:b/>
          <w:bCs/>
          <w:sz w:val="28"/>
          <w:szCs w:val="28"/>
          <w:lang w:val="en-US" w:eastAsia="zh-CN"/>
        </w:rPr>
        <w:t xml:space="preserve">6.培训方案</w:t>
      </w:r>
      <w:r/>
    </w:p>
    <w:p>
      <w:pPr>
        <w:ind w:firstLine="480"/>
        <w:spacing w:before="60" w:line="360" w:lineRule="exact"/>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（1）培训形式：线下集中授课 + 上机实操 + 一对一答疑；提供电子版操作手册、教学视频等。</w:t>
      </w:r>
      <w:r/>
    </w:p>
    <w:p>
      <w:pPr>
        <w:ind w:firstLine="480"/>
        <w:spacing w:before="60" w:line="360" w:lineRule="exact"/>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（2）覆盖人员：民政局管理人员、乡镇经办人员、辖区各养老机构经办人。</w:t>
      </w:r>
      <w:r/>
    </w:p>
    <w:p>
      <w:pPr>
        <w:ind w:firstLine="480"/>
        <w:spacing w:before="60" w:line="360" w:lineRule="exact"/>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（3）频次：验收前完成全覆盖初训；运维期每年不少于1次集中复训；随时提供线上远程指导培训。</w:t>
      </w:r>
      <w:r/>
    </w:p>
    <w:p>
      <w:pPr>
        <w:ind w:firstLine="480"/>
        <w:spacing w:before="60" w:line="360" w:lineRule="exact"/>
        <w:rPr>
          <w:rFonts w:hint="eastAsia" w:ascii="宋体" w:hAnsi="宋体" w:eastAsia="宋体" w:cs="宋体"/>
          <w:color w:val="auto"/>
          <w:sz w:val="24"/>
          <w:szCs w:val="24"/>
          <w:lang w:val="en-US" w:eastAsia="zh-CN" w:bidi="ar"/>
        </w:rPr>
      </w:pPr>
      <w:r>
        <w:rPr>
          <w:rFonts w:hint="eastAsia" w:ascii="宋体" w:hAnsi="宋体" w:eastAsia="宋体" w:cs="宋体"/>
          <w:color w:val="auto"/>
          <w:sz w:val="24"/>
          <w:szCs w:val="24"/>
          <w:lang w:val="en-US" w:eastAsia="zh-CN" w:bidi="ar"/>
        </w:rPr>
        <w:t xml:space="preserve">（4）所有培训师资、课件、耗材费用全部包含在运维报价内，采购人无需额外付费。</w:t>
      </w:r>
      <w:r/>
    </w:p>
    <w:p>
      <w:pPr>
        <w:ind w:left="0" w:firstLine="560"/>
        <w:keepLines w:val="0"/>
        <w:keepNext w:val="0"/>
        <w:pageBreakBefore w:val="0"/>
        <w:spacing w:line="420" w:lineRule="exact"/>
        <w:widowControl w:val="off"/>
        <w:rPr>
          <w:rFonts w:hint="eastAsia" w:ascii="宋体" w:hAnsi="宋体" w:eastAsia="宋体" w:cs="宋体"/>
          <w:b/>
          <w:bCs/>
          <w:sz w:val="24"/>
          <w:szCs w:val="24"/>
          <w:lang w:val="en-US" w:eastAsia="zh-CN"/>
        </w:rPr>
      </w:pPr>
      <w:r/>
      <w:bookmarkStart w:id="308" w:name="_Toc8865"/>
      <w:r>
        <w:rPr>
          <w:rFonts w:hint="eastAsia" w:ascii="宋体" w:hAnsi="宋体" w:eastAsia="宋体" w:cs="宋体"/>
          <w:b/>
          <w:bCs/>
          <w:sz w:val="24"/>
          <w:szCs w:val="24"/>
          <w:lang w:val="en-US" w:eastAsia="zh-CN"/>
        </w:rPr>
        <w:t xml:space="preserve">（四）运维考核</w:t>
      </w:r>
      <w:bookmarkEnd w:id="308"/>
      <w:r/>
      <w:r/>
    </w:p>
    <w:p>
      <w:pPr>
        <w:numPr>
          <w:ilvl w:val="0"/>
          <w:numId w:val="0"/>
        </w:numPr>
        <w:ind w:firstLine="480"/>
        <w:jc w:val="left"/>
        <w:rPr>
          <w:rFonts w:hint="eastAsia" w:ascii="宋体" w:hAnsi="宋体" w:eastAsia="宋体" w:cs="宋体"/>
          <w:sz w:val="24"/>
          <w:szCs w:val="24"/>
        </w:rPr>
      </w:pPr>
      <w:r>
        <w:rPr>
          <w:rFonts w:hint="eastAsia" w:ascii="宋体" w:hAnsi="宋体" w:eastAsia="宋体" w:cs="宋体"/>
          <w:sz w:val="24"/>
          <w:szCs w:val="24"/>
        </w:rPr>
        <w:t xml:space="preserve">成立运维考核小组，对运维服务团队的服务质量、响应速度、故障解决效率等进行年度总评，考核结果与运维服务费用挂钩；持续优化运维服务质量，确保平台运行效果。</w:t>
      </w:r>
      <w:r/>
    </w:p>
    <w:p>
      <w:pPr>
        <w:numPr>
          <w:ilvl w:val="0"/>
          <w:numId w:val="0"/>
        </w:numPr>
        <w:ind w:firstLine="482"/>
        <w:jc w:val="left"/>
        <w:rPr>
          <w:rFonts w:hint="eastAsia" w:ascii="宋体" w:hAnsi="宋体" w:eastAsia="宋体" w:cs="宋体"/>
          <w:b/>
          <w:bCs/>
          <w:sz w:val="24"/>
          <w:szCs w:val="24"/>
        </w:rPr>
      </w:pPr>
      <w:r>
        <w:rPr>
          <w:rFonts w:hint="eastAsia" w:ascii="宋体" w:hAnsi="宋体" w:eastAsia="宋体" w:cs="宋体"/>
          <w:b/>
          <w:bCs/>
          <w:sz w:val="24"/>
          <w:szCs w:val="24"/>
        </w:rPr>
        <w:t xml:space="preserve">1.主要考核内容</w:t>
      </w:r>
      <w:r/>
    </w:p>
    <w:tbl>
      <w:tblPr>
        <w:tblStyle w:val="789"/>
        <w:tblW w:w="8243"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532"/>
        <w:gridCol w:w="6711"/>
      </w:tblGrid>
      <w:tr>
        <w:trPr>
          <w:jc w:val="center"/>
          <w:trHeight w:val="0"/>
          <w:tblHeader/>
        </w:trPr>
        <w:tc>
          <w:tcPr>
            <w:tcW w:w="1532" w:type="dxa"/>
            <w:vAlign w:val="center"/>
            <w:textDirection w:val="lrTb"/>
            <w:noWrap w:val="false"/>
          </w:tcPr>
          <w:p>
            <w:pPr>
              <w:numPr>
                <w:ilvl w:val="0"/>
                <w:numId w:val="0"/>
              </w:numPr>
              <w:ind w:right="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服务范围</w:t>
            </w:r>
            <w:r/>
          </w:p>
        </w:tc>
        <w:tc>
          <w:tcPr>
            <w:tcW w:w="6711" w:type="dxa"/>
            <w:vAlign w:val="center"/>
            <w:textDirection w:val="lrTb"/>
            <w:noWrap w:val="false"/>
          </w:tcPr>
          <w:p>
            <w:pPr>
              <w:numPr>
                <w:ilvl w:val="0"/>
                <w:numId w:val="0"/>
              </w:numPr>
              <w:ind w:right="0"/>
              <w:jc w:val="center"/>
              <w:spacing w:line="240" w:lineRule="auto"/>
              <w:rPr>
                <w:rFonts w:hint="eastAsia" w:ascii="宋体" w:hAnsi="宋体" w:eastAsia="宋体" w:cs="宋体"/>
                <w:b/>
                <w:sz w:val="24"/>
                <w:szCs w:val="24"/>
              </w:rPr>
            </w:pPr>
            <w:r>
              <w:rPr>
                <w:rFonts w:hint="eastAsia" w:ascii="宋体" w:hAnsi="宋体" w:eastAsia="宋体" w:cs="宋体"/>
                <w:b/>
                <w:sz w:val="24"/>
                <w:szCs w:val="24"/>
              </w:rPr>
              <w:t xml:space="preserve">服务内容</w:t>
            </w:r>
            <w:r/>
          </w:p>
        </w:tc>
      </w:tr>
      <w:tr>
        <w:trPr>
          <w:jc w:val="center"/>
          <w:trHeight w:val="0"/>
        </w:trPr>
        <w:tc>
          <w:tcPr>
            <w:tcW w:w="1532" w:type="dxa"/>
            <w:vAlign w:val="center"/>
            <w:vMerge w:val="restart"/>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信息技术服务考核</w:t>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系统运行状况，以及存储管理状况汇报。</w:t>
            </w:r>
            <w:r/>
          </w:p>
        </w:tc>
      </w:tr>
      <w:tr>
        <w:trPr>
          <w:jc w:val="center"/>
          <w:trHeight w:val="0"/>
        </w:trPr>
        <w:tc>
          <w:tcPr>
            <w:tcW w:w="1532" w:type="dxa"/>
            <w:vAlign w:val="center"/>
            <w:vMerge w:val="continue"/>
            <w:textDirection w:val="lrTb"/>
            <w:noWrap w:val="false"/>
          </w:tcPr>
          <w:p>
            <w:pPr>
              <w:numPr>
                <w:ilvl w:val="0"/>
                <w:numId w:val="13"/>
              </w:numPr>
              <w:ind w:left="0" w:right="0"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BUG管理、系统故障检测及排除情况汇报。</w:t>
            </w:r>
            <w:r/>
          </w:p>
        </w:tc>
      </w:tr>
      <w:tr>
        <w:trPr>
          <w:jc w:val="center"/>
          <w:trHeight w:val="0"/>
        </w:trPr>
        <w:tc>
          <w:tcPr>
            <w:tcW w:w="1532" w:type="dxa"/>
            <w:vAlign w:val="center"/>
            <w:vMerge w:val="continue"/>
            <w:textDirection w:val="lrTb"/>
            <w:noWrap w:val="false"/>
          </w:tcPr>
          <w:p>
            <w:pPr>
              <w:numPr>
                <w:ilvl w:val="0"/>
                <w:numId w:val="13"/>
              </w:numPr>
              <w:ind w:left="0" w:right="0"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每日数据的备份，对重点数据要求能够进行定时备份。</w:t>
            </w:r>
            <w:r/>
          </w:p>
        </w:tc>
      </w:tr>
      <w:tr>
        <w:trPr>
          <w:jc w:val="center"/>
          <w:trHeight w:val="0"/>
        </w:trPr>
        <w:tc>
          <w:tcPr>
            <w:tcW w:w="1532" w:type="dxa"/>
            <w:vAlign w:val="center"/>
            <w:vMerge w:val="continue"/>
            <w:textDirection w:val="lrTb"/>
            <w:noWrap w:val="false"/>
          </w:tcPr>
          <w:p>
            <w:pPr>
              <w:numPr>
                <w:ilvl w:val="0"/>
                <w:numId w:val="13"/>
              </w:numPr>
              <w:ind w:left="0" w:right="0"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每半年进行周期性全面巡检。</w:t>
            </w:r>
            <w:r/>
          </w:p>
        </w:tc>
      </w:tr>
      <w:tr>
        <w:trPr>
          <w:jc w:val="center"/>
          <w:trHeight w:val="0"/>
        </w:trPr>
        <w:tc>
          <w:tcPr>
            <w:tcW w:w="1532" w:type="dxa"/>
            <w:vAlign w:val="center"/>
            <w:vMerge w:val="continue"/>
            <w:textDirection w:val="lrTb"/>
            <w:noWrap w:val="false"/>
          </w:tcPr>
          <w:p>
            <w:pPr>
              <w:numPr>
                <w:ilvl w:val="0"/>
                <w:numId w:val="13"/>
              </w:numPr>
              <w:ind w:left="0" w:right="0"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解决数据库运行中出现的各类故障。</w:t>
            </w:r>
            <w:r/>
          </w:p>
        </w:tc>
      </w:tr>
      <w:tr>
        <w:trPr>
          <w:jc w:val="center"/>
          <w:trHeight w:val="0"/>
        </w:trPr>
        <w:tc>
          <w:tcPr>
            <w:tcW w:w="1532" w:type="dxa"/>
            <w:vAlign w:val="center"/>
            <w:vMerge w:val="continue"/>
            <w:textDirection w:val="lrTb"/>
            <w:noWrap w:val="false"/>
          </w:tcPr>
          <w:p>
            <w:pPr>
              <w:numPr>
                <w:ilvl w:val="0"/>
                <w:numId w:val="13"/>
              </w:numPr>
              <w:ind w:left="0" w:right="0"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漏洞扫描服务：制定安全扫描计划，对信息系统的服务器、网络设备、安全设备和应用系统进行安全漏洞扫描，包括系统漏洞扫描、数据库扫描、应用安全扫描。</w:t>
            </w:r>
            <w:r/>
          </w:p>
        </w:tc>
      </w:tr>
      <w:tr>
        <w:trPr>
          <w:jc w:val="center"/>
          <w:trHeight w:val="0"/>
        </w:trPr>
        <w:tc>
          <w:tcPr>
            <w:tcW w:w="1532" w:type="dxa"/>
            <w:vAlign w:val="center"/>
            <w:vMerge w:val="continue"/>
            <w:textDirection w:val="lrTb"/>
            <w:noWrap w:val="false"/>
          </w:tcPr>
          <w:p>
            <w:pPr>
              <w:numPr>
                <w:ilvl w:val="0"/>
                <w:numId w:val="13"/>
              </w:numPr>
              <w:ind w:left="0" w:right="0"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安全加固服务：根据漏洞扫描所发现的弱点和安全隐患，对信息系统的服务器、网络设备、信息安全设备进行安全加固服务，提高系统与服务器与系统平台运行的安全性、可靠性。</w:t>
            </w:r>
            <w:r/>
          </w:p>
        </w:tc>
      </w:tr>
      <w:tr>
        <w:trPr>
          <w:jc w:val="center"/>
          <w:trHeight w:val="0"/>
        </w:trPr>
        <w:tc>
          <w:tcPr>
            <w:tcW w:w="1532" w:type="dxa"/>
            <w:vAlign w:val="center"/>
            <w:vMerge w:val="continue"/>
            <w:textDirection w:val="lrTb"/>
            <w:noWrap w:val="false"/>
          </w:tcPr>
          <w:p>
            <w:pPr>
              <w:numPr>
                <w:ilvl w:val="0"/>
                <w:numId w:val="13"/>
              </w:numPr>
              <w:ind w:left="0" w:right="0" w:firstLine="0"/>
              <w:jc w:val="left"/>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6711" w:type="dxa"/>
            <w:vAlign w:val="center"/>
            <w:textDirection w:val="lrTb"/>
            <w:noWrap w:val="false"/>
          </w:tcPr>
          <w:p>
            <w:pPr>
              <w:numPr>
                <w:ilvl w:val="0"/>
                <w:numId w:val="0"/>
              </w:numPr>
              <w:ind w:right="0"/>
              <w:jc w:val="left"/>
              <w:spacing w:line="240" w:lineRule="auto"/>
              <w:rPr>
                <w:rFonts w:hint="eastAsia" w:ascii="宋体" w:hAnsi="宋体" w:eastAsia="宋体" w:cs="宋体"/>
                <w:sz w:val="24"/>
                <w:szCs w:val="24"/>
              </w:rPr>
            </w:pPr>
            <w:r>
              <w:rPr>
                <w:rFonts w:hint="eastAsia" w:ascii="宋体" w:hAnsi="宋体" w:eastAsia="宋体" w:cs="宋体"/>
                <w:sz w:val="24"/>
                <w:szCs w:val="24"/>
              </w:rPr>
              <w:t xml:space="preserve">应急预案和演练服务：针对可能发生的重大事件，制定对应的应急预案，并通过应急演练发现应急过程中存在的问题，进而对应急预案和演练进行优化。</w:t>
            </w:r>
            <w:r/>
          </w:p>
        </w:tc>
      </w:tr>
    </w:tbl>
    <w:p>
      <w:pPr>
        <w:numPr>
          <w:ilvl w:val="0"/>
          <w:numId w:val="0"/>
        </w:numPr>
        <w:ind w:firstLine="482"/>
        <w:jc w:val="left"/>
        <w:keepLines w:val="0"/>
        <w:keepNext w:val="0"/>
        <w:pageBreakBefore w:val="0"/>
        <w:spacing w:line="420" w:lineRule="exact"/>
        <w:widowControl w:val="off"/>
        <w:rPr>
          <w:rFonts w:hint="eastAsia" w:ascii="宋体" w:hAnsi="宋体" w:eastAsia="宋体" w:cs="宋体"/>
          <w:b/>
          <w:bCs/>
          <w:sz w:val="24"/>
          <w:szCs w:val="24"/>
        </w:rPr>
      </w:pPr>
      <w:r>
        <w:rPr>
          <w:rFonts w:hint="eastAsia" w:ascii="宋体" w:hAnsi="宋体" w:eastAsia="宋体" w:cs="宋体"/>
          <w:b/>
          <w:bCs/>
          <w:sz w:val="24"/>
          <w:szCs w:val="24"/>
        </w:rPr>
        <w:t xml:space="preserve">2.考核实施流程</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自评阶段：供应商需每年提交运维报告。</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综合评分：满足要求为合格。</w:t>
      </w:r>
      <w:r/>
    </w:p>
    <w:p>
      <w:pPr>
        <w:ind w:left="0" w:firstLine="560"/>
        <w:keepLines w:val="0"/>
        <w:keepNext w:val="0"/>
        <w:pageBreakBefore w:val="0"/>
        <w:spacing w:line="420" w:lineRule="exact"/>
        <w:widowControl w:val="off"/>
        <w:rPr>
          <w:rFonts w:hint="eastAsia" w:ascii="宋体" w:hAnsi="宋体" w:eastAsia="宋体" w:cs="宋体"/>
          <w:b/>
          <w:bCs/>
          <w:sz w:val="24"/>
          <w:szCs w:val="24"/>
          <w:lang w:val="en-US" w:eastAsia="zh-CN"/>
        </w:rPr>
      </w:pPr>
      <w:r/>
      <w:bookmarkStart w:id="309" w:name="_Toc10128"/>
      <w:r>
        <w:rPr>
          <w:rFonts w:hint="eastAsia" w:ascii="宋体" w:hAnsi="宋体" w:eastAsia="宋体" w:cs="宋体"/>
          <w:b/>
          <w:bCs/>
          <w:sz w:val="24"/>
          <w:szCs w:val="24"/>
          <w:lang w:val="en-US" w:eastAsia="zh-CN"/>
        </w:rPr>
        <w:t xml:space="preserve">（五）相关安全措施</w:t>
      </w:r>
      <w:bookmarkEnd w:id="309"/>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本项目部署于政务云，服务器安全以政务云提供的基础信息安全技术服务为主。本信息系统安全按等保二级要求进行方案规划建设。</w:t>
      </w:r>
      <w:r/>
    </w:p>
    <w:p>
      <w:pPr>
        <w:ind w:left="0" w:firstLine="560"/>
        <w:keepLines w:val="0"/>
        <w:keepNext w:val="0"/>
        <w:pageBreakBefore w:val="0"/>
        <w:spacing w:line="420" w:lineRule="exact"/>
        <w:widowControl w:val="off"/>
        <w:rPr>
          <w:rFonts w:hint="eastAsia" w:ascii="宋体" w:hAnsi="宋体" w:eastAsia="宋体" w:cs="宋体"/>
          <w:b/>
          <w:bCs/>
          <w:sz w:val="24"/>
          <w:szCs w:val="24"/>
          <w:lang w:val="en-US" w:eastAsia="zh-CN"/>
        </w:rPr>
      </w:pPr>
      <w:r/>
      <w:bookmarkStart w:id="310" w:name="_Toc24819"/>
      <w:r>
        <w:rPr>
          <w:rFonts w:hint="eastAsia" w:ascii="宋体" w:hAnsi="宋体" w:eastAsia="宋体" w:cs="宋体"/>
          <w:b/>
          <w:bCs/>
          <w:sz w:val="24"/>
          <w:szCs w:val="24"/>
          <w:lang w:val="en-US" w:eastAsia="zh-CN"/>
        </w:rPr>
        <w:t xml:space="preserve">（六）运维团队</w:t>
      </w:r>
      <w:bookmarkEnd w:id="310"/>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业务指导处室：兴化市民政局养老服务科，负责需求梳理、业务指导、验收评估；</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信息化服务商：第三方服务商，负责提供信息化项目技术支持、客服服务支持、网络安全等保服务。</w:t>
      </w:r>
      <w:r/>
    </w:p>
    <w:p>
      <w:pPr>
        <w:ind w:left="0" w:firstLine="560"/>
        <w:keepLines w:val="0"/>
        <w:keepNext w:val="0"/>
        <w:pageBreakBefore w:val="0"/>
        <w:spacing w:line="420" w:lineRule="exact"/>
        <w:widowControl w:val="off"/>
        <w:rPr>
          <w:rFonts w:hint="eastAsia" w:ascii="宋体" w:hAnsi="宋体" w:eastAsia="宋体" w:cs="宋体"/>
          <w:b/>
          <w:bCs/>
          <w:sz w:val="24"/>
          <w:szCs w:val="24"/>
          <w:lang w:val="en-US" w:eastAsia="zh-CN"/>
        </w:rPr>
      </w:pPr>
      <w:r/>
      <w:bookmarkStart w:id="311" w:name="_Toc4942"/>
      <w:r>
        <w:rPr>
          <w:rFonts w:hint="eastAsia" w:ascii="宋体" w:hAnsi="宋体" w:eastAsia="宋体" w:cs="宋体"/>
          <w:b/>
          <w:bCs/>
          <w:sz w:val="24"/>
          <w:szCs w:val="24"/>
          <w:lang w:val="en-US" w:eastAsia="zh-CN"/>
        </w:rPr>
        <w:t xml:space="preserve">（七）应急预案体系补充完善（系统故障+业务应急双维度）</w:t>
      </w:r>
      <w:bookmarkEnd w:id="311"/>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结合本项目7×24小时运维保障要求，完善系统技术应急预案、客服业务应急预案，明确应急场景、处置流程、响应时限、人员分工、演练机制，落实原运维考核中“应急预案和演练服务”相关要求。</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1.应急总体目标</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当发生平台系统故障、网络中断、客服中心故障、批量工单异常等突发事件时，做到快速响应、分级处置、降低业务影响，保障养老助餐、助浴工单、咨询投诉等核心民生业务尽量不间断，故障处置全程留痕，事后开展复盘优化。</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故障响应时限严格执行原有要求：故障响应时间不超过30分钟；一般故障2小时内修复；重大故障3小时内出具解决方案并推进处置。</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2.突发事件分级</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一级（重大突发事件）：平台整体宕机、政务云服务异常、数据库故障，养老助餐、助浴工单全部无法提交；客服中心整体断网断电，全部热线无法接入；存在老年人敏感数据泄露风险。</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二级（较大突发事件）：部分功能模块不可用，如助餐AI核验、助浴工单模块异常；部分客服坐席失效，部分电话无法接入；批量工单审核异常。</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三级（一般突发事件）：个别账号故障、单条工单异常、单台客服办公设备故障，不影响整体业务运行。</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3.各类场景应急处置流程</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场景1：平台系统技术故障应急</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发现预警：7×24小时运维监控发现故障，或客服、民政反馈业务异常，驻场维保工程师30分钟内响应，判定故障等级。</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分级处置</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级重大故障：立即通知服务商技术负责人、兴化市民政局养老服务科；3小时内输出处置方案；同步启用业务临时手工登记台账，保障助餐、助浴服务工单信息临时记录，避免业务断档；协调政务云厂商协同排查。故障解决后完成数据补录核对。</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二级较大故障：定位模块问题，远程优先处置，必要时现场介入；同步告知客服团队业务受限范围，做好群众解释口径。</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三级一般故障：2小时内完成修复处理。</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故障恢复：系统恢复后校验数据完整性，核对工单、回访记录，防止数据丢失；故障处置完毕后3个工作日内提交故障分析报告，说明故障原因、处置过程、改进措施。</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场景2：客服中心业务应急（断电、断网、话务爆发）</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断网/断电应急：客服中心出现断电断网，驻场技术工程师第一时间排查；如短时间无法恢复，启用服务商远程客服兜底模式，保障咨询、投诉渠道不中断；对外做好群众解释。</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话务高峰/突发话务激增：发生咨询投诉电话集中爆发，客服组长动态调度人员，必要时启动服务商后备客服人员支援，避免来电大面积无人接听。</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工单批量异常应急：AI助餐工单批量识别异常、助浴工单批量报错，立即暂停自动审核，切换人工复核模式，防止错误结算，同步技术排查问题根源。</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场景3：数据安全应急（疑似信息泄露、违规访问）</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一旦发现异常访问、疑似数据泄露，驻场技术工程师第一时间阻断风险访问路径，留存系统日志；第一时间上报民政局；开展溯源排查，评估影响范围；按网络安全管理要求落实处置，必要时上报网信等主管部门。</w:t>
      </w:r>
      <w:r/>
    </w:p>
    <w:p>
      <w:pPr>
        <w:numPr>
          <w:ilvl w:val="0"/>
          <w:numId w:val="0"/>
        </w:numPr>
        <w:ind w:firstLine="480"/>
        <w:jc w:val="left"/>
        <w:keepLines w:val="0"/>
        <w:keepNext w:val="0"/>
        <w:pageBreakBefore w:val="0"/>
        <w:spacing w:line="420" w:lineRule="exact"/>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ind w:firstLine="482"/>
        <w:jc w:val="left"/>
        <w:keepLines w:val="0"/>
        <w:keepNext w:val="0"/>
        <w:pageBreakBefore w:val="0"/>
        <w:spacing w:before="100" w:after="100" w:line="420" w:lineRule="exact"/>
        <w:widowControl w:val="off"/>
        <w:rPr>
          <w:rFonts w:hint="eastAsia" w:ascii="宋体" w:hAnsi="宋体" w:eastAsia="宋体" w:cs="宋体"/>
          <w:b/>
          <w:bCs/>
          <w:sz w:val="24"/>
          <w:lang w:val="en-US" w:eastAsia="zh-CN"/>
        </w:rPr>
        <w:outlineLvl w:val="0"/>
      </w:pPr>
      <w:r/>
      <w:bookmarkStart w:id="312" w:name="_Toc12439"/>
      <w:r/>
      <w:bookmarkStart w:id="313" w:name="_Toc17985"/>
      <w:r>
        <w:rPr>
          <w:rFonts w:hint="eastAsia" w:ascii="宋体" w:hAnsi="宋体" w:eastAsia="宋体" w:cs="宋体"/>
          <w:b/>
          <w:bCs/>
          <w:sz w:val="24"/>
          <w:lang w:val="en-US" w:eastAsia="zh-CN"/>
        </w:rPr>
        <w:t xml:space="preserve">三、资金支付计划</w:t>
      </w:r>
      <w:bookmarkEnd w:id="312"/>
      <w:r/>
      <w:bookmarkEnd w:id="313"/>
      <w:r/>
      <w:r/>
    </w:p>
    <w:p>
      <w:pPr>
        <w:ind w:left="0" w:firstLine="560"/>
        <w:jc w:val="left"/>
        <w:spacing w:line="500" w:lineRule="exact"/>
        <w:widowControl w:val="off"/>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t xml:space="preserve">双方签订合同后，供应商需7日内安排相关人员进场提供服务。合同一年一签，预付款为一年服务费的30%，每季度支付一年服务费的17.5%。</w:t>
      </w:r>
      <w:bookmarkEnd w:id="254"/>
      <w:r/>
      <w:bookmarkEnd w:id="255"/>
      <w:r/>
      <w:bookmarkEnd w:id="258"/>
      <w:r/>
      <w:bookmarkEnd w:id="259"/>
      <w:r/>
      <w:r/>
    </w:p>
    <w:p>
      <w:pPr>
        <w:numPr>
          <w:ilvl w:val="0"/>
          <w:numId w:val="1"/>
        </w:numPr>
        <w:ind w:firstLine="403"/>
        <w:jc w:val="center"/>
        <w:keepLines/>
        <w:keepNext/>
        <w:pageBreakBefore/>
        <w:spacing w:before="200" w:after="200"/>
        <w:widowControl/>
        <w:rPr>
          <w:rFonts w:hint="eastAsia" w:ascii="宋体" w:hAnsi="宋体" w:eastAsia="宋体" w:cs="宋体"/>
          <w:b/>
          <w:bCs/>
          <w:sz w:val="44"/>
          <w:szCs w:val="44"/>
          <w:lang w:val="en-US" w:eastAsia="zh-CN"/>
        </w:rPr>
      </w:pPr>
      <w:r/>
      <w:bookmarkStart w:id="314" w:name="_Toc32391"/>
      <w:r/>
      <w:bookmarkStart w:id="315" w:name="_Toc27644"/>
      <w:r/>
      <w:bookmarkStart w:id="316" w:name="_Toc27152"/>
      <w:r>
        <w:rPr>
          <w:rFonts w:hint="eastAsia" w:ascii="宋体" w:hAnsi="宋体" w:eastAsia="宋体" w:cs="宋体"/>
          <w:b/>
          <w:bCs/>
          <w:sz w:val="44"/>
          <w:szCs w:val="44"/>
          <w:lang w:val="en-US" w:eastAsia="zh-CN"/>
        </w:rPr>
        <w:t xml:space="preserve">评审方法与评审标准</w:t>
      </w:r>
      <w:bookmarkEnd w:id="314"/>
      <w:r/>
      <w:bookmarkEnd w:id="315"/>
      <w:r/>
      <w:r/>
    </w:p>
    <w:p>
      <w:pPr>
        <w:ind w:left="0" w:firstLine="0"/>
        <w:keepLines w:val="0"/>
        <w:keepNext w:val="0"/>
        <w:pageBreakBefore w:val="0"/>
        <w:spacing w:line="460" w:lineRule="exact"/>
        <w:widowControl w:val="off"/>
        <w:tabs>
          <w:tab w:val="left" w:pos="2700" w:leader="none"/>
        </w:tabs>
        <w:rPr>
          <w:rFonts w:hint="eastAsia" w:ascii="宋体" w:hAnsi="宋体" w:eastAsia="宋体" w:cs="宋体"/>
          <w:b/>
          <w:bCs/>
          <w:sz w:val="24"/>
          <w:lang w:val="en-US" w:eastAsia="zh-CN"/>
        </w:rPr>
        <w:outlineLvl w:val="0"/>
      </w:pPr>
      <w:r/>
      <w:bookmarkStart w:id="317" w:name="_Toc15482"/>
      <w:r/>
      <w:bookmarkStart w:id="318" w:name="_Toc770"/>
      <w:r>
        <w:rPr>
          <w:rFonts w:hint="eastAsia" w:ascii="宋体" w:hAnsi="宋体" w:eastAsia="宋体" w:cs="宋体"/>
          <w:b/>
          <w:bCs/>
          <w:sz w:val="24"/>
          <w:lang w:val="en-US" w:eastAsia="zh-CN"/>
        </w:rPr>
        <w:t xml:space="preserve">一、评审方法</w:t>
      </w:r>
      <w:bookmarkEnd w:id="317"/>
      <w:r/>
      <w:bookmarkEnd w:id="318"/>
      <w:r/>
      <w:r/>
    </w:p>
    <w:p>
      <w:pPr>
        <w:ind w:firstLine="480"/>
        <w:keepLines w:val="0"/>
        <w:keepNext w:val="0"/>
        <w:pageBreakBefore w:val="0"/>
        <w:spacing w:line="420" w:lineRule="exact"/>
        <w:widowControl w:val="off"/>
        <w:rPr>
          <w:rFonts w:hint="eastAsia" w:ascii="宋体" w:hAnsi="宋体" w:eastAsia="宋体" w:cs="宋体"/>
          <w:sz w:val="24"/>
        </w:rPr>
      </w:pPr>
      <w:r>
        <w:rPr>
          <w:rFonts w:hint="eastAsia" w:ascii="宋体" w:hAnsi="宋体" w:eastAsia="宋体" w:cs="宋体"/>
          <w:sz w:val="24"/>
        </w:rPr>
        <w:t xml:space="preserve">本次采购采用综合评分法。报价部分以</w:t>
      </w:r>
      <w:r>
        <w:rPr>
          <w:rFonts w:hint="eastAsia" w:ascii="宋体" w:hAnsi="宋体" w:eastAsia="宋体" w:cs="宋体"/>
          <w:sz w:val="24"/>
          <w:lang w:val="en-US" w:eastAsia="zh-CN"/>
        </w:rPr>
        <w:t xml:space="preserve">优惠</w:t>
      </w:r>
      <w:r>
        <w:rPr>
          <w:rFonts w:hint="eastAsia" w:ascii="宋体" w:hAnsi="宋体" w:eastAsia="宋体" w:cs="宋体"/>
          <w:sz w:val="24"/>
        </w:rPr>
        <w:t xml:space="preserve">率为评审指标。磋商小组根据综合评分情况，按照评审得分由高到低顺序推荐3名成交候选供应商，并编写评审报告。符合本磋商文件第二章第26.1.2条情形的，可以推荐2名成交候选供应商。评审得分相同的，按照</w:t>
      </w:r>
      <w:r>
        <w:rPr>
          <w:rFonts w:hint="eastAsia" w:ascii="宋体" w:hAnsi="宋体" w:eastAsia="宋体" w:cs="宋体"/>
          <w:sz w:val="24"/>
          <w:lang w:val="en-US" w:eastAsia="zh-CN"/>
        </w:rPr>
        <w:t xml:space="preserve">最终</w:t>
      </w:r>
      <w:r>
        <w:rPr>
          <w:rFonts w:hint="eastAsia" w:ascii="宋体" w:hAnsi="宋体" w:eastAsia="宋体" w:cs="宋体"/>
          <w:sz w:val="24"/>
        </w:rPr>
        <w:t xml:space="preserve">报价由低</w:t>
      </w:r>
      <w:r>
        <w:rPr>
          <w:rFonts w:hint="eastAsia" w:ascii="宋体" w:hAnsi="宋体" w:eastAsia="宋体" w:cs="宋体"/>
          <w:sz w:val="24"/>
        </w:rPr>
        <w:t xml:space="preserve">到高</w:t>
      </w:r>
      <w:r>
        <w:rPr>
          <w:rFonts w:hint="eastAsia" w:ascii="宋体" w:hAnsi="宋体" w:eastAsia="宋体" w:cs="宋体"/>
          <w:sz w:val="24"/>
          <w:lang w:eastAsia="zh-CN"/>
        </w:rPr>
      </w:r>
      <w:r>
        <w:rPr>
          <w:rFonts w:hint="eastAsia" w:ascii="宋体" w:hAnsi="宋体" w:eastAsia="宋体" w:cs="宋体"/>
          <w:sz w:val="24"/>
        </w:rPr>
        <w:t xml:space="preserve">的顺序推荐。评审得分且最后报价相同的，</w:t>
      </w:r>
      <w:r>
        <w:rPr>
          <w:rFonts w:hint="eastAsia" w:ascii="宋体" w:hAnsi="宋体" w:eastAsia="宋体" w:cs="宋体"/>
          <w:sz w:val="24"/>
          <w:lang w:val="en-US" w:eastAsia="zh-CN"/>
        </w:rPr>
        <w:t xml:space="preserve">由采购人在磋商小组监督下</w:t>
      </w:r>
      <w:r>
        <w:rPr>
          <w:rFonts w:hint="eastAsia" w:ascii="宋体" w:hAnsi="宋体" w:eastAsia="宋体" w:cs="宋体"/>
          <w:sz w:val="24"/>
        </w:rPr>
        <w:t xml:space="preserve">现场抽签</w:t>
      </w:r>
      <w:r>
        <w:rPr>
          <w:rFonts w:hint="eastAsia" w:ascii="宋体" w:hAnsi="宋体" w:eastAsia="宋体" w:cs="宋体"/>
          <w:sz w:val="24"/>
          <w:lang w:val="en-US" w:eastAsia="zh-CN"/>
        </w:rPr>
        <w:t xml:space="preserve">确定第一成交候选人</w:t>
      </w:r>
      <w:r>
        <w:rPr>
          <w:rFonts w:hint="eastAsia" w:ascii="宋体" w:hAnsi="宋体" w:eastAsia="宋体" w:cs="宋体"/>
          <w:sz w:val="24"/>
        </w:rPr>
        <w:t xml:space="preserve">。</w:t>
      </w:r>
      <w:r/>
    </w:p>
    <w:p>
      <w:pPr>
        <w:ind w:left="0" w:firstLine="0"/>
        <w:keepLines w:val="0"/>
        <w:keepNext w:val="0"/>
        <w:pageBreakBefore w:val="0"/>
        <w:spacing w:line="420" w:lineRule="exact"/>
        <w:widowControl w:val="off"/>
        <w:tabs>
          <w:tab w:val="left" w:pos="2700" w:leader="none"/>
        </w:tabs>
        <w:rPr>
          <w:rFonts w:hint="eastAsia" w:ascii="宋体" w:hAnsi="宋体" w:eastAsia="宋体" w:cs="宋体"/>
          <w:b/>
          <w:bCs/>
          <w:sz w:val="24"/>
          <w:lang w:val="zh-CN" w:eastAsia="zh-CN"/>
        </w:rPr>
        <w:outlineLvl w:val="0"/>
      </w:pPr>
      <w:r>
        <w:rPr>
          <w:rFonts w:hint="eastAsia" w:ascii="宋体" w:hAnsi="宋体" w:eastAsia="宋体" w:cs="宋体"/>
          <w:b/>
          <w:bCs/>
          <w:sz w:val="24"/>
          <w:lang w:val="en-US" w:eastAsia="zh-CN"/>
        </w:rPr>
        <w:t xml:space="preserve">二、</w:t>
      </w:r>
      <w:r>
        <w:rPr>
          <w:rFonts w:hint="eastAsia" w:ascii="宋体" w:hAnsi="宋体" w:eastAsia="宋体" w:cs="宋体"/>
          <w:b/>
          <w:bCs/>
          <w:sz w:val="24"/>
          <w:lang w:val="zh-CN" w:eastAsia="zh-CN"/>
        </w:rPr>
        <w:t xml:space="preserve">政府采购政策功能落实</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1、小微型企业价格扣除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（1）本项目对小型和微型企业提供的服务给予10%的扣除价格，用扣除后的价格参与评审。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（2）供应商需按照采购文件的要求提供相应的《中小微企业声明函》。</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2、残疾人福利单位价格扣除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（1）本项目对残疾人福利性单位视同小型、微型企业，给予10%的价格扣除，用扣除后的价格参与评审。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（2）残疾人福利单位需按照采购文件的要求提供《残疾人福利性单位声明函》。</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（3）残疾人福利单位标准请参照《关于促进残疾人就业政府采购政策的通知》（财库〔2017〕141号）。</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3、监狱和戒毒企业价格扣除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（1）本项目对监狱和戒毒企业（简称监狱企业）视同小型、微型企业，给予10%的价格扣除，用扣除后的价格参与评审。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（2）监狱企业参加政府采购活动时，需提供由省级以上监狱管理局、戒毒管理局(含新疆生产建设兵团)出具的属于监狱企业的证明文件。供应商如不提供上述证明文件，价格将不做相应扣除。</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（3）监狱企业标准请参照《关于政府采购支持监狱企业发展有关问题的通知》（财库〔2014〕68号）。</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4、残疾人福利单位、监狱企业属于小型、微型企业的，不重复享受政策。</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5、如果本项目同意联合体投标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4%的价格扣除，用扣除后的价格参与评审。</w:t>
      </w:r>
      <w:r/>
    </w:p>
    <w:p>
      <w:pPr>
        <w:ind w:left="0" w:firstLine="440"/>
        <w:keepLines w:val="0"/>
        <w:keepNext w:val="0"/>
        <w:pageBreakBefore w:val="0"/>
        <w:spacing w:after="0" w:line="420" w:lineRule="exact"/>
        <w:widowControl/>
        <w:rPr>
          <w:rFonts w:hint="eastAsia" w:ascii="宋体" w:hAnsi="宋体" w:eastAsia="宋体" w:cs="宋体"/>
          <w:color w:val="000000" w:themeColor="text1"/>
          <w:sz w:val="24"/>
          <w:szCs w:val="24"/>
          <w:lang w:val="zh-CN" w:eastAsia="zh-CN" w:bidi="ar-SA"/>
          <w14:textFill>
            <w14:solidFill>
              <w14:schemeClr w14:val="tx1"/>
            </w14:solidFill>
          </w14:textFill>
        </w:rPr>
      </w:pPr>
      <w:r>
        <w:rPr>
          <w:rFonts w:hint="eastAsia" w:ascii="宋体" w:hAnsi="宋体" w:eastAsia="宋体" w:cs="宋体"/>
          <w:color w:val="000000" w:themeColor="text1"/>
          <w:sz w:val="24"/>
          <w:szCs w:val="24"/>
          <w:lang w:val="zh-CN" w:eastAsia="zh-CN" w:bidi="ar-SA"/>
          <w14:textFill>
            <w14:solidFill>
              <w14:schemeClr w14:val="tx1"/>
            </w14:solidFill>
          </w14:textFill>
        </w:rPr>
        <w:t xml:space="preserve">6、联合体各方均为小型、微型企业（残疾人福利单位、监狱企业）的，联合体享受10%价格扣除，用扣除后的价格参与评审。</w:t>
      </w:r>
      <w:r/>
    </w:p>
    <w:p>
      <w:pPr>
        <w:ind w:firstLine="480"/>
        <w:keepLines w:val="0"/>
        <w:keepNext w:val="0"/>
        <w:pageBreakBefore w:val="0"/>
        <w:spacing w:line="460" w:lineRule="exact"/>
        <w:widowControl w:val="off"/>
        <w:rPr>
          <w:rFonts w:hint="eastAsia" w:ascii="宋体" w:hAnsi="宋体" w:eastAsia="宋体" w:cs="宋体"/>
          <w:sz w:val="24"/>
        </w:rPr>
      </w:pPr>
      <w:r>
        <w:rPr>
          <w:rFonts w:hint="eastAsia" w:ascii="宋体" w:hAnsi="宋体" w:eastAsia="宋体" w:cs="宋体"/>
          <w:sz w:val="24"/>
        </w:rPr>
      </w:r>
      <w:r/>
    </w:p>
    <w:p>
      <w:pPr>
        <w:ind w:left="0" w:firstLine="0"/>
        <w:keepLines w:val="0"/>
        <w:keepNext w:val="0"/>
        <w:pageBreakBefore w:val="0"/>
        <w:spacing w:line="460" w:lineRule="exact"/>
        <w:widowControl w:val="off"/>
        <w:tabs>
          <w:tab w:val="left" w:pos="2700" w:leader="none"/>
        </w:tabs>
        <w:rPr>
          <w:rFonts w:hint="eastAsia" w:ascii="宋体" w:hAnsi="宋体" w:eastAsia="宋体" w:cs="宋体"/>
          <w:b/>
          <w:bCs/>
          <w:sz w:val="24"/>
          <w:lang w:val="en-US" w:eastAsia="zh-CN"/>
        </w:rPr>
        <w:outlineLvl w:val="0"/>
      </w:pPr>
      <w:r/>
      <w:bookmarkStart w:id="319" w:name="_Toc30189"/>
      <w:r/>
      <w:bookmarkStart w:id="320" w:name="_Toc23149"/>
      <w:r>
        <w:rPr>
          <w:rFonts w:hint="eastAsia" w:ascii="宋体" w:hAnsi="宋体" w:eastAsia="宋体" w:cs="宋体"/>
          <w:b/>
          <w:bCs/>
          <w:sz w:val="24"/>
          <w:lang w:val="en-US" w:eastAsia="zh-CN"/>
        </w:rPr>
        <w:t xml:space="preserve">二、评审标准</w:t>
      </w:r>
      <w:bookmarkEnd w:id="319"/>
      <w:r/>
      <w:bookmarkEnd w:id="320"/>
      <w:r/>
      <w:r/>
    </w:p>
    <w:p>
      <w:pPr>
        <w:pStyle w:val="837"/>
        <w:rPr>
          <w:rFonts w:hint="eastAsia"/>
        </w:rPr>
      </w:pPr>
      <w:r>
        <w:rPr>
          <w:rFonts w:hint="eastAsia"/>
        </w:rPr>
      </w:r>
      <w:r/>
    </w:p>
    <w:tbl>
      <w:tblPr>
        <w:tblStyle w:val="789"/>
        <w:tblW w:w="8336" w:type="dxa"/>
        <w:jc w:val="center"/>
        <w:tblBorders>
          <w:top w:val="single" w:color="auto" w:sz="12" w:space="0"/>
          <w:left w:val="single" w:color="auto" w:sz="12" w:space="0"/>
          <w:bottom w:val="single" w:color="auto" w:sz="12" w:space="0"/>
          <w:right w:val="single" w:color="auto" w:sz="12" w:space="0"/>
          <w:insideH w:val="single" w:color="auto" w:sz="12" w:space="0"/>
          <w:insideV w:val="single" w:color="auto" w:sz="12" w:space="0"/>
        </w:tblBorders>
        <w:tblLayout w:type="fixed"/>
        <w:tblCellMar>
          <w:left w:w="108" w:type="dxa"/>
          <w:top w:w="0" w:type="dxa"/>
          <w:right w:w="108" w:type="dxa"/>
          <w:bottom w:w="0" w:type="dxa"/>
        </w:tblCellMar>
        <w:tblLook w:val="04A0" w:firstRow="1" w:lastRow="0" w:firstColumn="1" w:lastColumn="0" w:noHBand="0" w:noVBand="1"/>
      </w:tblPr>
      <w:tblGrid>
        <w:gridCol w:w="1530"/>
        <w:gridCol w:w="1472"/>
        <w:gridCol w:w="5334"/>
      </w:tblGrid>
      <w:tr>
        <w:trPr>
          <w:jc w:val="center"/>
          <w:trHeight w:val="0"/>
          <w:tblHeader/>
        </w:trPr>
        <w:tc>
          <w:tcPr>
            <w:tcW w:w="153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sz w:val="24"/>
                <w:szCs w:val="24"/>
                <w:lang w:val="en-US" w:eastAsia="zh-CN"/>
              </w:rPr>
            </w:pPr>
            <w:r>
              <w:rPr>
                <w:rFonts w:hint="eastAsia" w:ascii="宋体" w:hAnsi="宋体" w:eastAsia="宋体" w:cs="宋体"/>
                <w:b/>
                <w:sz w:val="24"/>
                <w:szCs w:val="24"/>
                <w:lang w:val="en-US" w:eastAsia="zh-CN"/>
              </w:rPr>
              <w:t xml:space="preserve">序号</w:t>
            </w:r>
            <w:r/>
          </w:p>
        </w:tc>
        <w:tc>
          <w:tcPr>
            <w:tcW w:w="1472"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评分因素</w:t>
            </w:r>
            <w:r/>
          </w:p>
        </w:tc>
        <w:tc>
          <w:tcPr>
            <w:tcW w:w="5334"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b/>
                <w:sz w:val="24"/>
                <w:szCs w:val="24"/>
              </w:rPr>
            </w:pPr>
            <w:r>
              <w:rPr>
                <w:rFonts w:hint="eastAsia" w:ascii="宋体" w:hAnsi="宋体" w:eastAsia="宋体" w:cs="宋体"/>
                <w:b/>
                <w:sz w:val="24"/>
                <w:szCs w:val="24"/>
              </w:rPr>
              <w:t xml:space="preserve">评审标准</w:t>
            </w:r>
            <w:r/>
          </w:p>
        </w:tc>
      </w:tr>
      <w:tr>
        <w:trPr>
          <w:jc w:val="center"/>
          <w:trHeight w:val="0"/>
        </w:trPr>
        <w:tc>
          <w:tcPr>
            <w:tcW w:w="1530"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报价</w:t>
            </w:r>
            <w:r/>
          </w:p>
        </w:tc>
        <w:tc>
          <w:tcPr>
            <w:tcW w:w="1472"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报价</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w:t>
            </w:r>
            <w:r/>
          </w:p>
        </w:tc>
        <w:tc>
          <w:tcPr>
            <w:tcW w:w="533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lang w:eastAsia="zh-CN"/>
              </w:rPr>
            </w:r>
            <w:r>
              <w:rPr>
                <w:rFonts w:ascii="SimSun" w:hAnsi="SimSun" w:eastAsia="SimSun" w:cs="SimSun"/>
                <w:color w:val="000000"/>
                <w:sz w:val="24"/>
              </w:rPr>
              <w:t xml:space="preserve">本项目价格分采用低价优先法计算，在所有通过资格性审查、符合性审查的有效响应文件中，以报价最低价作为评标基准价，该供应商的价格得分为满分15分。其它供应商的价格分统一按照以下公式计算：价格得分=（评标基准价÷供应商响应报价）×15。计算结果保留2位小数，若遇小数位数争议，按四舍五入规则处理。</w:t>
            </w:r>
            <w:r>
              <w:rPr>
                <w:rFonts w:hint="eastAsia" w:ascii="宋体" w:hAnsi="宋体" w:eastAsia="宋体" w:cs="宋体"/>
                <w:sz w:val="24"/>
                <w:szCs w:val="24"/>
                <w:lang w:eastAsia="zh-CN"/>
              </w:rPr>
            </w:r>
            <w:r>
              <w:rPr>
                <w:rFonts w:hint="eastAsia" w:ascii="宋体" w:hAnsi="宋体" w:eastAsia="宋体" w:cs="宋体"/>
                <w:sz w:val="24"/>
                <w:szCs w:val="24"/>
                <w:lang w:eastAsia="zh-CN"/>
              </w:rPr>
            </w:r>
            <w:r/>
          </w:p>
        </w:tc>
      </w:tr>
      <w:tr>
        <w:trPr>
          <w:jc w:val="center"/>
          <w:trHeight w:val="0"/>
        </w:trPr>
        <w:tc>
          <w:tcPr>
            <w:tcW w:w="1530" w:type="dxa"/>
            <w:vAlign w:val="center"/>
            <w:vMerge w:val="restart"/>
            <w:textDirection w:val="lrTb"/>
            <w:noWrap w:val="false"/>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2、商务分（53分）</w:t>
            </w:r>
            <w:r/>
          </w:p>
        </w:tc>
        <w:tc>
          <w:tcPr>
            <w:tcW w:w="1472" w:type="dxa"/>
            <w:vAlign w:val="center"/>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业绩</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分）</w:t>
            </w:r>
            <w:r/>
          </w:p>
        </w:tc>
        <w:tc>
          <w:tcPr>
            <w:tcW w:w="533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t xml:space="preserve">2021年1月1日至今</w:t>
            </w:r>
            <w:r>
              <w:rPr>
                <w:rFonts w:hint="eastAsia" w:ascii="宋体" w:hAnsi="宋体" w:eastAsia="宋体" w:cs="宋体"/>
                <w:sz w:val="24"/>
                <w:szCs w:val="24"/>
                <w:lang w:eastAsia="zh-CN"/>
              </w:rPr>
              <w:t xml:space="preserve">供应商承担过同类型项目业绩</w:t>
            </w:r>
            <w:r>
              <w:rPr>
                <w:rFonts w:hint="eastAsia" w:ascii="宋体" w:hAnsi="宋体" w:eastAsia="宋体" w:cs="宋体"/>
                <w:sz w:val="24"/>
                <w:szCs w:val="24"/>
              </w:rPr>
              <w:t xml:space="preserve">。每个项目得</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最高得4</w:t>
            </w:r>
            <w:r>
              <w:rPr>
                <w:rFonts w:hint="eastAsia" w:ascii="宋体" w:hAnsi="宋体" w:eastAsia="宋体" w:cs="宋体"/>
                <w:sz w:val="24"/>
                <w:szCs w:val="24"/>
              </w:rPr>
              <w:t xml:space="preserve">分。</w:t>
            </w:r>
            <w:r/>
          </w:p>
          <w:p>
            <w:pPr>
              <w:ind w:left="0" w:right="0" w:firstLine="0"/>
              <w:jc w:val="left"/>
              <w:keepLines w:val="0"/>
              <w:keepNext w:val="0"/>
              <w:pageBreakBefore w:val="0"/>
              <w:spacing w:line="240" w:lineRule="auto"/>
              <w:widowControl w:val="off"/>
              <w:rPr>
                <w:rFonts w:hint="eastAsia" w:ascii="宋体" w:hAnsi="宋体" w:eastAsia="宋体" w:cs="宋体"/>
                <w:sz w:val="24"/>
                <w:szCs w:val="24"/>
                <w:lang w:val="en-US"/>
              </w:rPr>
            </w:pPr>
            <w:r>
              <w:rPr>
                <w:rFonts w:hint="eastAsia" w:ascii="宋体" w:hAnsi="宋体" w:eastAsia="宋体" w:cs="宋体"/>
                <w:sz w:val="24"/>
                <w:szCs w:val="24"/>
              </w:rPr>
              <w:t xml:space="preserve">提供</w:t>
            </w:r>
            <w:r>
              <w:rPr>
                <w:rFonts w:hint="eastAsia" w:ascii="宋体" w:hAnsi="宋体" w:eastAsia="宋体" w:cs="宋体"/>
                <w:sz w:val="24"/>
                <w:szCs w:val="24"/>
                <w:lang w:eastAsia="zh-CN"/>
              </w:rPr>
              <w:t xml:space="preserve">中标通知书或中标公告</w:t>
            </w:r>
            <w:r>
              <w:rPr>
                <w:rFonts w:hint="eastAsia" w:ascii="宋体" w:hAnsi="宋体" w:eastAsia="宋体" w:cs="宋体"/>
                <w:sz w:val="24"/>
                <w:szCs w:val="24"/>
                <w:lang w:val="en-US" w:eastAsia="zh-CN"/>
              </w:rPr>
              <w:t xml:space="preserve">和</w:t>
            </w:r>
            <w:r>
              <w:rPr>
                <w:rFonts w:hint="eastAsia" w:ascii="宋体" w:hAnsi="宋体" w:eastAsia="宋体" w:cs="宋体"/>
                <w:sz w:val="24"/>
                <w:szCs w:val="24"/>
              </w:rPr>
              <w:t xml:space="preserve">服务合同</w:t>
            </w:r>
            <w:r>
              <w:rPr>
                <w:rFonts w:hint="eastAsia" w:ascii="宋体" w:hAnsi="宋体" w:eastAsia="宋体" w:cs="宋体"/>
                <w:sz w:val="24"/>
                <w:szCs w:val="24"/>
                <w:lang w:val="en-US" w:eastAsia="zh-CN"/>
              </w:rPr>
              <w:t xml:space="preserve">原件扫描件。</w:t>
            </w:r>
            <w:r/>
          </w:p>
        </w:tc>
      </w:tr>
      <w:tr>
        <w:trPr>
          <w:jc w:val="center"/>
          <w:trHeight w:val="0"/>
        </w:trPr>
        <w:tc>
          <w:tcPr>
            <w:tcW w:w="1530"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center"/>
            <w:textDirection w:val="lrTb"/>
            <w:noWrap/>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认证</w:t>
            </w:r>
            <w:r/>
          </w:p>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6</w:t>
            </w:r>
            <w:r>
              <w:rPr>
                <w:rFonts w:hint="eastAsia" w:ascii="宋体" w:hAnsi="宋体" w:eastAsia="宋体" w:cs="宋体"/>
                <w:sz w:val="24"/>
                <w:szCs w:val="24"/>
              </w:rPr>
              <w:t xml:space="preserve">分）</w:t>
            </w:r>
            <w:r/>
          </w:p>
        </w:tc>
        <w:tc>
          <w:tcPr>
            <w:tcW w:w="533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w:t>
            </w:r>
            <w:r>
              <w:rPr>
                <w:rFonts w:hint="eastAsia" w:ascii="宋体" w:hAnsi="宋体" w:eastAsia="宋体" w:cs="宋体"/>
                <w:b w:val="0"/>
                <w:bCs w:val="0"/>
                <w:color w:val="auto"/>
                <w:sz w:val="24"/>
                <w:szCs w:val="24"/>
                <w:lang w:val="en-US" w:eastAsia="zh-CN"/>
              </w:rPr>
              <w:t xml:space="preserve">供应商具有</w:t>
            </w:r>
            <w:r>
              <w:rPr>
                <w:rFonts w:hint="eastAsia" w:ascii="宋体" w:hAnsi="宋体" w:eastAsia="宋体" w:cs="宋体"/>
                <w:color w:val="auto"/>
                <w:sz w:val="24"/>
                <w:szCs w:val="24"/>
              </w:rPr>
              <w:t xml:space="preserve">有效期内的质量管理体系认证证书的得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w:t>
            </w:r>
            <w:r>
              <w:rPr>
                <w:rFonts w:hint="eastAsia" w:ascii="宋体" w:hAnsi="宋体" w:eastAsia="宋体" w:cs="宋体"/>
                <w:b w:val="0"/>
                <w:bCs w:val="0"/>
                <w:color w:val="auto"/>
                <w:sz w:val="24"/>
                <w:szCs w:val="24"/>
                <w:lang w:val="en-US" w:eastAsia="zh-CN"/>
              </w:rPr>
              <w:t xml:space="preserve">供应商具有有</w:t>
            </w:r>
            <w:r>
              <w:rPr>
                <w:rFonts w:hint="eastAsia" w:ascii="宋体" w:hAnsi="宋体" w:eastAsia="宋体" w:cs="宋体"/>
                <w:color w:val="auto"/>
                <w:sz w:val="24"/>
                <w:szCs w:val="24"/>
              </w:rPr>
              <w:t xml:space="preserve">效期内的职业健康安全管理体系认证证书的得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ind w:left="0" w:right="0" w:firstLine="0"/>
              <w:jc w:val="left"/>
              <w:keepLines w:val="0"/>
              <w:keepNext w:val="0"/>
              <w:pageBreakBefore w:val="0"/>
              <w:spacing w:line="24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3</w:t>
            </w:r>
            <w:r>
              <w:rPr>
                <w:rFonts w:hint="eastAsia" w:ascii="宋体" w:hAnsi="宋体" w:eastAsia="宋体" w:cs="宋体"/>
                <w:color w:val="auto"/>
                <w:sz w:val="24"/>
                <w:szCs w:val="24"/>
              </w:rPr>
              <w:t xml:space="preserve">.</w:t>
            </w:r>
            <w:r>
              <w:rPr>
                <w:rFonts w:hint="eastAsia" w:ascii="宋体" w:hAnsi="宋体" w:eastAsia="宋体" w:cs="宋体"/>
                <w:b w:val="0"/>
                <w:bCs w:val="0"/>
                <w:color w:val="auto"/>
                <w:sz w:val="24"/>
                <w:szCs w:val="24"/>
                <w:lang w:val="en-US" w:eastAsia="zh-CN"/>
              </w:rPr>
              <w:t xml:space="preserve">供应商具有</w:t>
            </w:r>
            <w:r>
              <w:rPr>
                <w:rFonts w:hint="eastAsia" w:ascii="宋体" w:hAnsi="宋体" w:eastAsia="宋体" w:cs="宋体"/>
                <w:color w:val="auto"/>
                <w:sz w:val="24"/>
                <w:szCs w:val="24"/>
              </w:rPr>
              <w:t xml:space="preserve">在有效期内的环境管理体系认证证书</w:t>
            </w:r>
            <w:r>
              <w:rPr>
                <w:rFonts w:hint="eastAsia" w:ascii="宋体" w:hAnsi="宋体" w:eastAsia="宋体" w:cs="宋体"/>
                <w:color w:val="auto"/>
                <w:sz w:val="24"/>
                <w:szCs w:val="24"/>
                <w:lang w:val="en-US" w:eastAsia="zh-CN"/>
              </w:rPr>
              <w:t xml:space="preserve">认证</w:t>
            </w:r>
            <w:r>
              <w:rPr>
                <w:rFonts w:hint="eastAsia" w:ascii="宋体" w:hAnsi="宋体" w:eastAsia="宋体" w:cs="宋体"/>
                <w:color w:val="auto"/>
                <w:sz w:val="24"/>
                <w:szCs w:val="24"/>
              </w:rPr>
              <w:t xml:space="preserve">证书的得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w:t>
            </w:r>
            <w:r/>
          </w:p>
          <w:p>
            <w:pPr>
              <w:ind w:left="0" w:right="0" w:firstLine="0"/>
              <w:jc w:val="left"/>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b w:val="0"/>
                <w:bCs w:val="0"/>
                <w:color w:val="auto"/>
                <w:sz w:val="24"/>
                <w:szCs w:val="24"/>
              </w:rPr>
              <w:t xml:space="preserve">（须提供有效期内认证证书</w:t>
            </w:r>
            <w:r>
              <w:rPr>
                <w:rFonts w:hint="eastAsia" w:ascii="宋体" w:hAnsi="宋体" w:eastAsia="宋体" w:cs="宋体"/>
                <w:b w:val="0"/>
                <w:bCs w:val="0"/>
                <w:color w:val="auto"/>
                <w:sz w:val="24"/>
                <w:szCs w:val="24"/>
                <w:lang w:val="en-US" w:eastAsia="zh-CN"/>
              </w:rPr>
              <w:t xml:space="preserve">原件扫描件</w:t>
            </w:r>
            <w:r>
              <w:rPr>
                <w:rFonts w:hint="eastAsia" w:ascii="宋体" w:hAnsi="宋体" w:eastAsia="宋体" w:cs="宋体"/>
                <w:b w:val="0"/>
                <w:bCs w:val="0"/>
                <w:color w:val="auto"/>
                <w:sz w:val="24"/>
                <w:szCs w:val="24"/>
              </w:rPr>
              <w:t xml:space="preserve">，不提供不得分）</w:t>
            </w:r>
            <w:r/>
          </w:p>
        </w:tc>
      </w:tr>
      <w:tr>
        <w:trPr>
          <w:jc w:val="center"/>
          <w:trHeight w:val="0"/>
        </w:trPr>
        <w:tc>
          <w:tcPr>
            <w:tcW w:w="1530"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center"/>
            <w:textDirection w:val="lrTb"/>
            <w:noWrap/>
          </w:tcPr>
          <w:p>
            <w:pPr>
              <w:ind w:left="0" w:right="0" w:firstLine="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rPr>
              <w:t xml:space="preserve">服务团队</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39</w:t>
            </w:r>
            <w:r>
              <w:rPr>
                <w:rFonts w:hint="eastAsia" w:ascii="宋体" w:hAnsi="宋体" w:eastAsia="宋体" w:cs="宋体"/>
                <w:sz w:val="24"/>
                <w:szCs w:val="24"/>
                <w:lang w:eastAsia="zh-CN"/>
              </w:rPr>
              <w:t xml:space="preserve">）</w:t>
            </w:r>
            <w:r/>
          </w:p>
        </w:tc>
        <w:tc>
          <w:tcPr>
            <w:tcW w:w="533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1、供应商针对本项目应配备项目经理一名（12分）：项目经理（同一人）具有信息系统业务安全服务工程师、信息系统项目管理师、IT服务项目经理（ITSS）证书，有一个得4分，不提供不得分，最高得12分。</w:t>
            </w:r>
            <w:r/>
          </w:p>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2、项目负责人（12分）：除项目经理外，项目组成员需配备一名技术负责人，技术负责人（同一人）具备信息系统项目管理师（高级）、信息系统业务安全服务工程师、ITSS服务工程师资质证书，有一个得4分，不提供不得分，最高得12分。</w:t>
            </w:r>
            <w:r/>
          </w:p>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3、项目组成员需具备安全员、系统分析师、程序员、网络工程师、软件设计师、CISAW信息安全保障人员证书，每提供一类加2分，满分12分。</w:t>
            </w:r>
            <w:r/>
          </w:p>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lang w:eastAsia="zh-CN"/>
              </w:rPr>
            </w:pPr>
            <w:r>
              <w:rPr>
                <w:rFonts w:hint="eastAsia" w:ascii="宋体" w:hAnsi="宋体" w:eastAsia="宋体" w:cs="宋体"/>
                <w:b w:val="0"/>
                <w:bCs w:val="0"/>
                <w:color w:val="auto"/>
                <w:sz w:val="24"/>
                <w:szCs w:val="24"/>
                <w:lang w:eastAsia="zh-CN"/>
              </w:rPr>
              <w:t xml:space="preserve">4、具有高级网络规划设计师，得3分。</w:t>
            </w:r>
            <w:r/>
          </w:p>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lang w:val="en-US" w:eastAsia="zh-CN"/>
              </w:rPr>
            </w:pPr>
            <w:r>
              <w:rPr>
                <w:rFonts w:hint="eastAsia" w:ascii="宋体" w:hAnsi="宋体" w:eastAsia="宋体" w:cs="宋体"/>
                <w:b w:val="0"/>
                <w:bCs w:val="0"/>
                <w:color w:val="auto"/>
                <w:sz w:val="24"/>
                <w:szCs w:val="24"/>
              </w:rPr>
              <w:t xml:space="preserve">注：</w:t>
            </w:r>
            <w:r>
              <w:rPr>
                <w:rFonts w:hint="eastAsia" w:ascii="宋体" w:hAnsi="宋体" w:eastAsia="宋体" w:cs="宋体"/>
                <w:b w:val="0"/>
                <w:bCs w:val="0"/>
                <w:color w:val="auto"/>
                <w:sz w:val="24"/>
                <w:szCs w:val="24"/>
                <w:lang w:val="en-US" w:eastAsia="zh-CN"/>
              </w:rPr>
              <w:t xml:space="preserve">响应</w:t>
            </w:r>
            <w:r>
              <w:rPr>
                <w:rFonts w:hint="eastAsia" w:ascii="宋体" w:hAnsi="宋体" w:eastAsia="宋体" w:cs="宋体"/>
                <w:b w:val="0"/>
                <w:bCs w:val="0"/>
                <w:color w:val="auto"/>
                <w:sz w:val="24"/>
                <w:szCs w:val="24"/>
              </w:rPr>
              <w:t xml:space="preserve">文件中须提供人员团队配置表</w:t>
            </w:r>
            <w:r>
              <w:rPr>
                <w:rFonts w:hint="eastAsia" w:ascii="宋体" w:hAnsi="宋体" w:eastAsia="宋体" w:cs="宋体"/>
                <w:b w:val="0"/>
                <w:bCs w:val="0"/>
                <w:color w:val="auto"/>
                <w:sz w:val="24"/>
                <w:szCs w:val="24"/>
                <w:lang w:eastAsia="zh-CN"/>
              </w:rPr>
              <w:t xml:space="preserve">及</w:t>
            </w:r>
            <w:r>
              <w:rPr>
                <w:rFonts w:hint="eastAsia" w:ascii="宋体" w:hAnsi="宋体" w:eastAsia="宋体" w:cs="宋体"/>
                <w:sz w:val="24"/>
                <w:szCs w:val="24"/>
              </w:rPr>
              <w:t xml:space="preserve">证书</w:t>
            </w:r>
            <w:r>
              <w:rPr>
                <w:rFonts w:hint="eastAsia" w:ascii="宋体" w:hAnsi="宋体" w:eastAsia="宋体" w:cs="宋体"/>
                <w:sz w:val="24"/>
                <w:szCs w:val="24"/>
                <w:lang w:val="en-US" w:eastAsia="zh-CN"/>
              </w:rPr>
              <w:t xml:space="preserve">原件扫描件</w:t>
            </w:r>
            <w:r>
              <w:rPr>
                <w:rFonts w:hint="eastAsia" w:ascii="宋体" w:hAnsi="宋体" w:eastAsia="宋体" w:cs="宋体"/>
                <w:sz w:val="24"/>
                <w:szCs w:val="24"/>
              </w:rPr>
              <w:t xml:space="preserve">及</w:t>
            </w:r>
            <w:r>
              <w:rPr>
                <w:rFonts w:hint="eastAsia" w:ascii="宋体" w:hAnsi="宋体" w:eastAsia="宋体" w:cs="宋体"/>
                <w:sz w:val="24"/>
                <w:szCs w:val="24"/>
                <w:lang w:val="en-US" w:eastAsia="zh-CN"/>
              </w:rPr>
              <w:t xml:space="preserve">响应</w:t>
            </w:r>
            <w:r>
              <w:rPr>
                <w:rFonts w:hint="eastAsia" w:ascii="宋体" w:hAnsi="宋体" w:eastAsia="宋体" w:cs="宋体"/>
                <w:sz w:val="24"/>
                <w:szCs w:val="24"/>
              </w:rPr>
              <w:t xml:space="preserve">供应商为其缴纳的近6个月任意一个月的社保证明扫描上传，不提供不得分</w:t>
            </w:r>
            <w:r>
              <w:rPr>
                <w:rFonts w:hint="eastAsia" w:ascii="宋体" w:hAnsi="宋体" w:eastAsia="宋体" w:cs="宋体"/>
                <w:b w:val="0"/>
                <w:bCs w:val="0"/>
                <w:color w:val="auto"/>
                <w:sz w:val="24"/>
                <w:szCs w:val="24"/>
              </w:rPr>
              <w:t xml:space="preserve">。</w:t>
            </w:r>
            <w:r/>
          </w:p>
        </w:tc>
      </w:tr>
      <w:tr>
        <w:trPr>
          <w:jc w:val="center"/>
          <w:trHeight w:val="0"/>
        </w:trPr>
        <w:tc>
          <w:tcPr>
            <w:tcW w:w="1530"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center"/>
            <w:textDirection w:val="lrTb"/>
            <w:noWrap/>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企业实力</w:t>
            </w:r>
            <w:r>
              <w:rPr>
                <w:rFonts w:hint="eastAsia" w:ascii="宋体" w:hAnsi="宋体" w:eastAsia="宋体" w:cs="宋体"/>
                <w:sz w:val="24"/>
                <w:szCs w:val="24"/>
                <w:lang w:eastAsia="zh-CN"/>
              </w:rPr>
              <w:t xml:space="preserve">（</w:t>
            </w:r>
            <w:r>
              <w:rPr>
                <w:rFonts w:hint="eastAsia" w:ascii="宋体" w:hAnsi="宋体" w:eastAsia="宋体" w:cs="宋体"/>
                <w:sz w:val="24"/>
                <w:szCs w:val="24"/>
                <w:lang w:val="en-US" w:eastAsia="zh-CN"/>
              </w:rPr>
              <w:t xml:space="preserve">4</w:t>
            </w:r>
            <w:r>
              <w:rPr>
                <w:rFonts w:hint="eastAsia" w:ascii="宋体" w:hAnsi="宋体" w:eastAsia="宋体" w:cs="宋体"/>
                <w:sz w:val="24"/>
                <w:szCs w:val="24"/>
                <w:lang w:eastAsia="zh-CN"/>
              </w:rPr>
              <w:t xml:space="preserve">）</w:t>
            </w:r>
            <w:r/>
          </w:p>
        </w:tc>
        <w:tc>
          <w:tcPr>
            <w:tcW w:w="5334" w:type="dxa"/>
            <w:vAlign w:val="center"/>
            <w:textDirection w:val="lrTb"/>
            <w:noWrap/>
          </w:tcPr>
          <w:p>
            <w:pPr>
              <w:ind w:left="0" w:right="0" w:firstLine="0"/>
              <w:jc w:val="left"/>
              <w:keepLines w:val="0"/>
              <w:keepNext w:val="0"/>
              <w:pageBreakBefore w:val="0"/>
              <w:spacing w:line="240" w:lineRule="auto"/>
              <w:widowControl w:val="off"/>
              <w:rPr>
                <w:rFonts w:hint="eastAsia" w:ascii="宋体" w:hAnsi="宋体" w:eastAsia="宋体" w:cs="宋体"/>
                <w:b w:val="0"/>
                <w:bCs w:val="0"/>
                <w:color w:val="auto"/>
                <w:sz w:val="24"/>
                <w:szCs w:val="24"/>
              </w:rPr>
            </w:pPr>
            <w:r>
              <w:rPr>
                <w:rFonts w:hint="eastAsia" w:ascii="宋体" w:hAnsi="宋体" w:eastAsia="宋体" w:cs="宋体"/>
                <w:b w:val="0"/>
                <w:bCs w:val="0"/>
                <w:color w:val="auto"/>
                <w:sz w:val="24"/>
                <w:szCs w:val="24"/>
                <w:lang w:val="en-US" w:eastAsia="zh-CN"/>
              </w:rPr>
              <w:t xml:space="preserve">供应商具有养老管理信息平台类软件著作权，每提供一个得2分，最高4分</w:t>
            </w:r>
            <w:r>
              <w:rPr>
                <w:rFonts w:hint="eastAsia" w:ascii="宋体" w:hAnsi="宋体" w:eastAsia="宋体" w:cs="宋体"/>
                <w:b w:val="0"/>
                <w:bCs w:val="0"/>
                <w:color w:val="auto"/>
                <w:sz w:val="24"/>
                <w:szCs w:val="24"/>
              </w:rPr>
              <w:t xml:space="preserve">。</w:t>
            </w:r>
            <w:r>
              <w:rPr>
                <w:rFonts w:hint="eastAsia" w:ascii="宋体" w:hAnsi="宋体" w:eastAsia="宋体" w:cs="宋体"/>
                <w:b w:val="0"/>
                <w:bCs w:val="0"/>
                <w:color w:val="auto"/>
                <w:sz w:val="24"/>
                <w:szCs w:val="24"/>
                <w:lang w:val="en-US" w:eastAsia="zh-CN"/>
              </w:rPr>
              <w:t xml:space="preserve">提供</w:t>
            </w:r>
            <w:r>
              <w:rPr>
                <w:rFonts w:hint="eastAsia" w:ascii="宋体" w:hAnsi="宋体" w:eastAsia="宋体" w:cs="宋体"/>
                <w:sz w:val="24"/>
                <w:szCs w:val="24"/>
                <w:lang w:val="en-US" w:eastAsia="zh-CN"/>
              </w:rPr>
              <w:t xml:space="preserve">原件扫描件。</w:t>
            </w:r>
            <w:r/>
          </w:p>
        </w:tc>
      </w:tr>
      <w:tr>
        <w:trPr>
          <w:jc w:val="center"/>
          <w:trHeight w:val="0"/>
        </w:trPr>
        <w:tc>
          <w:tcPr>
            <w:tcW w:w="1530" w:type="dxa"/>
            <w:vAlign w:val="center"/>
            <w:vMerge w:val="restart"/>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3、技术部分</w:t>
            </w:r>
            <w:r/>
          </w:p>
          <w:p>
            <w:pPr>
              <w:ind w:left="0" w:right="0" w:firstLine="0"/>
              <w:jc w:val="center"/>
              <w:keepLines w:val="0"/>
              <w:keepNext w:val="0"/>
              <w:pageBreakBefore w:val="0"/>
              <w:spacing w:line="240" w:lineRule="auto"/>
              <w:widowControl w:val="off"/>
              <w:rPr>
                <w:rFonts w:hint="eastAsia" w:ascii="宋体" w:hAnsi="宋体" w:eastAsia="宋体" w:cs="宋体"/>
                <w:sz w:val="24"/>
                <w:szCs w:val="24"/>
                <w:lang w:eastAsia="zh-CN"/>
              </w:rPr>
            </w:pP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37</w:t>
            </w:r>
            <w:r>
              <w:rPr>
                <w:rFonts w:hint="eastAsia" w:ascii="宋体" w:hAnsi="宋体" w:eastAsia="宋体" w:cs="宋体"/>
                <w:sz w:val="24"/>
                <w:szCs w:val="24"/>
              </w:rPr>
              <w:t xml:space="preserve">分）</w:t>
            </w:r>
            <w:r/>
          </w:p>
        </w:tc>
        <w:tc>
          <w:tcPr>
            <w:tcW w:w="1472" w:type="dxa"/>
            <w:vAlign w:val="center"/>
            <w:textDirection w:val="lrTb"/>
            <w:noWrap/>
          </w:tcPr>
          <w:p>
            <w:pPr>
              <w:ind w:left="0" w:right="-160" w:firstLine="0"/>
              <w:jc w:val="left"/>
              <w:spacing w:line="240" w:lineRule="auto"/>
              <w:rPr>
                <w:rFonts w:hint="eastAsia" w:ascii="宋体" w:hAnsi="宋体" w:eastAsia="宋体" w:cs="宋体"/>
                <w:color w:val="auto"/>
                <w:sz w:val="24"/>
                <w:szCs w:val="24"/>
              </w:rPr>
            </w:pPr>
            <w:r>
              <w:rPr>
                <w:rFonts w:hint="eastAsia" w:ascii="宋体" w:hAnsi="宋体" w:eastAsia="宋体" w:cs="宋体"/>
                <w:color w:val="auto"/>
                <w:sz w:val="24"/>
                <w:szCs w:val="24"/>
                <w:lang w:eastAsia="zh-CN"/>
              </w:rPr>
              <w:t xml:space="preserve">项目</w:t>
            </w:r>
            <w:r>
              <w:rPr>
                <w:rFonts w:hint="eastAsia" w:ascii="宋体" w:hAnsi="宋体" w:eastAsia="宋体" w:cs="宋体"/>
                <w:color w:val="auto"/>
                <w:sz w:val="24"/>
                <w:szCs w:val="24"/>
                <w:lang w:val="en-US" w:eastAsia="zh-CN"/>
              </w:rPr>
              <w:t xml:space="preserve">运维</w:t>
            </w:r>
            <w:r>
              <w:rPr>
                <w:rFonts w:hint="eastAsia" w:ascii="宋体" w:hAnsi="宋体" w:eastAsia="宋体" w:cs="宋体"/>
                <w:color w:val="auto"/>
                <w:sz w:val="24"/>
                <w:szCs w:val="24"/>
                <w:lang w:eastAsia="zh-CN"/>
              </w:rPr>
              <w:t xml:space="preserve">方案</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5334" w:type="dxa"/>
            <w:vAlign w:val="center"/>
            <w:textDirection w:val="lrTb"/>
            <w:noWrap/>
          </w:tcPr>
          <w:p>
            <w:pPr>
              <w:ind w:left="0" w:right="-202" w:firstLine="0"/>
              <w:jc w:val="left"/>
              <w:keepLines w:val="0"/>
              <w:keepNext w:val="0"/>
              <w:pageBreakBefore w:val="0"/>
              <w:spacing w:after="0" w:line="240" w:lineRule="auto"/>
              <w:widowControl/>
              <w:rPr>
                <w:rFonts w:hint="eastAsia" w:ascii="宋体" w:hAnsi="宋体" w:eastAsia="宋体" w:cs="宋体"/>
                <w:b/>
                <w:bCs/>
                <w:color w:val="auto"/>
                <w:sz w:val="24"/>
                <w:szCs w:val="24"/>
              </w:rPr>
            </w:pPr>
            <w:r>
              <w:rPr>
                <w:rFonts w:hint="eastAsia" w:ascii="宋体" w:hAnsi="宋体" w:eastAsia="宋体" w:cs="宋体"/>
                <w:color w:val="auto"/>
                <w:sz w:val="24"/>
                <w:szCs w:val="24"/>
              </w:rPr>
              <w:t xml:space="preserve">方案优于</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需求得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分，满足项目需求得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分，不满足项目需求或未提供的不得分。</w:t>
            </w:r>
            <w:r/>
          </w:p>
        </w:tc>
      </w:tr>
      <w:tr>
        <w:trPr>
          <w:jc w:val="center"/>
          <w:trHeight w:val="0"/>
        </w:trPr>
        <w:tc>
          <w:tcPr>
            <w:tcW w:w="1530" w:type="dxa"/>
            <w:vAlign w:val="center"/>
            <w:vMerge w:val="continue"/>
            <w:textDirection w:val="lrTb"/>
            <w:noWrap/>
          </w:tcPr>
          <w:p>
            <w:pPr>
              <w:ind w:left="0" w:right="0" w:firstLine="0"/>
              <w:jc w:val="center"/>
              <w:keepLines w:val="0"/>
              <w:keepNext w:val="0"/>
              <w:pageBreakBefore w:val="0"/>
              <w:spacing w:line="240" w:lineRule="auto"/>
              <w:widowControl w:val="off"/>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center"/>
            <w:textDirection w:val="lrTb"/>
            <w:noWrap/>
          </w:tcPr>
          <w:p>
            <w:pPr>
              <w:ind w:left="0" w:right="-160" w:firstLine="0"/>
              <w:jc w:val="left"/>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lang w:eastAsia="zh-CN"/>
              </w:rPr>
              <w:t xml:space="preserve">建设方案方案</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w:t>
            </w:r>
            <w:r/>
          </w:p>
        </w:tc>
        <w:tc>
          <w:tcPr>
            <w:tcW w:w="5334" w:type="dxa"/>
            <w:vAlign w:val="center"/>
            <w:textDirection w:val="lrTb"/>
            <w:noWrap/>
          </w:tcPr>
          <w:p>
            <w:pPr>
              <w:ind w:left="0" w:right="-202" w:firstLine="0"/>
              <w:jc w:val="left"/>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方案优于</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需求得</w:t>
            </w: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分，满足项目需求得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分，不满足项目需求或未提供的不得分。</w:t>
            </w:r>
            <w:r/>
          </w:p>
        </w:tc>
      </w:tr>
      <w:tr>
        <w:trPr>
          <w:jc w:val="center"/>
          <w:trHeight w:val="0"/>
        </w:trPr>
        <w:tc>
          <w:tcPr>
            <w:tcW w:w="1530"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rPr>
            </w:pPr>
            <w:r>
              <w:rPr>
                <w:rFonts w:hint="eastAsia" w:ascii="宋体" w:hAnsi="宋体" w:eastAsia="宋体" w:cs="宋体"/>
                <w:sz w:val="24"/>
                <w:szCs w:val="24"/>
              </w:rPr>
            </w:r>
            <w:r/>
          </w:p>
        </w:tc>
        <w:tc>
          <w:tcPr>
            <w:shd w:val="clear" w:color="auto" w:fill="auto"/>
            <w:tcW w:w="1472" w:type="dxa"/>
            <w:vAlign w:val="center"/>
            <w:textDirection w:val="lrTb"/>
            <w:noWrap/>
          </w:tcPr>
          <w:p>
            <w:pPr>
              <w:ind w:left="0" w:right="-160" w:firstLine="0"/>
              <w:jc w:val="left"/>
              <w:spacing w:line="240" w:lineRule="auto"/>
              <w:rPr>
                <w:rFonts w:hint="eastAsia" w:ascii="宋体" w:hAnsi="宋体" w:eastAsia="宋体" w:cs="宋体"/>
                <w:color w:val="auto"/>
                <w:sz w:val="24"/>
                <w:szCs w:val="24"/>
                <w:lang w:eastAsia="zh-CN"/>
              </w:rPr>
            </w:pPr>
            <w:r>
              <w:rPr>
                <w:rFonts w:hint="eastAsia" w:ascii="宋体" w:hAnsi="宋体" w:eastAsia="宋体" w:cs="宋体"/>
                <w:color w:val="auto"/>
                <w:sz w:val="24"/>
                <w:szCs w:val="24"/>
              </w:rPr>
              <w:t xml:space="preserve">售后及培训方案（</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w:t>
            </w:r>
            <w:r/>
          </w:p>
        </w:tc>
        <w:tc>
          <w:tcPr>
            <w:shd w:val="clear" w:color="auto" w:fill="auto"/>
            <w:tcW w:w="5334" w:type="dxa"/>
            <w:vAlign w:val="center"/>
            <w:textDirection w:val="lrTb"/>
            <w:noWrap/>
          </w:tcPr>
          <w:p>
            <w:pPr>
              <w:ind w:left="0" w:right="-202" w:firstLine="0"/>
              <w:jc w:val="left"/>
              <w:keepLines w:val="0"/>
              <w:keepNext w:val="0"/>
              <w:pageBreakBefore w:val="0"/>
              <w:spacing w:after="0" w:line="24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方案优于</w:t>
            </w:r>
            <w:r>
              <w:rPr>
                <w:rFonts w:hint="eastAsia" w:ascii="宋体" w:hAnsi="宋体" w:eastAsia="宋体" w:cs="宋体"/>
                <w:color w:val="auto"/>
                <w:sz w:val="24"/>
                <w:szCs w:val="24"/>
                <w:lang w:val="en-US" w:eastAsia="zh-CN"/>
              </w:rPr>
              <w:t xml:space="preserve">采购</w:t>
            </w:r>
            <w:r>
              <w:rPr>
                <w:rFonts w:hint="eastAsia" w:ascii="宋体" w:hAnsi="宋体" w:eastAsia="宋体" w:cs="宋体"/>
                <w:color w:val="auto"/>
                <w:sz w:val="24"/>
                <w:szCs w:val="24"/>
              </w:rPr>
              <w:t xml:space="preserve">需求得</w:t>
            </w:r>
            <w:r>
              <w:rPr>
                <w:rFonts w:hint="eastAsia" w:ascii="宋体" w:hAnsi="宋体" w:eastAsia="宋体" w:cs="宋体"/>
                <w:color w:val="auto"/>
                <w:sz w:val="24"/>
                <w:szCs w:val="24"/>
                <w:lang w:val="en-US" w:eastAsia="zh-CN"/>
              </w:rPr>
              <w:t xml:space="preserve">5</w:t>
            </w:r>
            <w:r>
              <w:rPr>
                <w:rFonts w:hint="eastAsia" w:ascii="宋体" w:hAnsi="宋体" w:eastAsia="宋体" w:cs="宋体"/>
                <w:color w:val="auto"/>
                <w:sz w:val="24"/>
                <w:szCs w:val="24"/>
              </w:rPr>
              <w:t xml:space="preserve">分，满足项目需求得</w:t>
            </w:r>
            <w:r>
              <w:rPr>
                <w:rFonts w:hint="eastAsia" w:ascii="宋体" w:hAnsi="宋体" w:eastAsia="宋体" w:cs="宋体"/>
                <w:color w:val="auto"/>
                <w:sz w:val="24"/>
                <w:szCs w:val="24"/>
                <w:lang w:val="en-US" w:eastAsia="zh-CN"/>
              </w:rPr>
              <w:t xml:space="preserve">2</w:t>
            </w:r>
            <w:r>
              <w:rPr>
                <w:rFonts w:hint="eastAsia" w:ascii="宋体" w:hAnsi="宋体" w:eastAsia="宋体" w:cs="宋体"/>
                <w:color w:val="auto"/>
                <w:sz w:val="24"/>
                <w:szCs w:val="24"/>
              </w:rPr>
              <w:t xml:space="preserve">分，不满足项目需求或未提供的不得分。</w:t>
            </w:r>
            <w:r/>
          </w:p>
        </w:tc>
      </w:tr>
      <w:tr>
        <w:trPr>
          <w:jc w:val="center"/>
          <w:trHeight w:val="0"/>
        </w:trPr>
        <w:tc>
          <w:tcPr>
            <w:tcW w:w="1530" w:type="dxa"/>
            <w:vAlign w:val="center"/>
            <w:vMerge w:val="continue"/>
            <w:textDirection w:val="lrTb"/>
            <w:noWrap w:val="false"/>
          </w:tcPr>
          <w:p>
            <w:pPr>
              <w:ind w:left="0" w:right="0" w:firstLine="0"/>
              <w:jc w:val="center"/>
              <w:spacing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shd w:val="clear" w:color="auto" w:fill="auto"/>
            <w:tcW w:w="1472" w:type="dxa"/>
            <w:vAlign w:val="center"/>
            <w:textDirection w:val="lrTb"/>
            <w:noWrap/>
          </w:tcPr>
          <w:p>
            <w:pPr>
              <w:ind w:left="0" w:right="-160" w:firstLine="0"/>
              <w:jc w:val="left"/>
              <w:spacing w:line="240" w:lineRule="auto"/>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系统演示（24分）</w:t>
            </w:r>
            <w:r/>
          </w:p>
        </w:tc>
        <w:tc>
          <w:tcPr>
            <w:shd w:val="clear" w:color="auto" w:fill="auto"/>
            <w:tcW w:w="5334" w:type="dxa"/>
            <w:vAlign w:val="center"/>
            <w:textDirection w:val="lrTb"/>
            <w:noWrap/>
          </w:tcPr>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供应商提前准备好演示设备并完成调试，按下述功能项要求逐条演示（不见面开标，供应商不到现场，为演示PPT或视频</w:t>
            </w:r>
            <w:r>
              <w:rPr>
                <w:rFonts w:hint="eastAsia" w:ascii="宋体" w:hAnsi="宋体" w:eastAsia="宋体" w:cs="宋体"/>
                <w:color w:val="auto"/>
                <w:sz w:val="24"/>
                <w:szCs w:val="24"/>
                <w:lang w:val="en-US" w:eastAsia="zh-CN"/>
              </w:rPr>
              <w:t xml:space="preserve">，</w:t>
            </w:r>
            <w:r>
              <w:rPr>
                <w:rFonts w:ascii="SimSun" w:hAnsi="SimSun" w:eastAsia="SimSun" w:cs="SimSun"/>
                <w:color w:val="000000"/>
                <w:sz w:val="24"/>
              </w:rPr>
              <w:t xml:space="preserve">苏采云系统中上传</w:t>
            </w:r>
            <w:r>
              <w:rPr>
                <w:rFonts w:hint="eastAsia" w:ascii="宋体" w:hAnsi="宋体" w:eastAsia="宋体" w:cs="宋体"/>
                <w:color w:val="auto"/>
                <w:sz w:val="24"/>
                <w:szCs w:val="24"/>
                <w:lang w:val="en-US" w:eastAsia="zh-CN"/>
              </w:rPr>
              <w:t xml:space="preserve">）。每符合一项演示要求得6分，最高得24分，没有演示或不符合要求则不得分。</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1、站点或上门助餐扫脸下单：通过面部识别和活体识别的方式确认老人身份，之后提供餐饮服务。</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2、上门服务扫脸下单：通过面部识别和活体识别的方式确认老人身份，再根据老人钱包中的余额，判断并匹配对应的服务套餐。</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3、中心对上门服务进行抽查：通过桌面端对正在上门服务的服务人员进行抽查，并记录保存全程视频，可实时调看。</w:t>
            </w:r>
            <w:r/>
          </w:p>
          <w:p>
            <w:pPr>
              <w:ind w:left="0" w:right="0" w:firstLine="0"/>
              <w:jc w:val="left"/>
              <w:keepLines w:val="0"/>
              <w:keepNext w:val="0"/>
              <w:pageBreakBefore w:val="0"/>
              <w:spacing w:after="0" w:line="240" w:lineRule="auto"/>
              <w:widowControl/>
              <w:rPr>
                <w:rFonts w:hint="eastAsia" w:ascii="宋体" w:hAnsi="宋体" w:eastAsia="宋体" w:cs="宋体"/>
                <w:color w:val="auto"/>
                <w:sz w:val="24"/>
                <w:szCs w:val="24"/>
                <w:lang w:val="en-US" w:eastAsia="zh-CN"/>
              </w:rPr>
            </w:pPr>
            <w:r>
              <w:rPr>
                <w:rFonts w:hint="eastAsia" w:ascii="宋体" w:hAnsi="宋体" w:eastAsia="宋体" w:cs="宋体"/>
                <w:color w:val="auto"/>
                <w:sz w:val="24"/>
                <w:szCs w:val="24"/>
                <w:lang w:val="en-US" w:eastAsia="zh-CN"/>
              </w:rPr>
              <w:t xml:space="preserve">4、数据大屏便捷展示信息：通过数据大屏可实时查看儿童居住定位、详细信息、保障情况和帮扶工单。</w:t>
            </w:r>
            <w:bookmarkEnd w:id="316"/>
            <w:r/>
            <w:r/>
          </w:p>
        </w:tc>
      </w:tr>
    </w:tbl>
    <w:p>
      <w:pPr>
        <w:numPr>
          <w:ilvl w:val="0"/>
          <w:numId w:val="1"/>
        </w:numPr>
        <w:ind w:firstLine="403"/>
        <w:jc w:val="center"/>
        <w:keepLines/>
        <w:keepNext/>
        <w:pageBreakBefore/>
        <w:spacing w:before="200" w:after="200"/>
        <w:widowControl/>
        <w:rPr>
          <w:rFonts w:hint="eastAsia" w:ascii="宋体" w:hAnsi="宋体" w:eastAsia="宋体" w:cs="宋体"/>
          <w:b/>
          <w:bCs/>
          <w:sz w:val="44"/>
          <w:szCs w:val="44"/>
          <w:lang w:val="en-US" w:eastAsia="zh-CN"/>
        </w:rPr>
      </w:pPr>
      <w:r/>
      <w:bookmarkStart w:id="321" w:name="_Toc20233"/>
      <w:r/>
      <w:bookmarkStart w:id="322" w:name="_Toc14151"/>
      <w:r/>
      <w:bookmarkStart w:id="323" w:name="_Toc20875"/>
      <w:r/>
      <w:bookmarkStart w:id="324" w:name="_Toc30312"/>
      <w:r>
        <w:rPr>
          <w:rFonts w:hint="eastAsia" w:ascii="宋体" w:hAnsi="宋体" w:eastAsia="宋体" w:cs="宋体"/>
          <w:b/>
          <w:bCs/>
          <w:sz w:val="44"/>
          <w:szCs w:val="44"/>
          <w:lang w:val="en-US" w:eastAsia="zh-CN"/>
        </w:rPr>
        <w:t xml:space="preserve">响应文件相关格式</w:t>
      </w:r>
      <w:bookmarkEnd w:id="321"/>
      <w:r/>
      <w:bookmarkEnd w:id="322"/>
      <w:r/>
      <w:bookmarkEnd w:id="323"/>
      <w:r/>
      <w:bookmarkEnd w:id="324"/>
      <w:r/>
      <w:r/>
    </w:p>
    <w:p>
      <w:pPr>
        <w:pStyle w:val="837"/>
        <w:ind w:left="0" w:firstLine="0"/>
        <w:rPr>
          <w:rFonts w:hint="eastAsia" w:ascii="仿宋" w:hAnsi="仿宋" w:eastAsia="仿宋" w:cs="仿宋"/>
        </w:rPr>
      </w:pPr>
      <w:r>
        <w:rPr>
          <w:rFonts w:hint="eastAsia" w:ascii="仿宋" w:hAnsi="仿宋" w:eastAsia="仿宋" w:cs="仿宋"/>
        </w:rPr>
      </w:r>
      <w:r/>
    </w:p>
    <w:p>
      <w:pPr>
        <w:pStyle w:val="837"/>
        <w:ind w:left="0" w:firstLine="0"/>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ind w:left="0" w:firstLine="0"/>
        <w:jc w:val="center"/>
        <w:keepLines w:val="0"/>
        <w:keepNext w:val="0"/>
        <w:pageBreakBefore w:val="0"/>
        <w:spacing w:before="0" w:after="0" w:line="360" w:lineRule="auto"/>
        <w:widowControl w:val="off"/>
        <w:rPr>
          <w:rFonts w:hint="eastAsia" w:ascii="宋体" w:hAnsi="宋体" w:eastAsia="宋体" w:cs="宋体"/>
          <w:b/>
          <w:sz w:val="72"/>
          <w:szCs w:val="72"/>
          <w:lang w:val="en-US" w:eastAsia="zh-CN" w:bidi="ar-SA"/>
        </w:rPr>
        <w:outlineLvl w:val="0"/>
      </w:pPr>
      <w:r/>
      <w:bookmarkStart w:id="325" w:name="_Toc17484"/>
      <w:r/>
      <w:bookmarkStart w:id="326" w:name="_Toc4881"/>
      <w:r/>
      <w:bookmarkStart w:id="327" w:name="_Toc30454"/>
      <w:r>
        <w:rPr>
          <w:rFonts w:hint="eastAsia" w:ascii="宋体" w:hAnsi="宋体" w:eastAsia="宋体" w:cs="宋体"/>
          <w:b/>
          <w:sz w:val="72"/>
          <w:szCs w:val="72"/>
          <w:lang w:val="en-US" w:eastAsia="zh-CN" w:bidi="ar-SA"/>
        </w:rPr>
        <w:t xml:space="preserve">响  应  文  件</w:t>
      </w:r>
      <w:bookmarkEnd w:id="325"/>
      <w:r/>
      <w:bookmarkEnd w:id="326"/>
      <w:r/>
      <w:bookmarkEnd w:id="327"/>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446"/>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1881"/>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1881"/>
        <w:jc w:val="left"/>
        <w:keepLines w:val="0"/>
        <w:keepNext w:val="0"/>
        <w:pageBreakBefore w:val="0"/>
        <w:spacing w:line="460" w:lineRule="exact"/>
        <w:widowControl w:val="off"/>
        <w:rPr>
          <w:rFonts w:hint="eastAsia" w:ascii="宋体" w:hAnsi="宋体" w:eastAsia="仿宋" w:cs="Courier New"/>
          <w:sz w:val="24"/>
          <w:szCs w:val="24"/>
          <w:lang w:val="en-US" w:eastAsia="zh-CN" w:bidi="ar-SA"/>
        </w:rPr>
      </w:pPr>
      <w:r>
        <w:rPr>
          <w:rFonts w:hint="eastAsia" w:ascii="宋体" w:hAnsi="宋体" w:eastAsia="仿宋" w:cs="Courier New"/>
          <w:sz w:val="24"/>
          <w:szCs w:val="24"/>
          <w:lang w:val="en-US" w:eastAsia="zh-CN" w:bidi="ar-SA"/>
        </w:rPr>
      </w:r>
      <w:r/>
    </w:p>
    <w:p>
      <w:pPr>
        <w:ind w:left="0" w:firstLine="840"/>
        <w:jc w:val="left"/>
        <w:keepLines w:val="0"/>
        <w:keepNext w:val="0"/>
        <w:pageBreakBefore w:val="0"/>
        <w:spacing w:line="700" w:lineRule="exact"/>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项 目 名 称：</w:t>
      </w:r>
      <w:r>
        <w:rPr>
          <w:rFonts w:hint="eastAsia" w:ascii="宋体" w:hAnsi="宋体" w:eastAsia="宋体" w:cs="宋体"/>
          <w:b/>
          <w:bCs/>
          <w:sz w:val="36"/>
          <w:szCs w:val="36"/>
          <w:u w:val="single"/>
          <w:lang w:val="en-US" w:eastAsia="zh-CN" w:bidi="ar-SA"/>
        </w:rPr>
        <w:t xml:space="preserve">                      </w:t>
      </w:r>
      <w:r>
        <w:rPr>
          <w:rFonts w:hint="eastAsia" w:ascii="宋体" w:hAnsi="宋体" w:eastAsia="宋体" w:cs="宋体"/>
          <w:b/>
          <w:bCs/>
          <w:sz w:val="36"/>
          <w:szCs w:val="36"/>
          <w:lang w:val="en-US" w:eastAsia="zh-CN" w:bidi="ar-SA"/>
        </w:rPr>
        <w:t xml:space="preserve">    </w:t>
      </w:r>
      <w:r/>
    </w:p>
    <w:p>
      <w:pPr>
        <w:ind w:left="0" w:firstLine="840"/>
        <w:jc w:val="left"/>
        <w:keepLines w:val="0"/>
        <w:keepNext w:val="0"/>
        <w:pageBreakBefore w:val="0"/>
        <w:spacing w:line="700" w:lineRule="exact"/>
        <w:widowControl w:val="off"/>
        <w:rPr>
          <w:rFonts w:hint="eastAsia" w:ascii="宋体" w:hAnsi="宋体" w:eastAsia="宋体" w:cs="宋体"/>
          <w:b/>
          <w:bCs/>
          <w:sz w:val="36"/>
          <w:szCs w:val="36"/>
          <w:lang w:val="en-US" w:eastAsia="zh-CN" w:bidi="ar-SA"/>
        </w:rPr>
      </w:pPr>
      <w:r>
        <w:rPr>
          <w:rFonts w:hint="eastAsia" w:ascii="宋体" w:hAnsi="宋体" w:eastAsia="宋体" w:cs="宋体"/>
          <w:b/>
          <w:bCs/>
          <w:sz w:val="36"/>
          <w:szCs w:val="36"/>
          <w:lang w:val="en-US" w:eastAsia="zh-CN" w:bidi="ar-SA"/>
        </w:rPr>
        <w:t xml:space="preserve">项 目 编 号：</w:t>
      </w:r>
      <w:r>
        <w:rPr>
          <w:rFonts w:hint="eastAsia" w:ascii="宋体" w:hAnsi="宋体" w:eastAsia="宋体" w:cs="宋体"/>
          <w:b/>
          <w:bCs/>
          <w:sz w:val="36"/>
          <w:szCs w:val="36"/>
          <w:u w:val="single"/>
          <w:lang w:val="en-US" w:eastAsia="zh-CN" w:bidi="ar-SA"/>
        </w:rPr>
        <w:t xml:space="preserve">                      </w:t>
      </w:r>
      <w:r>
        <w:rPr>
          <w:rFonts w:hint="eastAsia" w:ascii="宋体" w:hAnsi="宋体" w:eastAsia="宋体" w:cs="宋体"/>
          <w:b/>
          <w:bCs/>
          <w:sz w:val="36"/>
          <w:szCs w:val="36"/>
          <w:lang w:val="en-US" w:eastAsia="zh-CN" w:bidi="ar-SA"/>
        </w:rPr>
        <w:t xml:space="preserve">   </w:t>
      </w:r>
      <w:r/>
    </w:p>
    <w:p>
      <w:pPr>
        <w:ind w:left="0" w:firstLine="840"/>
        <w:jc w:val="left"/>
        <w:keepLines w:val="0"/>
        <w:keepNext w:val="0"/>
        <w:pageBreakBefore w:val="0"/>
        <w:spacing w:line="700" w:lineRule="exact"/>
        <w:widowControl w:val="off"/>
        <w:rPr>
          <w:rFonts w:hint="eastAsia" w:ascii="宋体" w:hAnsi="宋体" w:eastAsia="宋体" w:cs="宋体"/>
          <w:b/>
          <w:bCs/>
          <w:sz w:val="36"/>
          <w:szCs w:val="36"/>
          <w:u w:val="single"/>
          <w:lang w:val="en-US" w:eastAsia="zh-CN" w:bidi="ar-SA"/>
        </w:rPr>
      </w:pPr>
      <w:r>
        <w:rPr>
          <w:rFonts w:hint="eastAsia" w:ascii="宋体" w:hAnsi="宋体" w:eastAsia="宋体" w:cs="宋体"/>
          <w:b/>
          <w:bCs/>
          <w:sz w:val="36"/>
          <w:szCs w:val="36"/>
          <w:lang w:val="en-US" w:eastAsia="zh-CN" w:bidi="ar-SA"/>
        </w:rPr>
        <w:t xml:space="preserve">供应商名称 ：</w:t>
      </w:r>
      <w:r>
        <w:rPr>
          <w:rFonts w:hint="eastAsia" w:ascii="宋体" w:hAnsi="宋体" w:eastAsia="宋体" w:cs="宋体"/>
          <w:b/>
          <w:bCs/>
          <w:sz w:val="36"/>
          <w:szCs w:val="36"/>
          <w:u w:val="single"/>
          <w:lang w:val="en-US" w:eastAsia="zh-CN" w:bidi="ar-SA"/>
        </w:rPr>
        <w:t xml:space="preserve">（加盖CA电子公章）</w:t>
      </w:r>
      <w:r/>
    </w:p>
    <w:p>
      <w:pPr>
        <w:ind w:left="0" w:firstLine="840"/>
        <w:jc w:val="left"/>
        <w:keepLines w:val="0"/>
        <w:keepNext w:val="0"/>
        <w:pageBreakBefore w:val="0"/>
        <w:spacing w:line="700" w:lineRule="exact"/>
        <w:widowControl w:val="off"/>
        <w:rPr>
          <w:rFonts w:hint="eastAsia" w:ascii="宋体" w:hAnsi="宋体" w:eastAsia="仿宋" w:cs="Courier New"/>
          <w:sz w:val="24"/>
          <w:szCs w:val="24"/>
          <w:u w:val="single"/>
          <w:lang w:val="en-US" w:eastAsia="zh-CN" w:bidi="ar-SA"/>
        </w:rPr>
      </w:pPr>
      <w:r>
        <w:rPr>
          <w:rFonts w:hint="eastAsia" w:ascii="宋体" w:hAnsi="宋体" w:eastAsia="宋体" w:cs="宋体"/>
          <w:b/>
          <w:bCs/>
          <w:sz w:val="36"/>
          <w:szCs w:val="36"/>
          <w:lang w:val="en-US" w:eastAsia="zh-CN" w:bidi="ar-SA"/>
        </w:rPr>
        <w:t xml:space="preserve">日      期 ：</w:t>
      </w:r>
      <w:r>
        <w:rPr>
          <w:rFonts w:hint="eastAsia" w:ascii="宋体" w:hAnsi="宋体" w:eastAsia="宋体" w:cs="宋体"/>
          <w:b/>
          <w:bCs/>
          <w:sz w:val="36"/>
          <w:szCs w:val="36"/>
          <w:u w:val="single"/>
          <w:lang w:val="en-US" w:eastAsia="zh-CN" w:bidi="ar-SA"/>
        </w:rPr>
        <w:t xml:space="preserve">  </w:t>
      </w:r>
      <w:r>
        <w:rPr>
          <w:rFonts w:hint="eastAsia" w:ascii="宋体" w:hAnsi="宋体" w:eastAsia="仿宋" w:cs="Courier New"/>
          <w:sz w:val="24"/>
          <w:szCs w:val="24"/>
          <w:u w:val="single"/>
          <w:lang w:val="en-US" w:eastAsia="zh-CN" w:bidi="ar-SA"/>
        </w:rPr>
        <w:t xml:space="preserve">                       </w:t>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spacing w:line="360" w:lineRule="auto"/>
        <w:rPr>
          <w:rFonts w:hint="eastAsia" w:ascii="仿宋" w:hAnsi="仿宋" w:eastAsia="仿宋" w:cs="仿宋"/>
        </w:rPr>
      </w:pPr>
      <w:r>
        <w:rPr>
          <w:rFonts w:hint="eastAsia" w:ascii="仿宋" w:hAnsi="仿宋" w:eastAsia="仿宋" w:cs="仿宋"/>
        </w:rPr>
      </w:r>
      <w:r/>
    </w:p>
    <w:p>
      <w:pPr>
        <w:pStyle w:val="836"/>
        <w:ind w:left="0" w:firstLine="0"/>
        <w:jc w:val="center"/>
        <w:keepLines w:val="0"/>
        <w:keepNext/>
        <w:pageBreakBefore/>
        <w:spacing w:before="80" w:after="100" w:line="360" w:lineRule="auto"/>
        <w:widowControl/>
        <w:rPr>
          <w:rFonts w:hint="eastAsia" w:ascii="仿宋" w:hAnsi="仿宋" w:eastAsia="仿宋" w:cs="仿宋"/>
          <w:b/>
          <w:bCs/>
          <w:color w:val="auto"/>
          <w:sz w:val="28"/>
          <w:szCs w:val="44"/>
          <w:highlight w:val="none"/>
          <w:lang w:val="en-US" w:eastAsia="zh-CN" w:bidi="ar-SA"/>
        </w:rPr>
      </w:pPr>
      <w:r>
        <w:rPr>
          <w:rFonts w:hint="eastAsia" w:ascii="仿宋" w:hAnsi="仿宋" w:eastAsia="仿宋" w:cs="仿宋"/>
          <w:b/>
          <w:bCs/>
          <w:color w:val="auto"/>
          <w:sz w:val="32"/>
          <w:szCs w:val="32"/>
          <w:highlight w:val="none"/>
          <w:lang w:val="en-US" w:eastAsia="zh-CN" w:bidi="ar-SA"/>
        </w:rPr>
        <w:t xml:space="preserve">响应文件的组成</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一、基本目录</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1.分项报价表（格式见附件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1</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3.技术要求响应及偏离表（格式见附件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4.商务要求响应及偏离表（格式见附件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3</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二、资格审查内容</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1.法人或者其他组织的营业执照等证明文件，自然人的身份证明</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2.上一年度的财务状况报告（</w:t>
      </w:r>
      <w:r>
        <w:rPr>
          <w:rFonts w:hint="eastAsia" w:ascii="宋体" w:hAnsi="宋体" w:eastAsia="宋体" w:cs="宋体"/>
          <w:color w:val="000000" w:themeColor="text1"/>
          <w:sz w:val="24"/>
          <w:szCs w:val="24"/>
          <w:lang w:val="en-US" w:eastAsia="zh-CN"/>
          <w14:textFill>
            <w14:solidFill>
              <w14:schemeClr w14:val="tx1"/>
            </w14:solidFill>
          </w14:textFill>
        </w:rPr>
        <w:t xml:space="preserve">至少包含资产负债表、利润表、现金流量表，</w:t>
      </w:r>
      <w:r>
        <w:rPr>
          <w:rFonts w:hint="eastAsia" w:ascii="宋体" w:hAnsi="宋体" w:eastAsia="宋体" w:cs="宋体"/>
          <w:color w:val="000000" w:themeColor="text1"/>
          <w:sz w:val="24"/>
          <w:szCs w:val="24"/>
          <w14:textFill>
            <w14:solidFill>
              <w14:schemeClr w14:val="tx1"/>
            </w14:solidFill>
          </w14:textFill>
        </w:rPr>
        <w:t xml:space="preserve">投标人成立不满一年无需提供）</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3.依法缴纳税收和社会保障资金的相关材料（提供提交响应文件截止时间前一年内至少一个月依法缴纳税收及缴纳社会保障资金的证明材料。供应商依法享受缓缴、免缴税收、社会保障资金的提供证明材料。）</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4.具备履行合同所必需的设备和专业技术能力的书面声明（格式见附件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4</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5.参加政府采购活动前3年内在经营活动中没有重大违法记录的书面声明（格式见附件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5</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6.特定资格要求的证明文件（如果本项目对投标人做出特定资格要求的，必须提供）</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7.在“信用中国”网站（www.creditchina.gov.cn）查询，无被列入失信被执行人、重大税收违法案件当事人名单、政府采购严重失信行为记录名单及其他不符合《中华人民共和国政府采购法》第二十二条规定条件的信用记录</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8.法人授权书（格式见附件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6</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9.磋商响应函（格式见附件7）</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10.中小微企业声明函（如果本项目专门面向中小微型企业采购，则必须提供。格式见附件8）</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11.残疾人福利性单位声明函（如果本项目专门面向中小微型企业采购，供应商为残疾人福利性单位并提供本单位制造的货物，或者提供其他残疾人福利性单位制造的货物，则必须提供。格式见附件9）</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总备注：上述“资格审查内容”中1-5条、8、9条</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必须在</w:t>
      </w:r>
      <w:r>
        <w:rPr>
          <w:rFonts w:hint="eastAsia" w:ascii="宋体" w:hAnsi="宋体" w:eastAsia="宋体" w:cs="宋体"/>
          <w:color w:val="000000" w:themeColor="text1"/>
          <w:sz w:val="24"/>
          <w:szCs w:val="24"/>
          <w:lang w:val="en-US" w:eastAsia="zh-CN"/>
          <w14:textFill>
            <w14:solidFill>
              <w14:schemeClr w14:val="tx1"/>
            </w14:solidFill>
          </w14:textFill>
        </w:rPr>
        <w:t xml:space="preserve">响应</w:t>
      </w:r>
      <w:r>
        <w:rPr>
          <w:rFonts w:hint="eastAsia" w:ascii="宋体" w:hAnsi="宋体" w:eastAsia="宋体" w:cs="宋体"/>
          <w:color w:val="000000" w:themeColor="text1"/>
          <w:sz w:val="24"/>
          <w:szCs w:val="24"/>
          <w14:textFill>
            <w14:solidFill>
              <w14:schemeClr w14:val="tx1"/>
            </w14:solidFill>
          </w14:textFill>
        </w:rPr>
        <w:t xml:space="preserve">文件中提供相关材料，否则作无效投标处理；6</w:t>
      </w:r>
      <w:r>
        <w:rPr>
          <w:rFonts w:hint="eastAsia" w:ascii="宋体" w:hAnsi="宋体" w:eastAsia="宋体" w:cs="宋体"/>
          <w:color w:val="000000" w:themeColor="text1"/>
          <w:sz w:val="24"/>
          <w:szCs w:val="24"/>
          <w:lang w:eastAsia="zh-CN"/>
          <w14:textFill>
            <w14:solidFill>
              <w14:schemeClr w14:val="tx1"/>
            </w14:solidFill>
          </w14:textFill>
        </w:rPr>
        <w:t xml:space="preserve">、</w:t>
      </w:r>
      <w:r>
        <w:rPr>
          <w:rFonts w:hint="eastAsia" w:ascii="宋体" w:hAnsi="宋体" w:eastAsia="宋体" w:cs="宋体"/>
          <w:color w:val="000000" w:themeColor="text1"/>
          <w:sz w:val="24"/>
          <w:szCs w:val="24"/>
          <w:lang w:val="en-US" w:eastAsia="zh-CN"/>
          <w14:textFill>
            <w14:solidFill>
              <w14:schemeClr w14:val="tx1"/>
            </w14:solidFill>
          </w14:textFill>
        </w:rPr>
        <w:t xml:space="preserve">10、11</w:t>
      </w:r>
      <w:r>
        <w:rPr>
          <w:rFonts w:hint="eastAsia" w:ascii="宋体" w:hAnsi="宋体" w:eastAsia="宋体" w:cs="宋体"/>
          <w:color w:val="000000" w:themeColor="text1"/>
          <w:sz w:val="24"/>
          <w:szCs w:val="24"/>
          <w14:textFill>
            <w14:solidFill>
              <w14:schemeClr w14:val="tx1"/>
            </w14:solidFill>
          </w14:textFill>
        </w:rPr>
        <w:t xml:space="preserve">条如</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文件要求必须提供相关材料而未提供的，作无效投标处理。</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三、符合性审查内容</w:t>
      </w:r>
      <w:r/>
    </w:p>
    <w:p>
      <w:pPr>
        <w:ind w:left="0" w:firstLine="480"/>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投标人必须对招标文件（含技术要求和商务要求）中的要求逐条做出响应，并按照招标文件要求提供证明材料，否则做无效投标处理。</w:t>
      </w:r>
      <w:r/>
    </w:p>
    <w:p>
      <w:pPr>
        <w:ind w:left="0" w:firstLine="561"/>
        <w:keepLines w:val="0"/>
        <w:keepNext w:val="0"/>
        <w:pageBreakBefore w:val="0"/>
        <w:spacing w:after="100" w:line="400" w:lineRule="exact"/>
        <w:widowControl w:val="off"/>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四、价格扣除证明文件</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1.中小微企业声明函（格式见附件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8</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2.残疾人福利性单位声明函（格式见附件</w:t>
      </w:r>
      <w:r>
        <w:rPr>
          <w:rFonts w:hint="eastAsia" w:ascii="宋体" w:hAnsi="宋体" w:eastAsia="宋体" w:cs="宋体"/>
          <w:color w:val="000000" w:themeColor="text1"/>
          <w:sz w:val="24"/>
          <w:szCs w:val="24"/>
          <w:lang w:val="en-US" w:eastAsia="zh-CN"/>
          <w14:textFill>
            <w14:solidFill>
              <w14:schemeClr w14:val="tx1"/>
            </w14:solidFill>
          </w14:textFill>
        </w:rPr>
        <w:t xml:space="preserve">9</w:t>
      </w:r>
      <w:r>
        <w:rPr>
          <w:rFonts w:hint="eastAsia" w:ascii="宋体" w:hAnsi="宋体" w:eastAsia="宋体" w:cs="宋体"/>
          <w:color w:val="000000" w:themeColor="text1"/>
          <w:sz w:val="24"/>
          <w:szCs w:val="24"/>
          <w14:textFill>
            <w14:solidFill>
              <w14:schemeClr w14:val="tx1"/>
            </w14:solidFill>
          </w14:textFill>
        </w:rPr>
        <w:t xml:space="preserve">）</w:t>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995"/>
        <w:ind w:left="0" w:firstLine="0"/>
        <w:jc w:val="left"/>
        <w:keepLines w:val="0"/>
        <w:keepNext w:val="0"/>
        <w:pageBreakBefore w:val="0"/>
        <w:spacing w:before="0" w:after="0" w:line="360" w:lineRule="auto"/>
        <w:widowControl w:val="off"/>
        <w:rPr>
          <w:rFonts w:hint="eastAsia" w:ascii="仿宋" w:hAnsi="仿宋" w:eastAsia="仿宋" w:cs="仿宋"/>
          <w:color w:val="auto"/>
          <w:sz w:val="28"/>
          <w:highlight w:val="none"/>
        </w:rPr>
        <w:outlineLvl w:val="9"/>
      </w:pPr>
      <w:r/>
      <w:bookmarkStart w:id="328" w:name="_Toc15944"/>
      <w:r/>
      <w:bookmarkStart w:id="329" w:name="_Toc31409"/>
      <w:r/>
      <w:bookmarkStart w:id="330" w:name="_Toc30076"/>
      <w:r>
        <w:rPr>
          <w:rFonts w:hint="eastAsia" w:ascii="仿宋" w:hAnsi="仿宋" w:eastAsia="仿宋" w:cs="仿宋"/>
          <w:color w:val="auto"/>
          <w:sz w:val="28"/>
          <w:highlight w:val="none"/>
          <w:lang w:val="en-US" w:eastAsia="zh-CN"/>
        </w:rPr>
        <w:t xml:space="preserve">注：</w:t>
      </w:r>
      <w:r>
        <w:rPr>
          <w:rFonts w:hint="eastAsia" w:ascii="仿宋" w:hAnsi="仿宋" w:eastAsia="仿宋" w:cs="仿宋"/>
          <w:color w:val="auto"/>
          <w:sz w:val="28"/>
          <w:highlight w:val="none"/>
        </w:rPr>
        <w:t xml:space="preserve">本章仅提供响应文件中的部分文件格式，不应被理解为包含了响应文件所需的全部资料</w:t>
      </w:r>
      <w:bookmarkEnd w:id="328"/>
      <w:r/>
      <w:bookmarkEnd w:id="329"/>
      <w:r/>
      <w:bookmarkEnd w:id="330"/>
      <w:r/>
      <w:r/>
    </w:p>
    <w:p>
      <w:pPr>
        <w:ind w:left="0" w:firstLine="559"/>
        <w:keepLines w:val="0"/>
        <w:keepNext w:val="0"/>
        <w:pageBreakBefore w:val="0"/>
        <w:spacing w:after="100"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jc w:val="both"/>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bookmarkStart w:id="331" w:name="_Toc16295"/>
      <w:r/>
      <w:bookmarkStart w:id="332" w:name="_Toc11380"/>
      <w:r/>
      <w:bookmarkStart w:id="333" w:name="_Toc31676"/>
      <w:r/>
      <w:bookmarkStart w:id="334" w:name="_Toc22528"/>
      <w:r/>
      <w:r/>
    </w:p>
    <w:p>
      <w:pPr>
        <w:ind w:left="0" w:firstLine="0"/>
        <w:jc w:val="both"/>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left="0" w:firstLine="0"/>
        <w:jc w:val="center"/>
        <w:keepLines w:val="0"/>
        <w:keepNext/>
        <w:pageBreakBefore/>
        <w:spacing w:line="1000" w:lineRule="exact"/>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竞争性磋商首次报价书</w:t>
      </w:r>
      <w:r/>
    </w:p>
    <w:p>
      <w:pPr>
        <w:spacing w:line="400" w:lineRule="exact"/>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zh-CN"/>
          <w14:textFill>
            <w14:solidFill>
              <w14:schemeClr w14:val="tx1"/>
            </w14:solidFill>
          </w14:textFill>
        </w:rPr>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投标人全称（加盖CA电子签章）：</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default" w:ascii="宋体" w:hAnsi="宋体" w:eastAsia="宋体" w:cs="宋体"/>
          <w:color w:val="000000" w:themeColor="text1"/>
          <w:sz w:val="24"/>
          <w:szCs w:val="24"/>
          <w:u w:val="single"/>
          <w:lang w:val="en-US" w:eastAsia="zh-CN"/>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项目编号：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firstLine="482"/>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采购包号：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p>
    <w:tbl>
      <w:tblPr>
        <w:tblStyle w:val="789"/>
        <w:tblW w:w="7647"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7"/>
      </w:tblGrid>
      <w:tr>
        <w:trPr>
          <w:cantSplit/>
          <w:jc w:val="center"/>
          <w:trHeight w:val="725"/>
        </w:trPr>
        <w:tc>
          <w:tcPr>
            <w:tcW w:w="7647" w:type="dxa"/>
            <w:vAlign w:val="center"/>
            <w:textDirection w:val="lrTb"/>
            <w:noWrap w:val="false"/>
          </w:tcPr>
          <w:p>
            <w:pPr>
              <w:ind w:left="0" w:firstLine="0"/>
              <w:jc w:val="center"/>
              <w:keepLines w:val="0"/>
              <w:keepNext w:val="0"/>
              <w:pageBreakBefore w:val="0"/>
              <w:spacing w:after="0"/>
              <w:widowControl/>
              <w:rPr>
                <w:rFonts w:hint="eastAsia" w:ascii="宋体" w:hAnsi="宋体" w:eastAsia="宋体" w:cs="宋体"/>
                <w:color w:val="ff0000"/>
                <w:sz w:val="24"/>
                <w:szCs w:val="24"/>
                <w:lang w:val="en-US" w:eastAsia="zh-CN"/>
              </w:rPr>
            </w:pPr>
            <w:r>
              <w:rPr>
                <w:rFonts w:hint="eastAsia" w:ascii="宋体" w:hAnsi="宋体" w:eastAsia="宋体" w:cs="宋体"/>
                <w:b w:val="0"/>
                <w:bCs w:val="0"/>
                <w:color w:val="ff0000"/>
                <w:sz w:val="24"/>
                <w:szCs w:val="24"/>
                <w:lang w:val="en-US" w:eastAsia="zh-CN"/>
              </w:rPr>
              <w:t xml:space="preserve">投标</w:t>
            </w:r>
            <w:r>
              <w:rPr>
                <w:rFonts w:hint="eastAsia" w:ascii="宋体" w:hAnsi="宋体" w:eastAsia="宋体" w:cs="宋体"/>
                <w:b w:val="0"/>
                <w:bCs w:val="0"/>
                <w:color w:val="ff0000"/>
                <w:sz w:val="24"/>
                <w:szCs w:val="24"/>
              </w:rPr>
              <w:t xml:space="preserve">报价</w:t>
            </w:r>
            <w:r/>
          </w:p>
        </w:tc>
      </w:tr>
      <w:tr>
        <w:trPr>
          <w:cantSplit/>
          <w:jc w:val="center"/>
          <w:trHeight w:val="612"/>
        </w:trPr>
        <w:tc>
          <w:tcPr>
            <w:tcW w:w="7647" w:type="dxa"/>
            <w:vAlign w:val="center"/>
            <w:textDirection w:val="lrTb"/>
            <w:noWrap w:val="false"/>
          </w:tcPr>
          <w:p>
            <w:pPr>
              <w:ind w:left="0" w:firstLine="0"/>
              <w:jc w:val="both"/>
              <w:keepLines w:val="0"/>
              <w:keepNext w:val="0"/>
              <w:pageBreakBefore w:val="0"/>
              <w:spacing w:after="0" w:line="500" w:lineRule="exact"/>
              <w:widowControl/>
              <w:rPr>
                <w:rFonts w:hint="eastAsia" w:ascii="宋体" w:hAnsi="宋体" w:eastAsia="宋体" w:cs="宋体"/>
                <w:color w:val="ff0000"/>
                <w:sz w:val="24"/>
                <w:szCs w:val="21"/>
                <w:lang w:val="en-US" w:eastAsia="zh-CN"/>
              </w:rPr>
            </w:pPr>
            <w:r>
              <w:rPr>
                <w:rFonts w:hint="eastAsia" w:ascii="宋体" w:hAnsi="宋体" w:eastAsia="宋体" w:cs="宋体"/>
                <w:color w:val="000000" w:themeColor="text1"/>
                <w:sz w:val="24"/>
                <w:szCs w:val="24"/>
                <w14:textFill>
                  <w14:solidFill>
                    <w14:schemeClr w14:val="tx1"/>
                  </w14:solidFill>
                </w14:textFill>
              </w:rPr>
              <w:t xml:space="preserve">小写：                             （人民币：元）</w:t>
            </w:r>
            <w:r/>
          </w:p>
        </w:tc>
      </w:tr>
    </w:tbl>
    <w:p>
      <w:pPr>
        <w:pStyle w:val="836"/>
        <w:ind w:left="0" w:firstLine="0"/>
        <w:jc w:val="left"/>
        <w:keepLines w:val="0"/>
        <w:keepNext/>
        <w:pageBreakBefore/>
        <w:spacing w:line="400" w:lineRule="exact"/>
        <w:widowControl/>
        <w:rPr>
          <w:rFonts w:hint="eastAsia" w:ascii="宋体" w:hAnsi="宋体" w:eastAsia="宋体" w:cs="宋体"/>
          <w:b/>
          <w:color w:val="000000" w:themeColor="text1"/>
          <w:sz w:val="32"/>
          <w:szCs w:val="32"/>
          <w:lang w:val="en-US" w:eastAsia="zh-CN" w:bidi="ar-SA"/>
          <w14:textFill>
            <w14:solidFill>
              <w14:schemeClr w14:val="tx1"/>
            </w14:solidFill>
          </w14:textFill>
        </w:rPr>
        <w:outlineLvl w:val="0"/>
      </w:pPr>
      <w:r/>
      <w:bookmarkStart w:id="335" w:name="_Toc24618"/>
      <w:r>
        <w:rPr>
          <w:rFonts w:hint="eastAsia" w:ascii="宋体" w:hAnsi="宋体" w:eastAsia="宋体" w:cs="宋体"/>
          <w:b/>
          <w:color w:val="000000" w:themeColor="text1"/>
          <w:sz w:val="32"/>
          <w:szCs w:val="32"/>
          <w:lang w:val="en-US" w:eastAsia="zh-CN" w:bidi="ar-SA"/>
          <w14:textFill>
            <w14:solidFill>
              <w14:schemeClr w14:val="tx1"/>
            </w14:solidFill>
          </w14:textFill>
        </w:rPr>
        <w:t xml:space="preserve">附件1</w:t>
      </w:r>
      <w:bookmarkEnd w:id="331"/>
      <w:r/>
      <w:bookmarkEnd w:id="332"/>
      <w:r/>
      <w:bookmarkEnd w:id="333"/>
      <w:r/>
      <w:bookmarkEnd w:id="334"/>
      <w:r/>
      <w:bookmarkEnd w:id="335"/>
      <w:r/>
      <w:r/>
    </w:p>
    <w:p>
      <w:pPr>
        <w:pStyle w:val="836"/>
        <w:ind w:left="0" w:firstLine="0"/>
        <w:jc w:val="center"/>
        <w:keepLines w:val="0"/>
        <w:keepNext/>
        <w:pageBreakBefore w:val="0"/>
        <w:spacing w:line="400" w:lineRule="exact"/>
        <w:widowControl/>
        <w:rPr>
          <w:rFonts w:hint="default" w:ascii="仿宋" w:hAnsi="仿宋" w:eastAsia="仿宋" w:cs="仿宋"/>
          <w:b/>
          <w:bCs/>
          <w:sz w:val="30"/>
          <w:szCs w:val="30"/>
          <w:lang w:val="en-US"/>
        </w:rPr>
        <w:outlineLvl w:val="0"/>
      </w:pPr>
      <w:r/>
      <w:bookmarkStart w:id="336" w:name="_Toc31436"/>
      <w:r>
        <w:rPr>
          <w:rFonts w:hint="eastAsia" w:ascii="仿宋" w:hAnsi="仿宋" w:eastAsia="仿宋" w:cs="仿宋"/>
          <w:b/>
          <w:bCs/>
          <w:sz w:val="30"/>
          <w:szCs w:val="30"/>
          <w:lang w:val="en-US" w:eastAsia="zh-CN"/>
        </w:rPr>
        <w:t xml:space="preserve">分项报价表</w:t>
      </w:r>
      <w:bookmarkEnd w:id="336"/>
      <w:r/>
      <w:r/>
    </w:p>
    <w:p>
      <w:pPr>
        <w:pStyle w:val="836"/>
        <w:ind w:left="0" w:firstLine="0"/>
        <w:jc w:val="center"/>
        <w:rPr>
          <w:rFonts w:hint="eastAsia" w:ascii="宋体" w:hAnsi="宋体" w:eastAsia="宋体" w:cs="宋体"/>
          <w:b/>
          <w:bCs/>
          <w:sz w:val="28"/>
          <w:szCs w:val="28"/>
          <w:u w:val="single"/>
          <w:lang w:val="en-US" w:eastAsia="zh-CN"/>
        </w:rPr>
      </w:pPr>
      <w:r>
        <w:rPr>
          <w:rFonts w:hint="eastAsia" w:ascii="宋体" w:hAnsi="宋体" w:eastAsia="宋体" w:cs="宋体"/>
          <w:b/>
          <w:bCs/>
          <w:sz w:val="28"/>
          <w:szCs w:val="28"/>
          <w:u w:val="single"/>
          <w:lang w:val="en-US" w:eastAsia="zh-CN"/>
        </w:rPr>
        <w:t xml:space="preserve">       次</w:t>
      </w:r>
      <w:r/>
    </w:p>
    <w:p>
      <w:pPr>
        <w:pStyle w:val="836"/>
        <w:ind w:left="0" w:firstLine="0"/>
        <w:rPr>
          <w:rFonts w:hint="eastAsia" w:ascii="仿宋" w:hAnsi="仿宋" w:eastAsia="仿宋" w:cs="仿宋"/>
          <w:sz w:val="24"/>
          <w:szCs w:val="24"/>
          <w:u w:val="single"/>
          <w:lang w:val="en-US" w:eastAsia="zh-CN"/>
        </w:rPr>
      </w:pPr>
      <w:r>
        <w:rPr>
          <w:rFonts w:hint="eastAsia" w:ascii="仿宋" w:hAnsi="仿宋" w:eastAsia="仿宋" w:cs="仿宋"/>
          <w:sz w:val="24"/>
          <w:szCs w:val="24"/>
        </w:rPr>
        <w:t xml:space="preserve">项目编号：</w:t>
      </w:r>
      <w:r>
        <w:rPr>
          <w:rFonts w:hint="eastAsia" w:ascii="仿宋" w:hAnsi="仿宋" w:eastAsia="仿宋" w:cs="仿宋"/>
          <w:bCs/>
          <w:sz w:val="24"/>
          <w:szCs w:val="24"/>
          <w:u w:val="single"/>
          <w:lang w:val="en-US" w:eastAsia="zh-CN"/>
        </w:rPr>
        <w:t xml:space="preserve">               </w:t>
      </w:r>
      <w:r/>
    </w:p>
    <w:p>
      <w:pPr>
        <w:pStyle w:val="837"/>
        <w:numPr>
          <w:ilvl w:val="0"/>
          <w:numId w:val="0"/>
        </w:numPr>
        <w:rPr>
          <w:rFonts w:hint="eastAsia"/>
          <w:lang w:val="en-US" w:eastAsia="zh-CN"/>
        </w:rPr>
      </w:pPr>
      <w:r>
        <w:rPr>
          <w:rFonts w:hint="eastAsia"/>
          <w:lang w:val="en-US" w:eastAsia="zh-CN"/>
        </w:rPr>
      </w:r>
      <w:r/>
    </w:p>
    <w:tbl>
      <w:tblPr>
        <w:tblStyle w:val="789"/>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16"/>
        <w:gridCol w:w="3920"/>
        <w:gridCol w:w="629"/>
        <w:gridCol w:w="616"/>
        <w:gridCol w:w="1257"/>
        <w:gridCol w:w="1258"/>
      </w:tblGrid>
      <w:tr>
        <w:trPr>
          <w:jc w:val="center"/>
          <w:trHeight w:val="478"/>
          <w:tblHeader/>
        </w:trPr>
        <w:tc>
          <w:tcPr>
            <w:tcBorders>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序号</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服务内容</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ascii="宋体" w:hAnsi="宋体"/>
                <w:b/>
                <w:sz w:val="24"/>
              </w:rPr>
              <w:t xml:space="preserve">单位</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数量</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单价（元）</w:t>
            </w:r>
            <w:r/>
          </w:p>
        </w:tc>
        <w:tc>
          <w:tcPr>
            <w:tcBorders>
              <w:lef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ascii="宋体" w:hAnsi="宋体"/>
                <w:b/>
                <w:sz w:val="24"/>
              </w:rPr>
            </w:pPr>
            <w:r>
              <w:rPr>
                <w:rFonts w:hint="eastAsia" w:ascii="宋体" w:hAnsi="宋体"/>
                <w:b/>
                <w:sz w:val="24"/>
              </w:rPr>
              <w:t xml:space="preserve">总价（元）</w:t>
            </w:r>
            <w:r/>
          </w:p>
        </w:tc>
      </w:tr>
      <w:tr>
        <w:trPr>
          <w:jc w:val="center"/>
          <w:trHeight w:val="745"/>
        </w:trPr>
        <w:tc>
          <w:tcPr>
            <w:tcBorders>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8"/>
                <w:szCs w:val="28"/>
              </w:rPr>
            </w:pPr>
            <w:r>
              <w:rPr>
                <w:rFonts w:hint="eastAsia" w:ascii="宋体" w:hAnsi="宋体" w:eastAsia="宋体" w:cs="宋体"/>
                <w:sz w:val="28"/>
                <w:szCs w:val="28"/>
              </w:rPr>
              <w:t xml:space="preserve">1</w:t>
            </w:r>
            <w:r/>
          </w:p>
        </w:tc>
        <w:tc>
          <w:tcPr>
            <w:tcBorders>
              <w:left w:val="single" w:color="000000" w:sz="4" w:space="0"/>
              <w:right w:val="single" w:color="000000" w:sz="4" w:space="0"/>
            </w:tcBorders>
            <w:tcW w:w="0" w:type="auto"/>
            <w:vAlign w:val="center"/>
            <w:textDirection w:val="lrTb"/>
            <w:noWrap w:val="false"/>
          </w:tcPr>
          <w:p>
            <w:pPr>
              <w:pStyle w:val="1014"/>
              <w:ind w:left="0" w:right="0" w:firstLine="0"/>
              <w:jc w:val="center"/>
              <w:keepLines w:val="0"/>
              <w:keepNext w:val="0"/>
              <w:pageBreakBefore w:val="0"/>
              <w:spacing w:line="240" w:lineRule="auto"/>
              <w:widowControl/>
              <w:rPr>
                <w:rFonts w:hint="default" w:ascii="宋体" w:hAnsi="宋体" w:eastAsia="宋体" w:cs="宋体"/>
                <w:sz w:val="28"/>
                <w:szCs w:val="28"/>
                <w:lang w:val="en-US"/>
              </w:rPr>
            </w:pPr>
            <w:r>
              <w:rPr>
                <w:rFonts w:hint="eastAsia" w:ascii="宋体" w:hAnsi="宋体" w:eastAsia="宋体" w:cs="宋体"/>
                <w:color w:val="000000" w:themeColor="text1"/>
                <w:sz w:val="28"/>
                <w:szCs w:val="28"/>
                <w:lang w:eastAsia="zh-CN"/>
                <w14:textFill>
                  <w14:solidFill>
                    <w14:schemeClr w14:val="tx1"/>
                  </w14:solidFill>
                </w14:textFill>
              </w:rPr>
              <w:t xml:space="preserve">兴化市“一老一小”监管平台维保服务</w:t>
            </w:r>
            <w:r>
              <w:rPr>
                <w:rFonts w:hint="eastAsia" w:ascii="宋体" w:hAnsi="宋体" w:eastAsia="宋体" w:cs="宋体"/>
                <w:color w:val="000000" w:themeColor="text1"/>
                <w:sz w:val="28"/>
                <w:szCs w:val="28"/>
                <w:lang w:val="en-US" w:eastAsia="zh-CN"/>
                <w14:textFill>
                  <w14:solidFill>
                    <w14:schemeClr w14:val="tx1"/>
                  </w14:solidFill>
                </w14:textFill>
              </w:rPr>
              <w:t xml:space="preserve">项目</w:t>
            </w:r>
            <w:r/>
          </w:p>
        </w:tc>
        <w:tc>
          <w:tcPr>
            <w:tcBorders>
              <w:left w:val="single" w:color="000000" w:sz="4" w:space="0"/>
              <w:right w:val="single" w:color="000000" w:sz="4" w:space="0"/>
            </w:tcBorders>
            <w:tcW w:w="0" w:type="auto"/>
            <w:vAlign w:val="center"/>
            <w:textDirection w:val="lrTb"/>
            <w:noWrap w:val="false"/>
          </w:tcPr>
          <w:p>
            <w:pPr>
              <w:pStyle w:val="1014"/>
              <w:ind w:left="0" w:right="0" w:firstLine="0"/>
              <w:jc w:val="center"/>
              <w:keepLines w:val="0"/>
              <w:keepNext w:val="0"/>
              <w:pageBreakBefore w:val="0"/>
              <w:spacing w:line="24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年</w:t>
            </w:r>
            <w:r/>
          </w:p>
        </w:tc>
        <w:tc>
          <w:tcPr>
            <w:tcBorders>
              <w:left w:val="single" w:color="000000" w:sz="4" w:space="0"/>
              <w:right w:val="single" w:color="000000" w:sz="4" w:space="0"/>
            </w:tcBorders>
            <w:tcW w:w="0" w:type="auto"/>
            <w:vAlign w:val="center"/>
            <w:textDirection w:val="lrTb"/>
            <w:noWrap w:val="false"/>
          </w:tcPr>
          <w:p>
            <w:pPr>
              <w:pStyle w:val="1014"/>
              <w:ind w:left="0" w:right="0" w:firstLine="0"/>
              <w:jc w:val="center"/>
              <w:keepLines w:val="0"/>
              <w:keepNext w:val="0"/>
              <w:pageBreakBefore w:val="0"/>
              <w:spacing w:line="240" w:lineRule="auto"/>
              <w:widowControl/>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2</w:t>
            </w:r>
            <w:r/>
          </w:p>
        </w:tc>
        <w:tc>
          <w:tcPr>
            <w:tcBorders>
              <w:left w:val="single" w:color="000000" w:sz="4" w:space="0"/>
              <w:righ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8"/>
                <w:szCs w:val="28"/>
              </w:rPr>
            </w:pPr>
            <w:r>
              <w:rPr>
                <w:rFonts w:hint="eastAsia" w:ascii="宋体" w:hAnsi="宋体" w:eastAsia="宋体" w:cs="宋体"/>
                <w:sz w:val="28"/>
                <w:szCs w:val="28"/>
              </w:rPr>
            </w:r>
            <w:r/>
          </w:p>
        </w:tc>
        <w:tc>
          <w:tcPr>
            <w:tcBorders>
              <w:left w:val="single" w:color="000000" w:sz="4" w:space="0"/>
            </w:tcBorders>
            <w:tcW w:w="0" w:type="auto"/>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sz w:val="28"/>
                <w:szCs w:val="28"/>
              </w:rPr>
            </w:pPr>
            <w:r>
              <w:rPr>
                <w:rFonts w:hint="eastAsia" w:ascii="宋体" w:hAnsi="宋体" w:eastAsia="宋体" w:cs="宋体"/>
                <w:sz w:val="28"/>
                <w:szCs w:val="28"/>
              </w:rPr>
            </w:r>
            <w:r/>
          </w:p>
        </w:tc>
      </w:tr>
    </w:tbl>
    <w:p>
      <w:pPr>
        <w:pStyle w:val="836"/>
        <w:ind w:left="0" w:firstLine="0"/>
        <w:spacing w:line="360" w:lineRule="auto"/>
        <w:rPr>
          <w:rFonts w:hint="eastAsia" w:ascii="仿宋" w:hAnsi="仿宋" w:eastAsia="仿宋" w:cs="仿宋"/>
          <w:lang w:val="en-US" w:eastAsia="zh-CN"/>
        </w:rPr>
      </w:pPr>
      <w:r>
        <w:rPr>
          <w:rFonts w:hint="eastAsia" w:ascii="仿宋" w:hAnsi="仿宋" w:eastAsia="仿宋" w:cs="仿宋"/>
          <w:lang w:val="en-US" w:eastAsia="zh-CN"/>
        </w:rPr>
      </w:r>
      <w:r/>
    </w:p>
    <w:p>
      <w:pPr>
        <w:pStyle w:val="836"/>
        <w:ind w:left="0" w:firstLine="0"/>
        <w:jc w:val="both"/>
        <w:rPr>
          <w:rFonts w:hint="eastAsia" w:ascii="仿宋" w:hAnsi="仿宋" w:eastAsia="仿宋" w:cs="仿宋"/>
          <w:b/>
          <w:bCs/>
          <w:sz w:val="24"/>
          <w:szCs w:val="24"/>
        </w:rPr>
      </w:pPr>
      <w:r>
        <w:rPr>
          <w:rFonts w:hint="eastAsia" w:ascii="仿宋" w:hAnsi="仿宋" w:eastAsia="仿宋" w:cs="仿宋"/>
          <w:b/>
          <w:bCs/>
          <w:sz w:val="24"/>
          <w:szCs w:val="24"/>
        </w:rPr>
      </w:r>
      <w:r/>
    </w:p>
    <w:p>
      <w:pPr>
        <w:pStyle w:val="998"/>
        <w:ind w:left="0" w:firstLine="0"/>
        <w:rPr>
          <w:rFonts w:hint="eastAsia" w:ascii="仿宋" w:hAnsi="仿宋" w:eastAsia="仿宋" w:cs="仿宋"/>
          <w:b/>
          <w:bCs/>
          <w:sz w:val="24"/>
          <w:szCs w:val="24"/>
        </w:rPr>
      </w:pPr>
      <w:r/>
      <w:bookmarkStart w:id="360" w:name="_GoBack"/>
      <w:r/>
      <w:bookmarkEnd w:id="360"/>
      <w:r/>
      <w:r/>
    </w:p>
    <w:p>
      <w:pPr>
        <w:pStyle w:val="998"/>
        <w:ind w:left="0" w:firstLine="0"/>
        <w:rPr>
          <w:rFonts w:hint="eastAsia" w:ascii="仿宋" w:hAnsi="仿宋" w:eastAsia="仿宋" w:cs="仿宋"/>
          <w:b/>
          <w:bCs/>
          <w:sz w:val="24"/>
          <w:szCs w:val="24"/>
        </w:rPr>
      </w:pPr>
      <w:r>
        <w:rPr>
          <w:rFonts w:hint="eastAsia" w:ascii="仿宋" w:hAnsi="仿宋" w:eastAsia="仿宋" w:cs="仿宋"/>
          <w:b/>
          <w:bCs/>
          <w:sz w:val="24"/>
          <w:szCs w:val="24"/>
        </w:rPr>
      </w:r>
      <w:r/>
    </w:p>
    <w:p>
      <w:pPr>
        <w:pStyle w:val="828"/>
        <w:ind w:left="0" w:firstLine="0"/>
        <w:jc w:val="left"/>
        <w:spacing w:line="400" w:lineRule="exact"/>
        <w:widowControl w:val="off"/>
        <w:rPr>
          <w:rStyle w:val="996"/>
          <w:rFonts w:hint="eastAsia" w:ascii="仿宋" w:hAnsi="仿宋" w:eastAsia="仿宋" w:cs="仿宋"/>
          <w:color w:val="auto"/>
          <w:sz w:val="24"/>
          <w:highlight w:val="none"/>
        </w:rPr>
      </w:pPr>
      <w:r/>
      <w:bookmarkStart w:id="337" w:name="_Toc15808"/>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rPr>
          <w:rStyle w:val="996"/>
          <w:rFonts w:hint="eastAsia" w:ascii="仿宋" w:hAnsi="仿宋" w:eastAsia="仿宋" w:cs="仿宋"/>
          <w:color w:val="auto"/>
          <w:sz w:val="24"/>
          <w:highlight w:val="none"/>
        </w:rPr>
        <w:t xml:space="preserve"> </w:t>
      </w:r>
      <w:r/>
    </w:p>
    <w:p>
      <w:pPr>
        <w:pStyle w:val="828"/>
        <w:ind w:left="0" w:firstLine="0"/>
        <w:jc w:val="left"/>
        <w:spacing w:line="400" w:lineRule="exact"/>
        <w:widowControl w:val="off"/>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日期：</w:t>
      </w:r>
      <w:r/>
    </w:p>
    <w:p>
      <w:pPr>
        <w:pStyle w:val="1007"/>
        <w:ind w:left="0" w:firstLine="0"/>
        <w:spacing w:after="0" w:line="360" w:lineRule="auto"/>
        <w:widowControl w:val="off"/>
        <w:rPr>
          <w:rFonts w:hint="eastAsia" w:ascii="仿宋" w:hAnsi="仿宋" w:eastAsia="仿宋" w:cs="仿宋"/>
          <w:color w:val="auto"/>
          <w:sz w:val="24"/>
          <w:szCs w:val="24"/>
          <w:highlight w:val="none"/>
        </w:rPr>
      </w:pPr>
      <w:r>
        <w:rPr>
          <w:rFonts w:hint="eastAsia" w:ascii="仿宋" w:hAnsi="仿宋" w:eastAsia="仿宋" w:cs="仿宋"/>
          <w:color w:val="auto"/>
          <w:sz w:val="24"/>
          <w:szCs w:val="24"/>
          <w:highlight w:val="none"/>
        </w:rPr>
      </w:r>
      <w:r/>
    </w:p>
    <w:p>
      <w:pPr>
        <w:pStyle w:val="828"/>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pStyle w:val="832"/>
        <w:rPr>
          <w:rFonts w:hint="eastAsia" w:ascii="仿宋" w:hAnsi="仿宋" w:eastAsia="仿宋" w:cs="仿宋"/>
          <w:b/>
          <w:i/>
          <w:color w:val="auto"/>
          <w:sz w:val="24"/>
          <w:szCs w:val="24"/>
          <w:highlight w:val="none"/>
          <w:u w:val="single"/>
        </w:rPr>
      </w:pPr>
      <w:r>
        <w:rPr>
          <w:rFonts w:hint="eastAsia" w:ascii="仿宋" w:hAnsi="仿宋" w:eastAsia="仿宋" w:cs="仿宋"/>
          <w:b/>
          <w:i/>
          <w:color w:val="auto"/>
          <w:sz w:val="24"/>
          <w:szCs w:val="24"/>
          <w:highlight w:val="none"/>
          <w:u w:val="single"/>
        </w:rPr>
      </w:r>
      <w:r/>
    </w:p>
    <w:p>
      <w:pPr>
        <w:ind w:left="0" w:firstLine="0"/>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2</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技术要求响应及偏离表</w:t>
      </w:r>
      <w:r/>
    </w:p>
    <w:tbl>
      <w:tblPr>
        <w:tblStyle w:val="789"/>
        <w:tblW w:w="851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769"/>
        <w:gridCol w:w="2490"/>
        <w:gridCol w:w="3213"/>
      </w:tblGrid>
      <w:tr>
        <w:trPr>
          <w:jc w:val="center"/>
          <w:trHeight w:val="438"/>
          <w:tblHeader/>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技术要求</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投标响应情况</w:t>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超出、符合或偏离</w:t>
            </w:r>
            <w:r/>
          </w:p>
        </w:tc>
      </w:tr>
      <w:tr>
        <w:trPr>
          <w:jc w:val="center"/>
          <w:trHeight w:val="363"/>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3213"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left="0" w:firstLine="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附件3-1  证明材料1，证明材料2，……</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需对</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文件技术要求逐条做出明确响应。</w:t>
      </w:r>
      <w:r/>
    </w:p>
    <w:p>
      <w:pPr>
        <w:ind w:left="0" w:firstLine="480"/>
        <w:keepLines w:val="0"/>
        <w:keepNext w:val="0"/>
        <w:pageBreakBefore w:val="0"/>
        <w:spacing w:line="400" w:lineRule="exact"/>
        <w:widowControl w:val="off"/>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文件要求提供证明材料，</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需将证明材料列于该表之下。</w:t>
      </w:r>
      <w:r/>
    </w:p>
    <w:p>
      <w:pPr>
        <w:pStyle w:val="81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18"/>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18"/>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jc w:val="both"/>
        <w:keepLines w:val="0"/>
        <w:keepNext/>
        <w:pageBreakBefore/>
        <w:spacing w:after="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3</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商务要求响应及偏离表</w:t>
      </w:r>
      <w:r/>
    </w:p>
    <w:tbl>
      <w:tblPr>
        <w:tblStyle w:val="789"/>
        <w:tblW w:w="8222"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047"/>
        <w:gridCol w:w="1769"/>
        <w:gridCol w:w="2490"/>
        <w:gridCol w:w="2916"/>
      </w:tblGrid>
      <w:tr>
        <w:trPr>
          <w:jc w:val="center"/>
          <w:trHeight w:val="0"/>
          <w:tblHeader/>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序号</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商务要求</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投标响应情况</w:t>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b/>
                <w:color w:val="000000" w:themeColor="text1"/>
                <w:sz w:val="24"/>
                <w:szCs w:val="24"/>
                <w14:textFill>
                  <w14:solidFill>
                    <w14:schemeClr w14:val="tx1"/>
                  </w14:solidFill>
                </w14:textFill>
              </w:rPr>
            </w:pPr>
            <w:r>
              <w:rPr>
                <w:rFonts w:hint="eastAsia" w:ascii="宋体" w:hAnsi="宋体" w:eastAsia="宋体" w:cs="宋体"/>
                <w:b/>
                <w:color w:val="000000" w:themeColor="text1"/>
                <w:sz w:val="24"/>
                <w:szCs w:val="24"/>
                <w14:textFill>
                  <w14:solidFill>
                    <w14:schemeClr w14:val="tx1"/>
                  </w14:solidFill>
                </w14:textFill>
              </w:rPr>
              <w:t xml:space="preserve">超出、符合或偏离</w:t>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lang w:val="en-US" w:eastAsia="zh-CN"/>
                <w14:textFill>
                  <w14:solidFill>
                    <w14:schemeClr w14:val="tx1"/>
                  </w14:solidFill>
                </w14:textFill>
              </w:rPr>
            </w:pPr>
            <w:r>
              <w:rPr>
                <w:rFonts w:hint="eastAsia" w:ascii="宋体" w:hAnsi="宋体" w:eastAsia="宋体" w:cs="宋体"/>
                <w:color w:val="000000" w:themeColor="text1"/>
                <w:sz w:val="24"/>
                <w:szCs w:val="24"/>
                <w:lang w:val="en-US" w:eastAsia="zh-CN"/>
                <w14:textFill>
                  <w14:solidFill>
                    <w14:schemeClr w14:val="tx1"/>
                  </w14:solidFill>
                </w14:textFill>
              </w:rPr>
              <w:t xml:space="preserve">2</w:t>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r>
        <w:trPr>
          <w:jc w:val="center"/>
          <w:trHeight w:val="0"/>
        </w:trPr>
        <w:tc>
          <w:tcPr>
            <w:tcW w:w="1047"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1769"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w:t>
            </w:r>
            <w:r/>
          </w:p>
        </w:tc>
        <w:tc>
          <w:tcPr>
            <w:tcW w:w="2490"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c>
          <w:tcPr>
            <w:tcW w:w="2916" w:type="dxa"/>
            <w:vAlign w:val="center"/>
            <w:textDirection w:val="lrTb"/>
            <w:noWrap w:val="false"/>
          </w:tcPr>
          <w:p>
            <w:pPr>
              <w:ind w:left="0" w:right="0" w:firstLine="0"/>
              <w:jc w:val="center"/>
              <w:keepLines w:val="0"/>
              <w:keepNext w:val="0"/>
              <w:pageBreakBefore w:val="0"/>
              <w:spacing w:after="0" w:line="240" w:lineRule="auto"/>
              <w:widowControl/>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tc>
      </w:tr>
    </w:tbl>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附件4-1  证明材料1，证明材料2，……</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备注：</w:t>
      </w:r>
      <w:r/>
    </w:p>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1.</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需对</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文件商务要求逐条做出明确响应。</w:t>
      </w:r>
      <w:r/>
    </w:p>
    <w:p>
      <w:pPr>
        <w:ind w:left="0" w:firstLine="0"/>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2.如果</w:t>
      </w:r>
      <w:r>
        <w:rPr>
          <w:rFonts w:hint="eastAsia" w:ascii="宋体" w:hAnsi="宋体" w:eastAsia="宋体" w:cs="宋体"/>
          <w:color w:val="000000" w:themeColor="text1"/>
          <w:sz w:val="24"/>
          <w:szCs w:val="24"/>
          <w:lang w:val="en-US" w:eastAsia="zh-CN"/>
          <w14:textFill>
            <w14:solidFill>
              <w14:schemeClr w14:val="tx1"/>
            </w14:solidFill>
          </w14:textFill>
        </w:rPr>
        <w:t xml:space="preserve">磋商</w:t>
      </w:r>
      <w:r>
        <w:rPr>
          <w:rFonts w:hint="eastAsia" w:ascii="宋体" w:hAnsi="宋体" w:eastAsia="宋体" w:cs="宋体"/>
          <w:color w:val="000000" w:themeColor="text1"/>
          <w:sz w:val="24"/>
          <w:szCs w:val="24"/>
          <w14:textFill>
            <w14:solidFill>
              <w14:schemeClr w14:val="tx1"/>
            </w14:solidFill>
          </w14:textFill>
        </w:rPr>
        <w:t xml:space="preserve">文件要求提供证明材料，</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需将证明材料列于该表之下。</w:t>
      </w:r>
      <w:r/>
    </w:p>
    <w:p>
      <w:pPr>
        <w:spacing w:line="400" w:lineRule="exac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r>
      <w:r/>
    </w:p>
    <w:p>
      <w:pPr>
        <w:pStyle w:val="832"/>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r>
      <w:r/>
    </w:p>
    <w:p>
      <w:pPr>
        <w:pStyle w:val="832"/>
        <w:ind w:firstLine="2578"/>
        <w:rPr>
          <w:rFonts w:hint="eastAsia" w:ascii="宋体" w:hAnsi="宋体" w:eastAsia="宋体" w:cs="宋体"/>
          <w:bCs/>
          <w:color w:val="000000" w:themeColor="text1"/>
          <w:sz w:val="28"/>
          <w:szCs w:val="28"/>
          <w:u w:val="single"/>
          <w:lang w:eastAsia="en-US"/>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pStyle w:val="832"/>
        <w:ind w:firstLine="2578"/>
        <w:rPr>
          <w:rFonts w:hint="eastAsia" w:ascii="宋体" w:hAnsi="宋体" w:eastAsia="宋体" w:cs="宋体"/>
          <w:bCs/>
          <w:color w:val="000000" w:themeColor="text1"/>
          <w:sz w:val="28"/>
          <w:szCs w:val="28"/>
          <w:u w:val="single"/>
          <w:lang w:eastAsia="en-US"/>
          <w14:textFill>
            <w14:solidFill>
              <w14:schemeClr w14:val="tx1"/>
            </w14:solidFill>
          </w14:textFill>
        </w:rPr>
      </w:pPr>
      <w:r>
        <w:rPr>
          <w:rFonts w:hint="eastAsia" w:ascii="宋体" w:hAnsi="宋体" w:eastAsia="宋体" w:cs="宋体"/>
          <w:bCs/>
          <w:color w:val="000000" w:themeColor="text1"/>
          <w:sz w:val="28"/>
          <w:szCs w:val="28"/>
          <w:u w:val="single"/>
          <w:lang w:eastAsia="en-US"/>
          <w14:textFill>
            <w14:solidFill>
              <w14:schemeClr w14:val="tx1"/>
            </w14:solidFill>
          </w14:textFill>
        </w:rPr>
      </w:r>
      <w:r/>
    </w:p>
    <w:p>
      <w:pPr>
        <w:ind w:left="0" w:firstLine="0"/>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4</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r>
      <w:r/>
    </w:p>
    <w:p>
      <w:pPr>
        <w:ind w:left="0" w:firstLine="0"/>
        <w:jc w:val="center"/>
        <w:keepLines w:val="0"/>
        <w:keepNext/>
        <w:pageBreakBefore w:val="0"/>
        <w:widowControl w:val="off"/>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具备履行合同所必需的设备和专业技术能力的书面声明</w:t>
      </w:r>
      <w:r/>
    </w:p>
    <w:p>
      <w:pPr>
        <w:ind w:left="0" w:firstLine="0"/>
        <w:keepLines w:val="0"/>
        <w:keepNext w:val="0"/>
        <w:pageBreakBefore w:val="0"/>
        <w:spacing w:line="540" w:lineRule="exact"/>
        <w:widowControl/>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ind w:left="0" w:firstLine="560"/>
        <w:keepLines w:val="0"/>
        <w:keepNext w:val="0"/>
        <w:pageBreakBefore w:val="0"/>
        <w:spacing w:line="540" w:lineRule="exact"/>
        <w:widowControl/>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我单位郑重声明：我单位具备履行本项采购合同所必需的设备和专业技术能力，为履行本项采购合同我公司具备如下主要设备和主要专业技术能力：</w:t>
      </w:r>
      <w:r/>
    </w:p>
    <w:p>
      <w:pPr>
        <w:ind w:left="0" w:firstLine="560"/>
        <w:spacing w:line="46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主要设备有：</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w:t>
      </w:r>
      <w:r/>
    </w:p>
    <w:p>
      <w:pPr>
        <w:ind w:left="0" w:firstLine="560"/>
        <w:spacing w:line="460" w:lineRule="exact"/>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t xml:space="preserve">主要专业技术能力有：</w:t>
      </w:r>
      <w:r>
        <w:rPr>
          <w:rFonts w:hint="eastAsia" w:ascii="宋体" w:hAnsi="宋体" w:eastAsia="宋体" w:cs="宋体"/>
          <w:bCs/>
          <w:color w:val="000000" w:themeColor="text1"/>
          <w:sz w:val="28"/>
          <w:szCs w:val="28"/>
          <w:u w:val="single"/>
          <w14:textFill>
            <w14:solidFill>
              <w14:schemeClr w14:val="tx1"/>
            </w14:solidFill>
          </w14:textFill>
        </w:rPr>
        <w:t xml:space="preserve">         </w:t>
      </w:r>
      <w:r>
        <w:rPr>
          <w:rFonts w:hint="eastAsia" w:ascii="宋体" w:hAnsi="宋体" w:eastAsia="宋体" w:cs="宋体"/>
          <w:bCs/>
          <w:color w:val="000000" w:themeColor="text1"/>
          <w:sz w:val="28"/>
          <w:szCs w:val="28"/>
          <w14:textFill>
            <w14:solidFill>
              <w14:schemeClr w14:val="tx1"/>
            </w14:solidFill>
          </w14:textFill>
        </w:rPr>
        <w:t xml:space="preserve">。</w:t>
      </w:r>
      <w:r/>
    </w:p>
    <w:p>
      <w:pPr>
        <w:pStyle w:val="818"/>
        <w:ind w:left="0" w:firstLine="0"/>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818"/>
        <w:ind w:left="0" w:firstLine="0"/>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r>
      <w:r/>
    </w:p>
    <w:p>
      <w:pPr>
        <w:pStyle w:val="818"/>
        <w:ind w:left="0" w:firstLine="0"/>
        <w:jc w:val="right"/>
        <w:rPr>
          <w:rFonts w:hint="eastAsia" w:ascii="宋体" w:hAnsi="宋体" w:eastAsia="宋体" w:cs="宋体"/>
          <w:bCs/>
          <w:color w:val="000000" w:themeColor="text1"/>
          <w:sz w:val="24"/>
          <w:szCs w:val="21"/>
          <w:lang w:eastAsia="en-US"/>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（加盖CA电子公章）</w:t>
      </w:r>
      <w:r/>
    </w:p>
    <w:p>
      <w:pPr>
        <w:ind w:left="0" w:firstLine="0"/>
        <w:spacing w:line="460" w:lineRule="exact"/>
        <w:rPr>
          <w:rFonts w:hint="eastAsia" w:ascii="宋体" w:hAnsi="宋体" w:eastAsia="宋体" w:cs="宋体"/>
          <w:bCs/>
          <w:color w:val="000000" w:themeColor="text1"/>
          <w:sz w:val="24"/>
          <w:szCs w:val="21"/>
          <w14:textFill>
            <w14:solidFill>
              <w14:schemeClr w14:val="tx1"/>
            </w14:solidFill>
          </w14:textFill>
        </w:rPr>
      </w:pPr>
      <w:r>
        <w:rPr>
          <w:rFonts w:hint="eastAsia" w:ascii="宋体" w:hAnsi="宋体" w:eastAsia="宋体" w:cs="宋体"/>
          <w:bCs/>
          <w:color w:val="000000" w:themeColor="text1"/>
          <w:sz w:val="24"/>
          <w:szCs w:val="21"/>
          <w14:textFill>
            <w14:solidFill>
              <w14:schemeClr w14:val="tx1"/>
            </w14:solidFill>
          </w14:textFill>
        </w:rPr>
        <w:t xml:space="preserve">                                     </w:t>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keepLines w:val="0"/>
        <w:keepNext/>
        <w:pageBreakBefore/>
        <w:widowControl/>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5</w:t>
      </w:r>
      <w:r>
        <w:rPr>
          <w:rFonts w:hint="eastAsia" w:ascii="宋体" w:hAnsi="宋体" w:eastAsia="宋体" w:cs="宋体"/>
          <w:b/>
          <w:color w:val="000000" w:themeColor="text1"/>
          <w:sz w:val="32"/>
          <w:szCs w:val="32"/>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参加政府采购活动前3年内在经营活动中没有重大违法记录的书面声明</w:t>
      </w:r>
      <w:r/>
    </w:p>
    <w:p>
      <w:pPr>
        <w:ind w:left="0" w:firstLine="560"/>
        <w:keepLines w:val="0"/>
        <w:keepNext w:val="0"/>
        <w:pageBreakBefore w:val="0"/>
        <w:spacing w:line="460" w:lineRule="exact"/>
        <w:widowControl w:val="off"/>
        <w:rPr>
          <w:rFonts w:hint="eastAsia" w:ascii="宋体" w:hAnsi="宋体" w:eastAsia="宋体" w:cs="宋体"/>
          <w:bCs/>
          <w:color w:val="000000" w:themeColor="text1"/>
          <w:sz w:val="28"/>
          <w:szCs w:val="28"/>
          <w14:textFill>
            <w14:solidFill>
              <w14:schemeClr w14:val="tx1"/>
            </w14:solidFill>
          </w14:textFill>
        </w:rPr>
      </w:pPr>
      <w:r>
        <w:rPr>
          <w:rFonts w:hint="eastAsia" w:ascii="宋体" w:hAnsi="宋体" w:eastAsia="宋体" w:cs="宋体"/>
          <w:bCs/>
          <w:color w:val="000000" w:themeColor="text1"/>
          <w:sz w:val="28"/>
          <w:szCs w:val="28"/>
          <w14:textFill>
            <w14:solidFill>
              <w14:schemeClr w14:val="tx1"/>
            </w14:solidFill>
          </w14:textFill>
        </w:rPr>
      </w:r>
      <w:r/>
    </w:p>
    <w:p>
      <w:pPr>
        <w:ind w:left="0" w:firstLine="560"/>
        <w:keepLines w:val="0"/>
        <w:keepNext w:val="0"/>
        <w:pageBreakBefore w:val="0"/>
        <w:spacing w:line="500" w:lineRule="exact"/>
        <w:widowControl w:val="off"/>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我单位郑重声明：参加本次政府采购活动前 3 年内，我单位在经营活动中没有因违法经营受到刑事处罚或者责令停产停业、吊销许可证或者执照、较大数额罚款等行政处罚。</w:t>
      </w:r>
      <w:r/>
    </w:p>
    <w:p>
      <w:pPr>
        <w:ind w:left="0" w:firstLine="560"/>
        <w:keepLines w:val="0"/>
        <w:keepNext w:val="0"/>
        <w:pageBreakBefore w:val="0"/>
        <w:spacing w:line="500" w:lineRule="exact"/>
        <w:widowControl w:val="off"/>
        <w:rPr>
          <w:rFonts w:hint="eastAsia" w:ascii="宋体" w:hAnsi="宋体" w:eastAsia="宋体" w:cs="宋体"/>
          <w:bCs/>
          <w:color w:val="000000" w:themeColor="text1"/>
          <w:sz w:val="28"/>
          <w:szCs w:val="28"/>
          <w:lang w:eastAsia="en-US"/>
          <w14:textFill>
            <w14:solidFill>
              <w14:schemeClr w14:val="tx1"/>
            </w14:solidFill>
          </w14:textFill>
        </w:rPr>
      </w:pPr>
      <w:r>
        <w:rPr>
          <w:rFonts w:hint="eastAsia" w:ascii="宋体" w:hAnsi="宋体" w:eastAsia="宋体" w:cs="宋体"/>
          <w:bCs/>
          <w:color w:val="000000" w:themeColor="text1"/>
          <w:sz w:val="28"/>
          <w:szCs w:val="28"/>
          <w:lang w:eastAsia="en-US"/>
          <w14:textFill>
            <w14:solidFill>
              <w14:schemeClr w14:val="tx1"/>
            </w14:solidFill>
          </w14:textFill>
        </w:rPr>
        <w:t xml:space="preserve">我单位对上述声明的真实性负责。如有虚假，将依法承担相应责任。</w:t>
      </w:r>
      <w:r/>
    </w:p>
    <w:p>
      <w:pPr>
        <w:ind w:left="0" w:firstLine="0"/>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pStyle w:val="818"/>
        <w:ind w:left="0" w:firstLine="0"/>
        <w:jc w:val="right"/>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bCs/>
          <w:color w:val="000000" w:themeColor="text1"/>
          <w:sz w:val="28"/>
          <w:szCs w:val="28"/>
          <w:lang w:val="en-US" w:eastAsia="zh-CN"/>
          <w14:textFill>
            <w14:solidFill>
              <w14:schemeClr w14:val="tx1"/>
            </w14:solidFill>
          </w14:textFill>
        </w:rPr>
        <w:t xml:space="preserve">供应商</w:t>
      </w:r>
      <w:r>
        <w:rPr>
          <w:rFonts w:hint="eastAsia" w:ascii="宋体" w:hAnsi="宋体" w:eastAsia="宋体" w:cs="宋体"/>
          <w:bCs/>
          <w:color w:val="000000" w:themeColor="text1"/>
          <w:sz w:val="28"/>
          <w:szCs w:val="28"/>
          <w:lang w:eastAsia="en-US"/>
          <w14:textFill>
            <w14:solidFill>
              <w14:schemeClr w14:val="tx1"/>
            </w14:solidFill>
          </w14:textFill>
        </w:rPr>
        <w:t xml:space="preserve">：</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 </w:t>
      </w:r>
      <w:r>
        <w:rPr>
          <w:rFonts w:hint="eastAsia" w:ascii="宋体" w:hAnsi="宋体" w:eastAsia="宋体" w:cs="宋体"/>
          <w:bCs/>
          <w:color w:val="000000" w:themeColor="text1"/>
          <w:sz w:val="28"/>
          <w:szCs w:val="28"/>
          <w:u w:val="single"/>
          <w:lang w:val="en-US" w:eastAsia="zh-CN"/>
          <w14:textFill>
            <w14:solidFill>
              <w14:schemeClr w14:val="tx1"/>
            </w14:solidFill>
          </w14:textFill>
        </w:rPr>
        <w:t xml:space="preserve">      </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rPr>
          <w:rFonts w:hint="eastAsia" w:ascii="宋体" w:hAnsi="宋体" w:eastAsia="宋体" w:cs="宋体"/>
          <w:bCs/>
          <w:color w:val="000000" w:themeColor="text1"/>
          <w:sz w:val="28"/>
          <w:szCs w:val="28"/>
          <w:u w:val="single"/>
          <w:lang w:eastAsia="en-US"/>
          <w14:textFill>
            <w14:solidFill>
              <w14:schemeClr w14:val="tx1"/>
            </w14:solidFill>
          </w14:textFill>
        </w:rPr>
        <w:t xml:space="preserve">）</w:t>
      </w:r>
      <w:r/>
    </w:p>
    <w:p>
      <w:pPr>
        <w:ind w:left="0" w:firstLine="0"/>
        <w:spacing w:line="460" w:lineRule="exact"/>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24"/>
          <w:szCs w:val="21"/>
          <w14:textFill>
            <w14:solidFill>
              <w14:schemeClr w14:val="tx1"/>
            </w14:solidFill>
          </w14:textFill>
        </w:rPr>
      </w:r>
      <w:r/>
    </w:p>
    <w:p>
      <w:pPr>
        <w:ind w:left="0" w:firstLine="0"/>
        <w:keepLines w:val="0"/>
        <w:keepNext/>
        <w:pageBreakBefore/>
        <w:spacing w:after="0" w:line="400" w:lineRule="exact"/>
        <w:widowControl/>
        <w:rPr>
          <w:rFonts w:hint="eastAsia" w:ascii="宋体" w:hAnsi="宋体" w:eastAsia="宋体" w:cs="宋体"/>
          <w:b/>
          <w:color w:val="000000" w:themeColor="text1"/>
          <w:sz w:val="24"/>
          <w:szCs w:val="21"/>
          <w14:textFill>
            <w14:solidFill>
              <w14:schemeClr w14:val="tx1"/>
            </w14:solidFill>
          </w14:textFill>
        </w:rPr>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6</w:t>
      </w:r>
      <w:r>
        <w:rPr>
          <w:rFonts w:hint="eastAsia" w:ascii="宋体" w:hAnsi="宋体" w:eastAsia="宋体" w:cs="宋体"/>
          <w:b/>
          <w:color w:val="000000" w:themeColor="text1"/>
          <w:sz w:val="32"/>
          <w:szCs w:val="32"/>
          <w14:textFill>
            <w14:solidFill>
              <w14:schemeClr w14:val="tx1"/>
            </w14:solidFill>
          </w14:textFill>
        </w:rPr>
        <w:t xml:space="preserve">  </w:t>
      </w:r>
      <w:r>
        <w:rPr>
          <w:rFonts w:hint="eastAsia" w:ascii="宋体" w:hAnsi="宋体" w:eastAsia="宋体" w:cs="宋体"/>
          <w:b/>
          <w:color w:val="000000" w:themeColor="text1"/>
          <w:sz w:val="24"/>
          <w:szCs w:val="21"/>
          <w14:textFill>
            <w14:solidFill>
              <w14:schemeClr w14:val="tx1"/>
            </w14:solidFill>
          </w14:textFill>
        </w:rPr>
        <w:t xml:space="preserve">                       </w:t>
      </w:r>
      <w:r/>
    </w:p>
    <w:p>
      <w:pPr>
        <w:ind w:left="0" w:firstLine="0"/>
        <w:jc w:val="center"/>
        <w:keepLines w:val="0"/>
        <w:keepNext/>
        <w:pageBreakBefore w:val="0"/>
        <w:widowControl w:val="off"/>
        <w:rPr>
          <w:rFonts w:hint="eastAsia" w:ascii="宋体" w:hAnsi="宋体" w:eastAsia="宋体" w:cs="宋体"/>
          <w:b/>
          <w:color w:val="000000" w:themeColor="text1"/>
          <w:sz w:val="36"/>
          <w:szCs w:val="36"/>
          <w14:textFill>
            <w14:solidFill>
              <w14:schemeClr w14:val="tx1"/>
            </w14:solidFill>
          </w14:textFill>
        </w:rPr>
      </w:pPr>
      <w:r>
        <w:rPr>
          <w:rFonts w:hint="eastAsia" w:ascii="宋体" w:hAnsi="宋体" w:eastAsia="宋体" w:cs="宋体"/>
          <w:b/>
          <w:color w:val="000000" w:themeColor="text1"/>
          <w:sz w:val="36"/>
          <w:szCs w:val="36"/>
          <w14:textFill>
            <w14:solidFill>
              <w14:schemeClr w14:val="tx1"/>
            </w14:solidFill>
          </w14:textFill>
        </w:rPr>
        <w:t xml:space="preserve">法人授权书</w:t>
      </w:r>
      <w:r/>
    </w:p>
    <w:p>
      <w:pPr>
        <w:ind w:left="0" w:firstLine="480"/>
        <w:keepLines w:val="0"/>
        <w:keepNext w:val="0"/>
        <w:pageBreakBefore w:val="0"/>
        <w:spacing w:line="5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本授权书声明：____________（</w:t>
      </w:r>
      <w:r>
        <w:rPr>
          <w:rFonts w:hint="eastAsia" w:ascii="宋体" w:hAnsi="宋体" w:eastAsia="宋体" w:cs="宋体"/>
          <w:color w:val="000000" w:themeColor="text1"/>
          <w:sz w:val="24"/>
          <w:szCs w:val="24"/>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4"/>
          <w14:textFill>
            <w14:solidFill>
              <w14:schemeClr w14:val="tx1"/>
            </w14:solidFill>
          </w14:textFill>
        </w:rPr>
        <w:t xml:space="preserve">名称）授权_____________（被授权人的姓名）为我方就</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u w:val="single"/>
        </w:rPr>
        <w:t xml:space="preserve">（项目编号）</w:t>
      </w:r>
      <w:r>
        <w:rPr>
          <w:rFonts w:hint="eastAsia" w:ascii="宋体" w:hAnsi="宋体" w:eastAsia="宋体" w:cs="宋体"/>
          <w:color w:val="000000" w:themeColor="text1"/>
          <w:sz w:val="24"/>
          <w:szCs w:val="24"/>
          <w14:textFill>
            <w14:solidFill>
              <w14:schemeClr w14:val="tx1"/>
            </w14:solidFill>
          </w14:textFill>
        </w:rPr>
        <w:t xml:space="preserve">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ff0000"/>
          <w:sz w:val="24"/>
          <w:szCs w:val="24"/>
          <w:u w:val="single"/>
        </w:rPr>
        <w:t xml:space="preserve">（项目名称）</w:t>
      </w:r>
      <w:r>
        <w:rPr>
          <w:rFonts w:hint="eastAsia" w:ascii="宋体" w:hAnsi="宋体" w:eastAsia="宋体" w:cs="宋体"/>
          <w:color w:val="000000" w:themeColor="text1"/>
          <w:sz w:val="24"/>
          <w:szCs w:val="24"/>
          <w14:textFill>
            <w14:solidFill>
              <w14:schemeClr w14:val="tx1"/>
            </w14:solidFill>
          </w14:textFill>
        </w:rPr>
        <w:t xml:space="preserve">项目采购活动的合法代理人，以本单位名义全权处理一切与该项目采购有关的事务。</w:t>
      </w:r>
      <w:r/>
    </w:p>
    <w:p>
      <w:pPr>
        <w:ind w:left="0" w:firstLine="480"/>
        <w:keepLines w:val="0"/>
        <w:keepNext w:val="0"/>
        <w:pageBreakBefore w:val="0"/>
        <w:spacing w:line="500" w:lineRule="exact"/>
        <w:widowControl/>
        <w:tabs>
          <w:tab w:val="left" w:pos="36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本授权书于______年____月____日起生效，特此声明。</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被授权人身份证号码：</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被授权人联系电话：（手机）</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被授权人电子邮箱：</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授权单位名称：</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（加盖CA电子公章）</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联系电话：</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u w:val="single"/>
          <w14:textFill>
            <w14:solidFill>
              <w14:schemeClr w14:val="tx1"/>
            </w14:solidFill>
          </w14:textFill>
        </w:rPr>
        <w:t xml:space="preserve">               </w:t>
      </w:r>
      <w:r>
        <w:rPr>
          <w:rFonts w:hint="eastAsia" w:ascii="宋体" w:hAnsi="宋体" w:eastAsia="宋体" w:cs="宋体"/>
          <w:color w:val="000000" w:themeColor="text1"/>
          <w:sz w:val="24"/>
          <w:szCs w:val="24"/>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u w:val="single"/>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单位地址：</w:t>
      </w:r>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left="0" w:firstLine="480"/>
        <w:keepLines w:val="0"/>
        <w:keepNext w:val="0"/>
        <w:pageBreakBefore w:val="0"/>
        <w:spacing w:line="500" w:lineRule="exact"/>
        <w:widowControl/>
        <w:tabs>
          <w:tab w:val="left" w:pos="0" w:leader="none"/>
        </w:tabs>
        <w:rPr>
          <w:rFonts w:hint="eastAsia" w:ascii="宋体" w:hAnsi="宋体" w:eastAsia="宋体" w:cs="宋体"/>
          <w:color w:val="000000" w:themeColor="text1"/>
          <w:sz w:val="24"/>
          <w:szCs w:val="24"/>
          <w14:textFill>
            <w14:solidFill>
              <w14:schemeClr w14:val="tx1"/>
            </w14:solidFill>
          </w14:textFill>
        </w:rPr>
      </w:pPr>
      <w:r>
        <w:rPr>
          <w:rFonts w:hint="eastAsia" w:ascii="宋体" w:hAnsi="宋体" w:eastAsia="宋体" w:cs="宋体"/>
          <w:color w:val="000000" w:themeColor="text1"/>
          <w:sz w:val="24"/>
          <w:szCs w:val="24"/>
          <w14:textFill>
            <w14:solidFill>
              <w14:schemeClr w14:val="tx1"/>
            </w14:solidFill>
          </w14:textFill>
        </w:rPr>
        <w:t xml:space="preserve">日期：</w:t>
      </w:r>
      <w:bookmarkStart w:id="338" w:name="_Hlt26671380"/>
      <w:r/>
      <w:bookmarkEnd w:id="338"/>
      <w:r/>
      <w:bookmarkStart w:id="339" w:name="_格式3__银行出具的资信证明"/>
      <w:r/>
      <w:bookmarkEnd w:id="339"/>
      <w:r/>
      <w:bookmarkStart w:id="340" w:name="_Hlt26955070"/>
      <w:r/>
      <w:bookmarkEnd w:id="340"/>
      <w:r>
        <w:rPr>
          <w:rFonts w:hint="eastAsia" w:ascii="宋体" w:hAnsi="宋体" w:eastAsia="宋体" w:cs="宋体"/>
          <w:color w:val="000000" w:themeColor="text1"/>
          <w:sz w:val="24"/>
          <w:szCs w:val="24"/>
          <w:u w:val="single"/>
          <w14:textFill>
            <w14:solidFill>
              <w14:schemeClr w14:val="tx1"/>
            </w14:solidFill>
          </w14:textFill>
        </w:rPr>
        <w:t xml:space="preserve">                                         </w:t>
      </w:r>
      <w:r/>
    </w:p>
    <w:p>
      <w:pPr>
        <w:ind w:firstLine="360"/>
        <w:spacing w:line="400" w:lineRule="exact"/>
        <w:rPr>
          <w:rFonts w:hint="eastAsia" w:ascii="宋体" w:hAnsi="宋体" w:eastAsia="宋体" w:cs="宋体"/>
          <w:color w:val="000000" w:themeColor="text1"/>
          <w:sz w:val="24"/>
          <w:szCs w:val="24"/>
          <w:highlight w:val="yellow"/>
          <w14:textFill>
            <w14:solidFill>
              <w14:schemeClr w14:val="tx1"/>
            </w14:solidFill>
          </w14:textFill>
        </w:rPr>
      </w:pPr>
      <w:r>
        <w:rPr>
          <w:rFonts w:hint="eastAsia" w:ascii="宋体" w:hAnsi="宋体" w:eastAsia="宋体" w:cs="宋体"/>
          <w:color w:val="000000" w:themeColor="text1"/>
          <w:sz w:val="24"/>
          <w:szCs w:val="24"/>
          <w:highlight w:val="yellow"/>
          <w14:textFill>
            <w14:solidFill>
              <w14:schemeClr w14:val="tx1"/>
            </w14:solidFill>
          </w14:textFill>
        </w:rPr>
      </w:r>
      <w:r/>
    </w:p>
    <w:p>
      <w:pPr>
        <w:ind w:firstLine="480"/>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lang w:eastAsia="zh-CN"/>
          <w14:textFill>
            <w14:solidFill>
              <w14:schemeClr w14:val="tx1"/>
            </w14:solidFill>
          </w14:textFill>
        </w:rPr>
      </w:pPr>
      <w:r>
        <w:rPr>
          <w:rFonts w:hint="eastAsia" w:ascii="宋体" w:hAnsi="宋体" w:eastAsia="宋体" w:cs="宋体"/>
          <w:color w:val="000000" w:themeColor="text1"/>
          <w:sz w:val="24"/>
          <w:szCs w:val="24"/>
          <w:lang w:eastAsia="en-US"/>
          <w14:textFill>
            <w14:solidFill>
              <w14:schemeClr w14:val="tx1"/>
            </w14:solidFill>
          </w14:textFill>
        </w:rPr>
        <w:t xml:space="preserve">被授权人身份证</w:t>
      </w:r>
      <w:r>
        <w:rPr>
          <w:rFonts w:hint="eastAsia" w:ascii="宋体" w:hAnsi="宋体" w:eastAsia="宋体" w:cs="宋体"/>
          <w:color w:val="000000" w:themeColor="text1"/>
          <w:sz w:val="24"/>
          <w:szCs w:val="24"/>
          <w:lang w:val="en-US" w:eastAsia="zh-CN"/>
          <w14:textFill>
            <w14:solidFill>
              <w14:schemeClr w14:val="tx1"/>
            </w14:solidFill>
          </w14:textFill>
        </w:rPr>
        <w:t xml:space="preserve">原件</w:t>
      </w:r>
      <w:r/>
    </w:p>
    <w:tbl>
      <w:tblPr>
        <w:tblStyle w:val="819"/>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675"/>
      </w:tblGrid>
      <w:tr>
        <w:trPr>
          <w:jc w:val="center"/>
          <w:trHeight w:val="1657"/>
        </w:trPr>
        <w:tc>
          <w:tcPr>
            <w:tcW w:w="6675" w:type="dxa"/>
            <w:textDirection w:val="lrTb"/>
            <w:noWrap w:val="false"/>
          </w:tcPr>
          <w:p>
            <w:pPr>
              <w:keepLines w:val="0"/>
              <w:keepNext w:val="0"/>
              <w:pageBreakBefore w:val="0"/>
              <w:spacing w:after="200" w:line="440" w:lineRule="exact"/>
              <w:widowControl/>
              <w:tabs>
                <w:tab w:val="left" w:pos="0" w:leader="none"/>
              </w:tabs>
              <w:rPr>
                <w:rFonts w:hint="default"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正面</w:t>
            </w:r>
            <w:r/>
          </w:p>
        </w:tc>
      </w:tr>
      <w:tr>
        <w:trPr>
          <w:jc w:val="center"/>
          <w:trHeight w:val="1653"/>
        </w:trPr>
        <w:tc>
          <w:tcPr>
            <w:tcW w:w="6675" w:type="dxa"/>
            <w:textDirection w:val="lrTb"/>
            <w:noWrap w:val="false"/>
          </w:tcPr>
          <w:p>
            <w:pPr>
              <w:keepLines w:val="0"/>
              <w:keepNext w:val="0"/>
              <w:pageBreakBefore w:val="0"/>
              <w:spacing w:after="200" w:line="440" w:lineRule="exact"/>
              <w:widowControl/>
              <w:tabs>
                <w:tab w:val="left" w:pos="0" w:leader="none"/>
              </w:tabs>
              <w:rPr>
                <w:rFonts w:hint="eastAsia" w:ascii="宋体" w:hAnsi="宋体" w:eastAsia="宋体" w:cs="宋体"/>
                <w:color w:val="000000" w:themeColor="text1"/>
                <w:sz w:val="24"/>
                <w:szCs w:val="24"/>
                <w:vertAlign w:val="baseline"/>
                <w:lang w:val="en-US" w:eastAsia="zh-CN"/>
                <w14:textFill>
                  <w14:solidFill>
                    <w14:schemeClr w14:val="tx1"/>
                  </w14:solidFill>
                </w14:textFill>
              </w:rPr>
            </w:pPr>
            <w:r>
              <w:rPr>
                <w:rFonts w:hint="eastAsia" w:ascii="宋体" w:hAnsi="宋体" w:eastAsia="宋体" w:cs="宋体"/>
                <w:color w:val="000000" w:themeColor="text1"/>
                <w:sz w:val="24"/>
                <w:szCs w:val="24"/>
                <w:vertAlign w:val="baseline"/>
                <w:lang w:val="en-US" w:eastAsia="zh-CN"/>
                <w14:textFill>
                  <w14:solidFill>
                    <w14:schemeClr w14:val="tx1"/>
                  </w14:solidFill>
                </w14:textFill>
              </w:rPr>
              <w:t xml:space="preserve">反面</w:t>
            </w:r>
            <w:r/>
          </w:p>
        </w:tc>
      </w:tr>
    </w:tbl>
    <w:p>
      <w:pPr>
        <w:pStyle w:val="832"/>
        <w:ind w:left="0" w:firstLine="0"/>
        <w:rPr>
          <w:rFonts w:hint="eastAsia" w:ascii="宋体" w:hAnsi="宋体" w:eastAsia="宋体" w:cs="宋体"/>
          <w:bCs/>
          <w:color w:val="000000" w:themeColor="text1"/>
          <w:sz w:val="28"/>
          <w:szCs w:val="28"/>
          <w:u w:val="single"/>
          <w:lang w:eastAsia="en-US"/>
          <w14:textFill>
            <w14:solidFill>
              <w14:schemeClr w14:val="tx1"/>
            </w14:solidFill>
          </w14:textFill>
        </w:rPr>
      </w:pPr>
      <w:r>
        <w:rPr>
          <w:rFonts w:hint="eastAsia" w:ascii="宋体" w:hAnsi="宋体" w:eastAsia="宋体" w:cs="宋体"/>
          <w:bCs/>
          <w:color w:val="000000" w:themeColor="text1"/>
          <w:sz w:val="28"/>
          <w:szCs w:val="28"/>
          <w:u w:val="single"/>
          <w:lang w:eastAsia="en-US"/>
          <w14:textFill>
            <w14:solidFill>
              <w14:schemeClr w14:val="tx1"/>
            </w14:solidFill>
          </w14:textFill>
        </w:rPr>
      </w:r>
      <w:r/>
    </w:p>
    <w:p>
      <w:pPr>
        <w:ind w:left="0" w:firstLine="0"/>
        <w:jc w:val="both"/>
        <w:keepLines w:val="0"/>
        <w:keepNext/>
        <w:pageBreakBefore/>
        <w:spacing w:line="400" w:lineRule="exact"/>
        <w:widowControl w:val="off"/>
        <w:rPr>
          <w:rFonts w:hint="eastAsia" w:ascii="宋体" w:hAnsi="宋体" w:eastAsia="宋体" w:cs="宋体"/>
          <w:b/>
          <w:color w:val="000000" w:themeColor="text1"/>
          <w:sz w:val="32"/>
          <w:szCs w:val="32"/>
          <w:lang w:val="en-US" w:eastAsia="zh-CN"/>
          <w14:textFill>
            <w14:solidFill>
              <w14:schemeClr w14:val="tx1"/>
            </w14:solidFill>
          </w14:textFill>
        </w:rPr>
        <w:outlineLvl w:val="0"/>
      </w:pPr>
      <w:r/>
      <w:bookmarkStart w:id="341" w:name="_Toc31906"/>
      <w:r/>
      <w:bookmarkStart w:id="342" w:name="_Toc8821"/>
      <w:r/>
      <w:bookmarkStart w:id="343" w:name="_Toc5505"/>
      <w:r/>
      <w:bookmarkStart w:id="344" w:name="_Toc23969"/>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7</w:t>
      </w:r>
      <w:bookmarkEnd w:id="341"/>
      <w:r/>
      <w:r/>
    </w:p>
    <w:p>
      <w:pPr>
        <w:pStyle w:val="824"/>
        <w:ind w:left="0" w:firstLine="0"/>
        <w:jc w:val="center"/>
        <w:rPr>
          <w:rFonts w:hint="eastAsia" w:ascii="宋体" w:hAnsi="宋体" w:eastAsia="宋体" w:cs="宋体"/>
          <w:b/>
          <w:color w:val="000000" w:themeColor="text1"/>
          <w:sz w:val="32"/>
          <w:szCs w:val="32"/>
          <w:lang w:val="en-US" w:eastAsia="zh-CN" w:bidi="ar-SA"/>
          <w14:textFill>
            <w14:solidFill>
              <w14:schemeClr w14:val="tx1"/>
            </w14:solidFill>
          </w14:textFill>
        </w:rPr>
      </w:pPr>
      <w:r>
        <w:rPr>
          <w:rFonts w:hint="eastAsia" w:ascii="宋体" w:hAnsi="宋体" w:eastAsia="宋体" w:cs="宋体"/>
          <w:b/>
          <w:color w:val="000000" w:themeColor="text1"/>
          <w:sz w:val="32"/>
          <w:szCs w:val="32"/>
          <w:lang w:val="en-US" w:eastAsia="zh-CN" w:bidi="ar-SA"/>
          <w14:textFill>
            <w14:solidFill>
              <w14:schemeClr w14:val="tx1"/>
            </w14:solidFill>
          </w14:textFill>
        </w:rPr>
        <w:t xml:space="preserve">磋商响应函</w:t>
      </w:r>
      <w:r/>
    </w:p>
    <w:p>
      <w:pPr>
        <w:ind w:left="0" w:firstLine="0"/>
        <w:jc w:val="left"/>
        <w:keepLines w:val="0"/>
        <w:keepNext w:val="0"/>
        <w:pageBreakBefore w:val="0"/>
        <w:spacing w:after="100" w:line="440" w:lineRule="exact"/>
        <w:widowControl/>
        <w:rPr>
          <w:rFonts w:hint="eastAsia" w:ascii="宋体" w:hAnsi="宋体" w:eastAsia="宋体" w:cs="宋体"/>
          <w:b/>
          <w:bCs w:val="0"/>
          <w:color w:val="000000" w:themeColor="text1"/>
          <w:sz w:val="32"/>
          <w:szCs w:val="32"/>
          <w:lang w:eastAsia="zh-CN"/>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致：</w:t>
      </w:r>
      <w:r>
        <w:rPr>
          <w:rFonts w:hint="eastAsia" w:ascii="宋体" w:hAnsi="宋体" w:eastAsia="宋体" w:cs="宋体"/>
          <w:color w:val="000000" w:themeColor="text1"/>
          <w:sz w:val="24"/>
          <w:szCs w:val="21"/>
          <w:lang w:val="en-US" w:eastAsia="zh-CN"/>
          <w14:textFill>
            <w14:solidFill>
              <w14:schemeClr w14:val="tx1"/>
            </w14:solidFill>
          </w14:textFill>
        </w:rPr>
        <w:t xml:space="preserve">泰州中招投标代理有限公司</w:t>
      </w:r>
      <w:r/>
    </w:p>
    <w:p>
      <w:pPr>
        <w:ind w:left="0" w:firstLine="480"/>
        <w:jc w:val="left"/>
        <w:keepLines w:val="0"/>
        <w:keepNext w:val="0"/>
        <w:pageBreakBefore w:val="0"/>
        <w:spacing w:after="100" w:line="44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根据贵方的</w:t>
      </w:r>
      <w:r>
        <w:rPr>
          <w:rFonts w:hint="eastAsia" w:ascii="宋体" w:hAnsi="宋体" w:eastAsia="宋体" w:cs="宋体"/>
          <w:color w:val="ff0000"/>
          <w:sz w:val="24"/>
          <w:szCs w:val="24"/>
          <w:u w:val="single"/>
          <w:lang w:val="en-US" w:eastAsia="zh-CN"/>
        </w:rPr>
        <w:t xml:space="preserve">  </w:t>
      </w:r>
      <w:r>
        <w:rPr>
          <w:rFonts w:hint="eastAsia" w:ascii="宋体" w:hAnsi="宋体" w:eastAsia="宋体" w:cs="宋体"/>
          <w:color w:val="ff0000"/>
          <w:sz w:val="24"/>
          <w:szCs w:val="24"/>
          <w:u w:val="single"/>
        </w:rPr>
        <w:t xml:space="preserve">（项目编号）</w:t>
      </w:r>
      <w:r>
        <w:rPr>
          <w:rFonts w:hint="eastAsia" w:ascii="宋体" w:hAnsi="宋体" w:eastAsia="宋体" w:cs="宋体"/>
          <w:color w:val="000000" w:themeColor="text1"/>
          <w:sz w:val="24"/>
          <w:szCs w:val="24"/>
          <w14:textFill>
            <w14:solidFill>
              <w14:schemeClr w14:val="tx1"/>
            </w14:solidFill>
          </w14:textFill>
        </w:rPr>
        <w:t xml:space="preserve">号</w:t>
      </w:r>
      <w:r>
        <w:rPr>
          <w:rFonts w:hint="eastAsia" w:ascii="宋体" w:hAnsi="宋体" w:eastAsia="宋体" w:cs="宋体"/>
          <w:color w:val="000000" w:themeColor="text1"/>
          <w:sz w:val="24"/>
          <w:szCs w:val="24"/>
          <w:u w:val="single"/>
          <w:lang w:val="en-US" w:eastAsia="zh-CN"/>
          <w14:textFill>
            <w14:solidFill>
              <w14:schemeClr w14:val="tx1"/>
            </w14:solidFill>
          </w14:textFill>
        </w:rPr>
        <w:t xml:space="preserve">  </w:t>
      </w:r>
      <w:r>
        <w:rPr>
          <w:rFonts w:hint="eastAsia" w:ascii="宋体" w:hAnsi="宋体" w:eastAsia="宋体" w:cs="宋体"/>
          <w:color w:val="ff0000"/>
          <w:sz w:val="24"/>
          <w:szCs w:val="24"/>
          <w:u w:val="single"/>
        </w:rPr>
        <w:t xml:space="preserve">（项目名称）</w:t>
      </w:r>
      <w:r>
        <w:rPr>
          <w:rFonts w:hint="eastAsia" w:ascii="宋体" w:hAnsi="宋体" w:eastAsia="宋体" w:cs="宋体"/>
          <w:color w:val="000000" w:themeColor="text1"/>
          <w:sz w:val="24"/>
          <w:szCs w:val="21"/>
          <w14:textFill>
            <w14:solidFill>
              <w14:schemeClr w14:val="tx1"/>
            </w14:solidFill>
          </w14:textFill>
        </w:rPr>
        <w:t xml:space="preserve">磋商文件，正式授权下述签字人_______(姓名)代表我方_____________（</w:t>
      </w:r>
      <w:r>
        <w:rPr>
          <w:rFonts w:hint="eastAsia" w:ascii="宋体" w:hAnsi="宋体" w:eastAsia="宋体" w:cs="宋体"/>
          <w:color w:val="000000" w:themeColor="text1"/>
          <w:sz w:val="24"/>
          <w:szCs w:val="21"/>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14:textFill>
            <w14:solidFill>
              <w14:schemeClr w14:val="tx1"/>
            </w14:solidFill>
          </w14:textFill>
        </w:rPr>
        <w:t xml:space="preserve">的名称），全权处理本次项目</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的有关事宜。</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据此函，__________签字人兹宣布同意如下：</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1.按磋商文件规定的各项要求，向买方提供所需货物</w:t>
      </w:r>
      <w:r>
        <w:rPr>
          <w:rFonts w:hint="eastAsia" w:ascii="宋体" w:hAnsi="宋体" w:eastAsia="宋体" w:cs="宋体"/>
          <w:color w:val="000000" w:themeColor="text1"/>
          <w:sz w:val="24"/>
          <w:szCs w:val="21"/>
          <w:lang w:eastAsia="zh-CN"/>
          <w14:textFill>
            <w14:solidFill>
              <w14:schemeClr w14:val="tx1"/>
            </w14:solidFill>
          </w14:textFill>
        </w:rPr>
        <w:t xml:space="preserve">、</w:t>
      </w:r>
      <w:r>
        <w:rPr>
          <w:rFonts w:hint="eastAsia" w:ascii="宋体" w:hAnsi="宋体" w:eastAsia="宋体" w:cs="宋体"/>
          <w:color w:val="000000" w:themeColor="text1"/>
          <w:sz w:val="24"/>
          <w:szCs w:val="21"/>
          <w:lang w:val="en-US" w:eastAsia="zh-CN"/>
          <w14:textFill>
            <w14:solidFill>
              <w14:schemeClr w14:val="tx1"/>
            </w14:solidFill>
          </w14:textFill>
        </w:rPr>
        <w:t xml:space="preserve">服务</w:t>
      </w:r>
      <w:r>
        <w:rPr>
          <w:rFonts w:hint="eastAsia" w:ascii="宋体" w:hAnsi="宋体" w:eastAsia="宋体" w:cs="宋体"/>
          <w:color w:val="000000" w:themeColor="text1"/>
          <w:sz w:val="24"/>
          <w:szCs w:val="21"/>
          <w14:textFill>
            <w14:solidFill>
              <w14:schemeClr w14:val="tx1"/>
            </w14:solidFill>
          </w14:textFill>
        </w:rPr>
        <w:t xml:space="preserve">（包含与货物相关的服务）。</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2.我们完全理解贵方不一定将合同授予最低报价的</w:t>
      </w:r>
      <w:r>
        <w:rPr>
          <w:rFonts w:hint="eastAsia" w:ascii="宋体" w:hAnsi="宋体" w:eastAsia="宋体" w:cs="宋体"/>
          <w:color w:val="000000" w:themeColor="text1"/>
          <w:sz w:val="24"/>
          <w:szCs w:val="21"/>
          <w:lang w:val="en-US" w:eastAsia="zh-CN"/>
          <w14:textFill>
            <w14:solidFill>
              <w14:schemeClr w14:val="tx1"/>
            </w14:solidFill>
          </w14:textFill>
        </w:rPr>
        <w:t xml:space="preserve">供应商</w:t>
      </w:r>
      <w:r>
        <w:rPr>
          <w:rFonts w:hint="eastAsia" w:ascii="宋体" w:hAnsi="宋体" w:eastAsia="宋体" w:cs="宋体"/>
          <w:color w:val="000000" w:themeColor="text1"/>
          <w:sz w:val="24"/>
          <w:szCs w:val="21"/>
          <w14:textFill>
            <w14:solidFill>
              <w14:schemeClr w14:val="tx1"/>
            </w14:solidFill>
          </w14:textFill>
        </w:rPr>
        <w:t xml:space="preserve">。</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3.我们已详细审核全部</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文件及其有效补充文件，我们知道必须放弃提出含糊不清或误解问题的权利。</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4.我们同意从规定的开标日期起遵循本投标文件，并在规定的</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有效期期满之前均具有约束力。</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5.同意向贵方提供贵方可能另外要求的与</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有关的任何证据或资料，并保证我方已提供和将要提供的文件是真实的、准确的。</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6.一旦我方</w:t>
      </w:r>
      <w:r>
        <w:rPr>
          <w:rFonts w:hint="eastAsia" w:ascii="宋体" w:hAnsi="宋体" w:eastAsia="宋体" w:cs="宋体"/>
          <w:color w:val="000000" w:themeColor="text1"/>
          <w:sz w:val="24"/>
          <w:szCs w:val="21"/>
          <w:lang w:val="en-US" w:eastAsia="zh-CN"/>
          <w14:textFill>
            <w14:solidFill>
              <w14:schemeClr w14:val="tx1"/>
            </w14:solidFill>
          </w14:textFill>
        </w:rPr>
        <w:t xml:space="preserve">成交</w:t>
      </w:r>
      <w:r>
        <w:rPr>
          <w:rFonts w:hint="eastAsia" w:ascii="宋体" w:hAnsi="宋体" w:eastAsia="宋体" w:cs="宋体"/>
          <w:color w:val="000000" w:themeColor="text1"/>
          <w:sz w:val="24"/>
          <w:szCs w:val="21"/>
          <w14:textFill>
            <w14:solidFill>
              <w14:schemeClr w14:val="tx1"/>
            </w14:solidFill>
          </w14:textFill>
        </w:rPr>
        <w:t xml:space="preserve">,我方将根据</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文件的规定，严格履行合同的责任和义务,并保证在</w:t>
      </w:r>
      <w:r>
        <w:rPr>
          <w:rFonts w:hint="eastAsia" w:ascii="宋体" w:hAnsi="宋体" w:eastAsia="宋体" w:cs="宋体"/>
          <w:color w:val="000000" w:themeColor="text1"/>
          <w:sz w:val="24"/>
          <w:szCs w:val="21"/>
          <w:lang w:val="en-US" w:eastAsia="zh-CN"/>
          <w14:textFill>
            <w14:solidFill>
              <w14:schemeClr w14:val="tx1"/>
            </w14:solidFill>
          </w14:textFill>
        </w:rPr>
        <w:t xml:space="preserve">磋商</w:t>
      </w:r>
      <w:r>
        <w:rPr>
          <w:rFonts w:hint="eastAsia" w:ascii="宋体" w:hAnsi="宋体" w:eastAsia="宋体" w:cs="宋体"/>
          <w:color w:val="000000" w:themeColor="text1"/>
          <w:sz w:val="24"/>
          <w:szCs w:val="21"/>
          <w14:textFill>
            <w14:solidFill>
              <w14:schemeClr w14:val="tx1"/>
            </w14:solidFill>
          </w14:textFill>
        </w:rPr>
        <w:t xml:space="preserve">文件规定的时间完成项目，交付买方验收、使用。</w:t>
      </w:r>
      <w:r/>
    </w:p>
    <w:p>
      <w:pPr>
        <w:ind w:firstLine="480"/>
        <w:jc w:val="left"/>
        <w:keepLines w:val="0"/>
        <w:keepNext w:val="0"/>
        <w:pageBreakBefore w:val="0"/>
        <w:spacing w:after="100" w:line="38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7.与本投标有关的正式通讯地址为：</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地     址：</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邮     编：</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电     话：</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传   </w:t>
      </w: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 真：</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投标人开户行：</w:t>
      </w:r>
      <w:r/>
    </w:p>
    <w:p>
      <w:pPr>
        <w:ind w:left="529" w:firstLine="21"/>
        <w:jc w:val="left"/>
        <w:keepLines w:val="0"/>
        <w:keepNext w:val="0"/>
        <w:pageBreakBefore w:val="0"/>
        <w:spacing w:line="360" w:lineRule="exact"/>
        <w:widowControl/>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color w:val="000000" w:themeColor="text1"/>
          <w:sz w:val="24"/>
          <w:szCs w:val="21"/>
          <w14:textFill>
            <w14:solidFill>
              <w14:schemeClr w14:val="tx1"/>
            </w14:solidFill>
          </w14:textFill>
        </w:rPr>
        <w:t xml:space="preserve">账     号： </w:t>
      </w:r>
      <w:r/>
    </w:p>
    <w:p>
      <w:pPr>
        <w:pStyle w:val="1003"/>
        <w:ind w:right="565"/>
        <w:jc w:val="both"/>
        <w:keepLines w:val="0"/>
        <w:keepNext w:val="0"/>
        <w:pageBreakBefore w:val="0"/>
        <w:spacing w:after="100" w:line="36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p>
      <w:pPr>
        <w:pStyle w:val="1003"/>
        <w:ind w:right="565"/>
        <w:jc w:val="right"/>
        <w:keepLines w:val="0"/>
        <w:keepNext w:val="0"/>
        <w:pageBreakBefore w:val="0"/>
        <w:spacing w:after="100" w:line="360" w:lineRule="auto"/>
        <w:rPr>
          <w:rFonts w:hint="eastAsia" w:ascii="宋体" w:hAnsi="宋体" w:eastAsia="宋体" w:cs="宋体"/>
          <w:color w:val="000000" w:themeColor="text1"/>
          <w:sz w:val="24"/>
          <w:szCs w:val="21"/>
          <w14:textFill>
            <w14:solidFill>
              <w14:schemeClr w14:val="tx1"/>
            </w14:solidFill>
          </w14:textFill>
        </w:rPr>
      </w:pPr>
      <w:r>
        <w:rPr>
          <w:rFonts w:hint="eastAsia" w:ascii="宋体" w:hAnsi="宋体" w:eastAsia="宋体" w:cs="宋体"/>
          <w:sz w:val="24"/>
          <w:szCs w:val="24"/>
          <w:lang w:val="en-US" w:eastAsia="zh-CN"/>
        </w:rPr>
        <w:t xml:space="preserve">供应商：</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lang w:val="en-US" w:eastAsia="zh-CN"/>
        </w:rPr>
        <w:t xml:space="preserve">（</w:t>
      </w:r>
      <w:r>
        <w:rPr>
          <w:rFonts w:hint="eastAsia" w:ascii="宋体" w:hAnsi="宋体" w:eastAsia="宋体" w:cs="宋体"/>
          <w:color w:val="000000" w:themeColor="text1"/>
          <w:sz w:val="24"/>
          <w:szCs w:val="24"/>
          <w14:textFill>
            <w14:solidFill>
              <w14:schemeClr w14:val="tx1"/>
            </w14:solidFill>
          </w14:textFill>
        </w:rPr>
        <w:t xml:space="preserve">加盖CA电子公章</w:t>
      </w:r>
      <w:r>
        <w:rPr>
          <w:rFonts w:hint="eastAsia" w:ascii="宋体" w:hAnsi="宋体" w:eastAsia="宋体" w:cs="宋体"/>
          <w:sz w:val="24"/>
          <w:szCs w:val="24"/>
          <w:lang w:val="en-US" w:eastAsia="zh-CN"/>
        </w:rPr>
        <w:t xml:space="preserve">）</w:t>
      </w:r>
      <w:r/>
    </w:p>
    <w:p>
      <w:pPr>
        <w:pStyle w:val="824"/>
        <w:ind w:left="0" w:firstLine="0"/>
        <w:jc w:val="center"/>
        <w:rPr>
          <w:rFonts w:hint="eastAsia" w:ascii="宋体" w:hAnsi="宋体" w:eastAsia="宋体" w:cs="宋体"/>
          <w:b/>
          <w:color w:val="000000" w:themeColor="text1"/>
          <w:sz w:val="32"/>
          <w:szCs w:val="32"/>
          <w:lang w:val="en-US" w:eastAsia="zh-CN" w:bidi="ar-SA"/>
          <w14:textFill>
            <w14:solidFill>
              <w14:schemeClr w14:val="tx1"/>
            </w14:solidFill>
          </w14:textFill>
        </w:rPr>
      </w:pPr>
      <w:r>
        <w:rPr>
          <w:rFonts w:hint="eastAsia" w:ascii="宋体" w:hAnsi="宋体" w:eastAsia="宋体" w:cs="宋体"/>
          <w:color w:val="000000" w:themeColor="text1"/>
          <w:sz w:val="24"/>
          <w:szCs w:val="21"/>
          <w:lang w:val="en-US" w:eastAsia="zh-CN"/>
          <w14:textFill>
            <w14:solidFill>
              <w14:schemeClr w14:val="tx1"/>
            </w14:solidFill>
          </w14:textFill>
        </w:rPr>
        <w:t xml:space="preserve">       </w:t>
      </w:r>
      <w:r>
        <w:rPr>
          <w:rFonts w:hint="eastAsia" w:ascii="宋体" w:hAnsi="宋体" w:eastAsia="宋体" w:cs="宋体"/>
          <w:color w:val="000000" w:themeColor="text1"/>
          <w:sz w:val="24"/>
          <w:szCs w:val="21"/>
          <w14:textFill>
            <w14:solidFill>
              <w14:schemeClr w14:val="tx1"/>
            </w14:solidFill>
          </w14:textFill>
        </w:rPr>
        <w:t xml:space="preserve">日   期：________年____月____</w:t>
      </w:r>
      <w:r/>
    </w:p>
    <w:p>
      <w:pPr>
        <w:ind w:left="0" w:firstLine="0"/>
        <w:jc w:val="both"/>
        <w:keepLines w:val="0"/>
        <w:keepNext/>
        <w:pageBreakBefore/>
        <w:spacing w:line="400" w:lineRule="exact"/>
        <w:widowControl w:val="off"/>
        <w:rPr>
          <w:rFonts w:hint="eastAsia" w:ascii="宋体" w:hAnsi="宋体" w:eastAsia="宋体" w:cs="宋体"/>
          <w:b/>
          <w:color w:val="000000" w:themeColor="text1"/>
          <w:sz w:val="32"/>
          <w:szCs w:val="32"/>
          <w:lang w:val="en-US" w:eastAsia="zh-CN"/>
          <w14:textFill>
            <w14:solidFill>
              <w14:schemeClr w14:val="tx1"/>
            </w14:solidFill>
          </w14:textFill>
        </w:rPr>
        <w:outlineLvl w:val="0"/>
      </w:pPr>
      <w:r/>
      <w:bookmarkStart w:id="345" w:name="_Toc27806"/>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8</w:t>
      </w:r>
      <w:bookmarkEnd w:id="345"/>
      <w:r/>
      <w:r/>
    </w:p>
    <w:p>
      <w:pPr>
        <w:pStyle w:val="824"/>
        <w:ind w:left="0" w:firstLine="0"/>
        <w:jc w:val="center"/>
        <w:rPr>
          <w:rFonts w:hint="eastAsia" w:ascii="宋体" w:hAnsi="宋体" w:eastAsia="宋体" w:cs="宋体"/>
          <w:b/>
          <w:sz w:val="32"/>
          <w:szCs w:val="32"/>
        </w:rPr>
      </w:pPr>
      <w:r>
        <w:rPr>
          <w:rFonts w:hint="eastAsia" w:ascii="宋体" w:hAnsi="宋体" w:eastAsia="宋体" w:cs="宋体"/>
          <w:b/>
          <w:sz w:val="32"/>
          <w:szCs w:val="32"/>
        </w:rPr>
        <w:t xml:space="preserve">中小微企业声明函（服务类项目）</w:t>
      </w:r>
      <w:r/>
    </w:p>
    <w:p>
      <w:pPr>
        <w:ind w:left="0" w:firstLine="480"/>
        <w:jc w:val="left"/>
        <w:keepLines w:val="0"/>
        <w:keepNext w:val="0"/>
        <w:pageBreakBefore w:val="0"/>
        <w:spacing w:before="100" w:beforeAutospacing="0" w:after="10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lang w:val="en-US" w:eastAsia="zh-CN"/>
        </w:rPr>
        <w:t xml:space="preserve">       </w:t>
      </w:r>
      <w:r>
        <w:rPr>
          <w:rFonts w:hint="eastAsia" w:ascii="宋体" w:hAnsi="宋体" w:eastAsia="宋体" w:cs="宋体"/>
          <w:sz w:val="24"/>
          <w:szCs w:val="24"/>
        </w:rPr>
        <w:t xml:space="preserve">单位的</w:t>
      </w:r>
      <w:r>
        <w:rPr>
          <w:rFonts w:hint="eastAsia" w:ascii="宋体" w:hAnsi="宋体" w:eastAsia="宋体" w:cs="宋体"/>
          <w:sz w:val="24"/>
          <w:szCs w:val="24"/>
          <w:u w:val="single"/>
          <w:lang w:val="en-US" w:eastAsia="zh-CN"/>
        </w:rPr>
        <w:t xml:space="preserve">             </w:t>
      </w:r>
      <w:r>
        <w:rPr>
          <w:rFonts w:hint="eastAsia" w:ascii="宋体" w:hAnsi="宋体" w:eastAsia="宋体" w:cs="宋体"/>
          <w:spacing w:val="6"/>
          <w:sz w:val="24"/>
          <w:szCs w:val="24"/>
        </w:rPr>
        <w:t xml:space="preserve">项目</w:t>
      </w:r>
      <w:r>
        <w:rPr>
          <w:rFonts w:hint="eastAsia" w:ascii="宋体" w:hAnsi="宋体" w:eastAsia="宋体" w:cs="宋体"/>
          <w:sz w:val="24"/>
          <w:szCs w:val="24"/>
        </w:rPr>
        <w:t xml:space="preserve">采购活动，服务全部由符合政策要求的中小企业承接。相关企业（含联合体中的中小企业、签订分包意向协议的中小企业）的具体情况如下：</w:t>
      </w:r>
      <w:r/>
    </w:p>
    <w:p>
      <w:pPr>
        <w:ind w:left="0" w:firstLine="480"/>
        <w:jc w:val="left"/>
        <w:keepLines w:val="0"/>
        <w:keepNext w:val="0"/>
        <w:pageBreakBefore w:val="0"/>
        <w:spacing w:before="100" w:beforeAutospacing="0" w:after="100" w:afterAutospacing="0" w:line="460" w:lineRule="exact"/>
        <w:widowControl/>
        <w:rPr>
          <w:rFonts w:hint="eastAsia" w:ascii="宋体" w:hAnsi="宋体" w:eastAsia="宋体" w:cs="宋体"/>
          <w:sz w:val="24"/>
          <w:szCs w:val="24"/>
          <w:lang w:val="en-US" w:eastAsia="zh-CN"/>
        </w:rPr>
      </w:pP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ascii="宋体" w:hAnsi="宋体" w:eastAsia="宋体" w:cs="宋体"/>
          <w:sz w:val="24"/>
          <w:szCs w:val="24"/>
          <w:u w:val="single"/>
          <w:lang w:val="en-US" w:eastAsia="zh-CN"/>
        </w:rPr>
        <w:t xml:space="preserve">软件和信息技术服务</w:t>
      </w:r>
      <w:r>
        <w:rPr>
          <w:rFonts w:hint="eastAsia" w:ascii="宋体" w:hAnsi="宋体" w:eastAsia="宋体" w:cs="宋体"/>
          <w:sz w:val="24"/>
          <w:szCs w:val="24"/>
        </w:rPr>
        <w:t xml:space="preserve">行业；承接企业为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w:t>
      </w:r>
      <w:r>
        <w:rPr>
          <w:rFonts w:hint="eastAsia" w:ascii="宋体" w:hAnsi="宋体"/>
          <w:sz w:val="24"/>
          <w:szCs w:val="24"/>
          <w:u w:val="single"/>
          <w:lang w:eastAsia="zh-CN"/>
        </w:rPr>
        <w:t xml:space="preserve">□</w:t>
      </w:r>
      <w:r>
        <w:rPr>
          <w:rFonts w:hint="eastAsia" w:ascii="宋体" w:hAnsi="宋体" w:eastAsia="宋体" w:cs="宋体"/>
          <w:b/>
          <w:sz w:val="24"/>
          <w:szCs w:val="24"/>
          <w:u w:val="single"/>
        </w:rPr>
        <w:t xml:space="preserve">中型企业、</w:t>
      </w:r>
      <w:r>
        <w:rPr>
          <w:rFonts w:hint="eastAsia" w:ascii="宋体" w:hAnsi="宋体"/>
          <w:sz w:val="24"/>
          <w:szCs w:val="24"/>
          <w:u w:val="single"/>
        </w:rPr>
        <w:t xml:space="preserve">□</w:t>
      </w:r>
      <w:r>
        <w:rPr>
          <w:rFonts w:hint="eastAsia" w:ascii="宋体" w:hAnsi="宋体" w:eastAsia="宋体" w:cs="宋体"/>
          <w:b/>
          <w:sz w:val="24"/>
          <w:szCs w:val="24"/>
          <w:u w:val="single"/>
        </w:rPr>
        <w:t xml:space="preserve">小型企业、</w:t>
      </w:r>
      <w:r>
        <w:rPr>
          <w:rFonts w:hint="eastAsia" w:ascii="宋体" w:hAnsi="宋体"/>
          <w:sz w:val="24"/>
          <w:szCs w:val="24"/>
          <w:u w:val="single"/>
        </w:rPr>
        <w:t xml:space="preserve">□</w:t>
      </w:r>
      <w:r>
        <w:rPr>
          <w:rFonts w:hint="eastAsia" w:ascii="宋体" w:hAnsi="宋体" w:eastAsia="宋体" w:cs="宋体"/>
          <w:b/>
          <w:sz w:val="24"/>
          <w:szCs w:val="24"/>
          <w:u w:val="single"/>
        </w:rPr>
        <w:t xml:space="preserve">微型企业</w:t>
      </w:r>
      <w:r>
        <w:rPr>
          <w:rFonts w:hint="eastAsia" w:ascii="宋体" w:hAnsi="宋体" w:eastAsia="宋体" w:cs="宋体"/>
          <w:sz w:val="24"/>
          <w:szCs w:val="24"/>
          <w:u w:val="single"/>
        </w:rPr>
        <w:t xml:space="preserve">）</w:t>
      </w:r>
      <w:r>
        <w:rPr>
          <w:rFonts w:hint="eastAsia" w:ascii="宋体" w:hAnsi="宋体" w:eastAsia="宋体" w:cs="宋体"/>
          <w:sz w:val="24"/>
          <w:szCs w:val="24"/>
        </w:rPr>
        <w:t xml:space="preserve">；</w:t>
      </w:r>
      <w:r/>
    </w:p>
    <w:p>
      <w:pPr>
        <w:ind w:left="0" w:firstLine="480"/>
        <w:jc w:val="left"/>
        <w:keepLines w:val="0"/>
        <w:keepNext w:val="0"/>
        <w:pageBreakBefore w:val="0"/>
        <w:spacing w:before="100" w:beforeAutospacing="0" w:after="100" w:afterAutospacing="0" w:line="46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以上企业，不属于大企业的分值机构，不存在控股股东为大企业的情况，也不存在与大企业的负责人为同一人的情况。</w:t>
      </w:r>
      <w:r/>
    </w:p>
    <w:p>
      <w:pPr>
        <w:ind w:left="0" w:firstLine="480"/>
        <w:jc w:val="left"/>
        <w:keepLines w:val="0"/>
        <w:keepNext w:val="0"/>
        <w:pageBreakBefore w:val="0"/>
        <w:spacing w:before="100" w:beforeAutospacing="0" w:after="100" w:afterAutospacing="0" w:line="460" w:lineRule="exact"/>
        <w:rPr>
          <w:rFonts w:hint="eastAsia" w:ascii="仿宋" w:hAnsi="仿宋" w:eastAsia="仿宋" w:cs="仿宋"/>
          <w:sz w:val="24"/>
          <w:szCs w:val="24"/>
        </w:rPr>
      </w:pPr>
      <w:r>
        <w:rPr>
          <w:rFonts w:hint="eastAsia" w:ascii="宋体" w:hAnsi="宋体" w:eastAsia="宋体" w:cs="宋体"/>
          <w:sz w:val="24"/>
          <w:szCs w:val="24"/>
        </w:rPr>
        <w:t xml:space="preserve">本企业对上述声明内容的真实性负责。如有虚假，将依法承担相应责任。</w:t>
      </w:r>
      <w:r/>
    </w:p>
    <w:p>
      <w:pPr>
        <w:ind w:left="0" w:firstLine="0"/>
        <w:jc w:val="center"/>
        <w:spacing w:line="360" w:lineRule="auto"/>
        <w:rPr>
          <w:rFonts w:hint="eastAsia" w:ascii="仿宋" w:hAnsi="仿宋" w:eastAsia="仿宋" w:cs="仿宋"/>
          <w:bCs/>
          <w:sz w:val="24"/>
          <w:szCs w:val="24"/>
          <w:lang w:val="en-US" w:eastAsia="zh-CN"/>
        </w:rPr>
      </w:pPr>
      <w:r>
        <w:rPr>
          <w:rFonts w:hint="eastAsia" w:ascii="仿宋" w:hAnsi="仿宋" w:eastAsia="仿宋" w:cs="仿宋"/>
          <w:bCs/>
          <w:sz w:val="24"/>
          <w:szCs w:val="24"/>
        </w:rPr>
        <w:t xml:space="preserve"> </w:t>
      </w:r>
      <w:r>
        <w:rPr>
          <w:rFonts w:hint="eastAsia" w:ascii="仿宋" w:hAnsi="仿宋" w:eastAsia="仿宋" w:cs="仿宋"/>
          <w:bCs/>
          <w:sz w:val="24"/>
          <w:szCs w:val="24"/>
          <w:lang w:val="en-US" w:eastAsia="zh-CN"/>
        </w:rPr>
        <w:t xml:space="preserve">       </w:t>
      </w:r>
      <w:r/>
    </w:p>
    <w:p>
      <w:pPr>
        <w:ind w:left="0" w:firstLine="0"/>
        <w:jc w:val="center"/>
        <w:spacing w:line="360" w:lineRule="auto"/>
        <w:rPr>
          <w:rFonts w:hint="eastAsia" w:ascii="宋体" w:hAnsi="宋体" w:eastAsia="宋体" w:cs="宋体"/>
          <w:bCs/>
          <w:sz w:val="24"/>
          <w:szCs w:val="24"/>
          <w:u w:val="single"/>
          <w:lang w:val="en-US" w:eastAsia="zh-CN"/>
        </w:rPr>
      </w:pPr>
      <w:r>
        <w:rPr>
          <w:rFonts w:hint="eastAsia" w:ascii="仿宋" w:hAnsi="仿宋" w:cs="仿宋"/>
          <w:bCs/>
          <w:sz w:val="24"/>
          <w:szCs w:val="24"/>
          <w:lang w:val="en-US" w:eastAsia="zh-CN"/>
        </w:rPr>
        <w:t xml:space="preserve">         </w:t>
      </w:r>
      <w:r>
        <w:rPr>
          <w:rFonts w:hint="eastAsia" w:ascii="宋体" w:hAnsi="宋体" w:eastAsia="宋体" w:cs="宋体"/>
          <w:bCs/>
          <w:sz w:val="24"/>
          <w:szCs w:val="24"/>
          <w:lang w:val="en-US" w:eastAsia="zh-CN"/>
        </w:rPr>
        <w:t xml:space="preserve"> 企业名称（加盖CA电子公章）</w:t>
      </w:r>
      <w:r>
        <w:rPr>
          <w:rFonts w:hint="eastAsia" w:ascii="宋体" w:hAnsi="宋体" w:eastAsia="宋体" w:cs="宋体"/>
          <w:bCs/>
          <w:sz w:val="24"/>
          <w:szCs w:val="24"/>
        </w:rPr>
        <w:t xml:space="preserve">：</w:t>
      </w:r>
      <w:r>
        <w:rPr>
          <w:rFonts w:hint="eastAsia" w:ascii="宋体" w:hAnsi="宋体" w:eastAsia="宋体" w:cs="宋体"/>
          <w:bCs/>
          <w:sz w:val="24"/>
          <w:szCs w:val="24"/>
          <w:u w:val="single"/>
          <w:lang w:val="en-US" w:eastAsia="zh-CN"/>
        </w:rPr>
        <w:t xml:space="preserve">      </w:t>
      </w:r>
      <w:r/>
    </w:p>
    <w:p>
      <w:pPr>
        <w:ind w:left="0" w:firstLine="0"/>
        <w:jc w:val="center"/>
        <w:spacing w:line="360" w:lineRule="auto"/>
        <w:rPr>
          <w:rFonts w:hint="eastAsia" w:ascii="宋体" w:hAnsi="宋体" w:eastAsia="宋体" w:cs="宋体"/>
          <w:bCs/>
          <w:sz w:val="24"/>
          <w:szCs w:val="24"/>
        </w:rPr>
      </w:pPr>
      <w:r>
        <w:rPr>
          <w:rFonts w:hint="eastAsia" w:ascii="宋体" w:hAnsi="宋体" w:eastAsia="宋体" w:cs="宋体"/>
          <w:bCs/>
          <w:sz w:val="24"/>
          <w:szCs w:val="24"/>
        </w:rPr>
        <w:t xml:space="preserve">日  期：</w:t>
      </w:r>
      <w:r/>
    </w:p>
    <w:p>
      <w:pPr>
        <w:pStyle w:val="796"/>
        <w:ind w:left="0" w:firstLine="0"/>
        <w:keepLines w:val="0"/>
        <w:keepNext w:val="0"/>
        <w:pageBreakBefore w:val="0"/>
        <w:spacing w:line="500" w:lineRule="exact"/>
        <w:widowControl w:val="off"/>
        <w:rPr>
          <w:rFonts w:hint="eastAsia" w:ascii="仿宋" w:hAnsi="仿宋" w:eastAsia="仿宋" w:cs="仿宋"/>
          <w:color w:val="ff0000"/>
          <w:sz w:val="24"/>
          <w:szCs w:val="24"/>
        </w:rPr>
      </w:pPr>
      <w:r>
        <w:rPr>
          <w:rFonts w:hint="eastAsia" w:ascii="仿宋" w:hAnsi="仿宋" w:eastAsia="仿宋" w:cs="仿宋"/>
          <w:color w:val="ff0000"/>
          <w:sz w:val="24"/>
          <w:szCs w:val="24"/>
        </w:rPr>
      </w:r>
      <w:r/>
    </w:p>
    <w:p>
      <w:pPr>
        <w:pStyle w:val="796"/>
        <w:ind w:left="0" w:firstLine="0"/>
        <w:keepLines w:val="0"/>
        <w:keepNext w:val="0"/>
        <w:pageBreakBefore w:val="0"/>
        <w:spacing w:line="500" w:lineRule="exact"/>
        <w:widowControl w:val="off"/>
        <w:rPr>
          <w:rFonts w:hint="eastAsia" w:ascii="宋体" w:hAnsi="宋体" w:eastAsia="宋体" w:cs="宋体"/>
          <w:color w:val="ff0000"/>
          <w:sz w:val="24"/>
          <w:szCs w:val="24"/>
        </w:rPr>
      </w:pPr>
      <w:r>
        <w:rPr>
          <w:rFonts w:hint="eastAsia" w:ascii="宋体" w:hAnsi="宋体" w:eastAsia="宋体" w:cs="宋体"/>
          <w:color w:val="ff0000"/>
          <w:sz w:val="24"/>
          <w:szCs w:val="24"/>
        </w:rPr>
        <w:t xml:space="preserve">本项目采购属于</w:t>
      </w:r>
      <w:r>
        <w:rPr>
          <w:rFonts w:hint="eastAsia" w:ascii="宋体" w:hAnsi="宋体" w:eastAsia="宋体" w:cs="宋体"/>
          <w:color w:val="ff0000"/>
          <w:sz w:val="24"/>
          <w:szCs w:val="24"/>
          <w:u w:val="none"/>
          <w:lang w:val="en-US" w:eastAsia="zh-CN"/>
        </w:rPr>
        <w:t xml:space="preserve">：软件和信息技术服务</w:t>
      </w:r>
      <w:r>
        <w:rPr>
          <w:rFonts w:hint="eastAsia" w:ascii="宋体" w:hAnsi="宋体" w:eastAsia="宋体" w:cs="宋体"/>
          <w:b/>
          <w:bCs/>
          <w:color w:val="ff0000"/>
          <w:sz w:val="24"/>
          <w:szCs w:val="24"/>
        </w:rPr>
        <w:t xml:space="preserve">。</w:t>
      </w:r>
      <w:r/>
    </w:p>
    <w:p>
      <w:pPr>
        <w:pStyle w:val="824"/>
        <w:ind w:left="0" w:firstLine="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备注：1.从业人员、营业收入、资产总额填报上一年度数据，无上一年度数据的新成立企业可不填报。</w:t>
      </w:r>
      <w:r/>
    </w:p>
    <w:p>
      <w:pPr>
        <w:pStyle w:val="824"/>
        <w:ind w:left="0" w:firstLine="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2.专门面向中小微型企业采购的项目，供应商如不提供此声明函，则不能通过资格审查；非专门面向中小微型企业采购的项目，供应商如不提供此声明函，价格将不做相应扣除。</w:t>
      </w:r>
      <w:r/>
    </w:p>
    <w:p>
      <w:pPr>
        <w:pStyle w:val="824"/>
        <w:ind w:left="0" w:firstLine="0"/>
        <w:jc w:val="both"/>
        <w:rPr>
          <w:rFonts w:hint="eastAsia" w:ascii="宋体" w:hAnsi="宋体" w:eastAsia="宋体" w:cs="宋体"/>
          <w:b w:val="0"/>
          <w:bCs w:val="0"/>
          <w:sz w:val="24"/>
          <w:szCs w:val="24"/>
        </w:rPr>
      </w:pPr>
      <w:r>
        <w:rPr>
          <w:rFonts w:hint="eastAsia" w:ascii="宋体" w:hAnsi="宋体" w:eastAsia="宋体" w:cs="宋体"/>
          <w:b w:val="0"/>
          <w:bCs w:val="0"/>
          <w:sz w:val="24"/>
          <w:szCs w:val="24"/>
        </w:rPr>
        <w:t xml:space="preserve">3.供应商应对照《工业和信息化部、国家统计局、国家发展和改革委员会、</w:t>
      </w:r>
      <w:r/>
    </w:p>
    <w:p>
      <w:pPr>
        <w:pStyle w:val="824"/>
        <w:ind w:left="0" w:firstLine="0"/>
        <w:jc w:val="both"/>
        <w:rPr>
          <w:rFonts w:hint="eastAsia" w:ascii="宋体" w:hAnsi="宋体" w:eastAsia="宋体" w:cs="宋体"/>
          <w:b/>
          <w:color w:val="000000" w:themeColor="text1"/>
          <w:sz w:val="32"/>
          <w:szCs w:val="32"/>
          <w14:textFill>
            <w14:solidFill>
              <w14:schemeClr w14:val="tx1"/>
            </w14:solidFill>
          </w14:textFill>
        </w:rPr>
      </w:pPr>
      <w:r>
        <w:rPr>
          <w:rFonts w:hint="eastAsia" w:ascii="宋体" w:hAnsi="宋体" w:eastAsia="宋体" w:cs="宋体"/>
          <w:b w:val="0"/>
          <w:bCs w:val="0"/>
          <w:sz w:val="24"/>
          <w:szCs w:val="24"/>
        </w:rPr>
        <w:t xml:space="preserve">财政部关于印发中小企业划型标准规定的通知》(工信部联企业〔2011〕300号)《国家统计局关于印发〈统计上大中小微型企业划分办法（2017）〉的通知》（国统字〔2017〕213号）的规定，自行勾选承接企业的企业规模类型。</w:t>
      </w:r>
      <w:r/>
    </w:p>
    <w:p>
      <w:pPr>
        <w:ind w:left="0" w:firstLine="0"/>
        <w:jc w:val="both"/>
        <w:keepLines w:val="0"/>
        <w:keepNext/>
        <w:pageBreakBefore/>
        <w:spacing w:line="400" w:lineRule="exact"/>
        <w:widowControl w:val="off"/>
        <w:rPr>
          <w:rFonts w:hint="eastAsia" w:ascii="宋体" w:hAnsi="宋体" w:eastAsia="宋体" w:cs="宋体"/>
          <w:b/>
          <w:color w:val="000000" w:themeColor="text1"/>
          <w:sz w:val="32"/>
          <w:szCs w:val="32"/>
          <w:lang w:val="en-US" w:eastAsia="zh-CN"/>
          <w14:textFill>
            <w14:solidFill>
              <w14:schemeClr w14:val="tx1"/>
            </w14:solidFill>
          </w14:textFill>
        </w:rPr>
        <w:outlineLvl w:val="0"/>
      </w:pPr>
      <w:r/>
      <w:bookmarkStart w:id="346" w:name="_Toc15389"/>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9</w:t>
      </w:r>
      <w:bookmarkEnd w:id="346"/>
      <w:r/>
      <w:r/>
    </w:p>
    <w:p>
      <w:pPr>
        <w:pStyle w:val="836"/>
        <w:ind w:left="0" w:right="266" w:firstLine="0"/>
        <w:jc w:val="center"/>
        <w:spacing w:line="588" w:lineRule="exact"/>
        <w:rPr>
          <w:rFonts w:hint="eastAsia" w:ascii="宋体" w:hAnsi="宋体" w:eastAsia="宋体" w:cs="宋体"/>
          <w:b/>
          <w:bCs/>
          <w:spacing w:val="6"/>
          <w:sz w:val="36"/>
          <w:szCs w:val="36"/>
        </w:rPr>
      </w:pPr>
      <w:r>
        <w:rPr>
          <w:rFonts w:hint="eastAsia" w:ascii="宋体" w:hAnsi="宋体" w:eastAsia="宋体" w:cs="宋体"/>
          <w:b/>
          <w:bCs/>
          <w:spacing w:val="6"/>
          <w:sz w:val="36"/>
          <w:szCs w:val="36"/>
          <w:lang w:eastAsia="zh-CN"/>
        </w:rPr>
        <w:t xml:space="preserve">残疾人福利性单位声明函</w:t>
      </w:r>
      <w:r/>
    </w:p>
    <w:p>
      <w:pPr>
        <w:pStyle w:val="836"/>
        <w:ind w:left="0" w:right="-92" w:firstLine="557"/>
        <w:keepLines w:val="0"/>
        <w:keepNext w:val="0"/>
        <w:pageBreakBefore w:val="0"/>
        <w:spacing w:before="100" w:after="100" w:line="50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本单位郑重声明，根据《财政部 民政部 中国残疾人联合会关于促进残疾人就业政府采购政策的通知》（财库</w:t>
      </w:r>
      <w:r>
        <w:rPr>
          <w:rFonts w:hint="eastAsia" w:ascii="宋体" w:hAnsi="宋体" w:eastAsia="宋体" w:cs="宋体"/>
          <w:sz w:val="28"/>
          <w:szCs w:val="28"/>
        </w:rPr>
        <w:t xml:space="preserve">〔2017〕141</w:t>
      </w:r>
      <w:r>
        <w:rPr>
          <w:rFonts w:hint="eastAsia" w:ascii="宋体" w:hAnsi="宋体" w:eastAsia="宋体" w:cs="宋体"/>
          <w:spacing w:val="6"/>
          <w:sz w:val="28"/>
          <w:szCs w:val="28"/>
        </w:rPr>
        <w:t xml:space="preserve">号）的规定，本单位为符合条件的残疾人福利性单位，且本单位参加</w:t>
      </w:r>
      <w:r>
        <w:rPr>
          <w:rFonts w:hint="eastAsia" w:ascii="宋体" w:hAnsi="宋体" w:eastAsia="宋体" w:cs="宋体"/>
          <w:spacing w:val="6"/>
          <w:sz w:val="28"/>
          <w:szCs w:val="28"/>
          <w:u w:val="single"/>
          <w:lang w:val="en-US" w:eastAsia="zh-CN"/>
        </w:rPr>
        <w:t xml:space="preserve">                  </w:t>
      </w:r>
      <w:r>
        <w:rPr>
          <w:rFonts w:hint="eastAsia" w:ascii="宋体" w:hAnsi="宋体" w:eastAsia="宋体" w:cs="宋体"/>
          <w:spacing w:val="6"/>
          <w:sz w:val="28"/>
          <w:szCs w:val="28"/>
        </w:rPr>
        <w:t xml:space="preserve">单位的</w:t>
      </w:r>
      <w:r>
        <w:rPr>
          <w:rFonts w:hint="eastAsia" w:ascii="宋体" w:hAnsi="宋体" w:eastAsia="宋体" w:cs="宋体"/>
          <w:spacing w:val="6"/>
          <w:sz w:val="28"/>
          <w:szCs w:val="28"/>
          <w:u w:val="single"/>
          <w:lang w:val="en-US" w:eastAsia="zh-CN"/>
        </w:rPr>
        <w:t xml:space="preserve">             </w:t>
      </w:r>
      <w:r>
        <w:rPr>
          <w:rFonts w:hint="eastAsia" w:ascii="宋体" w:hAnsi="宋体" w:eastAsia="宋体" w:cs="宋体"/>
          <w:spacing w:val="6"/>
          <w:sz w:val="28"/>
          <w:szCs w:val="28"/>
        </w:rPr>
        <w:t xml:space="preserve">项目采购活动提供本单位制造的货物（由本单位承担工程/提供服务），或者提供其他残疾人福利性单位制造的货物（不包括使用非残疾人福利性单位注册商标的货物）。</w:t>
      </w:r>
      <w:r/>
    </w:p>
    <w:p>
      <w:pPr>
        <w:pStyle w:val="836"/>
        <w:ind w:left="0" w:right="-92" w:firstLine="557"/>
        <w:keepLines w:val="0"/>
        <w:keepNext w:val="0"/>
        <w:pageBreakBefore w:val="0"/>
        <w:spacing w:before="100" w:after="100" w:line="500" w:lineRule="exact"/>
        <w:widowControl/>
        <w:rPr>
          <w:rFonts w:hint="eastAsia" w:ascii="宋体" w:hAnsi="宋体" w:eastAsia="宋体" w:cs="宋体"/>
          <w:spacing w:val="6"/>
          <w:sz w:val="28"/>
          <w:szCs w:val="28"/>
        </w:rPr>
      </w:pPr>
      <w:r>
        <w:rPr>
          <w:rFonts w:hint="eastAsia" w:ascii="宋体" w:hAnsi="宋体" w:eastAsia="宋体" w:cs="宋体"/>
          <w:spacing w:val="6"/>
          <w:sz w:val="28"/>
          <w:szCs w:val="28"/>
        </w:rPr>
        <w:t xml:space="preserve">本单位对上述声明的真实性负责。如有虚假，将依法承担相应责任。</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备注：</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1.专门面向中小微型企业采购的项目，供应商为残疾人福利性单位并提供服务的必须提供此声明函，否则将不能通过资格审查。</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2. 非专门面向中小微型企业采购的项目，供应商如不提供此声明函，价格将不做相应扣除。</w:t>
      </w:r>
      <w:r/>
    </w:p>
    <w:p>
      <w:pPr>
        <w:ind w:left="0" w:right="-92" w:firstLine="458"/>
        <w:keepLines w:val="0"/>
        <w:pageBreakBefore w:val="0"/>
        <w:spacing w:line="400" w:lineRule="exact"/>
        <w:widowControl w:val="off"/>
        <w:rPr>
          <w:rFonts w:hint="eastAsia" w:ascii="宋体" w:hAnsi="宋体" w:eastAsia="宋体" w:cs="宋体"/>
          <w:sz w:val="24"/>
          <w:szCs w:val="24"/>
        </w:rPr>
      </w:pPr>
      <w:r>
        <w:rPr>
          <w:rFonts w:hint="eastAsia" w:ascii="宋体" w:hAnsi="宋体" w:eastAsia="宋体" w:cs="宋体"/>
          <w:sz w:val="24"/>
          <w:szCs w:val="24"/>
        </w:rPr>
        <w:t xml:space="preserve">3.中标/成交供应商为残疾人福利性单位的，此声明函将随中标/成交结果同时公告，接受社会监督）</w:t>
      </w:r>
      <w:r/>
    </w:p>
    <w:p>
      <w:pPr>
        <w:ind w:left="0" w:right="-92" w:firstLine="481"/>
        <w:jc w:val="center"/>
        <w:keepLines w:val="0"/>
        <w:pageBreakBefore w:val="0"/>
        <w:spacing w:line="400" w:lineRule="exact"/>
        <w:widowControl w:val="off"/>
        <w:tabs>
          <w:tab w:val="left" w:pos="4860" w:leader="none"/>
        </w:tabs>
        <w:rPr>
          <w:rFonts w:hint="eastAsia" w:ascii="宋体" w:hAnsi="宋体" w:eastAsia="宋体" w:cs="宋体"/>
          <w:sz w:val="24"/>
          <w:szCs w:val="24"/>
        </w:rPr>
      </w:pPr>
      <w:r>
        <w:rPr>
          <w:rFonts w:hint="eastAsia" w:ascii="宋体" w:hAnsi="宋体" w:eastAsia="宋体" w:cs="宋体"/>
          <w:spacing w:val="6"/>
          <w:sz w:val="24"/>
          <w:szCs w:val="24"/>
        </w:rPr>
        <w:t xml:space="preserve">             </w:t>
      </w:r>
      <w:r>
        <w:rPr>
          <w:rFonts w:hint="eastAsia" w:ascii="宋体" w:hAnsi="宋体" w:eastAsia="宋体" w:cs="宋体"/>
          <w:sz w:val="24"/>
          <w:szCs w:val="24"/>
        </w:rPr>
        <w:t xml:space="preserve">     </w:t>
      </w:r>
      <w:r/>
    </w:p>
    <w:p>
      <w:pPr>
        <w:ind w:left="0" w:right="-92" w:firstLine="534"/>
        <w:jc w:val="both"/>
        <w:keepLines w:val="0"/>
        <w:pageBreakBefore w:val="0"/>
        <w:spacing w:line="400" w:lineRule="exact"/>
        <w:widowControl w:val="off"/>
        <w:tabs>
          <w:tab w:val="left" w:pos="4860" w:leader="none"/>
        </w:tabs>
        <w:rPr>
          <w:rFonts w:hint="eastAsia" w:ascii="宋体" w:hAnsi="宋体" w:eastAsia="宋体" w:cs="宋体"/>
          <w:sz w:val="28"/>
          <w:szCs w:val="28"/>
        </w:rPr>
      </w:pPr>
      <w:r>
        <w:rPr>
          <w:rFonts w:hint="eastAsia" w:ascii="宋体" w:hAnsi="宋体" w:eastAsia="宋体" w:cs="宋体"/>
          <w:sz w:val="28"/>
          <w:szCs w:val="28"/>
        </w:rPr>
        <w:t xml:space="preserve">供应商全称（加盖CA电子公章）：</w:t>
      </w:r>
      <w:r/>
    </w:p>
    <w:p>
      <w:pPr>
        <w:ind w:left="0" w:right="-92" w:firstLine="534"/>
        <w:jc w:val="both"/>
        <w:keepLines w:val="0"/>
        <w:keepNext/>
        <w:pageBreakBefore w:val="0"/>
        <w:spacing w:line="400" w:lineRule="exact"/>
        <w:widowControl w:val="off"/>
        <w:rPr>
          <w:rFonts w:hint="eastAsia" w:ascii="宋体" w:hAnsi="宋体" w:eastAsia="宋体" w:cs="宋体"/>
          <w:b/>
          <w:color w:val="000000" w:themeColor="text1"/>
          <w:sz w:val="28"/>
          <w:szCs w:val="28"/>
          <w:lang w:val="en-US" w:eastAsia="zh-CN"/>
          <w14:textFill>
            <w14:solidFill>
              <w14:schemeClr w14:val="tx1"/>
            </w14:solidFill>
          </w14:textFill>
        </w:rPr>
        <w:outlineLvl w:val="0"/>
      </w:pPr>
      <w:r/>
      <w:bookmarkStart w:id="347" w:name="_Toc12153"/>
      <w:r>
        <w:rPr>
          <w:rFonts w:hint="eastAsia" w:ascii="宋体" w:hAnsi="宋体" w:eastAsia="宋体" w:cs="宋体"/>
          <w:sz w:val="28"/>
          <w:szCs w:val="28"/>
        </w:rPr>
        <w:t xml:space="preserve">日  期：</w:t>
      </w:r>
      <w:bookmarkEnd w:id="337"/>
      <w:r/>
      <w:bookmarkEnd w:id="342"/>
      <w:r/>
      <w:bookmarkEnd w:id="343"/>
      <w:r/>
      <w:bookmarkEnd w:id="344"/>
      <w:r/>
      <w:bookmarkEnd w:id="347"/>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jc w:val="both"/>
        <w:keepLines w:val="0"/>
        <w:keepNext/>
        <w:pageBreakBefore/>
        <w:spacing w:line="400" w:lineRule="exact"/>
        <w:widowControl w:val="off"/>
        <w:rPr>
          <w:rFonts w:hint="default" w:ascii="宋体" w:hAnsi="宋体" w:eastAsia="宋体" w:cs="宋体"/>
          <w:b/>
          <w:color w:val="000000" w:themeColor="text1"/>
          <w:sz w:val="32"/>
          <w:szCs w:val="32"/>
          <w:lang w:val="en-US" w:eastAsia="zh-CN"/>
          <w14:textFill>
            <w14:solidFill>
              <w14:schemeClr w14:val="tx1"/>
            </w14:solidFill>
          </w14:textFill>
        </w:rPr>
        <w:outlineLvl w:val="0"/>
      </w:pPr>
      <w:r>
        <w:rPr>
          <w:rFonts w:hint="eastAsia" w:ascii="宋体" w:hAnsi="宋体" w:eastAsia="宋体" w:cs="宋体"/>
          <w:b/>
          <w:color w:val="000000" w:themeColor="text1"/>
          <w:sz w:val="32"/>
          <w:szCs w:val="32"/>
          <w14:textFill>
            <w14:solidFill>
              <w14:schemeClr w14:val="tx1"/>
            </w14:solidFill>
          </w14:textFill>
        </w:rPr>
        <w:t xml:space="preserve">附件</w:t>
      </w:r>
      <w:r>
        <w:rPr>
          <w:rFonts w:hint="eastAsia" w:ascii="宋体" w:hAnsi="宋体" w:eastAsia="宋体" w:cs="宋体"/>
          <w:b/>
          <w:color w:val="000000" w:themeColor="text1"/>
          <w:sz w:val="32"/>
          <w:szCs w:val="32"/>
          <w:lang w:val="en-US" w:eastAsia="zh-CN"/>
          <w14:textFill>
            <w14:solidFill>
              <w14:schemeClr w14:val="tx1"/>
            </w14:solidFill>
          </w14:textFill>
        </w:rPr>
        <w:t xml:space="preserve">10</w:t>
      </w:r>
      <w:r/>
    </w:p>
    <w:p>
      <w:pPr>
        <w:pStyle w:val="837"/>
        <w:ind w:left="0" w:firstLine="0"/>
        <w:rPr>
          <w:rFonts w:hint="eastAsia" w:ascii="仿宋" w:hAnsi="仿宋" w:eastAsia="仿宋" w:cs="仿宋"/>
          <w:sz w:val="24"/>
          <w:szCs w:val="24"/>
        </w:rPr>
      </w:pPr>
      <w:r>
        <w:rPr>
          <w:rFonts w:hint="eastAsia" w:ascii="仿宋" w:hAnsi="仿宋" w:eastAsia="仿宋" w:cs="仿宋"/>
          <w:sz w:val="24"/>
          <w:szCs w:val="24"/>
        </w:rPr>
      </w:r>
      <w:r/>
    </w:p>
    <w:p>
      <w:pPr>
        <w:ind w:left="0" w:firstLine="0"/>
        <w:jc w:val="center"/>
        <w:keepLines w:val="0"/>
        <w:spacing w:line="400" w:lineRule="exact"/>
        <w:widowControl/>
        <w:rPr>
          <w:rFonts w:hint="eastAsia" w:ascii="宋体" w:hAnsi="宋体" w:eastAsia="宋体" w:cs="宋体"/>
          <w:b/>
          <w:bCs w:val="0"/>
          <w:color w:val="000000" w:themeColor="text1"/>
          <w:sz w:val="36"/>
          <w:szCs w:val="36"/>
          <w:lang w:eastAsia="zh-CN"/>
          <w14:textFill>
            <w14:solidFill>
              <w14:schemeClr w14:val="tx1"/>
            </w14:solidFill>
          </w14:textFill>
        </w:rPr>
      </w:pPr>
      <w:r>
        <w:rPr>
          <w:rFonts w:hint="eastAsia" w:ascii="宋体" w:hAnsi="宋体" w:eastAsia="宋体" w:cs="宋体"/>
          <w:b/>
          <w:bCs w:val="0"/>
          <w:color w:val="000000" w:themeColor="text1"/>
          <w:sz w:val="36"/>
          <w:szCs w:val="36"/>
          <w:lang w:val="en-US" w:eastAsia="zh-CN"/>
          <w14:textFill>
            <w14:solidFill>
              <w14:schemeClr w14:val="tx1"/>
            </w14:solidFill>
          </w14:textFill>
        </w:rPr>
        <w:t xml:space="preserve">投标人类似业绩一览表（如有）</w:t>
      </w:r>
      <w:r/>
    </w:p>
    <w:p>
      <w:pPr>
        <w:ind w:left="0" w:firstLine="0"/>
        <w:jc w:val="left"/>
        <w:keepLines w:val="0"/>
        <w:keepNext w:val="0"/>
        <w:pageBreakBefore w:val="0"/>
        <w:spacing w:beforeAutospacing="0" w:afterAutospacing="0" w:line="360" w:lineRule="auto"/>
        <w:widowControl/>
        <w:rPr>
          <w:rFonts w:hint="eastAsia" w:ascii="宋体" w:hAnsi="宋体" w:eastAsia="宋体" w:cs="宋体"/>
          <w:sz w:val="24"/>
        </w:rPr>
      </w:pPr>
      <w:r>
        <w:rPr>
          <w:rFonts w:hint="eastAsia" w:ascii="宋体" w:hAnsi="宋体" w:eastAsia="宋体" w:cs="宋体"/>
          <w:sz w:val="24"/>
        </w:rPr>
        <w:t xml:space="preserve">项目名称：</w:t>
      </w:r>
      <w:r/>
    </w:p>
    <w:p>
      <w:pPr>
        <w:ind w:left="0" w:firstLine="0"/>
        <w:jc w:val="left"/>
        <w:keepLines w:val="0"/>
        <w:keepNext w:val="0"/>
        <w:pageBreakBefore w:val="0"/>
        <w:spacing w:beforeAutospacing="0" w:afterAutospacing="0" w:line="360" w:lineRule="auto"/>
        <w:widowControl/>
        <w:rPr>
          <w:rFonts w:hint="eastAsia" w:ascii="宋体" w:hAnsi="宋体" w:eastAsia="宋体" w:cs="宋体"/>
          <w:sz w:val="24"/>
          <w:u w:val="single"/>
          <w:lang w:val="en-US"/>
        </w:rPr>
      </w:pPr>
      <w:r>
        <w:rPr>
          <w:rFonts w:hint="eastAsia" w:ascii="宋体" w:hAnsi="宋体" w:eastAsia="宋体" w:cs="宋体"/>
          <w:sz w:val="24"/>
        </w:rPr>
        <w:t xml:space="preserve">项目编号：</w:t>
      </w:r>
      <w:r/>
    </w:p>
    <w:p>
      <w:pPr>
        <w:pStyle w:val="794"/>
        <w:rPr>
          <w:rFonts w:hint="eastAsia" w:ascii="宋体" w:hAnsi="宋体" w:eastAsia="宋体" w:cs="宋体"/>
        </w:rPr>
      </w:pPr>
      <w:r>
        <w:rPr>
          <w:rFonts w:hint="eastAsia" w:ascii="宋体" w:hAnsi="宋体" w:eastAsia="宋体" w:cs="宋体"/>
        </w:rPr>
      </w:r>
      <w:r/>
    </w:p>
    <w:tbl>
      <w:tblPr>
        <w:tblStyle w:val="819"/>
        <w:tblW w:w="699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86"/>
        <w:gridCol w:w="1871"/>
        <w:gridCol w:w="1329"/>
        <w:gridCol w:w="1870"/>
        <w:gridCol w:w="1136"/>
      </w:tblGrid>
      <w:tr>
        <w:trPr>
          <w:jc w:val="center"/>
          <w:trHeight w:val="0"/>
          <w:tblHeader/>
        </w:trPr>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序号</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eastAsia="zh-CN"/>
              </w:rPr>
            </w:pPr>
            <w:r>
              <w:rPr>
                <w:rFonts w:hint="eastAsia" w:ascii="宋体" w:hAnsi="宋体" w:eastAsia="宋体" w:cs="宋体"/>
                <w:b/>
                <w:bCs/>
                <w:sz w:val="24"/>
                <w:szCs w:val="24"/>
                <w:lang w:val="en-US" w:eastAsia="zh-CN"/>
              </w:rPr>
              <w:t xml:space="preserve">合同签订时间</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项目名称</w:t>
            </w:r>
            <w:r/>
          </w:p>
        </w:tc>
        <w:tc>
          <w:tcPr>
            <w:tcW w:w="1870" w:type="dxa"/>
            <w:vAlign w:val="center"/>
            <w:textDirection w:val="lrTb"/>
            <w:noWrap w:val="false"/>
          </w:tcPr>
          <w:p>
            <w:pPr>
              <w:ind w:left="0" w:right="0" w:firstLine="0"/>
              <w:jc w:val="center"/>
              <w:spacing w:after="0" w:line="240" w:lineRule="auto"/>
              <w:rPr>
                <w:rFonts w:hint="default"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服务内容</w:t>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b/>
                <w:bCs/>
                <w:sz w:val="24"/>
                <w:szCs w:val="24"/>
                <w:lang w:val="en-US" w:eastAsia="zh-CN"/>
              </w:rPr>
            </w:pPr>
            <w:r>
              <w:rPr>
                <w:rFonts w:hint="eastAsia" w:ascii="宋体" w:hAnsi="宋体" w:eastAsia="宋体" w:cs="宋体"/>
                <w:b/>
                <w:bCs/>
                <w:sz w:val="24"/>
                <w:szCs w:val="24"/>
                <w:lang w:val="en-US" w:eastAsia="zh-CN"/>
              </w:rPr>
              <w:t xml:space="preserve">备注</w:t>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2</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0" w:type="auto"/>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r>
        <w:trPr>
          <w:jc w:val="center"/>
          <w:trHeight w:val="0"/>
        </w:trPr>
        <w:tc>
          <w:tcPr>
            <w:tcW w:w="78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w:t>
            </w:r>
            <w:r/>
          </w:p>
        </w:tc>
        <w:tc>
          <w:tcPr>
            <w:tcW w:w="1871"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r>
            <w:r/>
          </w:p>
        </w:tc>
        <w:tc>
          <w:tcPr>
            <w:tcW w:w="1329"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870"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c>
          <w:tcPr>
            <w:tcW w:w="1136" w:type="dxa"/>
            <w:vAlign w:val="center"/>
            <w:textDirection w:val="lrTb"/>
            <w:noWrap w:val="false"/>
          </w:tcPr>
          <w:p>
            <w:pPr>
              <w:ind w:left="0" w:right="0" w:firstLine="0"/>
              <w:jc w:val="center"/>
              <w:spacing w:after="0" w:line="240" w:lineRule="auto"/>
              <w:rPr>
                <w:rFonts w:hint="eastAsia" w:ascii="宋体" w:hAnsi="宋体" w:eastAsia="宋体" w:cs="宋体"/>
                <w:sz w:val="24"/>
                <w:szCs w:val="24"/>
                <w:lang w:eastAsia="zh-CN"/>
              </w:rPr>
            </w:pPr>
            <w:r>
              <w:rPr>
                <w:rFonts w:hint="eastAsia" w:ascii="宋体" w:hAnsi="宋体" w:eastAsia="宋体" w:cs="宋体"/>
                <w:sz w:val="24"/>
                <w:szCs w:val="24"/>
                <w:lang w:eastAsia="zh-CN"/>
              </w:rPr>
            </w:r>
            <w:r/>
          </w:p>
        </w:tc>
      </w:tr>
    </w:tbl>
    <w:p>
      <w:pPr>
        <w:pStyle w:val="817"/>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注：1.此表仅提供了表格样式，各</w:t>
      </w: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可参照上述格式自制表格，但应至少包含上述表格内条目。</w:t>
      </w:r>
      <w:r/>
    </w:p>
    <w:p>
      <w:pPr>
        <w:numPr>
          <w:ilvl w:val="0"/>
          <w:numId w:val="14"/>
        </w:num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供应商</w:t>
      </w:r>
      <w:r>
        <w:rPr>
          <w:rFonts w:hint="eastAsia" w:ascii="宋体" w:hAnsi="宋体" w:eastAsia="宋体" w:cs="宋体"/>
          <w:sz w:val="24"/>
        </w:rPr>
        <w:t xml:space="preserve">应如实填写</w:t>
      </w:r>
      <w:r>
        <w:rPr>
          <w:rFonts w:hint="eastAsia" w:ascii="宋体" w:hAnsi="宋体" w:eastAsia="宋体" w:cs="宋体"/>
          <w:sz w:val="24"/>
          <w:lang w:eastAsia="zh-CN"/>
        </w:rPr>
        <w:t xml:space="preserve">业绩信息</w:t>
      </w:r>
      <w:r>
        <w:rPr>
          <w:rFonts w:hint="eastAsia" w:ascii="宋体" w:hAnsi="宋体" w:eastAsia="宋体" w:cs="宋体"/>
          <w:sz w:val="24"/>
        </w:rPr>
        <w:t xml:space="preserve">，并附相关证明材料</w:t>
      </w:r>
      <w:r>
        <w:rPr>
          <w:rFonts w:hint="eastAsia" w:ascii="宋体" w:hAnsi="宋体" w:eastAsia="宋体" w:cs="宋体"/>
          <w:sz w:val="24"/>
          <w:lang w:val="en-US" w:eastAsia="zh-CN"/>
        </w:rPr>
        <w:t xml:space="preserve">原件扫描件</w:t>
      </w:r>
      <w:r>
        <w:rPr>
          <w:rFonts w:hint="eastAsia" w:ascii="宋体" w:hAnsi="宋体" w:eastAsia="宋体" w:cs="宋体"/>
          <w:sz w:val="24"/>
        </w:rPr>
        <w:t xml:space="preserve">。</w:t>
      </w:r>
      <w:r/>
    </w:p>
    <w:p>
      <w:pPr>
        <w:numPr>
          <w:ilvl w:val="0"/>
          <w:numId w:val="14"/>
        </w:numPr>
        <w:ind w:firstLine="480"/>
        <w:spacing w:line="360" w:lineRule="auto"/>
        <w:rPr>
          <w:rFonts w:hint="eastAsia" w:ascii="宋体" w:hAnsi="宋体" w:eastAsia="宋体" w:cs="宋体"/>
          <w:sz w:val="24"/>
        </w:rPr>
      </w:pPr>
      <w:r>
        <w:rPr>
          <w:rFonts w:hint="eastAsia" w:ascii="宋体" w:hAnsi="宋体" w:eastAsia="宋体" w:cs="宋体"/>
          <w:sz w:val="24"/>
          <w:lang w:val="en-US" w:eastAsia="zh-CN"/>
        </w:rPr>
        <w:t xml:space="preserve">后附业绩请按上面序号排放。</w:t>
      </w:r>
      <w:r/>
    </w:p>
    <w:p>
      <w:pPr>
        <w:pStyle w:val="818"/>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bidi="ar-SA"/>
        </w:rPr>
      </w:r>
      <w:r/>
    </w:p>
    <w:p>
      <w:pPr>
        <w:pStyle w:val="818"/>
        <w:rPr>
          <w:rFonts w:hint="eastAsia" w:ascii="宋体" w:hAnsi="宋体" w:eastAsia="宋体" w:cs="宋体"/>
          <w:sz w:val="24"/>
          <w:szCs w:val="24"/>
          <w:highlight w:val="none"/>
          <w:lang w:val="en-US" w:eastAsia="zh-CN" w:bidi="ar-SA"/>
        </w:rPr>
      </w:pPr>
      <w:r>
        <w:rPr>
          <w:rFonts w:hint="eastAsia" w:ascii="宋体" w:hAnsi="宋体" w:eastAsia="宋体" w:cs="宋体"/>
          <w:sz w:val="24"/>
          <w:szCs w:val="24"/>
          <w:highlight w:val="none"/>
          <w:lang w:val="en-US" w:eastAsia="zh-CN" w:bidi="ar-SA"/>
        </w:rPr>
      </w:r>
      <w:r/>
    </w:p>
    <w:p>
      <w:pPr>
        <w:ind w:firstLine="3000"/>
        <w:spacing w:line="300" w:lineRule="auto"/>
        <w:rPr>
          <w:rFonts w:hint="eastAsia" w:ascii="宋体" w:hAnsi="宋体" w:eastAsia="宋体" w:cs="宋体"/>
          <w:sz w:val="24"/>
          <w:highlight w:val="none"/>
        </w:rPr>
      </w:pPr>
      <w:r>
        <w:rPr>
          <w:rFonts w:hint="eastAsia" w:ascii="宋体" w:hAnsi="宋体" w:eastAsia="宋体" w:cs="宋体"/>
          <w:sz w:val="24"/>
          <w:highlight w:val="none"/>
        </w:rPr>
        <w:t xml:space="preserve"> </w:t>
      </w:r>
      <w:r>
        <w:rPr>
          <w:rFonts w:hint="eastAsia" w:ascii="宋体" w:hAnsi="宋体" w:eastAsia="宋体" w:cs="宋体"/>
          <w:color w:val="000000" w:themeColor="text1"/>
          <w:sz w:val="24"/>
          <w:szCs w:val="24"/>
          <w:lang w:val="en-US" w:eastAsia="zh-CN"/>
          <w14:textFill>
            <w14:solidFill>
              <w14:schemeClr w14:val="tx1"/>
            </w14:solidFill>
          </w14:textFill>
        </w:rPr>
        <w:t xml:space="preserve">投标人</w:t>
      </w:r>
      <w:r>
        <w:rPr>
          <w:rFonts w:hint="eastAsia" w:ascii="宋体" w:hAnsi="宋体" w:eastAsia="宋体" w:cs="宋体"/>
          <w:color w:val="000000" w:themeColor="text1"/>
          <w:sz w:val="24"/>
          <w:szCs w:val="24"/>
          <w14:textFill>
            <w14:solidFill>
              <w14:schemeClr w14:val="tx1"/>
            </w14:solidFill>
          </w14:textFill>
        </w:rPr>
        <w:t xml:space="preserve">全称（加盖CA电子公章）：</w:t>
      </w:r>
      <w:r/>
    </w:p>
    <w:p>
      <w:pPr>
        <w:ind w:firstLine="480"/>
        <w:spacing w:line="300" w:lineRule="auto"/>
        <w:rPr>
          <w:rFonts w:hint="eastAsia" w:ascii="宋体" w:hAnsi="宋体" w:eastAsia="宋体" w:cs="宋体"/>
          <w:sz w:val="24"/>
        </w:rPr>
      </w:pPr>
      <w:r>
        <w:rPr>
          <w:rFonts w:hint="eastAsia" w:ascii="宋体" w:hAnsi="宋体" w:eastAsia="宋体" w:cs="宋体"/>
          <w:sz w:val="24"/>
        </w:rPr>
        <w:t xml:space="preserve">                </w:t>
      </w:r>
      <w:r/>
    </w:p>
    <w:p>
      <w:pPr>
        <w:ind w:firstLine="3120"/>
        <w:spacing w:line="360" w:lineRule="auto"/>
        <w:rPr>
          <w:rFonts w:hint="eastAsia" w:ascii="宋体" w:hAnsi="宋体" w:eastAsia="宋体" w:cs="宋体"/>
          <w:b/>
          <w:color w:val="000000" w:themeColor="text1"/>
          <w:sz w:val="24"/>
          <w:szCs w:val="21"/>
          <w:lang w:eastAsia="zh-CN"/>
          <w14:textFill>
            <w14:solidFill>
              <w14:schemeClr w14:val="tx1"/>
            </w14:solidFill>
          </w14:textFill>
        </w:rPr>
      </w:pPr>
      <w:r>
        <w:rPr>
          <w:rFonts w:hint="eastAsia" w:ascii="宋体" w:hAnsi="宋体" w:eastAsia="宋体" w:cs="宋体"/>
          <w:sz w:val="24"/>
        </w:rPr>
        <w:t xml:space="preserve">日期：   年  月  日</w:t>
      </w:r>
      <w:r/>
    </w:p>
    <w:p>
      <w:pPr>
        <w:ind w:left="0" w:firstLine="0"/>
        <w:rPr>
          <w:rFonts w:hint="eastAsia" w:ascii="仿宋" w:hAnsi="仿宋" w:eastAsia="仿宋" w:cs="仿宋"/>
        </w:rPr>
      </w:pPr>
      <w:r>
        <w:rPr>
          <w:rFonts w:hint="eastAsia" w:ascii="仿宋" w:hAnsi="仿宋" w:eastAsia="仿宋" w:cs="仿宋"/>
        </w:rPr>
      </w:r>
      <w:r/>
    </w:p>
    <w:p>
      <w:pPr>
        <w:pStyle w:val="836"/>
        <w:ind w:left="0" w:firstLine="0"/>
        <w:jc w:val="center"/>
        <w:keepLines w:val="0"/>
        <w:keepNext/>
        <w:pageBreakBefore/>
        <w:widowControl/>
        <w:rPr>
          <w:rFonts w:hint="eastAsia" w:ascii="仿宋" w:hAnsi="仿宋" w:eastAsia="仿宋" w:cs="仿宋"/>
          <w:b/>
          <w:bCs/>
          <w:sz w:val="32"/>
          <w:szCs w:val="32"/>
          <w:lang w:val="en-US" w:eastAsia="zh-CN"/>
        </w:rPr>
        <w:outlineLvl w:val="0"/>
      </w:pPr>
      <w:r/>
      <w:bookmarkStart w:id="348" w:name="_Toc25562"/>
      <w:r/>
      <w:bookmarkStart w:id="349" w:name="_Toc12488"/>
      <w:r/>
      <w:bookmarkStart w:id="350" w:name="_Toc24869"/>
      <w:r/>
      <w:bookmarkStart w:id="351" w:name="_Toc1056"/>
      <w:r>
        <w:rPr>
          <w:rFonts w:hint="eastAsia" w:ascii="仿宋" w:hAnsi="仿宋" w:eastAsia="仿宋" w:cs="仿宋"/>
          <w:b/>
          <w:bCs/>
          <w:sz w:val="32"/>
          <w:szCs w:val="32"/>
          <w:lang w:val="en-US" w:eastAsia="zh-CN"/>
        </w:rPr>
        <w:t xml:space="preserve">第七章 质疑函范本</w:t>
      </w:r>
      <w:bookmarkEnd w:id="348"/>
      <w:r/>
      <w:bookmarkEnd w:id="349"/>
      <w:r/>
      <w:bookmarkEnd w:id="350"/>
      <w:r/>
      <w:bookmarkEnd w:id="351"/>
      <w:r/>
      <w:r/>
    </w:p>
    <w:p>
      <w:pPr>
        <w:ind w:left="0" w:firstLine="0"/>
        <w:keepLines w:val="0"/>
        <w:keepNext w:val="0"/>
        <w:pageBreakBefore w:val="0"/>
        <w:spacing w:before="287" w:line="500" w:lineRule="exact"/>
        <w:widowControl w:val="off"/>
        <w:rPr>
          <w:rFonts w:hint="eastAsia" w:ascii="仿宋" w:hAnsi="仿宋" w:eastAsia="仿宋" w:cs="仿宋"/>
          <w:bCs/>
          <w:sz w:val="24"/>
          <w:szCs w:val="24"/>
        </w:rPr>
        <w:outlineLvl w:val="0"/>
      </w:pPr>
      <w:r/>
      <w:bookmarkStart w:id="352" w:name="_Toc9492"/>
      <w:r/>
      <w:bookmarkStart w:id="353" w:name="_Toc7846"/>
      <w:r>
        <w:rPr>
          <w:rFonts w:hint="eastAsia" w:ascii="仿宋" w:hAnsi="仿宋" w:eastAsia="仿宋" w:cs="仿宋"/>
          <w:bCs/>
          <w:sz w:val="24"/>
          <w:szCs w:val="24"/>
        </w:rPr>
        <w:t xml:space="preserve">一、质疑供应商基本信息</w:t>
      </w:r>
      <w:bookmarkEnd w:id="352"/>
      <w:r/>
      <w:bookmarkEnd w:id="353"/>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质疑供应商：</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联系人：</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授权代表：</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联系电话：</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地址： </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邮编：</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bCs/>
          <w:sz w:val="24"/>
          <w:szCs w:val="24"/>
        </w:rPr>
        <w:outlineLvl w:val="0"/>
      </w:pPr>
      <w:r/>
      <w:bookmarkStart w:id="354" w:name="_Toc5078"/>
      <w:r/>
      <w:bookmarkStart w:id="355" w:name="_Toc12382"/>
      <w:r>
        <w:rPr>
          <w:rFonts w:hint="eastAsia" w:ascii="仿宋" w:hAnsi="仿宋" w:eastAsia="仿宋" w:cs="仿宋"/>
          <w:bCs/>
          <w:sz w:val="24"/>
          <w:szCs w:val="24"/>
        </w:rPr>
        <w:t xml:space="preserve">二、质疑项目基本情况</w:t>
      </w:r>
      <w:bookmarkEnd w:id="354"/>
      <w:r/>
      <w:bookmarkEnd w:id="355"/>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质疑项目的名称：</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质疑项目的编号：</w:t>
      </w:r>
      <w:r>
        <w:rPr>
          <w:rFonts w:hint="eastAsia" w:ascii="仿宋" w:hAnsi="仿宋" w:eastAsia="仿宋" w:cs="仿宋"/>
          <w:sz w:val="24"/>
          <w:szCs w:val="24"/>
          <w:u w:val="single"/>
        </w:rPr>
        <w:t xml:space="preserve">               </w:t>
      </w:r>
      <w:r>
        <w:rPr>
          <w:rFonts w:hint="eastAsia" w:ascii="仿宋" w:hAnsi="仿宋" w:eastAsia="仿宋" w:cs="仿宋"/>
          <w:sz w:val="24"/>
          <w:szCs w:val="24"/>
        </w:rPr>
        <w:t xml:space="preserve">包号：</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采购人名称：</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采购文件获取日期：</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bCs/>
          <w:sz w:val="24"/>
          <w:szCs w:val="24"/>
        </w:rPr>
        <w:outlineLvl w:val="0"/>
      </w:pPr>
      <w:r/>
      <w:bookmarkStart w:id="356" w:name="_Toc1721"/>
      <w:r/>
      <w:bookmarkStart w:id="357" w:name="_Toc684"/>
      <w:r>
        <w:rPr>
          <w:rFonts w:hint="eastAsia" w:ascii="仿宋" w:hAnsi="仿宋" w:eastAsia="仿宋" w:cs="仿宋"/>
          <w:bCs/>
          <w:sz w:val="24"/>
          <w:szCs w:val="24"/>
        </w:rPr>
        <w:t xml:space="preserve">三、质疑事项具体内容</w:t>
      </w:r>
      <w:bookmarkEnd w:id="356"/>
      <w:r/>
      <w:bookmarkEnd w:id="357"/>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质疑事项1：</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事实依据：</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法律依据：</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质疑事项2</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w:t>
      </w:r>
      <w:r/>
    </w:p>
    <w:p>
      <w:pPr>
        <w:ind w:left="0" w:firstLine="0"/>
        <w:keepLines w:val="0"/>
        <w:keepNext w:val="0"/>
        <w:pageBreakBefore w:val="0"/>
        <w:spacing w:line="500" w:lineRule="exact"/>
        <w:widowControl w:val="off"/>
        <w:rPr>
          <w:rFonts w:hint="eastAsia" w:ascii="仿宋" w:hAnsi="仿宋" w:eastAsia="仿宋" w:cs="仿宋"/>
          <w:bCs/>
          <w:sz w:val="24"/>
          <w:szCs w:val="24"/>
        </w:rPr>
        <w:outlineLvl w:val="0"/>
      </w:pPr>
      <w:r/>
      <w:bookmarkStart w:id="358" w:name="_Toc21583"/>
      <w:r/>
      <w:bookmarkStart w:id="359" w:name="_Toc19849"/>
      <w:r>
        <w:rPr>
          <w:rFonts w:hint="eastAsia" w:ascii="仿宋" w:hAnsi="仿宋" w:eastAsia="仿宋" w:cs="仿宋"/>
          <w:bCs/>
          <w:sz w:val="24"/>
          <w:szCs w:val="24"/>
        </w:rPr>
        <w:t xml:space="preserve">四、与质疑事项相关的质疑请求</w:t>
      </w:r>
      <w:bookmarkEnd w:id="358"/>
      <w:r/>
      <w:bookmarkEnd w:id="359"/>
      <w:r/>
      <w:r/>
    </w:p>
    <w:p>
      <w:pPr>
        <w:ind w:left="0" w:firstLine="0"/>
        <w:keepLines w:val="0"/>
        <w:keepNext w:val="0"/>
        <w:pageBreakBefore w:val="0"/>
        <w:spacing w:line="500" w:lineRule="exact"/>
        <w:widowControl w:val="off"/>
        <w:rPr>
          <w:rFonts w:hint="eastAsia" w:ascii="仿宋" w:hAnsi="仿宋" w:eastAsia="仿宋" w:cs="仿宋"/>
          <w:sz w:val="24"/>
          <w:szCs w:val="24"/>
          <w:u w:val="single"/>
        </w:rPr>
      </w:pPr>
      <w:r>
        <w:rPr>
          <w:rFonts w:hint="eastAsia" w:ascii="仿宋" w:hAnsi="仿宋" w:eastAsia="仿宋" w:cs="仿宋"/>
          <w:sz w:val="24"/>
          <w:szCs w:val="24"/>
        </w:rPr>
        <w:t xml:space="preserve">请求：</w:t>
      </w:r>
      <w:r>
        <w:rPr>
          <w:rFonts w:hint="eastAsia" w:ascii="仿宋" w:hAnsi="仿宋" w:eastAsia="仿宋" w:cs="仿宋"/>
          <w:sz w:val="24"/>
          <w:szCs w:val="24"/>
          <w:u w:val="single"/>
        </w:rPr>
        <w:t xml:space="preserve">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签字(签章)：                   公章：                      </w:t>
      </w:r>
      <w:r/>
    </w:p>
    <w:p>
      <w:pPr>
        <w:ind w:left="0" w:firstLine="0"/>
        <w:keepLines w:val="0"/>
        <w:keepNext w:val="0"/>
        <w:pageBreakBefore w:val="0"/>
        <w:spacing w:line="500" w:lineRule="exact"/>
        <w:widowControl w:val="off"/>
        <w:rPr>
          <w:rFonts w:hint="eastAsia" w:ascii="仿宋" w:hAnsi="仿宋" w:eastAsia="仿宋" w:cs="仿宋"/>
          <w:sz w:val="24"/>
          <w:szCs w:val="24"/>
        </w:rPr>
      </w:pPr>
      <w:r>
        <w:rPr>
          <w:rFonts w:hint="eastAsia" w:ascii="仿宋" w:hAnsi="仿宋" w:eastAsia="仿宋" w:cs="仿宋"/>
          <w:sz w:val="24"/>
          <w:szCs w:val="24"/>
        </w:rPr>
        <w:t xml:space="preserve">日期：    </w:t>
      </w:r>
      <w:r/>
    </w:p>
    <w:p>
      <w:pPr>
        <w:ind w:left="0" w:firstLine="0"/>
        <w:jc w:val="center"/>
        <w:rPr>
          <w:rFonts w:hint="eastAsia" w:ascii="仿宋" w:hAnsi="仿宋" w:eastAsia="仿宋" w:cs="仿宋"/>
          <w:b/>
          <w:bCs/>
          <w:sz w:val="24"/>
          <w:szCs w:val="24"/>
        </w:rPr>
      </w:pPr>
      <w:r>
        <w:rPr>
          <w:rFonts w:hint="eastAsia" w:ascii="仿宋" w:hAnsi="仿宋" w:eastAsia="仿宋" w:cs="仿宋"/>
          <w:b/>
          <w:bCs/>
          <w:sz w:val="24"/>
          <w:szCs w:val="24"/>
        </w:rPr>
      </w:r>
      <w:r/>
    </w:p>
    <w:p>
      <w:pPr>
        <w:ind w:left="0" w:firstLine="0"/>
        <w:rPr>
          <w:rFonts w:hint="eastAsia" w:ascii="仿宋" w:hAnsi="仿宋" w:eastAsia="仿宋" w:cs="仿宋"/>
          <w:b/>
          <w:sz w:val="24"/>
          <w:szCs w:val="24"/>
        </w:rPr>
      </w:pPr>
      <w:r>
        <w:rPr>
          <w:rFonts w:hint="eastAsia" w:ascii="仿宋" w:hAnsi="仿宋" w:eastAsia="仿宋" w:cs="仿宋"/>
          <w:b/>
          <w:sz w:val="24"/>
          <w:szCs w:val="24"/>
        </w:rPr>
      </w:r>
      <w:r/>
    </w:p>
    <w:p>
      <w:pPr>
        <w:pStyle w:val="796"/>
        <w:ind w:left="0" w:firstLine="0"/>
        <w:rPr>
          <w:rFonts w:hint="eastAsia" w:ascii="仿宋" w:hAnsi="仿宋" w:eastAsia="仿宋" w:cs="仿宋"/>
        </w:rPr>
      </w:pPr>
      <w:r>
        <w:rPr>
          <w:rFonts w:hint="eastAsia" w:ascii="仿宋" w:hAnsi="仿宋" w:eastAsia="仿宋" w:cs="仿宋"/>
        </w:rPr>
      </w:r>
      <w:r/>
    </w:p>
    <w:p>
      <w:pPr>
        <w:rPr>
          <w:rFonts w:hint="eastAsia"/>
        </w:rPr>
      </w:pPr>
      <w:r>
        <w:rPr>
          <w:rFonts w:hint="eastAsia"/>
        </w:rPr>
      </w:r>
      <w:r/>
    </w:p>
    <w:p>
      <w:pPr>
        <w:ind w:left="0" w:firstLine="0"/>
        <w:keepLines w:val="0"/>
        <w:keepNext w:val="0"/>
        <w:pageBreakBefore w:val="0"/>
        <w:spacing w:line="500" w:lineRule="exact"/>
        <w:rPr>
          <w:rFonts w:hint="eastAsia" w:ascii="仿宋" w:hAnsi="仿宋" w:eastAsia="仿宋" w:cs="仿宋"/>
          <w:b/>
          <w:sz w:val="24"/>
          <w:szCs w:val="24"/>
        </w:rPr>
      </w:pPr>
      <w:r>
        <w:rPr>
          <w:rFonts w:hint="eastAsia" w:ascii="仿宋" w:hAnsi="仿宋" w:eastAsia="仿宋" w:cs="仿宋"/>
          <w:b/>
          <w:sz w:val="24"/>
          <w:szCs w:val="24"/>
        </w:rPr>
        <w:t xml:space="preserve">质疑函制作说明：</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1.供应商提出质疑时，应提交质疑函和必要的证明材料。</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3.质疑供应商若对项目的某一分包进行质疑，质疑函中应列明具体分包号。</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4.质疑函的质疑事项应具体、明确，并有必要的事实依据和法律依据。</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5.质疑函的质疑请求应与质疑事项相关。</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6.质疑供应商为自然人的，质疑函应由本人签字；质疑供应商为法人或者其他组织的，质疑函应由法定代表人、主要负责人，或者其授权代表签字或者盖章，并加盖公章。</w:t>
      </w:r>
      <w:r/>
    </w:p>
    <w:p>
      <w:pPr>
        <w:ind w:left="0" w:firstLine="0"/>
        <w:jc w:val="left"/>
        <w:keepLines w:val="0"/>
        <w:keepNext w:val="0"/>
        <w:pageBreakBefore w:val="0"/>
        <w:spacing w:line="500" w:lineRule="exact"/>
        <w:widowControl/>
        <w:rPr>
          <w:rFonts w:hint="eastAsia" w:ascii="仿宋" w:hAnsi="仿宋" w:eastAsia="仿宋" w:cs="仿宋"/>
          <w:sz w:val="24"/>
          <w:szCs w:val="24"/>
        </w:rPr>
      </w:pPr>
      <w:r>
        <w:rPr>
          <w:rFonts w:hint="eastAsia" w:ascii="仿宋" w:hAnsi="仿宋" w:eastAsia="仿宋" w:cs="仿宋"/>
          <w:sz w:val="24"/>
          <w:szCs w:val="24"/>
        </w:rPr>
        <w:t xml:space="preserve">7.按该表格填写，一式两份，并将该函和相关证据盖公章在规定的时间内分别送达采购人和采购代理机构。</w:t>
      </w:r>
      <w:r/>
    </w:p>
    <w:p>
      <w:pPr>
        <w:jc w:val="both"/>
        <w:keepLines w:val="0"/>
        <w:keepNext w:val="0"/>
        <w:pageBreakBefore w:val="0"/>
        <w:spacing w:after="287"/>
        <w:widowControl w:val="off"/>
        <w:rPr>
          <w:rFonts w:hint="default" w:ascii="楷体" w:hAnsi="楷体" w:eastAsia="楷体"/>
          <w:b/>
          <w:bCs/>
          <w:sz w:val="36"/>
          <w:lang w:val="en-US" w:eastAsia="zh-CN"/>
        </w:rPr>
      </w:pPr>
      <w:r>
        <w:rPr>
          <w:rFonts w:hint="default" w:ascii="楷体" w:hAnsi="楷体" w:eastAsia="楷体"/>
          <w:b/>
          <w:bCs/>
          <w:sz w:val="36"/>
          <w:lang w:val="en-US" w:eastAsia="zh-CN"/>
        </w:rPr>
      </w:r>
      <w:r/>
    </w:p>
    <w:sectPr>
      <w:headerReference w:type="first" r:id="rId11"/>
      <w:footerReference w:type="default" r:id="rId13"/>
      <w:footerReference w:type="first" r:id="rId14"/>
      <w:footnotePr/>
      <w:endnotePr/>
      <w:type w:val="nextPage"/>
      <w:pgSz w:w="11906" w:h="16838" w:orient="portrait"/>
      <w:pgMar w:top="1440" w:right="1800" w:bottom="1440" w:left="1800" w:header="851" w:footer="992" w:gutter="0"/>
      <w:pgNumType w:start="1"/>
      <w:cols w:num="1" w:sep="0" w:space="425"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line="240" w:lineRule="auto"/>
      </w:pPr>
      <w:r>
        <w:separator/>
      </w:r>
      <w:r/>
    </w:p>
  </w:endnote>
  <w:endnote w:type="continuationSeparator" w:id="0">
    <w:p>
      <w:pPr>
        <w:spacing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方正仿宋_GBK">
    <w:panose1 w:val="020B0503020202020204"/>
  </w:font>
  <w:font w:name="方正小标宋_GBK">
    <w:panose1 w:val="020B0503020202020204"/>
  </w:font>
  <w:font w:name="方正小标宋简体">
    <w:panose1 w:val="020B0503020202020204"/>
  </w:font>
  <w:font w:name="楷体">
    <w:panose1 w:val="02010609060101010101"/>
  </w:font>
  <w:font w:name="Symbol">
    <w:panose1 w:val="05050102010706020507"/>
  </w:font>
  <w:font w:name="方正仿宋_GB2312">
    <w:panose1 w:val="020B0503020202020204"/>
  </w:font>
  <w:font w:name="Cambria">
    <w:panose1 w:val="02040503050406030204"/>
  </w:font>
  <w:font w:name="Calibri">
    <w:panose1 w:val="020F0502020204030204"/>
  </w:font>
  <w:font w:name="Courier New">
    <w:panose1 w:val="02070309020205020404"/>
  </w:font>
  <w:font w:name="黑体">
    <w:panose1 w:val="02010609060101010101"/>
  </w:font>
  <w:font w:name="仿宋_GB2312">
    <w:panose1 w:val="02010609060101010101"/>
  </w:font>
  <w:font w:name="楷体_GB2312">
    <w:panose1 w:val="02010609060101010101"/>
  </w:font>
  <w:font w:name="Century Schoolbook">
    <w:panose1 w:val="02040604050505020304"/>
  </w:font>
  <w:font w:name="华文楷体">
    <w:panose1 w:val="02010600040101010101"/>
  </w:font>
  <w:font w:name="Wingdings">
    <w:panose1 w:val="05000000000000000000"/>
  </w:font>
  <w:font w:name="Arial">
    <w:panose1 w:val="020B0604020202020204"/>
  </w:font>
  <w:font w:name="仿宋">
    <w:panose1 w:val="0201060906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pBdr>
        <w:top w:val="single" w:color="auto" w:sz="4" w:space="0"/>
      </w:pBdr>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right"/>
    </w:pPr>
    <w:r>
      <mc:AlternateContent>
        <mc:Choice Requires="wpg">
          <w:drawing>
            <wp:inline xmlns:wp="http://schemas.openxmlformats.org/drawingml/2006/wordprocessingDrawing" distT="0" distB="0" distL="0" distR="0">
              <wp:extent cx="790575" cy="238125"/>
              <wp:effectExtent l="0" t="0" r="0" b="0"/>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pic:cNvPicPr>
                      <pic:nvPr/>
                    </pic:nvPicPr>
                    <pic:blipFill>
                      <a:blip r:embed="rId1"/>
                      <a:stretch/>
                    </pic:blipFill>
                    <pic:spPr bwMode="auto">
                      <a:xfrm>
                        <a:off x="0" y="0"/>
                        <a:ext cx="790575" cy="238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2" o:spid="_x0000_s2" type="#_x0000_t75" style="width:62.2pt;height:18.8pt;mso-wrap-distance-left:0.0pt;mso-wrap-distance-top:0.0pt;mso-wrap-distance-right:0.0pt;mso-wrap-distance-bottom:0.0pt;" stroked="false">
              <v:path textboxrect="0,0,0,0"/>
              <v:imagedata r:id="rId1" o:title=""/>
            </v:shape>
          </w:pict>
        </mc:Fallback>
      </mc:AlternateContent>
    </w:r>
    <w:r>
      <w:t xml:space="preserve">                                      </w:t>
    </w:r>
    <w:r>
      <w:fldChar w:fldCharType="begin"/>
    </w:r>
    <w:r>
      <w:instrText xml:space="preserve">PAGE \* MERGEFORMAT</w:instrText>
    </w:r>
    <w:r>
      <w:fldChar w:fldCharType="separate"/>
    </w:r>
    <w:r>
      <w:t xml:space="preserve">2</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3"/>
      <w:jc w:val="right"/>
    </w:pPr>
    <w:r>
      <mc:AlternateContent>
        <mc:Choice Requires="wpg">
          <w:drawing>
            <wp:inline xmlns:wp="http://schemas.openxmlformats.org/drawingml/2006/wordprocessingDrawing" distT="0" distB="0" distL="0" distR="0">
              <wp:extent cx="790575" cy="238125"/>
              <wp:effectExtent l="0" t="0" r="0" b="0"/>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pic:cNvPicPr>
                      <pic:nvPr/>
                    </pic:nvPicPr>
                    <pic:blipFill>
                      <a:blip r:embed="rId1"/>
                      <a:stretch/>
                    </pic:blipFill>
                    <pic:spPr bwMode="auto">
                      <a:xfrm>
                        <a:off x="0" y="0"/>
                        <a:ext cx="790575" cy="238125"/>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62.2pt;height:18.8pt;mso-wrap-distance-left:0.0pt;mso-wrap-distance-top:0.0pt;mso-wrap-distance-right:0.0pt;mso-wrap-distance-bottom:0.0pt;" stroked="false">
              <v:path textboxrect="0,0,0,0"/>
              <v:imagedata r:id="rId1" o:title=""/>
            </v:shape>
          </w:pict>
        </mc:Fallback>
      </mc:AlternateContent>
    </w:r>
    <w:r>
      <w:t xml:space="preserve">                                      </w:t>
    </w:r>
    <w:r>
      <w:fldChar w:fldCharType="begin"/>
    </w:r>
    <w:r>
      <w:instrText xml:space="preserve">PAGE \* MERGEFORMAT</w:instrText>
    </w:r>
    <w:r>
      <w:fldChar w:fldCharType="separate"/>
    </w:r>
    <w:r>
      <w:t xml:space="preserve">1</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line="240" w:lineRule="auto"/>
      </w:pPr>
      <w:r>
        <w:separator/>
      </w:r>
      <w:r/>
    </w:p>
  </w:footnote>
  <w:footnote w:type="continuationSeparator" w:id="0">
    <w:p>
      <w:pPr>
        <w:spacing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left="0" w:right="0" w:firstLine="0"/>
      <w:jc w:val="center"/>
      <w:pBdr>
        <w:bottom w:val="single" w:color="auto" w:sz="4" w:space="1"/>
      </w:pBdr>
    </w:pP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04165" cy="331470"/>
              <wp:effectExtent l="0" t="0" r="635" b="11430"/>
              <wp:docPr id="1" name="图片 5"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5"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23.9pt;height:26.1pt;mso-wrap-distance-left:0.0pt;mso-wrap-distance-top:0.0pt;mso-wrap-distance-right:0.0pt;mso-wrap-distance-bottom:0.0pt;" stroked="f" strokeweight="0.75pt">
              <v:path textboxrect="0,0,0,0"/>
              <v:imagedata r:id="rId1" o:title=""/>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jc w:val="center"/>
      <w:pBdr>
        <w:bottom w:val="none" w:color="auto"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05"/>
      <w:ind w:left="0" w:firstLine="0"/>
      <w:jc w:val="center"/>
      <w:pBdr>
        <w:bottom w:val="single" w:color="auto" w:sz="4" w:space="1"/>
      </w:pBdr>
    </w:pPr>
    <w:r>
      <w:rPr>
        <w:rFonts w:ascii="宋体" w:hAnsi="宋体" w:eastAsia="宋体" w:cs="宋体"/>
        <w:sz w:val="24"/>
        <w:szCs w:val="24"/>
        <w:lang w:val="en-US" w:eastAsia="zh-CN" w:bidi="ar"/>
      </w:rPr>
      <mc:AlternateContent>
        <mc:Choice Requires="wpg">
          <w:drawing>
            <wp:inline xmlns:wp="http://schemas.openxmlformats.org/drawingml/2006/wordprocessingDrawing" distT="0" distB="0" distL="0" distR="0">
              <wp:extent cx="304165" cy="331470"/>
              <wp:effectExtent l="0" t="0" r="635" b="11430"/>
              <wp:docPr id="2" name="图片 9" descr="IMG_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9" descr="IMG_256"/>
                      <pic:cNvPicPr>
                        <a:picLocks noChangeAspect="1"/>
                      </pic:cNvPicPr>
                      <pic:nvPr/>
                    </pic:nvPicPr>
                    <pic:blipFill>
                      <a:blip r:embed="rId1"/>
                      <a:stretch/>
                    </pic:blipFill>
                    <pic:spPr bwMode="auto">
                      <a:xfrm>
                        <a:off x="0" y="0"/>
                        <a:ext cx="304165" cy="331470"/>
                      </a:xfrm>
                      <a:prstGeom prst="rect">
                        <a:avLst/>
                      </a:prstGeom>
                      <a:noFill/>
                      <a:ln w="9525">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3.9pt;height:26.1pt;mso-wrap-distance-left:0.0pt;mso-wrap-distance-top:0.0pt;mso-wrap-distance-right:0.0pt;mso-wrap-distance-bottom:0.0pt;" stroked="f" strokeweight="0.75pt">
              <v:path textboxrect="0,0,0,0"/>
              <v:imagedata r:id="rId1" o:title=""/>
            </v:shape>
          </w:pict>
        </mc:Fallback>
      </mc:AlternateConten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
      <w:isLgl w:val="false"/>
      <w:suff w:val="nothing"/>
      <w:lvlText w:val="第%1章 "/>
      <w:lvlJc w:val="left"/>
      <w:pPr>
        <w:ind w:left="0" w:firstLine="402"/>
      </w:pPr>
      <w:rPr>
        <w:rFonts w:hint="eastAsia"/>
      </w:rPr>
    </w:lvl>
    <w:lvl w:ilvl="1">
      <w:start w:val="1"/>
      <w:numFmt w:val="chineseCounting"/>
      <w:isLgl w:val="false"/>
      <w:suff w:val="nothing"/>
      <w:lvlText w:val="%2、"/>
      <w:lvlJc w:val="left"/>
      <w:pPr>
        <w:ind w:left="0" w:firstLine="402"/>
      </w:pPr>
      <w:rPr>
        <w:rFonts w:hint="eastAsia"/>
      </w:rPr>
    </w:lvl>
    <w:lvl w:ilvl="2">
      <w:start w:val="1"/>
      <w:numFmt w:val="decimal"/>
      <w:isLgl w:val="false"/>
      <w:suff w:val="nothing"/>
      <w:lvlText w:val="%3．"/>
      <w:lvlJc w:val="left"/>
      <w:pPr>
        <w:ind w:left="0" w:firstLine="402"/>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5">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5"/>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EnclosedCircleChinese"/>
      <w:isLgl w:val="false"/>
      <w:suff w:val="nothing"/>
      <w:lvlText w:val="%1　"/>
      <w:lvlJc w:val="left"/>
      <w:pPr>
        <w:ind w:left="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8"/>
  </w:num>
  <w:num w:numId="3">
    <w:abstractNumId w:val="12"/>
  </w:num>
  <w:num w:numId="4">
    <w:abstractNumId w:val="7"/>
  </w:num>
  <w:num w:numId="5">
    <w:abstractNumId w:val="0"/>
  </w:num>
  <w:num w:numId="6">
    <w:abstractNumId w:val="3"/>
  </w:num>
  <w:num w:numId="7">
    <w:abstractNumId w:val="9"/>
  </w:num>
  <w:num w:numId="8">
    <w:abstractNumId w:val="11"/>
  </w:num>
  <w:num w:numId="9">
    <w:abstractNumId w:val="1"/>
  </w:num>
  <w:num w:numId="10">
    <w:abstractNumId w:val="10"/>
  </w:num>
  <w:num w:numId="11">
    <w:abstractNumId w:val="5"/>
  </w:num>
  <w:num w:numId="12">
    <w:abstractNumId w:val="13"/>
  </w:num>
  <w:num w:numId="13">
    <w:abstractNumId w:val="2"/>
  </w:num>
  <w:num w:numId="14">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78" w:default="1">
    <w:name w:val="Normal"/>
    <w:link w:val="1013"/>
    <w:uiPriority w:val="0"/>
    <w:qFormat/>
    <w:pPr>
      <w:ind w:firstLine="2232"/>
      <w:jc w:val="left"/>
      <w:spacing w:line="500" w:lineRule="exact"/>
      <w:widowControl w:val="off"/>
    </w:pPr>
    <w:rPr>
      <w:rFonts w:hint="default" w:ascii="Times New Roman" w:hAnsi="Times New Roman" w:eastAsia="仿宋" w:cs="Times New Roman"/>
      <w:sz w:val="28"/>
      <w:szCs w:val="24"/>
      <w:lang w:val="en-US" w:eastAsia="zh-CN" w:bidi="ar-SA"/>
    </w:rPr>
  </w:style>
  <w:style w:type="paragraph" w:styleId="779">
    <w:name w:val="Heading 1"/>
    <w:basedOn w:val="778"/>
    <w:next w:val="778"/>
    <w:link w:val="1009"/>
    <w:uiPriority w:val="9"/>
    <w:qFormat/>
    <w:pPr>
      <w:jc w:val="center"/>
      <w:keepLines/>
      <w:keepNext/>
      <w:spacing w:before="480" w:after="200"/>
      <w:outlineLvl w:val="0"/>
    </w:pPr>
    <w:rPr>
      <w:rFonts w:ascii="Arial" w:hAnsi="Arial" w:cs="Arial"/>
      <w:b/>
      <w:sz w:val="32"/>
      <w:szCs w:val="40"/>
    </w:rPr>
  </w:style>
  <w:style w:type="paragraph" w:styleId="780">
    <w:name w:val="Heading 2"/>
    <w:basedOn w:val="778"/>
    <w:next w:val="778"/>
    <w:uiPriority w:val="99"/>
    <w:qFormat/>
    <w:pPr>
      <w:ind w:firstLine="2234"/>
      <w:jc w:val="center"/>
      <w:keepLines/>
      <w:keepNext/>
      <w:spacing w:before="200" w:after="160" w:line="300" w:lineRule="exact"/>
      <w:outlineLvl w:val="1"/>
    </w:pPr>
    <w:rPr>
      <w:rFonts w:ascii="Arial" w:hAnsi="Arial" w:eastAsiaTheme="majorEastAsia"/>
      <w:b/>
      <w:sz w:val="44"/>
      <w:szCs w:val="20"/>
    </w:rPr>
  </w:style>
  <w:style w:type="paragraph" w:styleId="781">
    <w:name w:val="Heading 3"/>
    <w:basedOn w:val="778"/>
    <w:next w:val="790"/>
    <w:link w:val="845"/>
    <w:uiPriority w:val="9"/>
    <w:unhideWhenUsed/>
    <w:qFormat/>
    <w:pPr>
      <w:keepLines/>
      <w:keepNext/>
      <w:spacing w:before="320" w:after="200"/>
      <w:outlineLvl w:val="2"/>
    </w:pPr>
    <w:rPr>
      <w:rFonts w:ascii="Arial" w:hAnsi="Arial" w:eastAsia="Arial" w:cs="Arial"/>
      <w:sz w:val="30"/>
      <w:szCs w:val="30"/>
    </w:rPr>
  </w:style>
  <w:style w:type="paragraph" w:styleId="782">
    <w:name w:val="Heading 4"/>
    <w:basedOn w:val="778"/>
    <w:next w:val="778"/>
    <w:uiPriority w:val="0"/>
    <w:qFormat/>
    <w:pPr>
      <w:jc w:val="center"/>
      <w:keepLines/>
      <w:keepNext/>
      <w:spacing w:before="440" w:after="960" w:line="319" w:lineRule="auto"/>
      <w:outlineLvl w:val="3"/>
    </w:pPr>
    <w:rPr>
      <w:rFonts w:ascii="Century Schoolbook" w:hAnsi="Century Schoolbook" w:eastAsia="楷体_GB2312"/>
      <w:sz w:val="32"/>
      <w:szCs w:val="20"/>
    </w:rPr>
  </w:style>
  <w:style w:type="paragraph" w:styleId="783">
    <w:name w:val="Heading 5"/>
    <w:basedOn w:val="778"/>
    <w:next w:val="778"/>
    <w:link w:val="847"/>
    <w:uiPriority w:val="9"/>
    <w:unhideWhenUsed/>
    <w:qFormat/>
    <w:pPr>
      <w:keepLines/>
      <w:keepNext/>
      <w:spacing w:before="320" w:after="200"/>
      <w:outlineLvl w:val="4"/>
    </w:pPr>
    <w:rPr>
      <w:rFonts w:ascii="Arial" w:hAnsi="Arial" w:eastAsia="Arial" w:cs="Arial"/>
      <w:b/>
      <w:bCs/>
      <w:sz w:val="24"/>
      <w:szCs w:val="24"/>
    </w:rPr>
  </w:style>
  <w:style w:type="paragraph" w:styleId="784">
    <w:name w:val="Heading 6"/>
    <w:basedOn w:val="778"/>
    <w:next w:val="778"/>
    <w:link w:val="848"/>
    <w:uiPriority w:val="9"/>
    <w:unhideWhenUsed/>
    <w:qFormat/>
    <w:pPr>
      <w:keepLines/>
      <w:keepNext/>
      <w:spacing w:before="320" w:after="200"/>
      <w:outlineLvl w:val="5"/>
    </w:pPr>
    <w:rPr>
      <w:rFonts w:ascii="Arial" w:hAnsi="Arial" w:eastAsia="Arial" w:cs="Arial"/>
      <w:b/>
      <w:bCs/>
      <w:sz w:val="22"/>
      <w:szCs w:val="22"/>
    </w:rPr>
  </w:style>
  <w:style w:type="paragraph" w:styleId="785">
    <w:name w:val="Heading 7"/>
    <w:basedOn w:val="778"/>
    <w:next w:val="778"/>
    <w:link w:val="849"/>
    <w:uiPriority w:val="9"/>
    <w:unhideWhenUsed/>
    <w:qFormat/>
    <w:pPr>
      <w:keepLines/>
      <w:keepNext/>
      <w:spacing w:before="320" w:after="200"/>
      <w:outlineLvl w:val="6"/>
    </w:pPr>
    <w:rPr>
      <w:rFonts w:ascii="Arial" w:hAnsi="Arial" w:eastAsia="Arial" w:cs="Arial"/>
      <w:b/>
      <w:bCs/>
      <w:i/>
      <w:iCs/>
      <w:sz w:val="22"/>
      <w:szCs w:val="22"/>
    </w:rPr>
  </w:style>
  <w:style w:type="paragraph" w:styleId="786">
    <w:name w:val="Heading 8"/>
    <w:basedOn w:val="778"/>
    <w:next w:val="778"/>
    <w:link w:val="850"/>
    <w:uiPriority w:val="9"/>
    <w:unhideWhenUsed/>
    <w:qFormat/>
    <w:pPr>
      <w:keepLines/>
      <w:keepNext/>
      <w:spacing w:before="320" w:after="200"/>
      <w:outlineLvl w:val="7"/>
    </w:pPr>
    <w:rPr>
      <w:rFonts w:ascii="Arial" w:hAnsi="Arial" w:eastAsia="Arial" w:cs="Arial"/>
      <w:i/>
      <w:iCs/>
      <w:sz w:val="22"/>
      <w:szCs w:val="22"/>
    </w:rPr>
  </w:style>
  <w:style w:type="paragraph" w:styleId="787">
    <w:name w:val="Heading 9"/>
    <w:basedOn w:val="778"/>
    <w:next w:val="778"/>
    <w:link w:val="851"/>
    <w:uiPriority w:val="9"/>
    <w:unhideWhenUsed/>
    <w:qFormat/>
    <w:pPr>
      <w:keepLines/>
      <w:keepNext/>
      <w:spacing w:before="320" w:after="200"/>
      <w:outlineLvl w:val="8"/>
    </w:pPr>
    <w:rPr>
      <w:rFonts w:ascii="Arial" w:hAnsi="Arial" w:eastAsia="Arial" w:cs="Arial"/>
      <w:i/>
      <w:iCs/>
      <w:sz w:val="21"/>
      <w:szCs w:val="21"/>
    </w:rPr>
  </w:style>
  <w:style w:type="character" w:styleId="788" w:default="1">
    <w:name w:val="Default Paragraph Font"/>
    <w:uiPriority w:val="0"/>
    <w:semiHidden/>
    <w:qFormat/>
  </w:style>
  <w:style w:type="table" w:styleId="789" w:default="1">
    <w:name w:val="Normal Table"/>
    <w:uiPriority w:val="0"/>
    <w:semiHidden/>
    <w:qFormat/>
    <w:tblPr>
      <w:tblCellMar>
        <w:left w:w="108" w:type="dxa"/>
        <w:top w:w="0" w:type="dxa"/>
        <w:right w:w="108" w:type="dxa"/>
        <w:bottom w:w="0" w:type="dxa"/>
      </w:tblCellMar>
    </w:tblPr>
  </w:style>
  <w:style w:type="paragraph" w:styleId="790">
    <w:name w:val="Normal Indent"/>
    <w:basedOn w:val="778"/>
    <w:uiPriority w:val="0"/>
    <w:qFormat/>
    <w:pPr>
      <w:ind w:firstLine="420"/>
    </w:pPr>
    <w:rPr>
      <w:szCs w:val="20"/>
    </w:rPr>
  </w:style>
  <w:style w:type="paragraph" w:styleId="791">
    <w:name w:val="toc 7"/>
    <w:basedOn w:val="778"/>
    <w:next w:val="778"/>
    <w:uiPriority w:val="39"/>
    <w:unhideWhenUsed/>
    <w:qFormat/>
    <w:pPr>
      <w:ind w:left="1701" w:right="0" w:firstLine="0"/>
      <w:spacing w:after="57"/>
    </w:pPr>
  </w:style>
  <w:style w:type="paragraph" w:styleId="792">
    <w:name w:val="table of authorities"/>
    <w:basedOn w:val="778"/>
    <w:next w:val="778"/>
    <w:uiPriority w:val="99"/>
    <w:qFormat/>
    <w:pPr>
      <w:ind w:left="420"/>
    </w:pPr>
  </w:style>
  <w:style w:type="paragraph" w:styleId="793">
    <w:name w:val="Caption"/>
    <w:basedOn w:val="778"/>
    <w:next w:val="778"/>
    <w:uiPriority w:val="35"/>
    <w:semiHidden/>
    <w:unhideWhenUsed/>
    <w:qFormat/>
    <w:pPr>
      <w:spacing w:line="276" w:lineRule="auto"/>
    </w:pPr>
    <w:rPr>
      <w:b/>
      <w:bCs/>
      <w:color w:val="4874cb" w:themeColor="accent1"/>
      <w:sz w:val="18"/>
      <w:szCs w:val="18"/>
      <w14:textFill>
        <w14:solidFill>
          <w14:schemeClr w14:val="accent1"/>
        </w14:solidFill>
      </w14:textFill>
    </w:rPr>
  </w:style>
  <w:style w:type="paragraph" w:styleId="794">
    <w:name w:val="Body Text"/>
    <w:basedOn w:val="778"/>
    <w:uiPriority w:val="0"/>
    <w:qFormat/>
    <w:pPr>
      <w:spacing w:after="120"/>
    </w:pPr>
  </w:style>
  <w:style w:type="paragraph" w:styleId="795">
    <w:name w:val="Body Text Indent"/>
    <w:basedOn w:val="778"/>
    <w:uiPriority w:val="0"/>
    <w:qFormat/>
    <w:pPr>
      <w:ind w:firstLine="600"/>
    </w:pPr>
    <w:rPr>
      <w:rFonts w:eastAsia="仿宋_GB2312"/>
      <w:sz w:val="28"/>
    </w:rPr>
  </w:style>
  <w:style w:type="paragraph" w:styleId="796">
    <w:name w:val="Block Text"/>
    <w:basedOn w:val="778"/>
    <w:next w:val="778"/>
    <w:uiPriority w:val="99"/>
    <w:qFormat/>
    <w:pPr>
      <w:ind w:left="256" w:right="6" w:firstLine="624"/>
    </w:pPr>
    <w:rPr>
      <w:rFonts w:eastAsia="仿宋_GB2312"/>
      <w:sz w:val="28"/>
      <w:szCs w:val="20"/>
    </w:rPr>
  </w:style>
  <w:style w:type="paragraph" w:styleId="797">
    <w:name w:val="toc 5"/>
    <w:basedOn w:val="778"/>
    <w:next w:val="778"/>
    <w:uiPriority w:val="39"/>
    <w:unhideWhenUsed/>
    <w:qFormat/>
    <w:pPr>
      <w:ind w:left="1134" w:right="0" w:firstLine="0"/>
      <w:spacing w:after="57"/>
    </w:pPr>
  </w:style>
  <w:style w:type="paragraph" w:styleId="798">
    <w:name w:val="toc 3"/>
    <w:basedOn w:val="778"/>
    <w:next w:val="778"/>
    <w:uiPriority w:val="39"/>
    <w:unhideWhenUsed/>
    <w:qFormat/>
    <w:pPr>
      <w:ind w:left="567" w:right="0" w:firstLine="0"/>
      <w:spacing w:after="57"/>
    </w:pPr>
  </w:style>
  <w:style w:type="paragraph" w:styleId="799">
    <w:name w:val="Plain Text"/>
    <w:basedOn w:val="778"/>
    <w:next w:val="790"/>
    <w:uiPriority w:val="0"/>
    <w:unhideWhenUsed/>
    <w:qFormat/>
    <w:pPr>
      <w:jc w:val="both"/>
      <w:spacing w:after="0" w:line="240" w:lineRule="auto"/>
      <w:widowControl w:val="off"/>
    </w:pPr>
    <w:rPr>
      <w:rFonts w:hint="eastAsia" w:ascii="宋体" w:hAnsi="Courier New" w:eastAsia="宋体" w:cs="Times New Roman"/>
      <w:sz w:val="21"/>
      <w:szCs w:val="20"/>
      <w:lang w:eastAsia="zh-CN"/>
    </w:rPr>
  </w:style>
  <w:style w:type="paragraph" w:styleId="800">
    <w:name w:val="toc 8"/>
    <w:basedOn w:val="778"/>
    <w:next w:val="778"/>
    <w:uiPriority w:val="39"/>
    <w:unhideWhenUsed/>
    <w:qFormat/>
    <w:pPr>
      <w:ind w:left="1984" w:right="0" w:firstLine="0"/>
      <w:spacing w:after="57"/>
    </w:pPr>
  </w:style>
  <w:style w:type="paragraph" w:styleId="801">
    <w:name w:val="Body Text Indent 2"/>
    <w:basedOn w:val="778"/>
    <w:uiPriority w:val="0"/>
    <w:qFormat/>
    <w:pPr>
      <w:ind w:firstLine="412"/>
      <w:spacing w:line="400" w:lineRule="exact"/>
    </w:pPr>
    <w:rPr>
      <w:rFonts w:ascii="仿宋_GB2312" w:eastAsia="仿宋_GB2312"/>
      <w:sz w:val="24"/>
    </w:rPr>
  </w:style>
  <w:style w:type="paragraph" w:styleId="802">
    <w:name w:val="endnote text"/>
    <w:basedOn w:val="778"/>
    <w:link w:val="989"/>
    <w:uiPriority w:val="99"/>
    <w:semiHidden/>
    <w:unhideWhenUsed/>
    <w:qFormat/>
    <w:pPr>
      <w:spacing w:after="0" w:line="240" w:lineRule="auto"/>
    </w:pPr>
    <w:rPr>
      <w:sz w:val="20"/>
    </w:rPr>
  </w:style>
  <w:style w:type="paragraph" w:styleId="803">
    <w:name w:val="Footer"/>
    <w:basedOn w:val="778"/>
    <w:uiPriority w:val="0"/>
    <w:qFormat/>
    <w:pPr>
      <w:jc w:val="left"/>
      <w:tabs>
        <w:tab w:val="center" w:pos="4153" w:leader="none"/>
        <w:tab w:val="right" w:pos="8306" w:leader="none"/>
      </w:tabs>
    </w:pPr>
    <w:rPr>
      <w:sz w:val="18"/>
    </w:rPr>
  </w:style>
  <w:style w:type="paragraph" w:styleId="804">
    <w:name w:val="envelope return"/>
    <w:basedOn w:val="778"/>
    <w:uiPriority w:val="0"/>
    <w:qFormat/>
    <w:rPr>
      <w:rFonts w:ascii="Arial" w:hAnsi="Arial"/>
    </w:rPr>
  </w:style>
  <w:style w:type="paragraph" w:styleId="805">
    <w:name w:val="Header"/>
    <w:basedOn w:val="778"/>
    <w:uiPriority w:val="0"/>
    <w:qFormat/>
    <w:pPr>
      <w:jc w:val="both"/>
      <w:spacing w:line="240" w:lineRule="auto"/>
      <w:tabs>
        <w:tab w:val="center" w:pos="4153" w:leader="none"/>
        <w:tab w:val="right" w:pos="8306" w:leader="none"/>
      </w:tabs>
      <w:pBdr>
        <w:top w:val="none" w:color="auto" w:sz="0" w:space="1"/>
        <w:left w:val="none" w:color="auto" w:sz="0" w:space="4"/>
        <w:bottom w:val="none" w:color="auto" w:sz="0" w:space="1"/>
        <w:right w:val="none" w:color="auto" w:sz="0" w:space="4"/>
      </w:pBdr>
      <w:outlineLvl w:val="9"/>
    </w:pPr>
    <w:rPr>
      <w:sz w:val="18"/>
    </w:rPr>
  </w:style>
  <w:style w:type="paragraph" w:styleId="806">
    <w:name w:val="toc 1"/>
    <w:basedOn w:val="778"/>
    <w:next w:val="778"/>
    <w:uiPriority w:val="0"/>
    <w:qFormat/>
  </w:style>
  <w:style w:type="paragraph" w:styleId="807">
    <w:name w:val="toc 4"/>
    <w:basedOn w:val="778"/>
    <w:next w:val="778"/>
    <w:uiPriority w:val="39"/>
    <w:unhideWhenUsed/>
    <w:qFormat/>
    <w:pPr>
      <w:ind w:left="850" w:right="0" w:firstLine="0"/>
      <w:spacing w:after="57"/>
    </w:pPr>
  </w:style>
  <w:style w:type="paragraph" w:styleId="808">
    <w:name w:val="Subtitle"/>
    <w:basedOn w:val="778"/>
    <w:next w:val="778"/>
    <w:link w:val="855"/>
    <w:uiPriority w:val="11"/>
    <w:qFormat/>
    <w:pPr>
      <w:spacing w:before="200" w:after="200"/>
    </w:pPr>
    <w:rPr>
      <w:sz w:val="24"/>
      <w:szCs w:val="24"/>
    </w:rPr>
  </w:style>
  <w:style w:type="paragraph" w:styleId="809">
    <w:name w:val="footnote text"/>
    <w:basedOn w:val="778"/>
    <w:link w:val="988"/>
    <w:uiPriority w:val="99"/>
    <w:semiHidden/>
    <w:unhideWhenUsed/>
    <w:qFormat/>
    <w:pPr>
      <w:spacing w:after="40" w:line="240" w:lineRule="auto"/>
    </w:pPr>
    <w:rPr>
      <w:sz w:val="18"/>
    </w:rPr>
  </w:style>
  <w:style w:type="paragraph" w:styleId="810">
    <w:name w:val="toc 6"/>
    <w:basedOn w:val="778"/>
    <w:next w:val="778"/>
    <w:uiPriority w:val="39"/>
    <w:unhideWhenUsed/>
    <w:qFormat/>
    <w:pPr>
      <w:ind w:left="1417" w:right="0" w:firstLine="0"/>
      <w:spacing w:after="57"/>
    </w:pPr>
  </w:style>
  <w:style w:type="paragraph" w:styleId="811">
    <w:name w:val="table of figures"/>
    <w:basedOn w:val="778"/>
    <w:next w:val="778"/>
    <w:uiPriority w:val="99"/>
    <w:unhideWhenUsed/>
    <w:qFormat/>
    <w:pPr>
      <w:spacing w:after="0" w:afterAutospacing="0"/>
    </w:pPr>
  </w:style>
  <w:style w:type="paragraph" w:styleId="812">
    <w:name w:val="toc 2"/>
    <w:basedOn w:val="778"/>
    <w:next w:val="778"/>
    <w:uiPriority w:val="39"/>
    <w:unhideWhenUsed/>
    <w:qFormat/>
    <w:pPr>
      <w:ind w:left="283" w:right="0" w:firstLine="0"/>
      <w:spacing w:after="57"/>
    </w:pPr>
  </w:style>
  <w:style w:type="paragraph" w:styleId="813">
    <w:name w:val="toc 9"/>
    <w:basedOn w:val="778"/>
    <w:next w:val="778"/>
    <w:uiPriority w:val="39"/>
    <w:unhideWhenUsed/>
    <w:qFormat/>
    <w:pPr>
      <w:ind w:left="2268" w:right="0" w:firstLine="0"/>
      <w:spacing w:after="57"/>
    </w:pPr>
  </w:style>
  <w:style w:type="paragraph" w:styleId="814">
    <w:name w:val="Body Text 2"/>
    <w:basedOn w:val="778"/>
    <w:uiPriority w:val="0"/>
    <w:qFormat/>
    <w:pPr>
      <w:jc w:val="center"/>
      <w:widowControl/>
    </w:pPr>
    <w:rPr>
      <w:rFonts w:ascii="楷体_GB2312" w:eastAsia="楷体_GB2312"/>
      <w:sz w:val="28"/>
      <w:szCs w:val="28"/>
    </w:rPr>
  </w:style>
  <w:style w:type="paragraph" w:styleId="815">
    <w:name w:val="Normal (Web)"/>
    <w:basedOn w:val="778"/>
    <w:uiPriority w:val="99"/>
    <w:qFormat/>
    <w:pPr>
      <w:jc w:val="left"/>
      <w:spacing w:before="100" w:beforeAutospacing="1" w:after="100" w:afterAutospacing="1"/>
      <w:widowControl/>
    </w:pPr>
    <w:rPr>
      <w:rFonts w:ascii="宋体" w:hAnsi="宋体"/>
      <w:sz w:val="24"/>
    </w:rPr>
  </w:style>
  <w:style w:type="paragraph" w:styleId="816">
    <w:name w:val="Title"/>
    <w:basedOn w:val="778"/>
    <w:next w:val="778"/>
    <w:link w:val="854"/>
    <w:uiPriority w:val="10"/>
    <w:qFormat/>
    <w:pPr>
      <w:contextualSpacing/>
      <w:spacing w:before="300" w:after="200"/>
    </w:pPr>
    <w:rPr>
      <w:sz w:val="48"/>
      <w:szCs w:val="48"/>
    </w:rPr>
  </w:style>
  <w:style w:type="paragraph" w:styleId="817">
    <w:name w:val="Body Text First Indent"/>
    <w:basedOn w:val="794"/>
    <w:next w:val="818"/>
    <w:uiPriority w:val="0"/>
    <w:qFormat/>
    <w:pPr>
      <w:ind w:firstLine="200"/>
      <w:spacing w:line="360" w:lineRule="auto"/>
    </w:pPr>
    <w:rPr>
      <w:rFonts w:ascii="仿宋_GB2312" w:eastAsia="仿宋_GB2312"/>
      <w:sz w:val="30"/>
      <w:szCs w:val="30"/>
    </w:rPr>
  </w:style>
  <w:style w:type="paragraph" w:styleId="818">
    <w:name w:val="Body Text First Indent 2"/>
    <w:basedOn w:val="795"/>
    <w:uiPriority w:val="0"/>
    <w:qFormat/>
    <w:pPr>
      <w:ind w:left="0" w:firstLine="420"/>
      <w:spacing w:after="0" w:line="360" w:lineRule="auto"/>
    </w:pPr>
    <w:rPr>
      <w:rFonts w:ascii="宋体" w:hAnsi="宋体"/>
      <w:sz w:val="20"/>
      <w:szCs w:val="20"/>
    </w:rPr>
  </w:style>
  <w:style w:type="table" w:styleId="819">
    <w:name w:val="Table Grid"/>
    <w:basedOn w:val="789"/>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0">
    <w:name w:val="Strong"/>
    <w:basedOn w:val="788"/>
    <w:uiPriority w:val="0"/>
    <w:qFormat/>
    <w:rPr>
      <w:b/>
    </w:rPr>
  </w:style>
  <w:style w:type="character" w:styleId="821">
    <w:name w:val="endnote reference"/>
    <w:basedOn w:val="788"/>
    <w:uiPriority w:val="99"/>
    <w:semiHidden/>
    <w:unhideWhenUsed/>
    <w:qFormat/>
    <w:rPr>
      <w:vertAlign w:val="superscript"/>
    </w:rPr>
  </w:style>
  <w:style w:type="character" w:styleId="822">
    <w:name w:val="Hyperlink"/>
    <w:basedOn w:val="788"/>
    <w:uiPriority w:val="99"/>
    <w:qFormat/>
    <w:rPr>
      <w:color w:val="333333"/>
      <w:u w:val="none"/>
    </w:rPr>
  </w:style>
  <w:style w:type="character" w:styleId="823">
    <w:name w:val="footnote reference"/>
    <w:basedOn w:val="788"/>
    <w:uiPriority w:val="99"/>
    <w:unhideWhenUsed/>
    <w:qFormat/>
    <w:rPr>
      <w:vertAlign w:val="superscript"/>
    </w:rPr>
  </w:style>
  <w:style w:type="paragraph" w:styleId="824" w:customStyle="1">
    <w:name w:val="_Style 3"/>
    <w:basedOn w:val="778"/>
    <w:uiPriority w:val="0"/>
    <w:qFormat/>
    <w:rPr>
      <w:rFonts w:ascii="Times New Roman" w:hAnsi="Times New Roman"/>
      <w:szCs w:val="22"/>
    </w:rPr>
  </w:style>
  <w:style w:type="paragraph" w:styleId="825" w:customStyle="1">
    <w:name w:val="一级条标题"/>
    <w:basedOn w:val="826"/>
    <w:next w:val="827"/>
    <w:uiPriority w:val="99"/>
    <w:qFormat/>
    <w:pPr>
      <w:ind w:left="907" w:hanging="907"/>
      <w:spacing w:before="0" w:after="0"/>
      <w:tabs>
        <w:tab w:val="left" w:pos="810" w:leader="none"/>
        <w:tab w:val="left" w:pos="907" w:leader="none"/>
        <w:tab w:val="left" w:pos="1265" w:leader="none"/>
      </w:tabs>
      <w:outlineLvl w:val="2"/>
    </w:pPr>
    <w:rPr>
      <w:rFonts w:hAnsi="宋体"/>
      <w:sz w:val="20"/>
      <w:szCs w:val="20"/>
    </w:rPr>
  </w:style>
  <w:style w:type="paragraph" w:styleId="826" w:customStyle="1">
    <w:name w:val="章标题"/>
    <w:next w:val="778"/>
    <w:uiPriority w:val="99"/>
    <w:qFormat/>
    <w:pPr>
      <w:ind w:left="810" w:hanging="810"/>
      <w:jc w:val="both"/>
      <w:spacing w:before="50" w:after="50"/>
      <w:tabs>
        <w:tab w:val="left" w:pos="810" w:leader="none"/>
        <w:tab w:val="left" w:pos="1265" w:leader="none"/>
      </w:tabs>
      <w:outlineLvl w:val="1"/>
    </w:pPr>
    <w:rPr>
      <w:rFonts w:hint="default" w:ascii="黑体" w:hAnsi="Times New Roman" w:eastAsia="黑体" w:cs="Times New Roman"/>
      <w:sz w:val="21"/>
      <w:szCs w:val="22"/>
      <w:lang w:val="en-US" w:eastAsia="zh-CN" w:bidi="ar-SA"/>
    </w:rPr>
  </w:style>
  <w:style w:type="paragraph" w:styleId="827" w:customStyle="1">
    <w:name w:val="段"/>
    <w:basedOn w:val="828"/>
    <w:next w:val="778"/>
    <w:uiPriority w:val="99"/>
    <w:qFormat/>
    <w:pPr>
      <w:ind w:firstLine="200"/>
      <w:widowControl/>
    </w:pPr>
    <w:rPr>
      <w:rFonts w:ascii="宋体"/>
      <w:sz w:val="20"/>
      <w:szCs w:val="20"/>
    </w:rPr>
  </w:style>
  <w:style w:type="paragraph" w:styleId="828" w:customStyle="1">
    <w:name w:val="正文11"/>
    <w:next w:val="829"/>
    <w:uiPriority w:val="0"/>
    <w:qFormat/>
    <w:pPr>
      <w:jc w:val="both"/>
      <w:widowControl w:val="off"/>
    </w:pPr>
    <w:rPr>
      <w:rFonts w:hint="default" w:ascii="Calibri" w:hAnsi="Calibri" w:eastAsia="宋体" w:cs="Times New Roman"/>
      <w:sz w:val="21"/>
      <w:szCs w:val="24"/>
      <w:lang w:val="en-US" w:eastAsia="zh-CN" w:bidi="ar-SA"/>
    </w:rPr>
  </w:style>
  <w:style w:type="paragraph" w:styleId="829" w:customStyle="1">
    <w:name w:val="正文1"/>
    <w:basedOn w:val="830"/>
    <w:next w:val="831"/>
    <w:link w:val="996"/>
    <w:uiPriority w:val="0"/>
    <w:qFormat/>
    <w:pPr>
      <w:spacing w:line="560" w:lineRule="atLeast"/>
      <w:widowControl w:val="off"/>
    </w:pPr>
    <w:rPr>
      <w:rFonts w:ascii="Times New Roman" w:hAnsi="Times New Roman" w:eastAsia="宋体" w:cs="Times New Roman"/>
      <w:sz w:val="28"/>
      <w:lang w:val="en-US" w:eastAsia="zh-CN" w:bidi="ar-SA"/>
    </w:rPr>
  </w:style>
  <w:style w:type="paragraph" w:styleId="830" w:customStyle="1">
    <w:name w:val="正文111"/>
    <w:next w:val="778"/>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1" w:customStyle="1">
    <w:name w:val="正文文本1"/>
    <w:basedOn w:val="830"/>
    <w:next w:val="825"/>
    <w:uiPriority w:val="0"/>
    <w:qFormat/>
    <w:pPr>
      <w:spacing w:after="120"/>
    </w:pPr>
    <w:rPr>
      <w:rFonts w:ascii="Calibri" w:hAnsi="Calibri"/>
    </w:rPr>
  </w:style>
  <w:style w:type="paragraph" w:styleId="832" w:customStyle="1">
    <w:name w:val="文本块1"/>
    <w:basedOn w:val="833"/>
    <w:uiPriority w:val="0"/>
    <w:qFormat/>
    <w:pPr>
      <w:ind w:left="256" w:right="6" w:firstLine="624"/>
    </w:pPr>
    <w:rPr>
      <w:rFonts w:eastAsia="仿宋"/>
      <w:sz w:val="28"/>
      <w:szCs w:val="20"/>
    </w:rPr>
  </w:style>
  <w:style w:type="paragraph" w:styleId="833" w:customStyle="1">
    <w:name w:val="正文1111"/>
    <w:next w:val="832"/>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834" w:customStyle="1">
    <w:name w:val="标题 41"/>
    <w:basedOn w:val="835"/>
    <w:next w:val="828"/>
    <w:uiPriority w:val="0"/>
    <w:qFormat/>
    <w:pPr>
      <w:keepLines/>
      <w:keepNext/>
      <w:spacing w:before="280" w:after="290" w:line="376" w:lineRule="auto"/>
      <w:outlineLvl w:val="3"/>
    </w:pPr>
    <w:rPr>
      <w:sz w:val="28"/>
      <w:szCs w:val="28"/>
    </w:rPr>
  </w:style>
  <w:style w:type="paragraph" w:styleId="835" w:customStyle="1">
    <w:name w:val="标题1"/>
    <w:basedOn w:val="830"/>
    <w:next w:val="836"/>
    <w:uiPriority w:val="0"/>
    <w:qFormat/>
    <w:pPr>
      <w:jc w:val="center"/>
      <w:spacing w:before="300" w:after="300"/>
      <w:outlineLvl w:val="0"/>
    </w:pPr>
    <w:rPr>
      <w:rFonts w:ascii="Cambria" w:hAnsi="Cambria" w:eastAsia="仿宋_GB2312"/>
      <w:b/>
      <w:bCs/>
      <w:sz w:val="36"/>
      <w:szCs w:val="32"/>
    </w:rPr>
  </w:style>
  <w:style w:type="paragraph" w:styleId="836" w:customStyle="1">
    <w:name w:val="正文112"/>
    <w:next w:val="837"/>
    <w:uiPriority w:val="0"/>
    <w:qFormat/>
    <w:rPr>
      <w:rFonts w:hint="default" w:ascii="宋体" w:hAnsi="宋体" w:eastAsia="宋体" w:cs="Times New Roman"/>
      <w:sz w:val="24"/>
      <w:szCs w:val="24"/>
      <w:lang w:val="en-US" w:eastAsia="zh-CN" w:bidi="ar-SA"/>
    </w:rPr>
  </w:style>
  <w:style w:type="paragraph" w:styleId="837" w:customStyle="1">
    <w:name w:val="无间隔1"/>
    <w:uiPriority w:val="0"/>
    <w:qFormat/>
    <w:rPr>
      <w:rFonts w:hint="default" w:ascii="Times New Roman" w:hAnsi="Times New Roman" w:eastAsia="宋体" w:cs="Times New Roman"/>
      <w:sz w:val="22"/>
      <w:szCs w:val="22"/>
      <w:lang w:val="en-US" w:eastAsia="en-US" w:bidi="ar-SA"/>
    </w:rPr>
  </w:style>
  <w:style w:type="paragraph" w:styleId="838" w:customStyle="1">
    <w:name w:val="目录 111"/>
    <w:basedOn w:val="830"/>
    <w:next w:val="830"/>
    <w:uiPriority w:val="0"/>
    <w:qFormat/>
    <w:pPr>
      <w:spacing w:after="57"/>
    </w:pPr>
  </w:style>
  <w:style w:type="paragraph" w:styleId="839" w:customStyle="1">
    <w:name w:val="正文首行缩进1"/>
    <w:basedOn w:val="794"/>
    <w:next w:val="840"/>
    <w:uiPriority w:val="0"/>
    <w:qFormat/>
    <w:pPr>
      <w:ind w:firstLine="420"/>
    </w:pPr>
    <w:rPr>
      <w:rFonts w:ascii="仿宋_GB2312" w:hAnsi="Times New Roman" w:eastAsia="仿宋_GB2312"/>
      <w:sz w:val="30"/>
      <w:szCs w:val="30"/>
    </w:rPr>
  </w:style>
  <w:style w:type="paragraph" w:styleId="840" w:customStyle="1">
    <w:name w:val="正文首行缩进 211"/>
    <w:basedOn w:val="841"/>
    <w:next w:val="836"/>
    <w:uiPriority w:val="0"/>
    <w:qFormat/>
    <w:pPr>
      <w:ind w:firstLine="420"/>
    </w:pPr>
    <w:rPr>
      <w:sz w:val="24"/>
    </w:rPr>
  </w:style>
  <w:style w:type="paragraph" w:styleId="841" w:customStyle="1">
    <w:name w:val="正文文本缩进11"/>
    <w:basedOn w:val="836"/>
    <w:next w:val="842"/>
    <w:uiPriority w:val="0"/>
    <w:qFormat/>
    <w:pPr>
      <w:ind w:left="420"/>
      <w:spacing w:after="120"/>
    </w:pPr>
  </w:style>
  <w:style w:type="paragraph" w:styleId="842" w:customStyle="1">
    <w:name w:val="寄信人地址11"/>
    <w:basedOn w:val="836"/>
    <w:uiPriority w:val="0"/>
    <w:qFormat/>
    <w:rPr>
      <w:rFonts w:ascii="Arial" w:hAnsi="Arial"/>
    </w:rPr>
  </w:style>
  <w:style w:type="character" w:styleId="843" w:customStyle="1">
    <w:name w:val="Heading 1 Char"/>
    <w:basedOn w:val="788"/>
    <w:uiPriority w:val="9"/>
    <w:qFormat/>
    <w:rPr>
      <w:rFonts w:ascii="Arial" w:hAnsi="Arial" w:eastAsia="Arial" w:cs="Arial"/>
      <w:sz w:val="40"/>
      <w:szCs w:val="40"/>
    </w:rPr>
  </w:style>
  <w:style w:type="character" w:styleId="844" w:customStyle="1">
    <w:name w:val="Heading 2 Char"/>
    <w:basedOn w:val="788"/>
    <w:uiPriority w:val="9"/>
    <w:qFormat/>
    <w:rPr>
      <w:rFonts w:ascii="Arial" w:hAnsi="Arial" w:eastAsia="Arial" w:cs="Arial"/>
      <w:sz w:val="34"/>
    </w:rPr>
  </w:style>
  <w:style w:type="character" w:styleId="845" w:customStyle="1">
    <w:name w:val="Heading 3 Char"/>
    <w:basedOn w:val="788"/>
    <w:link w:val="781"/>
    <w:uiPriority w:val="9"/>
    <w:qFormat/>
    <w:rPr>
      <w:rFonts w:ascii="Arial" w:hAnsi="Arial" w:eastAsia="Arial" w:cs="Arial"/>
      <w:sz w:val="30"/>
      <w:szCs w:val="30"/>
    </w:rPr>
  </w:style>
  <w:style w:type="character" w:styleId="846" w:customStyle="1">
    <w:name w:val="Heading 4 Char"/>
    <w:basedOn w:val="788"/>
    <w:uiPriority w:val="9"/>
    <w:qFormat/>
    <w:rPr>
      <w:rFonts w:ascii="Arial" w:hAnsi="Arial" w:eastAsia="Arial" w:cs="Arial"/>
      <w:b/>
      <w:bCs/>
      <w:sz w:val="26"/>
      <w:szCs w:val="26"/>
    </w:rPr>
  </w:style>
  <w:style w:type="character" w:styleId="847" w:customStyle="1">
    <w:name w:val="Heading 5 Char"/>
    <w:basedOn w:val="788"/>
    <w:link w:val="783"/>
    <w:uiPriority w:val="9"/>
    <w:qFormat/>
    <w:rPr>
      <w:rFonts w:ascii="Arial" w:hAnsi="Arial" w:eastAsia="Arial" w:cs="Arial"/>
      <w:b/>
      <w:bCs/>
      <w:sz w:val="24"/>
      <w:szCs w:val="24"/>
    </w:rPr>
  </w:style>
  <w:style w:type="character" w:styleId="848" w:customStyle="1">
    <w:name w:val="Heading 6 Char"/>
    <w:basedOn w:val="788"/>
    <w:link w:val="784"/>
    <w:uiPriority w:val="9"/>
    <w:qFormat/>
    <w:rPr>
      <w:rFonts w:ascii="Arial" w:hAnsi="Arial" w:eastAsia="Arial" w:cs="Arial"/>
      <w:b/>
      <w:bCs/>
      <w:sz w:val="22"/>
      <w:szCs w:val="22"/>
    </w:rPr>
  </w:style>
  <w:style w:type="character" w:styleId="849" w:customStyle="1">
    <w:name w:val="Heading 7 Char"/>
    <w:basedOn w:val="788"/>
    <w:link w:val="785"/>
    <w:uiPriority w:val="9"/>
    <w:qFormat/>
    <w:rPr>
      <w:rFonts w:ascii="Arial" w:hAnsi="Arial" w:eastAsia="Arial" w:cs="Arial"/>
      <w:b/>
      <w:bCs/>
      <w:i/>
      <w:iCs/>
      <w:sz w:val="22"/>
      <w:szCs w:val="22"/>
    </w:rPr>
  </w:style>
  <w:style w:type="character" w:styleId="850" w:customStyle="1">
    <w:name w:val="Heading 8 Char"/>
    <w:basedOn w:val="788"/>
    <w:link w:val="786"/>
    <w:uiPriority w:val="9"/>
    <w:qFormat/>
    <w:rPr>
      <w:rFonts w:ascii="Arial" w:hAnsi="Arial" w:eastAsia="Arial" w:cs="Arial"/>
      <w:i/>
      <w:iCs/>
      <w:sz w:val="22"/>
      <w:szCs w:val="22"/>
    </w:rPr>
  </w:style>
  <w:style w:type="character" w:styleId="851" w:customStyle="1">
    <w:name w:val="Heading 9 Char"/>
    <w:basedOn w:val="788"/>
    <w:link w:val="787"/>
    <w:uiPriority w:val="9"/>
    <w:qFormat/>
    <w:rPr>
      <w:rFonts w:ascii="Arial" w:hAnsi="Arial" w:eastAsia="Arial" w:cs="Arial"/>
      <w:i/>
      <w:iCs/>
      <w:sz w:val="21"/>
      <w:szCs w:val="21"/>
    </w:rPr>
  </w:style>
  <w:style w:type="paragraph" w:styleId="852">
    <w:name w:val="List Paragraph"/>
    <w:basedOn w:val="778"/>
    <w:uiPriority w:val="34"/>
    <w:qFormat/>
    <w:pPr>
      <w:contextualSpacing/>
      <w:ind w:left="720"/>
    </w:pPr>
  </w:style>
  <w:style w:type="paragraph" w:styleId="853">
    <w:name w:val="No Spacing"/>
    <w:uiPriority w:val="1"/>
    <w:qFormat/>
    <w:pPr>
      <w:spacing w:before="0" w:after="0" w:line="240" w:lineRule="auto"/>
    </w:pPr>
    <w:rPr>
      <w:rFonts w:hint="default" w:asciiTheme="minorHAnsi" w:hAnsiTheme="minorHAnsi" w:eastAsiaTheme="minorEastAsia" w:cstheme="minorBidi"/>
    </w:rPr>
  </w:style>
  <w:style w:type="character" w:styleId="854" w:customStyle="1">
    <w:name w:val="Title Char"/>
    <w:basedOn w:val="788"/>
    <w:link w:val="816"/>
    <w:uiPriority w:val="10"/>
    <w:qFormat/>
    <w:rPr>
      <w:sz w:val="48"/>
      <w:szCs w:val="48"/>
    </w:rPr>
  </w:style>
  <w:style w:type="character" w:styleId="855" w:customStyle="1">
    <w:name w:val="Subtitle Char"/>
    <w:basedOn w:val="788"/>
    <w:link w:val="808"/>
    <w:uiPriority w:val="11"/>
    <w:qFormat/>
    <w:rPr>
      <w:sz w:val="24"/>
      <w:szCs w:val="24"/>
    </w:rPr>
  </w:style>
  <w:style w:type="paragraph" w:styleId="856">
    <w:name w:val="Quote"/>
    <w:basedOn w:val="778"/>
    <w:next w:val="778"/>
    <w:link w:val="857"/>
    <w:uiPriority w:val="29"/>
    <w:qFormat/>
    <w:pPr>
      <w:ind w:left="720" w:right="720"/>
    </w:pPr>
    <w:rPr>
      <w:i/>
    </w:rPr>
  </w:style>
  <w:style w:type="character" w:styleId="857" w:customStyle="1">
    <w:name w:val="Quote Char"/>
    <w:link w:val="856"/>
    <w:uiPriority w:val="29"/>
    <w:qFormat/>
    <w:rPr>
      <w:i/>
    </w:rPr>
  </w:style>
  <w:style w:type="paragraph" w:styleId="858">
    <w:name w:val="Intense Quote"/>
    <w:basedOn w:val="778"/>
    <w:next w:val="778"/>
    <w:link w:val="859"/>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59" w:customStyle="1">
    <w:name w:val="Intense Quote Char"/>
    <w:link w:val="858"/>
    <w:uiPriority w:val="30"/>
    <w:qFormat/>
    <w:rPr>
      <w:i/>
    </w:rPr>
  </w:style>
  <w:style w:type="character" w:styleId="860" w:customStyle="1">
    <w:name w:val="Header Char"/>
    <w:basedOn w:val="788"/>
    <w:uiPriority w:val="99"/>
    <w:qFormat/>
  </w:style>
  <w:style w:type="character" w:styleId="861" w:customStyle="1">
    <w:name w:val="Footer Char"/>
    <w:basedOn w:val="788"/>
    <w:uiPriority w:val="99"/>
    <w:qFormat/>
  </w:style>
  <w:style w:type="character" w:styleId="862" w:customStyle="1">
    <w:name w:val="Caption Char"/>
    <w:uiPriority w:val="99"/>
    <w:qFormat/>
  </w:style>
  <w:style w:type="table" w:styleId="863" w:customStyle="1">
    <w:name w:val="Table Grid Light"/>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64" w:customStyle="1">
    <w:name w:val="Plain Table 1"/>
    <w:basedOn w:val="789"/>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5" w:customStyle="1">
    <w:name w:val="Plain Table 2"/>
    <w:basedOn w:val="789"/>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66" w:customStyle="1">
    <w:name w:val="Plain Table 3"/>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67" w:customStyle="1">
    <w:name w:val="Plain Table 4"/>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68" w:customStyle="1">
    <w:name w:val="Plain Table 5"/>
    <w:basedOn w:val="789"/>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69" w:customStyle="1">
    <w:name w:val="Grid Table 1 Light"/>
    <w:basedOn w:val="789"/>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70" w:customStyle="1">
    <w:name w:val="Grid Table 1 Light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b/>
        <w:color w:val="404040"/>
      </w:rPr>
    </w:tblStylePr>
    <w:tblStylePr w:type="firstRow">
      <w:rPr>
        <w:b/>
        <w:color w:val="404040"/>
      </w:rPr>
      <w:tcPr>
        <w:tcBorders>
          <w:bottom w:val="single" w:color="94ADE0" w:themeColor="accent1" w:themeTint="95" w:sz="12" w:space="0"/>
        </w:tcBorders>
      </w:tcPr>
    </w:tblStylePr>
    <w:tblStylePr w:type="lastCol">
      <w:rPr>
        <w:b/>
        <w:color w:val="404040"/>
      </w:rPr>
    </w:tblStylePr>
    <w:tblStylePr w:type="lastRow">
      <w:rPr>
        <w:b/>
        <w:color w:val="404040"/>
      </w:rPr>
    </w:tblStylePr>
  </w:style>
  <w:style w:type="table" w:styleId="871" w:customStyle="1">
    <w:name w:val="Grid Table 1 Light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b/>
        <w:color w:val="404040"/>
      </w:rPr>
    </w:tblStylePr>
    <w:tblStylePr w:type="firstRow">
      <w:rPr>
        <w:b/>
        <w:color w:val="404040"/>
      </w:rPr>
      <w:tcPr>
        <w:tcBorders>
          <w:bottom w:val="single" w:color="F5B585" w:themeColor="accent2" w:themeTint="95" w:sz="12" w:space="0"/>
        </w:tcBorders>
      </w:tcPr>
    </w:tblStylePr>
    <w:tblStylePr w:type="lastCol">
      <w:rPr>
        <w:b/>
        <w:color w:val="404040"/>
      </w:rPr>
    </w:tblStylePr>
    <w:tblStylePr w:type="lastRow">
      <w:rPr>
        <w:b/>
        <w:color w:val="404040"/>
      </w:rPr>
    </w:tblStylePr>
  </w:style>
  <w:style w:type="table" w:styleId="872" w:customStyle="1">
    <w:name w:val="Grid Table 1 Light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b/>
        <w:color w:val="404040"/>
      </w:rPr>
    </w:tblStylePr>
    <w:tblStylePr w:type="firstRow">
      <w:rPr>
        <w:b/>
        <w:color w:val="404040"/>
      </w:rPr>
      <w:tcPr>
        <w:tcBorders>
          <w:bottom w:val="single" w:color="FDDA64" w:themeColor="accent3" w:themeTint="95" w:sz="12" w:space="0"/>
        </w:tcBorders>
      </w:tcPr>
    </w:tblStylePr>
    <w:tblStylePr w:type="lastCol">
      <w:rPr>
        <w:b/>
        <w:color w:val="404040"/>
      </w:rPr>
    </w:tblStylePr>
    <w:tblStylePr w:type="lastRow">
      <w:rPr>
        <w:b/>
        <w:color w:val="404040"/>
      </w:rPr>
    </w:tblStylePr>
  </w:style>
  <w:style w:type="table" w:styleId="873" w:customStyle="1">
    <w:name w:val="Grid Table 1 Light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b/>
        <w:color w:val="404040"/>
      </w:rPr>
    </w:tblStylePr>
    <w:tblStylePr w:type="firstRow">
      <w:rPr>
        <w:b/>
        <w:color w:val="404040"/>
      </w:rPr>
      <w:tcPr>
        <w:tcBorders>
          <w:bottom w:val="single" w:color="AED890" w:themeColor="accent4" w:themeTint="95" w:sz="12" w:space="0"/>
        </w:tcBorders>
      </w:tcPr>
    </w:tblStylePr>
    <w:tblStylePr w:type="lastCol">
      <w:rPr>
        <w:b/>
        <w:color w:val="404040"/>
      </w:rPr>
    </w:tblStylePr>
    <w:tblStylePr w:type="lastRow">
      <w:rPr>
        <w:b/>
        <w:color w:val="404040"/>
      </w:rPr>
    </w:tblStylePr>
  </w:style>
  <w:style w:type="table" w:styleId="874" w:customStyle="1">
    <w:name w:val="Grid Table 1 Light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b/>
        <w:color w:val="404040"/>
      </w:rPr>
    </w:tblStylePr>
    <w:tblStylePr w:type="firstRow">
      <w:rPr>
        <w:b/>
        <w:color w:val="404040"/>
      </w:rPr>
      <w:tcPr>
        <w:tcBorders>
          <w:bottom w:val="single" w:color="80DFD7" w:themeColor="accent5" w:themeTint="95" w:sz="12" w:space="0"/>
        </w:tcBorders>
      </w:tcPr>
    </w:tblStylePr>
    <w:tblStylePr w:type="lastCol">
      <w:rPr>
        <w:b/>
        <w:color w:val="404040"/>
      </w:rPr>
    </w:tblStylePr>
    <w:tblStylePr w:type="lastRow">
      <w:rPr>
        <w:b/>
        <w:color w:val="404040"/>
      </w:rPr>
    </w:tblStylePr>
  </w:style>
  <w:style w:type="table" w:styleId="875" w:customStyle="1">
    <w:name w:val="Grid Table 1 Light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b/>
        <w:color w:val="404040"/>
      </w:rPr>
    </w:tblStylePr>
    <w:tblStylePr w:type="firstRow">
      <w:rPr>
        <w:b/>
        <w:color w:val="404040"/>
      </w:rPr>
      <w:tcPr>
        <w:tcBorders>
          <w:bottom w:val="single" w:color="EF96A0" w:themeColor="accent6" w:themeTint="95" w:sz="12" w:space="0"/>
        </w:tcBorders>
      </w:tcPr>
    </w:tblStylePr>
    <w:tblStylePr w:type="lastCol">
      <w:rPr>
        <w:b/>
        <w:color w:val="404040"/>
      </w:rPr>
    </w:tblStylePr>
    <w:tblStylePr w:type="lastRow">
      <w:rPr>
        <w:b/>
        <w:color w:val="404040"/>
      </w:rPr>
    </w:tblStylePr>
  </w:style>
  <w:style w:type="table" w:styleId="876" w:customStyle="1">
    <w:name w:val="Grid Table 2"/>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77" w:customStyle="1">
    <w:name w:val="Grid Table 2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77FCF"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77FCF" w:themeColor="accent1" w:themeTint="EA" w:sz="4" w:space="0"/>
          <w:left w:val="none" w:color="000000" w:sz="4" w:space="0"/>
          <w:bottom w:val="none" w:color="000000" w:sz="4" w:space="0"/>
          <w:right w:val="none" w:color="000000" w:sz="4" w:space="0"/>
        </w:tcBorders>
      </w:tcPr>
    </w:tblStylePr>
  </w:style>
  <w:style w:type="table" w:styleId="878" w:customStyle="1">
    <w:name w:val="Grid Table 2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4B483"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4B483" w:themeColor="accent2" w:themeTint="97" w:sz="4" w:space="0"/>
          <w:left w:val="none" w:color="000000" w:sz="4" w:space="0"/>
          <w:bottom w:val="none" w:color="000000" w:sz="4" w:space="0"/>
          <w:right w:val="none" w:color="000000" w:sz="4" w:space="0"/>
        </w:tcBorders>
      </w:tcPr>
    </w:tblStylePr>
  </w:style>
  <w:style w:type="table" w:styleId="879" w:customStyle="1">
    <w:name w:val="Grid Table 2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3BA02"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3BA02" w:themeColor="accent3" w:themeTint="FE" w:sz="4" w:space="0"/>
          <w:left w:val="none" w:color="000000" w:sz="4" w:space="0"/>
          <w:bottom w:val="none" w:color="000000" w:sz="4" w:space="0"/>
          <w:right w:val="none" w:color="000000" w:sz="4" w:space="0"/>
        </w:tcBorders>
      </w:tcPr>
    </w:tblStylePr>
  </w:style>
  <w:style w:type="table" w:styleId="880" w:customStyle="1">
    <w:name w:val="Grid Table 2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ABD78C"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ABD78C" w:themeColor="accent4" w:themeTint="9A" w:sz="4" w:space="0"/>
          <w:left w:val="none" w:color="000000" w:sz="4" w:space="0"/>
          <w:bottom w:val="none" w:color="000000" w:sz="4" w:space="0"/>
          <w:right w:val="none" w:color="000000" w:sz="4" w:space="0"/>
        </w:tcBorders>
      </w:tcPr>
    </w:tblStylePr>
  </w:style>
  <w:style w:type="table" w:styleId="881" w:customStyle="1">
    <w:name w:val="Grid Table 2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30C0B4"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30C0B4" w:themeColor="accent5" w:sz="4" w:space="0"/>
          <w:left w:val="none" w:color="000000" w:sz="4" w:space="0"/>
          <w:bottom w:val="none" w:color="000000" w:sz="4" w:space="0"/>
          <w:right w:val="none" w:color="000000" w:sz="4" w:space="0"/>
        </w:tcBorders>
      </w:tcPr>
    </w:tblStylePr>
  </w:style>
  <w:style w:type="table" w:styleId="882" w:customStyle="1">
    <w:name w:val="Grid Table 2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E54C5E"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E54C5E" w:themeColor="accent6" w:sz="4" w:space="0"/>
          <w:left w:val="none" w:color="000000" w:sz="4" w:space="0"/>
          <w:bottom w:val="none" w:color="000000" w:sz="4" w:space="0"/>
          <w:right w:val="none" w:color="000000" w:sz="4" w:space="0"/>
        </w:tcBorders>
      </w:tcPr>
    </w:tblStylePr>
  </w:style>
  <w:style w:type="table" w:styleId="883" w:customStyle="1">
    <w:name w:val="Grid Table 3"/>
    <w:basedOn w:val="789"/>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4" w:customStyle="1">
    <w:name w:val="Grid Table 3 - Accent 1"/>
    <w:basedOn w:val="789"/>
    <w:uiPriority w:val="99"/>
    <w:qFormat/>
    <w:pPr>
      <w:spacing w:after="0" w:line="240" w:lineRule="auto"/>
    </w:pPr>
    <w:tblPr>
      <w:tblBorders>
        <w:bottom w:val="single" w:color="577FCF" w:themeColor="accent1" w:themeTint="EA" w:sz="4" w:space="0"/>
        <w:insideH w:val="single" w:color="577FCF" w:themeColor="accent1" w:themeTint="EA" w:sz="4" w:space="0"/>
        <w:insideV w:val="single" w:color="577FCF" w:themeColor="accent1" w:themeTint="EA" w:sz="4" w:space="0"/>
      </w:tblBorders>
    </w:tblPr>
    <w:tblStylePr w:type="band1Horz">
      <w:rPr>
        <w:rFonts w:ascii="Arial" w:hAnsi="Arial"/>
        <w:color w:val="404040"/>
        <w:sz w:val="22"/>
      </w:rPr>
      <w:tcPr>
        <w:shd w:val="clear" w:color="d9e2f4" w:themeColor="accent1" w:themeTint="34" w:fill="d9e2f4" w:themeFill="accent1" w:themeFillTint="34"/>
      </w:tcPr>
    </w:tblStylePr>
    <w:tblStylePr w:type="band1Vert">
      <w:rPr>
        <w:rFonts w:ascii="Arial" w:hAnsi="Arial"/>
        <w:color w:val="404040"/>
        <w:sz w:val="22"/>
      </w:rPr>
      <w:tcPr>
        <w:shd w:val="clear" w:color="d9e2f4" w:themeColor="accent1" w:themeTint="34" w:fill="d9e2f4"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5" w:customStyle="1">
    <w:name w:val="Grid Table 3 - Accent 2"/>
    <w:basedOn w:val="789"/>
    <w:uiPriority w:val="99"/>
    <w:qFormat/>
    <w:pPr>
      <w:spacing w:after="0" w:line="240" w:lineRule="auto"/>
    </w:pPr>
    <w:tblPr>
      <w:tblBorders>
        <w:bottom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6" w:customStyle="1">
    <w:name w:val="Grid Table 3 - Accent 3"/>
    <w:basedOn w:val="789"/>
    <w:uiPriority w:val="99"/>
    <w:qFormat/>
    <w:pPr>
      <w:spacing w:after="0" w:line="240" w:lineRule="auto"/>
    </w:pPr>
    <w:tblPr>
      <w:tblBorders>
        <w:bottom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7" w:customStyle="1">
    <w:name w:val="Grid Table 3 - Accent 4"/>
    <w:basedOn w:val="789"/>
    <w:uiPriority w:val="99"/>
    <w:qFormat/>
    <w:pPr>
      <w:spacing w:after="0" w:line="240" w:lineRule="auto"/>
    </w:pPr>
    <w:tblPr>
      <w:tblBorders>
        <w:bottom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Grid Table 3 - Accent 5"/>
    <w:basedOn w:val="789"/>
    <w:uiPriority w:val="99"/>
    <w:qFormat/>
    <w:pPr>
      <w:spacing w:after="0" w:line="240" w:lineRule="auto"/>
    </w:pPr>
    <w:tblPr>
      <w:tblBorders>
        <w:bottom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9" w:customStyle="1">
    <w:name w:val="Grid Table 3 - Accent 6"/>
    <w:basedOn w:val="789"/>
    <w:uiPriority w:val="99"/>
    <w:qFormat/>
    <w:pPr>
      <w:spacing w:after="0" w:line="240" w:lineRule="auto"/>
    </w:pPr>
    <w:tblPr>
      <w:tblBorders>
        <w:bottom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90" w:customStyle="1">
    <w:name w:val="Grid Table 4"/>
    <w:basedOn w:val="789"/>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91" w:customStyle="1">
    <w:name w:val="Grid Table 4 - Accent 1"/>
    <w:basedOn w:val="789"/>
    <w:uiPriority w:val="5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insideV w:val="single" w:color="97B0E1" w:themeColor="accent1" w:themeTint="90" w:sz="4" w:space="0"/>
      </w:tblBorders>
    </w:tblPr>
    <w:tblStylePr w:type="band1Horz">
      <w:rPr>
        <w:rFonts w:ascii="Arial" w:hAnsi="Arial"/>
        <w:color w:val="404040"/>
        <w:sz w:val="22"/>
      </w:rPr>
      <w:tcPr>
        <w:shd w:val="clear" w:color="dbe3f4" w:themeColor="accent1" w:themeTint="32" w:fill="dbe3f4" w:themeFill="accent1" w:themeFillTint="32"/>
      </w:tcPr>
    </w:tblStylePr>
    <w:tblStylePr w:type="band1Vert">
      <w:rPr>
        <w:rFonts w:ascii="Arial" w:hAnsi="Arial"/>
        <w:color w:val="404040"/>
        <w:sz w:val="22"/>
      </w:rPr>
      <w:tcPr>
        <w:shd w:val="clear" w:color="dbe3f4" w:themeColor="accent1" w:themeTint="32" w:fill="dbe3f4" w:themeFill="accent1" w:themeFillTint="32"/>
      </w:tcPr>
    </w:tblStylePr>
    <w:tblStylePr w:type="firstCol">
      <w:rPr>
        <w:b/>
        <w:color w:val="404040"/>
      </w:rPr>
    </w:tblStylePr>
    <w:tblStylePr w:type="firstRow">
      <w:rPr>
        <w:rFonts w:ascii="Arial" w:hAnsi="Arial"/>
        <w:b/>
        <w:color w:val="ffffff"/>
        <w:sz w:val="22"/>
      </w:rPr>
      <w:tcPr>
        <w:shd w:val="clear" w:color="577fcf" w:themeColor="accent1" w:themeTint="EA" w:fill="577fcf" w:themeFill="accent1" w:themeFillTint="EA"/>
        <w:tcBorders>
          <w:top w:val="single" w:color="577FCF" w:themeColor="accent1" w:themeTint="EA" w:sz="4" w:space="0"/>
          <w:left w:val="single" w:color="577FCF" w:themeColor="accent1" w:themeTint="EA" w:sz="4" w:space="0"/>
          <w:bottom w:val="single" w:color="577FCF" w:themeColor="accent1" w:themeTint="EA" w:sz="4" w:space="0"/>
          <w:right w:val="single" w:color="577FCF" w:themeColor="accent1" w:themeTint="EA" w:sz="4" w:space="0"/>
        </w:tcBorders>
      </w:tcPr>
    </w:tblStylePr>
    <w:tblStylePr w:type="lastCol">
      <w:rPr>
        <w:b/>
        <w:color w:val="404040"/>
      </w:rPr>
    </w:tblStylePr>
    <w:tblStylePr w:type="lastRow">
      <w:rPr>
        <w:b/>
        <w:color w:val="404040"/>
      </w:rPr>
      <w:tcPr>
        <w:tcBorders>
          <w:top w:val="single" w:color="577FCF" w:themeColor="accent1" w:themeTint="EA" w:sz="4" w:space="0"/>
        </w:tcBorders>
      </w:tcPr>
    </w:tblStylePr>
  </w:style>
  <w:style w:type="table" w:styleId="892" w:customStyle="1">
    <w:name w:val="Grid Table 4 - Accent 2"/>
    <w:basedOn w:val="789"/>
    <w:uiPriority w:val="5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insideV w:val="single" w:color="F5B889" w:themeColor="accent2" w:themeTint="90" w:sz="4" w:space="0"/>
      </w:tblBorders>
    </w:tblPr>
    <w:tblStylePr w:type="band1Horz">
      <w:rPr>
        <w:rFonts w:ascii="Arial" w:hAnsi="Arial"/>
        <w:color w:val="404040"/>
        <w:sz w:val="22"/>
      </w:rPr>
      <w:tcPr>
        <w:shd w:val="clear" w:color="fbe6d6" w:themeColor="accent2" w:themeTint="32" w:fill="fbe6d6" w:themeFill="accent2" w:themeFillTint="32"/>
      </w:tcPr>
    </w:tblStylePr>
    <w:tblStylePr w:type="band1Vert">
      <w:rPr>
        <w:rFonts w:ascii="Arial" w:hAnsi="Arial"/>
        <w:color w:val="404040"/>
        <w:sz w:val="22"/>
      </w:rPr>
      <w:tcPr>
        <w:shd w:val="clear" w:color="fbe6d6" w:themeColor="accent2" w:themeTint="32" w:fill="fbe6d6" w:themeFill="accent2" w:themeFillTint="32"/>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cBorders>
      </w:tcPr>
    </w:tblStylePr>
    <w:tblStylePr w:type="lastCol">
      <w:rPr>
        <w:b/>
        <w:color w:val="404040"/>
      </w:rPr>
    </w:tblStylePr>
    <w:tblStylePr w:type="lastRow">
      <w:rPr>
        <w:b/>
        <w:color w:val="404040"/>
      </w:rPr>
      <w:tcPr>
        <w:tcBorders>
          <w:top w:val="single" w:color="F4B483" w:themeColor="accent2" w:themeTint="97" w:sz="4" w:space="0"/>
        </w:tcBorders>
      </w:tcPr>
    </w:tblStylePr>
  </w:style>
  <w:style w:type="table" w:styleId="893" w:customStyle="1">
    <w:name w:val="Grid Table 4 - Accent 3"/>
    <w:basedOn w:val="789"/>
    <w:uiPriority w:val="5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insideV w:val="single" w:color="FDDB6A" w:themeColor="accent3" w:themeTint="90" w:sz="4" w:space="0"/>
      </w:tblBorders>
    </w:tblPr>
    <w:tblStylePr w:type="band1Horz">
      <w:rPr>
        <w:rFonts w:ascii="Arial" w:hAnsi="Arial"/>
        <w:color w:val="404040"/>
        <w:sz w:val="22"/>
      </w:rPr>
      <w:tcPr>
        <w:shd w:val="clear" w:color="fef2c9" w:themeColor="accent3" w:themeTint="34" w:fill="fef2c9" w:themeFill="accent3" w:themeFillTint="34"/>
      </w:tcPr>
    </w:tblStylePr>
    <w:tblStylePr w:type="band1Vert">
      <w:rPr>
        <w:rFonts w:ascii="Arial" w:hAnsi="Arial"/>
        <w:color w:val="404040"/>
        <w:sz w:val="22"/>
      </w:rPr>
      <w:tcPr>
        <w:shd w:val="clear" w:color="fef2c9" w:themeColor="accent3" w:themeTint="34" w:fill="fef2c9" w:themeFill="accent3" w:themeFillTint="34"/>
      </w:tcPr>
    </w:tblStylePr>
    <w:tblStylePr w:type="firstCol">
      <w:rPr>
        <w:b/>
        <w:color w:val="404040"/>
      </w:rPr>
    </w:tblStylePr>
    <w:tblStylePr w:type="firstRow">
      <w:rPr>
        <w:rFonts w:ascii="Arial" w:hAnsi="Arial"/>
        <w:b/>
        <w:color w:val="ffffff"/>
        <w:sz w:val="22"/>
      </w:rPr>
      <w:tcPr>
        <w:shd w:val="clear" w:color="f3ba02" w:themeColor="accent3" w:themeTint="FE" w:fill="f3ba02" w:themeFill="accent3" w:themeFillTint="FE"/>
        <w:tc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tcBorders>
      </w:tcPr>
    </w:tblStylePr>
    <w:tblStylePr w:type="lastCol">
      <w:rPr>
        <w:b/>
        <w:color w:val="404040"/>
      </w:rPr>
    </w:tblStylePr>
    <w:tblStylePr w:type="lastRow">
      <w:rPr>
        <w:b/>
        <w:color w:val="404040"/>
      </w:rPr>
      <w:tcPr>
        <w:tcBorders>
          <w:top w:val="single" w:color="F3BA02" w:themeColor="accent3" w:themeTint="FE" w:sz="4" w:space="0"/>
        </w:tcBorders>
      </w:tcPr>
    </w:tblStylePr>
  </w:style>
  <w:style w:type="table" w:styleId="894" w:customStyle="1">
    <w:name w:val="Grid Table 4 - Accent 4"/>
    <w:basedOn w:val="789"/>
    <w:uiPriority w:val="5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insideV w:val="single" w:color="B1D994" w:themeColor="accent4" w:themeTint="90" w:sz="4" w:space="0"/>
      </w:tblBorders>
    </w:tblPr>
    <w:tblStylePr w:type="band1Horz">
      <w:rPr>
        <w:rFonts w:ascii="Arial" w:hAnsi="Arial"/>
        <w:color w:val="404040"/>
        <w:sz w:val="22"/>
      </w:rPr>
      <w:tcPr>
        <w:shd w:val="clear" w:color="e2f1d8" w:themeColor="accent4" w:themeTint="34" w:fill="e2f1d8" w:themeFill="accent4" w:themeFillTint="34"/>
      </w:tcPr>
    </w:tblStylePr>
    <w:tblStylePr w:type="band1Vert">
      <w:rPr>
        <w:rFonts w:ascii="Arial" w:hAnsi="Arial"/>
        <w:color w:val="404040"/>
        <w:sz w:val="22"/>
      </w:rPr>
      <w:tcPr>
        <w:shd w:val="clear" w:color="e2f1d8" w:themeColor="accent4" w:themeTint="34" w:fill="e2f1d8" w:themeFill="accent4" w:themeFillTint="34"/>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cBorders>
      </w:tcPr>
    </w:tblStylePr>
    <w:tblStylePr w:type="lastCol">
      <w:rPr>
        <w:b/>
        <w:color w:val="404040"/>
      </w:rPr>
    </w:tblStylePr>
    <w:tblStylePr w:type="lastRow">
      <w:rPr>
        <w:b/>
        <w:color w:val="404040"/>
      </w:rPr>
      <w:tcPr>
        <w:tcBorders>
          <w:top w:val="single" w:color="ABD78C" w:themeColor="accent4" w:themeTint="9A" w:sz="4" w:space="0"/>
        </w:tcBorders>
      </w:tcPr>
    </w:tblStylePr>
  </w:style>
  <w:style w:type="table" w:styleId="895" w:customStyle="1">
    <w:name w:val="Grid Table 4 - Accent 5"/>
    <w:basedOn w:val="789"/>
    <w:uiPriority w:val="5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404040"/>
        <w:sz w:val="22"/>
      </w:rPr>
      <w:tcPr>
        <w:shd w:val="clear" w:color="d2f3f1" w:themeColor="accent5" w:themeTint="34" w:fill="d2f3f1" w:themeFill="accent5" w:themeFillTint="34"/>
      </w:tcPr>
    </w:tblStylePr>
    <w:tblStylePr w:type="band1Vert">
      <w:rPr>
        <w:rFonts w:ascii="Arial" w:hAnsi="Arial"/>
        <w:color w:val="404040"/>
        <w:sz w:val="22"/>
      </w:rPr>
      <w:tcPr>
        <w:shd w:val="clear" w:color="d2f3f1" w:themeColor="accent5" w:themeTint="34" w:fill="d2f3f1" w:themeFill="accent5" w:themeFillTint="34"/>
      </w:tcPr>
    </w:tblStylePr>
    <w:tblStylePr w:type="firstCol">
      <w:rPr>
        <w:b/>
        <w:color w:val="404040"/>
      </w:rPr>
    </w:tblStylePr>
    <w:tblStylePr w:type="firstRow">
      <w:rPr>
        <w:rFonts w:ascii="Arial" w:hAnsi="Arial"/>
        <w:b/>
        <w:color w:val="ffffff"/>
        <w:sz w:val="22"/>
      </w:rPr>
      <w:tcPr>
        <w:shd w:val="clear" w:color="30c0b4" w:themeColor="accent5" w:fill="30c0b4" w:themeFill="accent5"/>
        <w:tcBorders>
          <w:top w:val="single" w:color="30C0B4" w:themeColor="accent5" w:sz="4" w:space="0"/>
          <w:left w:val="single" w:color="30C0B4" w:themeColor="accent5" w:sz="4" w:space="0"/>
          <w:bottom w:val="single" w:color="30C0B4" w:themeColor="accent5" w:sz="4" w:space="0"/>
          <w:right w:val="single" w:color="30C0B4" w:themeColor="accent5" w:sz="4" w:space="0"/>
        </w:tcBorders>
      </w:tcPr>
    </w:tblStylePr>
    <w:tblStylePr w:type="lastCol">
      <w:rPr>
        <w:b/>
        <w:color w:val="404040"/>
      </w:rPr>
    </w:tblStylePr>
    <w:tblStylePr w:type="lastRow">
      <w:rPr>
        <w:b/>
        <w:color w:val="404040"/>
      </w:rPr>
      <w:tcPr>
        <w:tcBorders>
          <w:top w:val="single" w:color="30C0B4" w:themeColor="accent5" w:sz="4" w:space="0"/>
        </w:tcBorders>
      </w:tcPr>
    </w:tblStylePr>
  </w:style>
  <w:style w:type="table" w:styleId="896" w:customStyle="1">
    <w:name w:val="Grid Table 4 - Accent 6"/>
    <w:basedOn w:val="789"/>
    <w:uiPriority w:val="5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404040"/>
        <w:sz w:val="22"/>
      </w:rPr>
      <w:tcPr>
        <w:shd w:val="clear" w:color="f9dade" w:themeColor="accent6" w:themeTint="34" w:fill="f9dade" w:themeFill="accent6" w:themeFillTint="34"/>
      </w:tcPr>
    </w:tblStylePr>
    <w:tblStylePr w:type="band1Vert">
      <w:rPr>
        <w:rFonts w:ascii="Arial" w:hAnsi="Arial"/>
        <w:color w:val="404040"/>
        <w:sz w:val="22"/>
      </w:rPr>
      <w:tcPr>
        <w:shd w:val="clear" w:color="f9dade" w:themeColor="accent6" w:themeTint="34" w:fill="f9dade" w:themeFill="accent6" w:themeFillTint="34"/>
      </w:tcPr>
    </w:tblStylePr>
    <w:tblStylePr w:type="firstCol">
      <w:rPr>
        <w:b/>
        <w:color w:val="404040"/>
      </w:rPr>
    </w:tblStylePr>
    <w:tblStylePr w:type="firstRow">
      <w:rPr>
        <w:rFonts w:ascii="Arial" w:hAnsi="Arial"/>
        <w:b/>
        <w:color w:val="ffffff"/>
        <w:sz w:val="22"/>
      </w:rPr>
      <w:tcPr>
        <w:shd w:val="clear" w:color="e54c5e" w:themeColor="accent6" w:fill="e54c5e" w:themeFill="accent6"/>
        <w:tcBorders>
          <w:top w:val="single" w:color="E54C5E" w:themeColor="accent6" w:sz="4" w:space="0"/>
          <w:left w:val="single" w:color="E54C5E" w:themeColor="accent6" w:sz="4" w:space="0"/>
          <w:bottom w:val="single" w:color="E54C5E" w:themeColor="accent6" w:sz="4" w:space="0"/>
          <w:right w:val="single" w:color="E54C5E" w:themeColor="accent6" w:sz="4" w:space="0"/>
        </w:tcBorders>
      </w:tcPr>
    </w:tblStylePr>
    <w:tblStylePr w:type="lastCol">
      <w:rPr>
        <w:b/>
        <w:color w:val="404040"/>
      </w:rPr>
    </w:tblStylePr>
    <w:tblStylePr w:type="lastRow">
      <w:rPr>
        <w:b/>
        <w:color w:val="404040"/>
      </w:rPr>
      <w:tcPr>
        <w:tcBorders>
          <w:top w:val="single" w:color="E54C5E" w:themeColor="accent6" w:sz="4" w:space="0"/>
        </w:tcBorders>
      </w:tcPr>
    </w:tblStylePr>
  </w:style>
  <w:style w:type="table" w:styleId="897" w:customStyle="1">
    <w:name w:val="Grid Table 5 Dark"/>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8" w:customStyle="1">
    <w:name w:val="Grid Table 5 Dark- Accent 1"/>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bbfe7" w:themeColor="accent1" w:themeTint="75" w:fill="abbfe7" w:themeFill="accent1" w:themeFillTint="75"/>
      </w:tcPr>
    </w:tblStylePr>
    <w:tblStylePr w:type="band1Vert">
      <w:tcPr>
        <w:shd w:val="clear" w:color="abbfe7" w:themeColor="accent1" w:themeTint="75" w:fill="abbfe7" w:themeFill="accent1" w:themeFillTint="75"/>
      </w:tcPr>
    </w:tblStylePr>
    <w:tblStylePr w:type="firstCol">
      <w:rPr>
        <w:rFonts w:ascii="Arial" w:hAnsi="Arial"/>
        <w:b/>
        <w:color w:val="ffffff"/>
        <w:sz w:val="22"/>
      </w:rPr>
      <w:tcPr>
        <w:shd w:val="clear" w:color="4874cb" w:themeColor="accent1" w:fill="4874cb" w:themeFill="accent1"/>
      </w:tcPr>
    </w:tblStylePr>
    <w:tblStylePr w:type="firstRow">
      <w:rPr>
        <w:rFonts w:ascii="Arial" w:hAnsi="Arial"/>
        <w:b/>
        <w:color w:val="ffffff"/>
        <w:sz w:val="22"/>
      </w:rPr>
      <w:tcPr>
        <w:shd w:val="clear" w:color="4874cb" w:themeColor="accent1" w:fill="4874cb" w:themeFill="accent1"/>
      </w:tcPr>
    </w:tblStylePr>
    <w:tblStylePr w:type="lastCol">
      <w:rPr>
        <w:rFonts w:ascii="Arial" w:hAnsi="Arial"/>
        <w:b/>
        <w:color w:val="ffffff"/>
        <w:sz w:val="22"/>
      </w:rPr>
      <w:tcPr>
        <w:shd w:val="clear" w:color="4874cb" w:themeColor="accent1" w:fill="4874cb" w:themeFill="accent1"/>
      </w:tcPr>
    </w:tblStylePr>
    <w:tblStylePr w:type="lastRow">
      <w:rPr>
        <w:rFonts w:ascii="Arial" w:hAnsi="Arial"/>
        <w:b/>
        <w:color w:val="ffffff"/>
        <w:sz w:val="22"/>
      </w:rPr>
      <w:tcPr>
        <w:shd w:val="clear" w:color="4874cb" w:themeColor="accent1" w:fill="4874cb" w:themeFill="accent1"/>
        <w:tcBorders>
          <w:top w:val="single" w:color="FFFFFF" w:themeColor="light1" w:sz="4" w:space="0"/>
        </w:tcBorders>
      </w:tcPr>
    </w:tblStylePr>
  </w:style>
  <w:style w:type="table" w:styleId="899" w:customStyle="1">
    <w:name w:val="Grid Table 5 Dark - Accent 2"/>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7c59f" w:themeColor="accent2" w:themeTint="75" w:fill="f7c59f" w:themeFill="accent2" w:themeFillTint="75"/>
      </w:tcPr>
    </w:tblStylePr>
    <w:tblStylePr w:type="band1Vert">
      <w:tcPr>
        <w:shd w:val="clear" w:color="f7c59f" w:themeColor="accent2" w:themeTint="75" w:fill="f7c59f" w:themeFill="accent2" w:themeFillTint="75"/>
      </w:tcPr>
    </w:tblStylePr>
    <w:tblStylePr w:type="firstCol">
      <w:rPr>
        <w:rFonts w:ascii="Arial" w:hAnsi="Arial"/>
        <w:b/>
        <w:color w:val="ffffff"/>
        <w:sz w:val="22"/>
      </w:rPr>
      <w:tcPr>
        <w:shd w:val="clear" w:color="ee822f" w:themeColor="accent2" w:fill="ee822f" w:themeFill="accent2"/>
      </w:tcPr>
    </w:tblStylePr>
    <w:tblStylePr w:type="firstRow">
      <w:rPr>
        <w:rFonts w:ascii="Arial" w:hAnsi="Arial"/>
        <w:b/>
        <w:color w:val="ffffff"/>
        <w:sz w:val="22"/>
      </w:rPr>
      <w:tcPr>
        <w:shd w:val="clear" w:color="ee822f" w:themeColor="accent2" w:fill="ee822f" w:themeFill="accent2"/>
      </w:tcPr>
    </w:tblStylePr>
    <w:tblStylePr w:type="lastCol">
      <w:rPr>
        <w:rFonts w:ascii="Arial" w:hAnsi="Arial"/>
        <w:b/>
        <w:color w:val="ffffff"/>
        <w:sz w:val="22"/>
      </w:rPr>
      <w:tcPr>
        <w:shd w:val="clear" w:color="ee822f" w:themeColor="accent2" w:fill="ee822f" w:themeFill="accent2"/>
      </w:tcPr>
    </w:tblStylePr>
    <w:tblStylePr w:type="lastRow">
      <w:rPr>
        <w:rFonts w:ascii="Arial" w:hAnsi="Arial"/>
        <w:b/>
        <w:color w:val="ffffff"/>
        <w:sz w:val="22"/>
      </w:rPr>
      <w:tcPr>
        <w:shd w:val="clear" w:color="ee822f" w:themeColor="accent2" w:fill="ee822f" w:themeFill="accent2"/>
        <w:tcBorders>
          <w:top w:val="single" w:color="FFFFFF" w:themeColor="light1" w:sz="4" w:space="0"/>
        </w:tcBorders>
      </w:tcPr>
    </w:tblStylePr>
  </w:style>
  <w:style w:type="table" w:styleId="900" w:customStyle="1">
    <w:name w:val="Grid Table 5 Dark - Accent 3"/>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de185" w:themeColor="accent3" w:themeTint="75" w:fill="fde185" w:themeFill="accent3" w:themeFillTint="75"/>
      </w:tcPr>
    </w:tblStylePr>
    <w:tblStylePr w:type="band1Vert">
      <w:tcPr>
        <w:shd w:val="clear" w:color="fde185" w:themeColor="accent3" w:themeTint="75" w:fill="fde185" w:themeFill="accent3" w:themeFillTint="75"/>
      </w:tcPr>
    </w:tblStylePr>
    <w:tblStylePr w:type="firstCol">
      <w:rPr>
        <w:rFonts w:ascii="Arial" w:hAnsi="Arial"/>
        <w:b/>
        <w:color w:val="ffffff"/>
        <w:sz w:val="22"/>
      </w:rPr>
      <w:tcPr>
        <w:shd w:val="clear" w:color="f2ba02" w:themeColor="accent3" w:fill="f2ba02" w:themeFill="accent3"/>
      </w:tcPr>
    </w:tblStylePr>
    <w:tblStylePr w:type="firstRow">
      <w:rPr>
        <w:rFonts w:ascii="Arial" w:hAnsi="Arial"/>
        <w:b/>
        <w:color w:val="ffffff"/>
        <w:sz w:val="22"/>
      </w:rPr>
      <w:tcPr>
        <w:shd w:val="clear" w:color="f2ba02" w:themeColor="accent3" w:fill="f2ba02" w:themeFill="accent3"/>
      </w:tcPr>
    </w:tblStylePr>
    <w:tblStylePr w:type="lastCol">
      <w:rPr>
        <w:rFonts w:ascii="Arial" w:hAnsi="Arial"/>
        <w:b/>
        <w:color w:val="ffffff"/>
        <w:sz w:val="22"/>
      </w:rPr>
      <w:tcPr>
        <w:shd w:val="clear" w:color="f2ba02" w:themeColor="accent3" w:fill="f2ba02" w:themeFill="accent3"/>
      </w:tcPr>
    </w:tblStylePr>
    <w:tblStylePr w:type="lastRow">
      <w:rPr>
        <w:rFonts w:ascii="Arial" w:hAnsi="Arial"/>
        <w:b/>
        <w:color w:val="ffffff"/>
        <w:sz w:val="22"/>
      </w:rPr>
      <w:tcPr>
        <w:shd w:val="clear" w:color="f2ba02" w:themeColor="accent3" w:fill="f2ba02" w:themeFill="accent3"/>
        <w:tcBorders>
          <w:top w:val="single" w:color="FFFFFF" w:themeColor="light1" w:sz="4" w:space="0"/>
        </w:tcBorders>
      </w:tcPr>
    </w:tblStylePr>
  </w:style>
  <w:style w:type="table" w:styleId="901" w:customStyle="1">
    <w:name w:val="Grid Table 5 Dark- Accent 4"/>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bfe0a8" w:themeColor="accent4" w:themeTint="75" w:fill="bfe0a8" w:themeFill="accent4" w:themeFillTint="75"/>
      </w:tcPr>
    </w:tblStylePr>
    <w:tblStylePr w:type="band1Vert">
      <w:tcPr>
        <w:shd w:val="clear" w:color="bfe0a8" w:themeColor="accent4" w:themeTint="75" w:fill="bfe0a8" w:themeFill="accent4" w:themeFillTint="75"/>
      </w:tcPr>
    </w:tblStylePr>
    <w:tblStylePr w:type="firstCol">
      <w:rPr>
        <w:rFonts w:ascii="Arial" w:hAnsi="Arial"/>
        <w:b/>
        <w:color w:val="ffffff"/>
        <w:sz w:val="22"/>
      </w:rPr>
      <w:tcPr>
        <w:shd w:val="clear" w:color="75bd42" w:themeColor="accent4" w:fill="75bd42" w:themeFill="accent4"/>
      </w:tcPr>
    </w:tblStylePr>
    <w:tblStylePr w:type="firstRow">
      <w:rPr>
        <w:rFonts w:ascii="Arial" w:hAnsi="Arial"/>
        <w:b/>
        <w:color w:val="ffffff"/>
        <w:sz w:val="22"/>
      </w:rPr>
      <w:tcPr>
        <w:shd w:val="clear" w:color="75bd42" w:themeColor="accent4" w:fill="75bd42" w:themeFill="accent4"/>
      </w:tcPr>
    </w:tblStylePr>
    <w:tblStylePr w:type="lastCol">
      <w:rPr>
        <w:rFonts w:ascii="Arial" w:hAnsi="Arial"/>
        <w:b/>
        <w:color w:val="ffffff"/>
        <w:sz w:val="22"/>
      </w:rPr>
      <w:tcPr>
        <w:shd w:val="clear" w:color="75bd42" w:themeColor="accent4" w:fill="75bd42" w:themeFill="accent4"/>
      </w:tcPr>
    </w:tblStylePr>
    <w:tblStylePr w:type="lastRow">
      <w:rPr>
        <w:rFonts w:ascii="Arial" w:hAnsi="Arial"/>
        <w:b/>
        <w:color w:val="ffffff"/>
        <w:sz w:val="22"/>
      </w:rPr>
      <w:tcPr>
        <w:shd w:val="clear" w:color="75bd42" w:themeColor="accent4" w:fill="75bd42" w:themeFill="accent4"/>
        <w:tcBorders>
          <w:top w:val="single" w:color="FFFFFF" w:themeColor="light1" w:sz="4" w:space="0"/>
        </w:tcBorders>
      </w:tcPr>
    </w:tblStylePr>
  </w:style>
  <w:style w:type="table" w:styleId="902" w:customStyle="1">
    <w:name w:val="Grid Table 5 Dark - Accent 5"/>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9be6e0" w:themeColor="accent5" w:themeTint="75" w:fill="9be6e0" w:themeFill="accent5" w:themeFillTint="75"/>
      </w:tcPr>
    </w:tblStylePr>
    <w:tblStylePr w:type="band1Vert">
      <w:tcPr>
        <w:shd w:val="clear" w:color="9be6e0" w:themeColor="accent5" w:themeTint="75" w:fill="9be6e0" w:themeFill="accent5" w:themeFillTint="75"/>
      </w:tcPr>
    </w:tblStylePr>
    <w:tblStylePr w:type="firstCol">
      <w:rPr>
        <w:rFonts w:ascii="Arial" w:hAnsi="Arial"/>
        <w:b/>
        <w:color w:val="ffffff"/>
        <w:sz w:val="22"/>
      </w:rPr>
      <w:tcPr>
        <w:shd w:val="clear" w:color="30c0b4" w:themeColor="accent5" w:fill="30c0b4" w:themeFill="accent5"/>
      </w:tcPr>
    </w:tblStylePr>
    <w:tblStylePr w:type="firstRow">
      <w:rPr>
        <w:rFonts w:ascii="Arial" w:hAnsi="Arial"/>
        <w:b/>
        <w:color w:val="ffffff"/>
        <w:sz w:val="22"/>
      </w:rPr>
      <w:tcPr>
        <w:shd w:val="clear" w:color="30c0b4" w:themeColor="accent5" w:fill="30c0b4" w:themeFill="accent5"/>
      </w:tcPr>
    </w:tblStylePr>
    <w:tblStylePr w:type="lastCol">
      <w:rPr>
        <w:rFonts w:ascii="Arial" w:hAnsi="Arial"/>
        <w:b/>
        <w:color w:val="ffffff"/>
        <w:sz w:val="22"/>
      </w:rPr>
      <w:tcPr>
        <w:shd w:val="clear" w:color="30c0b4" w:themeColor="accent5" w:fill="30c0b4" w:themeFill="accent5"/>
      </w:tcPr>
    </w:tblStylePr>
    <w:tblStylePr w:type="lastRow">
      <w:rPr>
        <w:rFonts w:ascii="Arial" w:hAnsi="Arial"/>
        <w:b/>
        <w:color w:val="ffffff"/>
        <w:sz w:val="22"/>
      </w:rPr>
      <w:tcPr>
        <w:shd w:val="clear" w:color="30c0b4" w:themeColor="accent5" w:fill="30c0b4" w:themeFill="accent5"/>
        <w:tcBorders>
          <w:top w:val="single" w:color="FFFFFF" w:themeColor="light1" w:sz="4" w:space="0"/>
        </w:tcBorders>
      </w:tcPr>
    </w:tblStylePr>
  </w:style>
  <w:style w:type="table" w:styleId="903" w:customStyle="1">
    <w:name w:val="Grid Table 5 Dark - Accent 6"/>
    <w:basedOn w:val="789"/>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3acb5" w:themeColor="accent6" w:themeTint="75" w:fill="f3acb5" w:themeFill="accent6" w:themeFillTint="75"/>
      </w:tcPr>
    </w:tblStylePr>
    <w:tblStylePr w:type="band1Vert">
      <w:tcPr>
        <w:shd w:val="clear" w:color="f3acb5" w:themeColor="accent6" w:themeTint="75" w:fill="f3acb5" w:themeFill="accent6" w:themeFillTint="75"/>
      </w:tcPr>
    </w:tblStylePr>
    <w:tblStylePr w:type="firstCol">
      <w:rPr>
        <w:rFonts w:ascii="Arial" w:hAnsi="Arial"/>
        <w:b/>
        <w:color w:val="ffffff"/>
        <w:sz w:val="22"/>
      </w:rPr>
      <w:tcPr>
        <w:shd w:val="clear" w:color="e54c5e" w:themeColor="accent6" w:fill="e54c5e" w:themeFill="accent6"/>
      </w:tcPr>
    </w:tblStylePr>
    <w:tblStylePr w:type="firstRow">
      <w:rPr>
        <w:rFonts w:ascii="Arial" w:hAnsi="Arial"/>
        <w:b/>
        <w:color w:val="ffffff"/>
        <w:sz w:val="22"/>
      </w:rPr>
      <w:tcPr>
        <w:shd w:val="clear" w:color="e54c5e" w:themeColor="accent6" w:fill="e54c5e" w:themeFill="accent6"/>
      </w:tcPr>
    </w:tblStylePr>
    <w:tblStylePr w:type="lastCol">
      <w:rPr>
        <w:rFonts w:ascii="Arial" w:hAnsi="Arial"/>
        <w:b/>
        <w:color w:val="ffffff"/>
        <w:sz w:val="22"/>
      </w:rPr>
      <w:tcPr>
        <w:shd w:val="clear" w:color="e54c5e" w:themeColor="accent6" w:fill="e54c5e" w:themeFill="accent6"/>
      </w:tcPr>
    </w:tblStylePr>
    <w:tblStylePr w:type="lastRow">
      <w:rPr>
        <w:rFonts w:ascii="Arial" w:hAnsi="Arial"/>
        <w:b/>
        <w:color w:val="ffffff"/>
        <w:sz w:val="22"/>
      </w:rPr>
      <w:tcPr>
        <w:shd w:val="clear" w:color="e54c5e" w:themeColor="accent6" w:fill="e54c5e" w:themeFill="accent6"/>
        <w:tcBorders>
          <w:top w:val="single" w:color="FFFFFF" w:themeColor="light1" w:sz="4" w:space="0"/>
        </w:tcBorders>
      </w:tcPr>
    </w:tblStylePr>
  </w:style>
  <w:style w:type="table" w:styleId="904" w:customStyle="1">
    <w:name w:val="Grid Table 6 Colorful"/>
    <w:basedOn w:val="789"/>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905" w:customStyle="1">
    <w:name w:val="Grid Table 6 Colorful - Accent 1"/>
    <w:basedOn w:val="789"/>
    <w:uiPriority w:val="99"/>
    <w:qFormat/>
    <w:pPr>
      <w:spacing w:after="0" w:line="240" w:lineRule="auto"/>
    </w:pPr>
    <w:tblPr>
      <w:tblBorders>
        <w:top w:val="single" w:color="A3B9E4" w:themeColor="accent1" w:themeTint="80" w:sz="4" w:space="0"/>
        <w:left w:val="single" w:color="A3B9E4" w:themeColor="accent1" w:themeTint="80" w:sz="4" w:space="0"/>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b/>
        <w:color w:val="a4bae5" w:themeColor="accent1" w:themeTint="80"/>
        <w14:textFill>
          <w14:solidFill>
            <w14:schemeClr w14:val="accent1">
              <w14:lumMod w14:val="50000"/>
              <w14:lumOff w14:val="50000"/>
            </w14:schemeClr>
          </w14:solidFill>
        </w14:textFill>
      </w:rPr>
    </w:tblStylePr>
    <w:tblStylePr w:type="firstRow">
      <w:rPr>
        <w:b/>
        <w:color w:val="a4bae5" w:themeColor="accent1" w:themeTint="80"/>
        <w14:textFill>
          <w14:solidFill>
            <w14:schemeClr w14:val="accent1">
              <w14:lumMod w14:val="50000"/>
              <w14:lumOff w14:val="50000"/>
            </w14:schemeClr>
          </w14:solidFill>
        </w14:textFill>
      </w:rPr>
      <w:tcPr>
        <w:tcBorders>
          <w:bottom w:val="single" w:color="A3B9E4" w:themeColor="accent1" w:themeTint="80" w:sz="12" w:space="0"/>
        </w:tcBorders>
      </w:tcPr>
    </w:tblStylePr>
    <w:tblStylePr w:type="lastCol">
      <w:rPr>
        <w:b/>
        <w:color w:val="a4bae5" w:themeColor="accent1" w:themeTint="80"/>
        <w14:textFill>
          <w14:solidFill>
            <w14:schemeClr w14:val="accent1">
              <w14:lumMod w14:val="50000"/>
              <w14:lumOff w14:val="50000"/>
            </w14:schemeClr>
          </w14:solidFill>
        </w14:textFill>
      </w:rPr>
    </w:tblStylePr>
    <w:tblStylePr w:type="lastRow">
      <w:rPr>
        <w:b/>
        <w:color w:val="a4bae5" w:themeColor="accent1" w:themeTint="80"/>
        <w14:textFill>
          <w14:solidFill>
            <w14:schemeClr w14:val="accent1">
              <w14:lumMod w14:val="50000"/>
              <w14:lumOff w14:val="50000"/>
            </w14:schemeClr>
          </w14:solidFill>
        </w14:textFill>
      </w:rPr>
    </w:tblStylePr>
  </w:style>
  <w:style w:type="table" w:styleId="906" w:customStyle="1">
    <w:name w:val="Grid Table 6 Colorful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12"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blStylePr>
  </w:style>
  <w:style w:type="table" w:styleId="907" w:customStyle="1">
    <w:name w:val="Grid Table 6 Colorful - Accent 3"/>
    <w:basedOn w:val="789"/>
    <w:uiPriority w:val="99"/>
    <w:qFormat/>
    <w:pPr>
      <w:spacing w:after="0" w:line="240" w:lineRule="auto"/>
    </w:pPr>
    <w:tblPr>
      <w:tblBorders>
        <w:top w:val="single" w:color="F3BA02" w:themeColor="accent3" w:themeTint="FE" w:sz="4" w:space="0"/>
        <w:left w:val="single" w:color="F3BA02" w:themeColor="accent3" w:themeTint="FE" w:sz="4" w:space="0"/>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b/>
        <w:color w:val="f2ba02" w:themeColor="accent3" w:themeTint="FF"/>
        <w14:textFill>
          <w14:solidFill>
            <w14:schemeClr w14:val="accent3">
              <w14:lumMod w14:val="100000"/>
              <w14:lumOff w14:val="0"/>
            </w14:schemeClr>
          </w14:solidFill>
        </w14:textFill>
      </w:rPr>
    </w:tblStylePr>
    <w:tblStylePr w:type="firstRow">
      <w:rPr>
        <w:b/>
        <w:color w:val="f2ba02" w:themeColor="accent3" w:themeTint="FF"/>
        <w14:textFill>
          <w14:solidFill>
            <w14:schemeClr w14:val="accent3">
              <w14:lumMod w14:val="100000"/>
              <w14:lumOff w14:val="0"/>
            </w14:schemeClr>
          </w14:solidFill>
        </w14:textFill>
      </w:rPr>
      <w:tcPr>
        <w:tcBorders>
          <w:bottom w:val="single" w:color="F3BA02" w:themeColor="accent3" w:themeTint="FE" w:sz="12" w:space="0"/>
        </w:tcBorders>
      </w:tcPr>
    </w:tblStylePr>
    <w:tblStylePr w:type="lastCol">
      <w:rPr>
        <w:b/>
        <w:color w:val="f2ba02" w:themeColor="accent3" w:themeTint="FF"/>
        <w14:textFill>
          <w14:solidFill>
            <w14:schemeClr w14:val="accent3">
              <w14:lumMod w14:val="100000"/>
              <w14:lumOff w14:val="0"/>
            </w14:schemeClr>
          </w14:solidFill>
        </w14:textFill>
      </w:rPr>
    </w:tblStylePr>
    <w:tblStylePr w:type="lastRow">
      <w:rPr>
        <w:b/>
        <w:color w:val="f2ba02" w:themeColor="accent3" w:themeTint="FF"/>
        <w14:textFill>
          <w14:solidFill>
            <w14:schemeClr w14:val="accent3">
              <w14:lumMod w14:val="100000"/>
              <w14:lumOff w14:val="0"/>
            </w14:schemeClr>
          </w14:solidFill>
        </w14:textFill>
      </w:rPr>
    </w:tblStylePr>
  </w:style>
  <w:style w:type="table" w:styleId="908" w:customStyle="1">
    <w:name w:val="Grid Table 6 Colorful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12"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blStylePr>
  </w:style>
  <w:style w:type="table" w:styleId="909" w:customStyle="1">
    <w:name w:val="Grid Table 6 Colorful - Accent 5"/>
    <w:basedOn w:val="789"/>
    <w:uiPriority w:val="99"/>
    <w:qFormat/>
    <w:pPr>
      <w:spacing w:after="0" w:line="240" w:lineRule="auto"/>
    </w:pPr>
    <w:tblPr>
      <w:tblBorders>
        <w:top w:val="single" w:color="30C0B4" w:themeColor="accent5" w:sz="4" w:space="0"/>
        <w:left w:val="single" w:color="30C0B4" w:themeColor="accent5" w:sz="4" w:space="0"/>
        <w:bottom w:val="single" w:color="30C0B4" w:themeColor="accent5" w:sz="4" w:space="0"/>
        <w:right w:val="single" w:color="30C0B4" w:themeColor="accent5" w:sz="4" w:space="0"/>
        <w:insideH w:val="single" w:color="30C0B4" w:themeColor="accent5" w:sz="4" w:space="0"/>
        <w:insideV w:val="single" w:color="30C0B4" w:themeColor="accent5"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30C0B4" w:themeColor="accent5"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0" w:customStyle="1">
    <w:name w:val="Grid Table 6 Colorful - Accent 6"/>
    <w:basedOn w:val="789"/>
    <w:uiPriority w:val="99"/>
    <w:qFormat/>
    <w:pPr>
      <w:spacing w:after="0" w:line="240" w:lineRule="auto"/>
    </w:pPr>
    <w:tblPr>
      <w:tblBorders>
        <w:top w:val="single" w:color="E54C5E" w:themeColor="accent6" w:sz="4" w:space="0"/>
        <w:left w:val="single" w:color="E54C5E" w:themeColor="accent6" w:sz="4" w:space="0"/>
        <w:bottom w:val="single" w:color="E54C5E" w:themeColor="accent6" w:sz="4" w:space="0"/>
        <w:right w:val="single" w:color="E54C5E" w:themeColor="accent6" w:sz="4" w:space="0"/>
        <w:insideH w:val="single" w:color="E54C5E" w:themeColor="accent6" w:sz="4" w:space="0"/>
        <w:insideV w:val="single" w:color="E54C5E" w:themeColor="accent6" w:sz="4" w:space="0"/>
      </w:tblBorders>
    </w:tblPr>
    <w:tblStylePr w:type="band1Horz">
      <w:rPr>
        <w:rFonts w:ascii="Arial" w:hAnsi="Arial"/>
        <w:color w:val="1c6f68" w:themeColor="accent5"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1c6f68" w:themeColor="accent5" w:themeShade="94"/>
        <w:sz w:val="22"/>
      </w:rPr>
    </w:tblStylePr>
    <w:tblStylePr w:type="firstCol">
      <w:rPr>
        <w:b/>
        <w:color w:val="1c6f68" w:themeColor="accent5" w:themeShade="94"/>
      </w:rPr>
    </w:tblStylePr>
    <w:tblStylePr w:type="firstRow">
      <w:rPr>
        <w:b/>
        <w:color w:val="1c6f68" w:themeColor="accent5" w:themeShade="94"/>
      </w:rPr>
      <w:tcPr>
        <w:tcBorders>
          <w:bottom w:val="single" w:color="E54C5E" w:themeColor="accent6" w:sz="12" w:space="0"/>
        </w:tcBorders>
      </w:tcPr>
    </w:tblStylePr>
    <w:tblStylePr w:type="lastCol">
      <w:rPr>
        <w:b/>
        <w:color w:val="1c6f68" w:themeColor="accent5" w:themeShade="94"/>
      </w:rPr>
    </w:tblStylePr>
    <w:tblStylePr w:type="lastRow">
      <w:rPr>
        <w:b/>
        <w:color w:val="1c6f68" w:themeColor="accent5" w:themeShade="94"/>
      </w:rPr>
    </w:tblStylePr>
  </w:style>
  <w:style w:type="table" w:styleId="911" w:customStyle="1">
    <w:name w:val="Grid Table 7 Colorful"/>
    <w:basedOn w:val="789"/>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12" w:customStyle="1">
    <w:name w:val="Grid Table 7 Colorful - Accent 1"/>
    <w:basedOn w:val="789"/>
    <w:uiPriority w:val="99"/>
    <w:qFormat/>
    <w:pPr>
      <w:spacing w:after="0" w:line="240" w:lineRule="auto"/>
    </w:pPr>
    <w:tblPr>
      <w:tblBorders>
        <w:bottom w:val="single" w:color="A3B9E4" w:themeColor="accent1" w:themeTint="80" w:sz="4" w:space="0"/>
        <w:right w:val="single" w:color="A3B9E4" w:themeColor="accent1" w:themeTint="80" w:sz="4" w:space="0"/>
        <w:insideH w:val="single" w:color="A3B9E4" w:themeColor="accent1" w:themeTint="80" w:sz="4" w:space="0"/>
        <w:insideV w:val="single" w:color="A3B9E4" w:themeColor="accent1" w:themeTint="80" w:sz="4" w:space="0"/>
      </w:tblBorders>
    </w:tblPr>
    <w:tblStylePr w:type="band1Horz">
      <w:rPr>
        <w:rFonts w:ascii="Arial" w:hAnsi="Arial"/>
        <w:color w:val="a4bae5" w:themeColor="accent1" w:themeTint="80"/>
        <w:sz w:val="22"/>
        <w14:textFill>
          <w14:solidFill>
            <w14:schemeClr w14:val="accent1">
              <w14:lumMod w14:val="50000"/>
              <w14:lumOff w14:val="50000"/>
            </w14:schemeClr>
          </w14:solidFill>
        </w14:textFill>
      </w:rPr>
      <w:tcPr>
        <w:shd w:val="clear" w:color="d9e2f4" w:themeColor="accent1" w:themeTint="34" w:fill="d9e2f4" w:themeFill="accent1" w:themeFillTint="34"/>
      </w:tcPr>
    </w:tblStylePr>
    <w:tblStylePr w:type="band1Vert">
      <w:tcPr>
        <w:shd w:val="clear" w:color="d9e2f4" w:themeColor="accent1" w:themeTint="34" w:fill="d9e2f4" w:themeFill="accent1" w:themeFillTint="34"/>
      </w:tcPr>
    </w:tblStylePr>
    <w:tblStylePr w:type="band2Horz">
      <w:rPr>
        <w:rFonts w:ascii="Arial" w:hAnsi="Arial"/>
        <w:color w:val="a4bae5" w:themeColor="accent1" w:themeTint="80"/>
        <w:sz w:val="22"/>
        <w14:textFill>
          <w14:solidFill>
            <w14:schemeClr w14:val="accent1">
              <w14:lumMod w14:val="50000"/>
              <w14:lumOff w14:val="50000"/>
            </w14:schemeClr>
          </w14:solidFill>
        </w14:textFill>
      </w:rPr>
    </w:tblStylePr>
    <w:tblStylePr w:type="firstCol">
      <w:rPr>
        <w:rFonts w:ascii="Arial" w:hAnsi="Arial"/>
        <w:i/>
        <w:color w:val="a4bae5"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3B9E4" w:themeColor="accent1" w:themeTint="80" w:sz="4" w:space="0"/>
        </w:tcBorders>
      </w:tcPr>
    </w:tblStylePr>
    <w:tblStylePr w:type="fir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3B9E4" w:themeColor="accent1" w:themeTint="80" w:sz="4" w:space="0"/>
          <w:right w:val="none" w:color="000000" w:sz="4" w:space="0"/>
        </w:tcBorders>
      </w:tcPr>
    </w:tblStylePr>
    <w:tblStylePr w:type="lastCol">
      <w:rPr>
        <w:rFonts w:ascii="Arial" w:hAnsi="Arial"/>
        <w:i/>
        <w:color w:val="a4bae5"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3B9E4" w:themeColor="accent1" w:themeTint="80" w:sz="4" w:space="0"/>
          <w:bottom w:val="none" w:color="000000" w:sz="4" w:space="0"/>
          <w:right w:val="none" w:color="000000" w:sz="4" w:space="0"/>
        </w:tcBorders>
      </w:tcPr>
    </w:tblStylePr>
    <w:tblStylePr w:type="lastRow">
      <w:rPr>
        <w:rFonts w:ascii="Arial" w:hAnsi="Arial"/>
        <w:b/>
        <w:color w:val="a4bae5"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3B9E4" w:themeColor="accent1" w:themeTint="80" w:sz="4" w:space="0"/>
          <w:left w:val="none" w:color="000000" w:sz="4" w:space="0"/>
          <w:bottom w:val="none" w:color="000000" w:sz="4" w:space="0"/>
          <w:right w:val="none" w:color="000000" w:sz="4" w:space="0"/>
        </w:tcBorders>
      </w:tcPr>
    </w:tblStylePr>
  </w:style>
  <w:style w:type="table" w:styleId="913" w:customStyle="1">
    <w:name w:val="Grid Table 7 Colorful - Accent 2"/>
    <w:basedOn w:val="789"/>
    <w:uiPriority w:val="99"/>
    <w:qFormat/>
    <w:pPr>
      <w:spacing w:after="0" w:line="240" w:lineRule="auto"/>
    </w:pPr>
    <w:tblPr>
      <w:tblBorders>
        <w:bottom w:val="single" w:color="F4B483" w:themeColor="accent2" w:themeTint="97" w:sz="4" w:space="0"/>
        <w:right w:val="single" w:color="F4B483" w:themeColor="accent2" w:themeTint="97" w:sz="4" w:space="0"/>
        <w:insideH w:val="single" w:color="F4B483" w:themeColor="accent2" w:themeTint="97" w:sz="4" w:space="0"/>
        <w:insideV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be6d6" w:themeColor="accent2" w:themeTint="32" w:fill="fbe6d6" w:themeFill="accent2" w:themeFillTint="32"/>
      </w:tcPr>
    </w:tblStylePr>
    <w:tblStylePr w:type="band1Vert">
      <w:tcPr>
        <w:shd w:val="clear" w:color="fbe6d6" w:themeColor="accent2" w:themeTint="32" w:fill="fbe6d6" w:themeFill="accent2" w:themeFillTint="32"/>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b/>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14" w:customStyle="1">
    <w:name w:val="Grid Table 7 Colorful - Accent 3"/>
    <w:basedOn w:val="789"/>
    <w:uiPriority w:val="99"/>
    <w:qFormat/>
    <w:pPr>
      <w:spacing w:after="0" w:line="240" w:lineRule="auto"/>
    </w:pPr>
    <w:tblPr>
      <w:tblBorders>
        <w:bottom w:val="single" w:color="F3BA02" w:themeColor="accent3" w:themeTint="FE" w:sz="4" w:space="0"/>
        <w:right w:val="single" w:color="F3BA02" w:themeColor="accent3" w:themeTint="FE" w:sz="4" w:space="0"/>
        <w:insideH w:val="single" w:color="F3BA02" w:themeColor="accent3" w:themeTint="FE" w:sz="4" w:space="0"/>
        <w:insideV w:val="single" w:color="F3BA02" w:themeColor="accent3" w:themeTint="FE" w:sz="4" w:space="0"/>
      </w:tblBorders>
    </w:tblPr>
    <w:tblStylePr w:type="band1Horz">
      <w:rPr>
        <w:rFonts w:ascii="Arial" w:hAnsi="Arial"/>
        <w:color w:val="f2ba02" w:themeColor="accent3" w:themeTint="FF"/>
        <w:sz w:val="22"/>
        <w14:textFill>
          <w14:solidFill>
            <w14:schemeClr w14:val="accent3">
              <w14:lumMod w14:val="100000"/>
              <w14:lumOff w14:val="0"/>
            </w14:schemeClr>
          </w14:solidFill>
        </w14:textFill>
      </w:rPr>
      <w:tcPr>
        <w:shd w:val="clear" w:color="fef2c9" w:themeColor="accent3" w:themeTint="34" w:fill="fef2c9" w:themeFill="accent3" w:themeFillTint="34"/>
      </w:tcPr>
    </w:tblStylePr>
    <w:tblStylePr w:type="band1Vert">
      <w:tcPr>
        <w:shd w:val="clear" w:color="fef2c9" w:themeColor="accent3" w:themeTint="34" w:fill="fef2c9" w:themeFill="accent3" w:themeFillTint="34"/>
      </w:tcPr>
    </w:tblStylePr>
    <w:tblStylePr w:type="band2Horz">
      <w:rPr>
        <w:rFonts w:ascii="Arial" w:hAnsi="Arial"/>
        <w:color w:val="f2ba02" w:themeColor="accent3" w:themeTint="FF"/>
        <w:sz w:val="22"/>
        <w14:textFill>
          <w14:solidFill>
            <w14:schemeClr w14:val="accent3">
              <w14:lumMod w14:val="100000"/>
              <w14:lumOff w14:val="0"/>
            </w14:schemeClr>
          </w14:solidFill>
        </w14:textFill>
      </w:rPr>
    </w:tblStylePr>
    <w:tblStylePr w:type="firstCol">
      <w:rPr>
        <w:rFonts w:ascii="Arial" w:hAnsi="Arial"/>
        <w:i/>
        <w:color w:val="f2ba02"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F3BA02" w:themeColor="accent3" w:themeTint="FE" w:sz="4" w:space="0"/>
        </w:tcBorders>
      </w:tcPr>
    </w:tblStylePr>
    <w:tblStylePr w:type="fir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F3BA02" w:themeColor="accent3" w:themeTint="FE" w:sz="4" w:space="0"/>
          <w:right w:val="none" w:color="000000" w:sz="4" w:space="0"/>
        </w:tcBorders>
      </w:tcPr>
    </w:tblStylePr>
    <w:tblStylePr w:type="lastCol">
      <w:rPr>
        <w:rFonts w:ascii="Arial" w:hAnsi="Arial"/>
        <w:i/>
        <w:color w:val="f2ba02"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F3BA02" w:themeColor="accent3" w:themeTint="FE" w:sz="4" w:space="0"/>
          <w:bottom w:val="none" w:color="000000" w:sz="4" w:space="0"/>
          <w:right w:val="none" w:color="000000" w:sz="4" w:space="0"/>
        </w:tcBorders>
      </w:tcPr>
    </w:tblStylePr>
    <w:tblStylePr w:type="lastRow">
      <w:rPr>
        <w:rFonts w:ascii="Arial" w:hAnsi="Arial"/>
        <w:b/>
        <w:color w:val="f2ba02"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F3BA02" w:themeColor="accent3" w:themeTint="FE" w:sz="4" w:space="0"/>
          <w:left w:val="none" w:color="000000" w:sz="4" w:space="0"/>
          <w:bottom w:val="none" w:color="000000" w:sz="4" w:space="0"/>
          <w:right w:val="none" w:color="000000" w:sz="4" w:space="0"/>
        </w:tcBorders>
      </w:tcPr>
    </w:tblStylePr>
  </w:style>
  <w:style w:type="table" w:styleId="915" w:customStyle="1">
    <w:name w:val="Grid Table 7 Colorful - Accent 4"/>
    <w:basedOn w:val="789"/>
    <w:uiPriority w:val="99"/>
    <w:qFormat/>
    <w:pPr>
      <w:spacing w:after="0" w:line="240" w:lineRule="auto"/>
    </w:pPr>
    <w:tblPr>
      <w:tblBorders>
        <w:bottom w:val="single" w:color="ABD78C" w:themeColor="accent4" w:themeTint="9A" w:sz="4" w:space="0"/>
        <w:right w:val="single" w:color="ABD78C" w:themeColor="accent4" w:themeTint="9A" w:sz="4" w:space="0"/>
        <w:insideH w:val="single" w:color="ABD78C" w:themeColor="accent4" w:themeTint="9A" w:sz="4" w:space="0"/>
        <w:insideV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e2f1d8" w:themeColor="accent4" w:themeTint="34" w:fill="e2f1d8" w:themeFill="accent4" w:themeFillTint="34"/>
      </w:tcPr>
    </w:tblStylePr>
    <w:tblStylePr w:type="band1Vert">
      <w:tcPr>
        <w:shd w:val="clear" w:color="e2f1d8" w:themeColor="accent4" w:themeTint="34" w:fill="e2f1d8" w:themeFill="accent4" w:themeFillTint="34"/>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b/>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16" w:customStyle="1">
    <w:name w:val="Grid Table 7 Colorful - Accent 5"/>
    <w:basedOn w:val="789"/>
    <w:uiPriority w:val="99"/>
    <w:qFormat/>
    <w:pPr>
      <w:spacing w:after="0" w:line="240" w:lineRule="auto"/>
    </w:pPr>
    <w:tblPr>
      <w:tblBorders>
        <w:bottom w:val="single" w:color="85E0D8" w:themeColor="accent5" w:themeTint="90" w:sz="4" w:space="0"/>
        <w:right w:val="single" w:color="85E0D8" w:themeColor="accent5" w:themeTint="90" w:sz="4" w:space="0"/>
        <w:insideH w:val="single" w:color="85E0D8" w:themeColor="accent5" w:themeTint="90" w:sz="4" w:space="0"/>
        <w:insideV w:val="single" w:color="85E0D8" w:themeColor="accent5" w:themeTint="90" w:sz="4" w:space="0"/>
      </w:tblBorders>
    </w:tblPr>
    <w:tblStylePr w:type="band1Horz">
      <w:rPr>
        <w:rFonts w:ascii="Arial" w:hAnsi="Arial"/>
        <w:color w:val="1c6f68" w:themeColor="accent5" w:themeShade="94"/>
        <w:sz w:val="22"/>
      </w:rPr>
      <w:tcPr>
        <w:shd w:val="clear" w:color="d2f3f1" w:themeColor="accent5" w:themeTint="34" w:fill="d2f3f1" w:themeFill="accent5" w:themeFillTint="34"/>
      </w:tcPr>
    </w:tblStylePr>
    <w:tblStylePr w:type="band1Vert">
      <w:tcPr>
        <w:shd w:val="clear" w:color="d2f3f1" w:themeColor="accent5" w:themeTint="34" w:fill="d2f3f1" w:themeFill="accent5" w:themeFillTint="34"/>
      </w:tcPr>
    </w:tblStylePr>
    <w:tblStylePr w:type="band2Horz">
      <w:rPr>
        <w:rFonts w:ascii="Arial" w:hAnsi="Arial"/>
        <w:color w:val="1c6f68" w:themeColor="accent5" w:themeShade="94"/>
        <w:sz w:val="22"/>
      </w:rPr>
    </w:tblStylePr>
    <w:tblStylePr w:type="firstCol">
      <w:rPr>
        <w:rFonts w:ascii="Arial" w:hAnsi="Arial"/>
        <w:i/>
        <w:color w:val="1c6f68" w:themeColor="accent5" w:themeShade="94"/>
        <w:sz w:val="22"/>
      </w:rPr>
      <w:pPr>
        <w:jc w:val="right"/>
      </w:pPr>
      <w:tcPr>
        <w:shd w:val="clear" w:color="ffffff" w:fill="auto"/>
        <w:tcBorders>
          <w:top w:val="none" w:color="000000" w:sz="4" w:space="0"/>
          <w:left w:val="none" w:color="000000" w:sz="4" w:space="0"/>
          <w:bottom w:val="none" w:color="000000" w:sz="4" w:space="0"/>
          <w:right w:val="single" w:color="85E0D8" w:themeColor="accent5" w:themeTint="90" w:sz="4" w:space="0"/>
        </w:tcBorders>
      </w:tcPr>
    </w:tblStylePr>
    <w:tblStylePr w:type="firstRow">
      <w:rPr>
        <w:rFonts w:ascii="Arial" w:hAnsi="Arial"/>
        <w:b/>
        <w:color w:val="1c6f68" w:themeColor="accent5" w:themeShade="94"/>
        <w:sz w:val="22"/>
      </w:rPr>
      <w:tcPr>
        <w:shd w:val="clear" w:color="ffffff" w:themeColor="light1" w:fill="ffffff" w:themeFill="light1"/>
        <w:tcBorders>
          <w:top w:val="none" w:color="000000" w:sz="4" w:space="0"/>
          <w:left w:val="none" w:color="000000" w:sz="4" w:space="0"/>
          <w:bottom w:val="single" w:color="85E0D8" w:themeColor="accent5" w:themeTint="90" w:sz="4" w:space="0"/>
          <w:right w:val="none" w:color="000000" w:sz="4" w:space="0"/>
        </w:tcBorders>
      </w:tcPr>
    </w:tblStylePr>
    <w:tblStylePr w:type="lastCol">
      <w:rPr>
        <w:rFonts w:ascii="Arial" w:hAnsi="Arial"/>
        <w:i/>
        <w:color w:val="1c6f68" w:themeColor="accent5" w:themeShade="94"/>
        <w:sz w:val="22"/>
      </w:rPr>
      <w:tcPr>
        <w:shd w:val="clear" w:color="ffffff" w:fill="auto"/>
        <w:tcBorders>
          <w:top w:val="none" w:color="000000" w:sz="4" w:space="0"/>
          <w:left w:val="single" w:color="85E0D8" w:themeColor="accent5" w:themeTint="90" w:sz="4" w:space="0"/>
          <w:bottom w:val="none" w:color="000000" w:sz="4" w:space="0"/>
          <w:right w:val="none" w:color="000000" w:sz="4" w:space="0"/>
        </w:tcBorders>
      </w:tcPr>
    </w:tblStylePr>
    <w:tblStylePr w:type="lastRow">
      <w:rPr>
        <w:rFonts w:ascii="Arial" w:hAnsi="Arial"/>
        <w:b/>
        <w:color w:val="1c6f68" w:themeColor="accent5" w:themeShade="94"/>
        <w:sz w:val="22"/>
      </w:rPr>
      <w:tcPr>
        <w:shd w:val="clear" w:color="ffffff" w:themeColor="light1" w:fill="ffffff" w:themeFill="light1"/>
        <w:tcBorders>
          <w:top w:val="single" w:color="85E0D8" w:themeColor="accent5" w:themeTint="90" w:sz="4" w:space="0"/>
          <w:left w:val="none" w:color="000000" w:sz="4" w:space="0"/>
          <w:bottom w:val="none" w:color="000000" w:sz="4" w:space="0"/>
          <w:right w:val="none" w:color="000000" w:sz="4" w:space="0"/>
        </w:tcBorders>
      </w:tcPr>
    </w:tblStylePr>
  </w:style>
  <w:style w:type="table" w:styleId="917" w:customStyle="1">
    <w:name w:val="Grid Table 7 Colorful - Accent 6"/>
    <w:basedOn w:val="789"/>
    <w:uiPriority w:val="99"/>
    <w:qFormat/>
    <w:pPr>
      <w:spacing w:after="0" w:line="240" w:lineRule="auto"/>
    </w:pPr>
    <w:tblPr>
      <w:tblBorders>
        <w:bottom w:val="single" w:color="F099A4" w:themeColor="accent6" w:themeTint="90" w:sz="4" w:space="0"/>
        <w:right w:val="single" w:color="F099A4" w:themeColor="accent6" w:themeTint="90" w:sz="4" w:space="0"/>
        <w:insideH w:val="single" w:color="F099A4" w:themeColor="accent6" w:themeTint="90" w:sz="4" w:space="0"/>
        <w:insideV w:val="single" w:color="F099A4" w:themeColor="accent6" w:themeTint="90" w:sz="4" w:space="0"/>
      </w:tblBorders>
    </w:tblPr>
    <w:tblStylePr w:type="band1Horz">
      <w:rPr>
        <w:rFonts w:ascii="Arial" w:hAnsi="Arial"/>
        <w:color w:val="9a1626" w:themeColor="accent6" w:themeShade="94"/>
        <w:sz w:val="22"/>
      </w:rPr>
      <w:tcPr>
        <w:shd w:val="clear" w:color="f9dade" w:themeColor="accent6" w:themeTint="34" w:fill="f9dade" w:themeFill="accent6" w:themeFillTint="34"/>
      </w:tcPr>
    </w:tblStylePr>
    <w:tblStylePr w:type="band1Vert">
      <w:tcPr>
        <w:shd w:val="clear" w:color="f9dade" w:themeColor="accent6" w:themeTint="34" w:fill="f9dade" w:themeFill="accent6" w:themeFillTint="34"/>
      </w:tcPr>
    </w:tblStylePr>
    <w:tblStylePr w:type="band2Horz">
      <w:rPr>
        <w:rFonts w:ascii="Arial" w:hAnsi="Arial"/>
        <w:color w:val="9a1626" w:themeColor="accent6" w:themeShade="94"/>
        <w:sz w:val="22"/>
      </w:rPr>
    </w:tblStylePr>
    <w:tblStylePr w:type="firstCol">
      <w:rPr>
        <w:rFonts w:ascii="Arial" w:hAnsi="Arial"/>
        <w:i/>
        <w:color w:val="9a1626" w:themeColor="accent6" w:themeShade="94"/>
        <w:sz w:val="22"/>
      </w:rPr>
      <w:pPr>
        <w:jc w:val="right"/>
      </w:pPr>
      <w:tcPr>
        <w:shd w:val="clear" w:color="ffffff" w:fill="auto"/>
        <w:tcBorders>
          <w:top w:val="none" w:color="000000" w:sz="4" w:space="0"/>
          <w:left w:val="none" w:color="000000" w:sz="4" w:space="0"/>
          <w:bottom w:val="none" w:color="000000" w:sz="4" w:space="0"/>
          <w:right w:val="single" w:color="F099A4" w:themeColor="accent6" w:themeTint="90" w:sz="4" w:space="0"/>
        </w:tcBorders>
      </w:tcPr>
    </w:tblStylePr>
    <w:tblStylePr w:type="firstRow">
      <w:rPr>
        <w:rFonts w:ascii="Arial" w:hAnsi="Arial"/>
        <w:b/>
        <w:color w:val="9a1626" w:themeColor="accent6" w:themeShade="94"/>
        <w:sz w:val="22"/>
      </w:rPr>
      <w:tcPr>
        <w:shd w:val="clear" w:color="ffffff" w:themeColor="light1" w:fill="ffffff" w:themeFill="light1"/>
        <w:tcBorders>
          <w:top w:val="none" w:color="000000" w:sz="4" w:space="0"/>
          <w:left w:val="none" w:color="000000" w:sz="4" w:space="0"/>
          <w:bottom w:val="single" w:color="F099A4" w:themeColor="accent6" w:themeTint="90" w:sz="4" w:space="0"/>
          <w:right w:val="none" w:color="000000" w:sz="4" w:space="0"/>
        </w:tcBorders>
      </w:tcPr>
    </w:tblStylePr>
    <w:tblStylePr w:type="lastCol">
      <w:rPr>
        <w:rFonts w:ascii="Arial" w:hAnsi="Arial"/>
        <w:i/>
        <w:color w:val="9a1626" w:themeColor="accent6" w:themeShade="94"/>
        <w:sz w:val="22"/>
      </w:rPr>
      <w:tcPr>
        <w:shd w:val="clear" w:color="ffffff" w:fill="auto"/>
        <w:tcBorders>
          <w:top w:val="none" w:color="000000" w:sz="4" w:space="0"/>
          <w:left w:val="single" w:color="F099A4" w:themeColor="accent6" w:themeTint="90" w:sz="4" w:space="0"/>
          <w:bottom w:val="none" w:color="000000" w:sz="4" w:space="0"/>
          <w:right w:val="none" w:color="000000" w:sz="4" w:space="0"/>
        </w:tcBorders>
      </w:tcPr>
    </w:tblStylePr>
    <w:tblStylePr w:type="lastRow">
      <w:rPr>
        <w:rFonts w:ascii="Arial" w:hAnsi="Arial"/>
        <w:b/>
        <w:color w:val="9a1626" w:themeColor="accent6" w:themeShade="94"/>
        <w:sz w:val="22"/>
      </w:rPr>
      <w:tcPr>
        <w:shd w:val="clear" w:color="ffffff" w:themeColor="light1" w:fill="ffffff" w:themeFill="light1"/>
        <w:tcBorders>
          <w:top w:val="single" w:color="F099A4" w:themeColor="accent6" w:themeTint="90" w:sz="4" w:space="0"/>
          <w:left w:val="none" w:color="000000" w:sz="4" w:space="0"/>
          <w:bottom w:val="none" w:color="000000" w:sz="4" w:space="0"/>
          <w:right w:val="none" w:color="000000" w:sz="4" w:space="0"/>
        </w:tcBorders>
      </w:tcPr>
    </w:tblStylePr>
  </w:style>
  <w:style w:type="table" w:styleId="918" w:customStyle="1">
    <w:name w:val="List Table 1 Light"/>
    <w:basedOn w:val="789"/>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19" w:customStyle="1">
    <w:name w:val="List Table 1 Light - Accent 1"/>
    <w:basedOn w:val="789"/>
    <w:uiPriority w:val="99"/>
    <w:qFormat/>
    <w:pPr>
      <w:spacing w:after="0" w:line="240" w:lineRule="auto"/>
    </w:pPr>
    <w:tblPr/>
    <w:tblStylePr w:type="band1Horz">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874CB" w:themeColor="accent1" w:sz="4" w:space="0"/>
          <w:right w:val="none" w:color="000000" w:sz="4" w:space="0"/>
        </w:tcBorders>
      </w:tcPr>
    </w:tblStylePr>
    <w:tblStylePr w:type="lastCol">
      <w:rPr>
        <w:b/>
        <w:color w:val="404040"/>
      </w:rPr>
    </w:tblStylePr>
    <w:tblStylePr w:type="lastRow">
      <w:rPr>
        <w:b/>
        <w:color w:val="404040"/>
      </w:rPr>
      <w:tcPr>
        <w:tcBorders>
          <w:top w:val="single" w:color="4874CB" w:themeColor="accent1" w:sz="4" w:space="0"/>
          <w:left w:val="none" w:color="000000" w:sz="4" w:space="0"/>
          <w:bottom w:val="none" w:color="000000" w:sz="4" w:space="0"/>
          <w:right w:val="none" w:color="000000" w:sz="4" w:space="0"/>
        </w:tcBorders>
      </w:tcPr>
    </w:tblStylePr>
  </w:style>
  <w:style w:type="table" w:styleId="920" w:customStyle="1">
    <w:name w:val="List Table 1 Light - Accent 2"/>
    <w:basedOn w:val="789"/>
    <w:uiPriority w:val="99"/>
    <w:qFormat/>
    <w:pPr>
      <w:spacing w:after="0" w:line="240" w:lineRule="auto"/>
    </w:pPr>
    <w:tblPr/>
    <w:tblStylePr w:type="band1Horz">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E822F" w:themeColor="accent2" w:sz="4" w:space="0"/>
          <w:right w:val="none" w:color="000000" w:sz="4" w:space="0"/>
        </w:tcBorders>
      </w:tcPr>
    </w:tblStylePr>
    <w:tblStylePr w:type="lastCol">
      <w:rPr>
        <w:b/>
        <w:color w:val="404040"/>
      </w:rPr>
    </w:tblStylePr>
    <w:tblStylePr w:type="lastRow">
      <w:rPr>
        <w:b/>
        <w:color w:val="404040"/>
      </w:rPr>
      <w:tcPr>
        <w:tcBorders>
          <w:top w:val="single" w:color="EE822F" w:themeColor="accent2" w:sz="4" w:space="0"/>
          <w:left w:val="none" w:color="000000" w:sz="4" w:space="0"/>
          <w:bottom w:val="none" w:color="000000" w:sz="4" w:space="0"/>
          <w:right w:val="none" w:color="000000" w:sz="4" w:space="0"/>
        </w:tcBorders>
      </w:tcPr>
    </w:tblStylePr>
  </w:style>
  <w:style w:type="table" w:styleId="921" w:customStyle="1">
    <w:name w:val="List Table 1 Light - Accent 3"/>
    <w:basedOn w:val="789"/>
    <w:uiPriority w:val="99"/>
    <w:qFormat/>
    <w:pPr>
      <w:spacing w:after="0" w:line="240" w:lineRule="auto"/>
    </w:pPr>
    <w:tblPr/>
    <w:tblStylePr w:type="band1Horz">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2BA02" w:themeColor="accent3" w:sz="4" w:space="0"/>
          <w:right w:val="none" w:color="000000" w:sz="4" w:space="0"/>
        </w:tcBorders>
      </w:tcPr>
    </w:tblStylePr>
    <w:tblStylePr w:type="lastCol">
      <w:rPr>
        <w:b/>
        <w:color w:val="404040"/>
      </w:rPr>
    </w:tblStylePr>
    <w:tblStylePr w:type="lastRow">
      <w:rPr>
        <w:b/>
        <w:color w:val="404040"/>
      </w:rPr>
      <w:tcPr>
        <w:tcBorders>
          <w:top w:val="single" w:color="F2BA02" w:themeColor="accent3" w:sz="4" w:space="0"/>
          <w:left w:val="none" w:color="000000" w:sz="4" w:space="0"/>
          <w:bottom w:val="none" w:color="000000" w:sz="4" w:space="0"/>
          <w:right w:val="none" w:color="000000" w:sz="4" w:space="0"/>
        </w:tcBorders>
      </w:tcPr>
    </w:tblStylePr>
  </w:style>
  <w:style w:type="table" w:styleId="922" w:customStyle="1">
    <w:name w:val="List Table 1 Light - Accent 4"/>
    <w:basedOn w:val="789"/>
    <w:uiPriority w:val="99"/>
    <w:qFormat/>
    <w:pPr>
      <w:spacing w:after="0" w:line="240" w:lineRule="auto"/>
    </w:pPr>
    <w:tblPr/>
    <w:tblStylePr w:type="band1Horz">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75BD42" w:themeColor="accent4" w:sz="4" w:space="0"/>
          <w:right w:val="none" w:color="000000" w:sz="4" w:space="0"/>
        </w:tcBorders>
      </w:tcPr>
    </w:tblStylePr>
    <w:tblStylePr w:type="lastCol">
      <w:rPr>
        <w:b/>
        <w:color w:val="404040"/>
      </w:rPr>
    </w:tblStylePr>
    <w:tblStylePr w:type="lastRow">
      <w:rPr>
        <w:b/>
        <w:color w:val="404040"/>
      </w:rPr>
      <w:tcPr>
        <w:tcBorders>
          <w:top w:val="single" w:color="75BD42" w:themeColor="accent4" w:sz="4" w:space="0"/>
          <w:left w:val="none" w:color="000000" w:sz="4" w:space="0"/>
          <w:bottom w:val="none" w:color="000000" w:sz="4" w:space="0"/>
          <w:right w:val="none" w:color="000000" w:sz="4" w:space="0"/>
        </w:tcBorders>
      </w:tcPr>
    </w:tblStylePr>
  </w:style>
  <w:style w:type="table" w:styleId="923" w:customStyle="1">
    <w:name w:val="List Table 1 Light - Accent 5"/>
    <w:basedOn w:val="789"/>
    <w:uiPriority w:val="99"/>
    <w:qFormat/>
    <w:pPr>
      <w:spacing w:after="0" w:line="240" w:lineRule="auto"/>
    </w:pPr>
    <w:tblPr/>
    <w:tblStylePr w:type="band1Horz">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30C0B4" w:themeColor="accent5" w:sz="4" w:space="0"/>
          <w:right w:val="none" w:color="000000" w:sz="4" w:space="0"/>
        </w:tcBorders>
      </w:tcPr>
    </w:tblStylePr>
    <w:tblStylePr w:type="lastCol">
      <w:rPr>
        <w:b/>
        <w:color w:val="404040"/>
      </w:rPr>
    </w:tblStylePr>
    <w:tblStylePr w:type="lastRow">
      <w:rPr>
        <w:b/>
        <w:color w:val="404040"/>
      </w:rPr>
      <w:tcPr>
        <w:tcBorders>
          <w:top w:val="single" w:color="30C0B4" w:themeColor="accent5" w:sz="4" w:space="0"/>
          <w:left w:val="none" w:color="000000" w:sz="4" w:space="0"/>
          <w:bottom w:val="none" w:color="000000" w:sz="4" w:space="0"/>
          <w:right w:val="none" w:color="000000" w:sz="4" w:space="0"/>
        </w:tcBorders>
      </w:tcPr>
    </w:tblStylePr>
  </w:style>
  <w:style w:type="table" w:styleId="924" w:customStyle="1">
    <w:name w:val="List Table 1 Light - Accent 6"/>
    <w:basedOn w:val="789"/>
    <w:uiPriority w:val="99"/>
    <w:qFormat/>
    <w:pPr>
      <w:spacing w:after="0" w:line="240" w:lineRule="auto"/>
    </w:pPr>
    <w:tblPr/>
    <w:tblStylePr w:type="band1Horz">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E54C5E" w:themeColor="accent6" w:sz="4" w:space="0"/>
          <w:right w:val="none" w:color="000000" w:sz="4" w:space="0"/>
        </w:tcBorders>
      </w:tcPr>
    </w:tblStylePr>
    <w:tblStylePr w:type="lastCol">
      <w:rPr>
        <w:b/>
        <w:color w:val="404040"/>
      </w:rPr>
    </w:tblStylePr>
    <w:tblStylePr w:type="lastRow">
      <w:rPr>
        <w:b/>
        <w:color w:val="404040"/>
      </w:rPr>
      <w:tcPr>
        <w:tcBorders>
          <w:top w:val="single" w:color="E54C5E" w:themeColor="accent6" w:sz="4" w:space="0"/>
          <w:left w:val="none" w:color="000000" w:sz="4" w:space="0"/>
          <w:bottom w:val="none" w:color="000000" w:sz="4" w:space="0"/>
          <w:right w:val="none" w:color="000000" w:sz="4" w:space="0"/>
        </w:tcBorders>
      </w:tcPr>
    </w:tblStylePr>
  </w:style>
  <w:style w:type="table" w:styleId="925" w:customStyle="1">
    <w:name w:val="List Table 2"/>
    <w:basedOn w:val="789"/>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26" w:customStyle="1">
    <w:name w:val="List Table 2 - Accent 1"/>
    <w:basedOn w:val="789"/>
    <w:uiPriority w:val="99"/>
    <w:qFormat/>
    <w:pPr>
      <w:spacing w:after="0" w:line="240" w:lineRule="auto"/>
    </w:pPr>
    <w:tblPr>
      <w:tblBorders>
        <w:top w:val="single" w:color="97B0E1" w:themeColor="accent1" w:themeTint="90" w:sz="4" w:space="0"/>
        <w:bottom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7B0E1" w:themeColor="accent1" w:themeTint="90" w:sz="4" w:space="0"/>
          <w:left w:val="none" w:color="000000" w:sz="4" w:space="0"/>
          <w:bottom w:val="single" w:color="97B0E1" w:themeColor="accent1" w:themeTint="90" w:sz="4" w:space="0"/>
          <w:right w:val="none" w:color="000000" w:sz="4" w:space="0"/>
        </w:tcBorders>
      </w:tcPr>
    </w:tblStylePr>
  </w:style>
  <w:style w:type="table" w:styleId="927" w:customStyle="1">
    <w:name w:val="List Table 2 - Accent 2"/>
    <w:basedOn w:val="789"/>
    <w:uiPriority w:val="99"/>
    <w:qFormat/>
    <w:pPr>
      <w:spacing w:after="0" w:line="240" w:lineRule="auto"/>
    </w:pPr>
    <w:tblPr>
      <w:tblBorders>
        <w:top w:val="single" w:color="F5B889" w:themeColor="accent2" w:themeTint="90" w:sz="4" w:space="0"/>
        <w:bottom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5B889" w:themeColor="accent2" w:themeTint="90" w:sz="4" w:space="0"/>
          <w:left w:val="none" w:color="000000" w:sz="4" w:space="0"/>
          <w:bottom w:val="single" w:color="F5B889" w:themeColor="accent2" w:themeTint="90" w:sz="4" w:space="0"/>
          <w:right w:val="none" w:color="000000" w:sz="4" w:space="0"/>
        </w:tcBorders>
      </w:tcPr>
    </w:tblStylePr>
  </w:style>
  <w:style w:type="table" w:styleId="928" w:customStyle="1">
    <w:name w:val="List Table 2 - Accent 3"/>
    <w:basedOn w:val="789"/>
    <w:uiPriority w:val="99"/>
    <w:qFormat/>
    <w:pPr>
      <w:spacing w:after="0" w:line="240" w:lineRule="auto"/>
    </w:pPr>
    <w:tblPr>
      <w:tblBorders>
        <w:top w:val="single" w:color="FDDB6A" w:themeColor="accent3" w:themeTint="90" w:sz="4" w:space="0"/>
        <w:bottom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DDB6A" w:themeColor="accent3" w:themeTint="90" w:sz="4" w:space="0"/>
          <w:left w:val="none" w:color="000000" w:sz="4" w:space="0"/>
          <w:bottom w:val="single" w:color="FDDB6A" w:themeColor="accent3" w:themeTint="90" w:sz="4" w:space="0"/>
          <w:right w:val="none" w:color="000000" w:sz="4" w:space="0"/>
        </w:tcBorders>
      </w:tcPr>
    </w:tblStylePr>
  </w:style>
  <w:style w:type="table" w:styleId="929" w:customStyle="1">
    <w:name w:val="List Table 2 - Accent 4"/>
    <w:basedOn w:val="789"/>
    <w:uiPriority w:val="99"/>
    <w:qFormat/>
    <w:pPr>
      <w:spacing w:after="0" w:line="240" w:lineRule="auto"/>
    </w:pPr>
    <w:tblPr>
      <w:tblBorders>
        <w:top w:val="single" w:color="B1D994" w:themeColor="accent4" w:themeTint="90" w:sz="4" w:space="0"/>
        <w:bottom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1D994" w:themeColor="accent4" w:themeTint="90" w:sz="4" w:space="0"/>
          <w:left w:val="none" w:color="000000" w:sz="4" w:space="0"/>
          <w:bottom w:val="single" w:color="B1D994" w:themeColor="accent4" w:themeTint="90" w:sz="4" w:space="0"/>
          <w:right w:val="none" w:color="000000" w:sz="4" w:space="0"/>
        </w:tcBorders>
      </w:tcPr>
    </w:tblStylePr>
  </w:style>
  <w:style w:type="table" w:styleId="930" w:customStyle="1">
    <w:name w:val="List Table 2 - Accent 5"/>
    <w:basedOn w:val="789"/>
    <w:uiPriority w:val="99"/>
    <w:qFormat/>
    <w:pPr>
      <w:spacing w:after="0" w:line="240" w:lineRule="auto"/>
    </w:pPr>
    <w:tblPr>
      <w:tblBorders>
        <w:top w:val="single" w:color="85E0D8" w:themeColor="accent5" w:themeTint="90" w:sz="4" w:space="0"/>
        <w:bottom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85E0D8" w:themeColor="accent5" w:themeTint="90" w:sz="4" w:space="0"/>
          <w:left w:val="none" w:color="000000" w:sz="4" w:space="0"/>
          <w:bottom w:val="single" w:color="85E0D8" w:themeColor="accent5" w:themeTint="90" w:sz="4" w:space="0"/>
          <w:right w:val="none" w:color="000000" w:sz="4" w:space="0"/>
        </w:tcBorders>
      </w:tcPr>
    </w:tblStylePr>
  </w:style>
  <w:style w:type="table" w:styleId="931" w:customStyle="1">
    <w:name w:val="List Table 2 - Accent 6"/>
    <w:basedOn w:val="789"/>
    <w:uiPriority w:val="99"/>
    <w:qFormat/>
    <w:pPr>
      <w:spacing w:after="0" w:line="240" w:lineRule="auto"/>
    </w:pPr>
    <w:tblPr>
      <w:tblBorders>
        <w:top w:val="single" w:color="F099A4" w:themeColor="accent6" w:themeTint="90" w:sz="4" w:space="0"/>
        <w:bottom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099A4" w:themeColor="accent6" w:themeTint="90" w:sz="4" w:space="0"/>
          <w:left w:val="none" w:color="000000" w:sz="4" w:space="0"/>
          <w:bottom w:val="single" w:color="F099A4" w:themeColor="accent6" w:themeTint="90" w:sz="4" w:space="0"/>
          <w:right w:val="none" w:color="000000" w:sz="4" w:space="0"/>
        </w:tcBorders>
      </w:tcPr>
    </w:tblStylePr>
  </w:style>
  <w:style w:type="table" w:styleId="932" w:customStyle="1">
    <w:name w:val="List Table 3"/>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33" w:customStyle="1">
    <w:name w:val="List Table 3 - Accent 1"/>
    <w:basedOn w:val="789"/>
    <w:uiPriority w:val="99"/>
    <w:qFormat/>
    <w:pPr>
      <w:spacing w:after="0" w:line="240" w:lineRule="auto"/>
    </w:pPr>
    <w:tblPr>
      <w:tblBorders>
        <w:top w:val="single" w:color="4874CB" w:themeColor="accent1" w:sz="4" w:space="0"/>
        <w:left w:val="single" w:color="4874CB" w:themeColor="accent1" w:sz="4" w:space="0"/>
        <w:bottom w:val="single" w:color="4874CB" w:themeColor="accent1" w:sz="4" w:space="0"/>
        <w:right w:val="single" w:color="4874CB" w:themeColor="accent1" w:sz="4" w:space="0"/>
      </w:tblBorders>
    </w:tblPr>
    <w:tblStylePr w:type="band1Horz">
      <w:rPr>
        <w:rFonts w:ascii="Arial" w:hAnsi="Arial"/>
        <w:color w:val="404040"/>
        <w:sz w:val="22"/>
      </w:rPr>
      <w:tcPr>
        <w:tcBorders>
          <w:top w:val="single" w:color="4874CB" w:themeColor="accent1" w:sz="4" w:space="0"/>
          <w:bottom w:val="single" w:color="4874CB" w:themeColor="accent1" w:sz="4" w:space="0"/>
        </w:tcBorders>
      </w:tcPr>
    </w:tblStylePr>
    <w:tblStylePr w:type="band1Vert">
      <w:rPr>
        <w:rFonts w:ascii="Arial" w:hAnsi="Arial"/>
        <w:color w:val="404040"/>
        <w:sz w:val="22"/>
      </w:rPr>
      <w:tcPr>
        <w:tcBorders>
          <w:left w:val="single" w:color="4874CB" w:themeColor="accent1" w:sz="4" w:space="0"/>
          <w:right w:val="single" w:color="4874CB" w:themeColor="accent1" w:sz="4" w:space="0"/>
        </w:tcBorders>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34" w:customStyle="1">
    <w:name w:val="List Table 3 - Accent 2"/>
    <w:basedOn w:val="789"/>
    <w:uiPriority w:val="99"/>
    <w:qFormat/>
    <w:pPr>
      <w:spacing w:after="0" w:line="240" w:lineRule="auto"/>
    </w:pPr>
    <w:tblPr>
      <w:tblBorders>
        <w:top w:val="single" w:color="F4B483" w:themeColor="accent2" w:themeTint="97" w:sz="4" w:space="0"/>
        <w:left w:val="single" w:color="F4B483" w:themeColor="accent2" w:themeTint="97" w:sz="4" w:space="0"/>
        <w:bottom w:val="single" w:color="F4B483" w:themeColor="accent2" w:themeTint="97" w:sz="4" w:space="0"/>
        <w:right w:val="single" w:color="F4B483" w:themeColor="accent2" w:themeTint="97" w:sz="4" w:space="0"/>
      </w:tblBorders>
    </w:tblPr>
    <w:tblStylePr w:type="band1Horz">
      <w:rPr>
        <w:rFonts w:ascii="Arial" w:hAnsi="Arial"/>
        <w:color w:val="404040"/>
        <w:sz w:val="22"/>
      </w:rPr>
      <w:tcPr>
        <w:tcBorders>
          <w:top w:val="single" w:color="F4B483" w:themeColor="accent2" w:themeTint="97" w:sz="4" w:space="0"/>
          <w:bottom w:val="single" w:color="F4B483" w:themeColor="accent2" w:themeTint="97" w:sz="4" w:space="0"/>
        </w:tcBorders>
      </w:tcPr>
    </w:tblStylePr>
    <w:tblStylePr w:type="band1Vert">
      <w:rPr>
        <w:rFonts w:ascii="Arial" w:hAnsi="Arial"/>
        <w:color w:val="404040"/>
        <w:sz w:val="22"/>
      </w:rPr>
      <w:tcPr>
        <w:tcBorders>
          <w:left w:val="single" w:color="F4B483" w:themeColor="accent2" w:themeTint="97" w:sz="4" w:space="0"/>
          <w:right w:val="single" w:color="F4B483" w:themeColor="accent2" w:themeTint="97" w:sz="4" w:space="0"/>
        </w:tcBorders>
      </w:tcPr>
    </w:tblStylePr>
    <w:tblStylePr w:type="firstCol">
      <w:rPr>
        <w:b/>
        <w:color w:val="404040"/>
      </w:rPr>
    </w:tblStylePr>
    <w:tblStylePr w:type="firstRow">
      <w:rPr>
        <w:rFonts w:ascii="Arial" w:hAnsi="Arial"/>
        <w:b/>
        <w:color w:val="ffffff"/>
        <w:sz w:val="22"/>
      </w:rPr>
      <w:tcPr>
        <w:shd w:val="clear" w:color="f4b483" w:themeColor="accent2" w:themeTint="97" w:fill="f4b483" w:themeFill="accent2" w:themeFillTint="97"/>
      </w:tcPr>
    </w:tblStylePr>
    <w:tblStylePr w:type="lastCol">
      <w:rPr>
        <w:b/>
        <w:color w:val="404040"/>
      </w:rPr>
    </w:tblStylePr>
    <w:tblStylePr w:type="lastRow">
      <w:rPr>
        <w:b/>
        <w:color w:val="404040"/>
      </w:rPr>
    </w:tblStylePr>
  </w:style>
  <w:style w:type="table" w:styleId="935" w:customStyle="1">
    <w:name w:val="List Table 3 - Accent 3"/>
    <w:basedOn w:val="789"/>
    <w:uiPriority w:val="99"/>
    <w:qFormat/>
    <w:pPr>
      <w:spacing w:after="0" w:line="240" w:lineRule="auto"/>
    </w:pPr>
    <w:tblPr>
      <w:tblBorders>
        <w:top w:val="single" w:color="FDD961" w:themeColor="accent3" w:themeTint="98" w:sz="4" w:space="0"/>
        <w:left w:val="single" w:color="FDD961" w:themeColor="accent3" w:themeTint="98" w:sz="4" w:space="0"/>
        <w:bottom w:val="single" w:color="FDD961" w:themeColor="accent3" w:themeTint="98" w:sz="4" w:space="0"/>
        <w:right w:val="single" w:color="FDD961" w:themeColor="accent3" w:themeTint="98" w:sz="4" w:space="0"/>
      </w:tblBorders>
    </w:tblPr>
    <w:tblStylePr w:type="band1Horz">
      <w:rPr>
        <w:rFonts w:ascii="Arial" w:hAnsi="Arial"/>
        <w:color w:val="404040"/>
        <w:sz w:val="22"/>
      </w:rPr>
      <w:tcPr>
        <w:tcBorders>
          <w:top w:val="single" w:color="FDD961" w:themeColor="accent3" w:themeTint="98" w:sz="4" w:space="0"/>
          <w:bottom w:val="single" w:color="FDD961" w:themeColor="accent3" w:themeTint="98" w:sz="4" w:space="0"/>
        </w:tcBorders>
      </w:tcPr>
    </w:tblStylePr>
    <w:tblStylePr w:type="band1Vert">
      <w:rPr>
        <w:rFonts w:ascii="Arial" w:hAnsi="Arial"/>
        <w:color w:val="404040"/>
        <w:sz w:val="22"/>
      </w:rPr>
      <w:tcPr>
        <w:tcBorders>
          <w:left w:val="single" w:color="FDD961" w:themeColor="accent3" w:themeTint="98" w:sz="4" w:space="0"/>
          <w:right w:val="single" w:color="FDD961" w:themeColor="accent3" w:themeTint="98" w:sz="4" w:space="0"/>
        </w:tcBorders>
      </w:tcPr>
    </w:tblStylePr>
    <w:tblStylePr w:type="firstCol">
      <w:rPr>
        <w:b/>
        <w:color w:val="404040"/>
      </w:rPr>
    </w:tblStylePr>
    <w:tblStylePr w:type="firstRow">
      <w:rPr>
        <w:rFonts w:ascii="Arial" w:hAnsi="Arial"/>
        <w:b/>
        <w:color w:val="ffffff"/>
        <w:sz w:val="22"/>
      </w:rPr>
      <w:tcPr>
        <w:shd w:val="clear" w:color="fdd961" w:themeColor="accent3" w:themeTint="98" w:fill="fdd961" w:themeFill="accent3" w:themeFillTint="98"/>
      </w:tcPr>
    </w:tblStylePr>
    <w:tblStylePr w:type="lastCol">
      <w:rPr>
        <w:b/>
        <w:color w:val="404040"/>
      </w:rPr>
    </w:tblStylePr>
    <w:tblStylePr w:type="lastRow">
      <w:rPr>
        <w:b/>
        <w:color w:val="404040"/>
      </w:rPr>
    </w:tblStylePr>
  </w:style>
  <w:style w:type="table" w:styleId="936" w:customStyle="1">
    <w:name w:val="List Table 3 - Accent 4"/>
    <w:basedOn w:val="789"/>
    <w:uiPriority w:val="99"/>
    <w:qFormat/>
    <w:pPr>
      <w:spacing w:after="0" w:line="240" w:lineRule="auto"/>
    </w:pPr>
    <w:tblPr>
      <w:tblBorders>
        <w:top w:val="single" w:color="ABD78C" w:themeColor="accent4" w:themeTint="9A" w:sz="4" w:space="0"/>
        <w:left w:val="single" w:color="ABD78C" w:themeColor="accent4" w:themeTint="9A" w:sz="4" w:space="0"/>
        <w:bottom w:val="single" w:color="ABD78C" w:themeColor="accent4" w:themeTint="9A" w:sz="4" w:space="0"/>
        <w:right w:val="single" w:color="ABD78C" w:themeColor="accent4" w:themeTint="9A" w:sz="4" w:space="0"/>
      </w:tblBorders>
    </w:tblPr>
    <w:tblStylePr w:type="band1Horz">
      <w:rPr>
        <w:rFonts w:ascii="Arial" w:hAnsi="Arial"/>
        <w:color w:val="404040"/>
        <w:sz w:val="22"/>
      </w:rPr>
      <w:tcPr>
        <w:tcBorders>
          <w:top w:val="single" w:color="ABD78C" w:themeColor="accent4" w:themeTint="9A" w:sz="4" w:space="0"/>
          <w:bottom w:val="single" w:color="ABD78C" w:themeColor="accent4" w:themeTint="9A" w:sz="4" w:space="0"/>
        </w:tcBorders>
      </w:tcPr>
    </w:tblStylePr>
    <w:tblStylePr w:type="band1Vert">
      <w:rPr>
        <w:rFonts w:ascii="Arial" w:hAnsi="Arial"/>
        <w:color w:val="404040"/>
        <w:sz w:val="22"/>
      </w:rPr>
      <w:tcPr>
        <w:tcBorders>
          <w:left w:val="single" w:color="ABD78C" w:themeColor="accent4" w:themeTint="9A" w:sz="4" w:space="0"/>
          <w:right w:val="single" w:color="ABD78C" w:themeColor="accent4" w:themeTint="9A" w:sz="4" w:space="0"/>
        </w:tcBorders>
      </w:tcPr>
    </w:tblStylePr>
    <w:tblStylePr w:type="firstCol">
      <w:rPr>
        <w:b/>
        <w:color w:val="404040"/>
      </w:rPr>
    </w:tblStylePr>
    <w:tblStylePr w:type="firstRow">
      <w:rPr>
        <w:rFonts w:ascii="Arial" w:hAnsi="Arial"/>
        <w:b/>
        <w:color w:val="ffffff"/>
        <w:sz w:val="22"/>
      </w:rPr>
      <w:tcPr>
        <w:shd w:val="clear" w:color="abd78c" w:themeColor="accent4" w:themeTint="9A" w:fill="abd78c" w:themeFill="accent4" w:themeFillTint="9A"/>
      </w:tcPr>
    </w:tblStylePr>
    <w:tblStylePr w:type="lastCol">
      <w:rPr>
        <w:b/>
        <w:color w:val="404040"/>
      </w:rPr>
    </w:tblStylePr>
    <w:tblStylePr w:type="lastRow">
      <w:rPr>
        <w:b/>
        <w:color w:val="404040"/>
      </w:rPr>
    </w:tblStylePr>
  </w:style>
  <w:style w:type="table" w:styleId="937" w:customStyle="1">
    <w:name w:val="List Table 3 - Accent 5"/>
    <w:basedOn w:val="789"/>
    <w:uiPriority w:val="99"/>
    <w:qFormat/>
    <w:pPr>
      <w:spacing w:after="0" w:line="240" w:lineRule="auto"/>
    </w:pPr>
    <w:tblPr>
      <w:tblBorders>
        <w:top w:val="single" w:color="7CDED6" w:themeColor="accent5" w:themeTint="9A" w:sz="4" w:space="0"/>
        <w:left w:val="single" w:color="7CDED6" w:themeColor="accent5" w:themeTint="9A" w:sz="4" w:space="0"/>
        <w:bottom w:val="single" w:color="7CDED6" w:themeColor="accent5" w:themeTint="9A" w:sz="4" w:space="0"/>
        <w:right w:val="single" w:color="7CDED6" w:themeColor="accent5" w:themeTint="9A" w:sz="4" w:space="0"/>
      </w:tblBorders>
    </w:tblPr>
    <w:tblStylePr w:type="band1Horz">
      <w:rPr>
        <w:rFonts w:ascii="Arial" w:hAnsi="Arial"/>
        <w:color w:val="404040"/>
        <w:sz w:val="22"/>
      </w:rPr>
      <w:tcPr>
        <w:tcBorders>
          <w:top w:val="single" w:color="7CDED6" w:themeColor="accent5" w:themeTint="9A" w:sz="4" w:space="0"/>
          <w:bottom w:val="single" w:color="7CDED6" w:themeColor="accent5" w:themeTint="9A" w:sz="4" w:space="0"/>
        </w:tcBorders>
      </w:tcPr>
    </w:tblStylePr>
    <w:tblStylePr w:type="band1Vert">
      <w:rPr>
        <w:rFonts w:ascii="Arial" w:hAnsi="Arial"/>
        <w:color w:val="404040"/>
        <w:sz w:val="22"/>
      </w:rPr>
      <w:tcPr>
        <w:tcBorders>
          <w:left w:val="single" w:color="7CDED6" w:themeColor="accent5" w:themeTint="9A" w:sz="4" w:space="0"/>
          <w:right w:val="single" w:color="7CDED6" w:themeColor="accent5" w:themeTint="9A" w:sz="4" w:space="0"/>
        </w:tcBorders>
      </w:tcPr>
    </w:tblStylePr>
    <w:tblStylePr w:type="firstCol">
      <w:rPr>
        <w:b/>
        <w:color w:val="404040"/>
      </w:rPr>
    </w:tblStylePr>
    <w:tblStylePr w:type="firstRow">
      <w:rPr>
        <w:rFonts w:ascii="Arial" w:hAnsi="Arial"/>
        <w:b/>
        <w:color w:val="ffffff"/>
        <w:sz w:val="22"/>
      </w:rPr>
      <w:tcPr>
        <w:shd w:val="clear" w:color="7cded6" w:themeColor="accent5" w:themeTint="9A" w:fill="7cded6" w:themeFill="accent5" w:themeFillTint="9A"/>
      </w:tcPr>
    </w:tblStylePr>
    <w:tblStylePr w:type="lastCol">
      <w:rPr>
        <w:b/>
        <w:color w:val="404040"/>
      </w:rPr>
    </w:tblStylePr>
    <w:tblStylePr w:type="lastRow">
      <w:rPr>
        <w:b/>
        <w:color w:val="404040"/>
      </w:rPr>
    </w:tblStylePr>
  </w:style>
  <w:style w:type="table" w:styleId="938" w:customStyle="1">
    <w:name w:val="List Table 3 - Accent 6"/>
    <w:basedOn w:val="789"/>
    <w:uiPriority w:val="99"/>
    <w:qFormat/>
    <w:pPr>
      <w:spacing w:after="0" w:line="240" w:lineRule="auto"/>
    </w:pPr>
    <w:tblPr>
      <w:tblBorders>
        <w:top w:val="single" w:color="EF949F" w:themeColor="accent6" w:themeTint="98" w:sz="4" w:space="0"/>
        <w:left w:val="single" w:color="EF949F" w:themeColor="accent6" w:themeTint="98" w:sz="4" w:space="0"/>
        <w:bottom w:val="single" w:color="EF949F" w:themeColor="accent6" w:themeTint="98" w:sz="4" w:space="0"/>
        <w:right w:val="single" w:color="EF949F" w:themeColor="accent6" w:themeTint="98" w:sz="4" w:space="0"/>
      </w:tblBorders>
    </w:tblPr>
    <w:tblStylePr w:type="band1Horz">
      <w:rPr>
        <w:rFonts w:ascii="Arial" w:hAnsi="Arial"/>
        <w:color w:val="404040"/>
        <w:sz w:val="22"/>
      </w:rPr>
      <w:tcPr>
        <w:tcBorders>
          <w:top w:val="single" w:color="EF949F" w:themeColor="accent6" w:themeTint="98" w:sz="4" w:space="0"/>
          <w:bottom w:val="single" w:color="EF949F" w:themeColor="accent6" w:themeTint="98" w:sz="4" w:space="0"/>
        </w:tcBorders>
      </w:tcPr>
    </w:tblStylePr>
    <w:tblStylePr w:type="band1Vert">
      <w:rPr>
        <w:rFonts w:ascii="Arial" w:hAnsi="Arial"/>
        <w:color w:val="404040"/>
        <w:sz w:val="22"/>
      </w:rPr>
      <w:tcPr>
        <w:tcBorders>
          <w:left w:val="single" w:color="EF949F" w:themeColor="accent6" w:themeTint="98" w:sz="4" w:space="0"/>
          <w:right w:val="single" w:color="EF949F" w:themeColor="accent6" w:themeTint="98" w:sz="4" w:space="0"/>
        </w:tcBorders>
      </w:tcPr>
    </w:tblStylePr>
    <w:tblStylePr w:type="firstCol">
      <w:rPr>
        <w:b/>
        <w:color w:val="404040"/>
      </w:rPr>
    </w:tblStylePr>
    <w:tblStylePr w:type="firstRow">
      <w:rPr>
        <w:rFonts w:ascii="Arial" w:hAnsi="Arial"/>
        <w:b/>
        <w:color w:val="ffffff"/>
        <w:sz w:val="22"/>
      </w:rPr>
      <w:tcPr>
        <w:shd w:val="clear" w:color="ef949f" w:themeColor="accent6" w:themeTint="98" w:fill="ef949f" w:themeFill="accent6" w:themeFillTint="98"/>
      </w:tcPr>
    </w:tblStylePr>
    <w:tblStylePr w:type="lastCol">
      <w:rPr>
        <w:b/>
        <w:color w:val="404040"/>
      </w:rPr>
    </w:tblStylePr>
    <w:tblStylePr w:type="lastRow">
      <w:rPr>
        <w:b/>
        <w:color w:val="404040"/>
      </w:rPr>
    </w:tblStylePr>
  </w:style>
  <w:style w:type="table" w:styleId="939" w:customStyle="1">
    <w:name w:val="List Table 4"/>
    <w:basedOn w:val="789"/>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40" w:customStyle="1">
    <w:name w:val="List Table 4 - Accent 1"/>
    <w:basedOn w:val="789"/>
    <w:uiPriority w:val="99"/>
    <w:qFormat/>
    <w:pPr>
      <w:spacing w:after="0" w:line="240" w:lineRule="auto"/>
    </w:pPr>
    <w:tblPr>
      <w:tblBorders>
        <w:top w:val="single" w:color="97B0E1" w:themeColor="accent1" w:themeTint="90" w:sz="4" w:space="0"/>
        <w:left w:val="single" w:color="97B0E1" w:themeColor="accent1" w:themeTint="90" w:sz="4" w:space="0"/>
        <w:bottom w:val="single" w:color="97B0E1" w:themeColor="accent1" w:themeTint="90" w:sz="4" w:space="0"/>
        <w:right w:val="single" w:color="97B0E1" w:themeColor="accent1" w:themeTint="90" w:sz="4" w:space="0"/>
        <w:insideH w:val="single" w:color="97B0E1" w:themeColor="accent1" w:themeTint="90" w:sz="4" w:space="0"/>
      </w:tblBorders>
    </w:tblPr>
    <w:tblStylePr w:type="band1Horz">
      <w:rPr>
        <w:rFonts w:ascii="Arial" w:hAnsi="Arial"/>
        <w:color w:val="404040"/>
        <w:sz w:val="22"/>
      </w:rPr>
      <w:tcPr>
        <w:shd w:val="clear" w:color="d1dcf1" w:themeColor="accent1" w:themeTint="40" w:fill="d1dcf1" w:themeFill="accent1" w:themeFillTint="40"/>
      </w:tcPr>
    </w:tblStylePr>
    <w:tblStylePr w:type="band1Vert">
      <w:rPr>
        <w:rFonts w:ascii="Arial" w:hAnsi="Arial"/>
        <w:color w:val="404040"/>
        <w:sz w:val="22"/>
      </w:rPr>
      <w:tcPr>
        <w:shd w:val="clear" w:color="d1dcf1" w:themeColor="accent1" w:themeTint="40" w:fill="d1dcf1" w:themeFill="accent1" w:themeFillTint="40"/>
      </w:tcPr>
    </w:tblStylePr>
    <w:tblStylePr w:type="firstCol">
      <w:rPr>
        <w:b/>
        <w:color w:val="404040"/>
      </w:rPr>
    </w:tblStylePr>
    <w:tblStylePr w:type="firstRow">
      <w:rPr>
        <w:rFonts w:ascii="Arial" w:hAnsi="Arial"/>
        <w:b/>
        <w:color w:val="ffffff"/>
        <w:sz w:val="22"/>
      </w:rPr>
      <w:tcPr>
        <w:shd w:val="clear" w:color="4874cb" w:themeColor="accent1" w:fill="4874cb" w:themeFill="accent1"/>
      </w:tcPr>
    </w:tblStylePr>
    <w:tblStylePr w:type="lastCol">
      <w:rPr>
        <w:b/>
        <w:color w:val="404040"/>
      </w:rPr>
    </w:tblStylePr>
    <w:tblStylePr w:type="lastRow">
      <w:rPr>
        <w:b/>
        <w:color w:val="404040"/>
      </w:rPr>
    </w:tblStylePr>
  </w:style>
  <w:style w:type="table" w:styleId="941" w:customStyle="1">
    <w:name w:val="List Table 4 - Accent 2"/>
    <w:basedOn w:val="789"/>
    <w:uiPriority w:val="99"/>
    <w:qFormat/>
    <w:pPr>
      <w:spacing w:after="0" w:line="240" w:lineRule="auto"/>
    </w:pPr>
    <w:tblPr>
      <w:tblBorders>
        <w:top w:val="single" w:color="F5B889" w:themeColor="accent2" w:themeTint="90" w:sz="4" w:space="0"/>
        <w:left w:val="single" w:color="F5B889" w:themeColor="accent2" w:themeTint="90" w:sz="4" w:space="0"/>
        <w:bottom w:val="single" w:color="F5B889" w:themeColor="accent2" w:themeTint="90" w:sz="4" w:space="0"/>
        <w:right w:val="single" w:color="F5B889" w:themeColor="accent2" w:themeTint="90" w:sz="4" w:space="0"/>
        <w:insideH w:val="single" w:color="F5B889" w:themeColor="accent2" w:themeTint="90" w:sz="4" w:space="0"/>
      </w:tblBorders>
    </w:tblPr>
    <w:tblStylePr w:type="band1Horz">
      <w:rPr>
        <w:rFonts w:ascii="Arial" w:hAnsi="Arial"/>
        <w:color w:val="404040"/>
        <w:sz w:val="22"/>
      </w:rPr>
      <w:tcPr>
        <w:shd w:val="clear" w:color="fadfca" w:themeColor="accent2" w:themeTint="40" w:fill="fadfca" w:themeFill="accent2" w:themeFillTint="40"/>
      </w:tcPr>
    </w:tblStylePr>
    <w:tblStylePr w:type="band1Vert">
      <w:rPr>
        <w:rFonts w:ascii="Arial" w:hAnsi="Arial"/>
        <w:color w:val="404040"/>
        <w:sz w:val="22"/>
      </w:rPr>
      <w:tcPr>
        <w:shd w:val="clear" w:color="fadfca" w:themeColor="accent2" w:themeTint="40" w:fill="fadfca" w:themeFill="accent2" w:themeFillTint="40"/>
      </w:tcPr>
    </w:tblStylePr>
    <w:tblStylePr w:type="firstCol">
      <w:rPr>
        <w:b/>
        <w:color w:val="404040"/>
      </w:rPr>
    </w:tblStylePr>
    <w:tblStylePr w:type="firstRow">
      <w:rPr>
        <w:rFonts w:ascii="Arial" w:hAnsi="Arial"/>
        <w:b/>
        <w:color w:val="ffffff"/>
        <w:sz w:val="22"/>
      </w:rPr>
      <w:tcPr>
        <w:shd w:val="clear" w:color="ee822f" w:themeColor="accent2" w:fill="ee822f" w:themeFill="accent2"/>
      </w:tcPr>
    </w:tblStylePr>
    <w:tblStylePr w:type="lastCol">
      <w:rPr>
        <w:b/>
        <w:color w:val="404040"/>
      </w:rPr>
    </w:tblStylePr>
    <w:tblStylePr w:type="lastRow">
      <w:rPr>
        <w:b/>
        <w:color w:val="404040"/>
      </w:rPr>
    </w:tblStylePr>
  </w:style>
  <w:style w:type="table" w:styleId="942" w:customStyle="1">
    <w:name w:val="List Table 4 - Accent 3"/>
    <w:basedOn w:val="789"/>
    <w:uiPriority w:val="99"/>
    <w:qFormat/>
    <w:pPr>
      <w:spacing w:after="0" w:line="240" w:lineRule="auto"/>
    </w:pPr>
    <w:tblPr>
      <w:tblBorders>
        <w:top w:val="single" w:color="FDDB6A" w:themeColor="accent3" w:themeTint="90" w:sz="4" w:space="0"/>
        <w:left w:val="single" w:color="FDDB6A" w:themeColor="accent3" w:themeTint="90" w:sz="4" w:space="0"/>
        <w:bottom w:val="single" w:color="FDDB6A" w:themeColor="accent3" w:themeTint="90" w:sz="4" w:space="0"/>
        <w:right w:val="single" w:color="FDDB6A" w:themeColor="accent3" w:themeTint="90" w:sz="4" w:space="0"/>
        <w:insideH w:val="single" w:color="FDDB6A" w:themeColor="accent3" w:themeTint="90" w:sz="4" w:space="0"/>
      </w:tblBorders>
    </w:tblPr>
    <w:tblStylePr w:type="band1Horz">
      <w:rPr>
        <w:rFonts w:ascii="Arial" w:hAnsi="Arial"/>
        <w:color w:val="404040"/>
        <w:sz w:val="22"/>
      </w:rPr>
      <w:tcPr>
        <w:shd w:val="clear" w:color="feefbc" w:themeColor="accent3" w:themeTint="40" w:fill="feefbc" w:themeFill="accent3" w:themeFillTint="40"/>
      </w:tcPr>
    </w:tblStylePr>
    <w:tblStylePr w:type="band1Vert">
      <w:rPr>
        <w:rFonts w:ascii="Arial" w:hAnsi="Arial"/>
        <w:color w:val="404040"/>
        <w:sz w:val="22"/>
      </w:rPr>
      <w:tcPr>
        <w:shd w:val="clear" w:color="feefbc" w:themeColor="accent3" w:themeTint="40" w:fill="feefbc" w:themeFill="accent3" w:themeFillTint="40"/>
      </w:tcPr>
    </w:tblStylePr>
    <w:tblStylePr w:type="firstCol">
      <w:rPr>
        <w:b/>
        <w:color w:val="404040"/>
      </w:rPr>
    </w:tblStylePr>
    <w:tblStylePr w:type="firstRow">
      <w:rPr>
        <w:rFonts w:ascii="Arial" w:hAnsi="Arial"/>
        <w:b/>
        <w:color w:val="ffffff"/>
        <w:sz w:val="22"/>
      </w:rPr>
      <w:tcPr>
        <w:shd w:val="clear" w:color="f2ba02" w:themeColor="accent3" w:fill="f2ba02" w:themeFill="accent3"/>
      </w:tcPr>
    </w:tblStylePr>
    <w:tblStylePr w:type="lastCol">
      <w:rPr>
        <w:b/>
        <w:color w:val="404040"/>
      </w:rPr>
    </w:tblStylePr>
    <w:tblStylePr w:type="lastRow">
      <w:rPr>
        <w:b/>
        <w:color w:val="404040"/>
      </w:rPr>
    </w:tblStylePr>
  </w:style>
  <w:style w:type="table" w:styleId="943" w:customStyle="1">
    <w:name w:val="List Table 4 - Accent 4"/>
    <w:basedOn w:val="789"/>
    <w:uiPriority w:val="99"/>
    <w:qFormat/>
    <w:pPr>
      <w:spacing w:after="0" w:line="240" w:lineRule="auto"/>
    </w:pPr>
    <w:tblPr>
      <w:tblBorders>
        <w:top w:val="single" w:color="B1D994" w:themeColor="accent4" w:themeTint="90" w:sz="4" w:space="0"/>
        <w:left w:val="single" w:color="B1D994" w:themeColor="accent4" w:themeTint="90" w:sz="4" w:space="0"/>
        <w:bottom w:val="single" w:color="B1D994" w:themeColor="accent4" w:themeTint="90" w:sz="4" w:space="0"/>
        <w:right w:val="single" w:color="B1D994" w:themeColor="accent4" w:themeTint="90" w:sz="4" w:space="0"/>
        <w:insideH w:val="single" w:color="B1D994" w:themeColor="accent4" w:themeTint="90" w:sz="4" w:space="0"/>
      </w:tblBorders>
    </w:tblPr>
    <w:tblStylePr w:type="band1Horz">
      <w:rPr>
        <w:rFonts w:ascii="Arial" w:hAnsi="Arial"/>
        <w:color w:val="404040"/>
        <w:sz w:val="22"/>
      </w:rPr>
      <w:tcPr>
        <w:shd w:val="clear" w:color="dceecf" w:themeColor="accent4" w:themeTint="40" w:fill="dceecf" w:themeFill="accent4" w:themeFillTint="40"/>
      </w:tcPr>
    </w:tblStylePr>
    <w:tblStylePr w:type="band1Vert">
      <w:rPr>
        <w:rFonts w:ascii="Arial" w:hAnsi="Arial"/>
        <w:color w:val="404040"/>
        <w:sz w:val="22"/>
      </w:rPr>
      <w:tcPr>
        <w:shd w:val="clear" w:color="dceecf" w:themeColor="accent4" w:themeTint="40" w:fill="dceecf" w:themeFill="accent4" w:themeFillTint="40"/>
      </w:tcPr>
    </w:tblStylePr>
    <w:tblStylePr w:type="firstCol">
      <w:rPr>
        <w:b/>
        <w:color w:val="404040"/>
      </w:rPr>
    </w:tblStylePr>
    <w:tblStylePr w:type="firstRow">
      <w:rPr>
        <w:rFonts w:ascii="Arial" w:hAnsi="Arial"/>
        <w:b/>
        <w:color w:val="ffffff"/>
        <w:sz w:val="22"/>
      </w:rPr>
      <w:tcPr>
        <w:shd w:val="clear" w:color="75bd42" w:themeColor="accent4" w:fill="75bd42" w:themeFill="accent4"/>
      </w:tcPr>
    </w:tblStylePr>
    <w:tblStylePr w:type="lastCol">
      <w:rPr>
        <w:b/>
        <w:color w:val="404040"/>
      </w:rPr>
    </w:tblStylePr>
    <w:tblStylePr w:type="lastRow">
      <w:rPr>
        <w:b/>
        <w:color w:val="404040"/>
      </w:rPr>
    </w:tblStylePr>
  </w:style>
  <w:style w:type="table" w:styleId="944" w:customStyle="1">
    <w:name w:val="List Table 4 - Accent 5"/>
    <w:basedOn w:val="789"/>
    <w:uiPriority w:val="99"/>
    <w:qFormat/>
    <w:pPr>
      <w:spacing w:after="0" w:line="240" w:lineRule="auto"/>
    </w:pPr>
    <w:tblPr>
      <w:tblBorders>
        <w:top w:val="single" w:color="85E0D8" w:themeColor="accent5" w:themeTint="90" w:sz="4" w:space="0"/>
        <w:left w:val="single" w:color="85E0D8" w:themeColor="accent5" w:themeTint="90" w:sz="4" w:space="0"/>
        <w:bottom w:val="single" w:color="85E0D8" w:themeColor="accent5" w:themeTint="90" w:sz="4" w:space="0"/>
        <w:right w:val="single" w:color="85E0D8" w:themeColor="accent5" w:themeTint="90" w:sz="4" w:space="0"/>
        <w:insideH w:val="single" w:color="85E0D8" w:themeColor="accent5" w:themeTint="90" w:sz="4" w:space="0"/>
      </w:tblBorders>
    </w:tblPr>
    <w:tblStylePr w:type="band1Horz">
      <w:rPr>
        <w:rFonts w:ascii="Arial" w:hAnsi="Arial"/>
        <w:color w:val="404040"/>
        <w:sz w:val="22"/>
      </w:rPr>
      <w:tcPr>
        <w:shd w:val="clear" w:color="c8f1ee" w:themeColor="accent5" w:themeTint="40" w:fill="c8f1ee" w:themeFill="accent5" w:themeFillTint="40"/>
      </w:tcPr>
    </w:tblStylePr>
    <w:tblStylePr w:type="band1Vert">
      <w:rPr>
        <w:rFonts w:ascii="Arial" w:hAnsi="Arial"/>
        <w:color w:val="404040"/>
        <w:sz w:val="22"/>
      </w:rPr>
      <w:tcPr>
        <w:shd w:val="clear" w:color="c8f1ee" w:themeColor="accent5" w:themeTint="40" w:fill="c8f1ee" w:themeFill="accent5" w:themeFillTint="40"/>
      </w:tcPr>
    </w:tblStylePr>
    <w:tblStylePr w:type="firstCol">
      <w:rPr>
        <w:b/>
        <w:color w:val="404040"/>
      </w:rPr>
    </w:tblStylePr>
    <w:tblStylePr w:type="firstRow">
      <w:rPr>
        <w:rFonts w:ascii="Arial" w:hAnsi="Arial"/>
        <w:b/>
        <w:color w:val="ffffff"/>
        <w:sz w:val="22"/>
      </w:rPr>
      <w:tcPr>
        <w:shd w:val="clear" w:color="30c0b4" w:themeColor="accent5" w:fill="30c0b4" w:themeFill="accent5"/>
      </w:tcPr>
    </w:tblStylePr>
    <w:tblStylePr w:type="lastCol">
      <w:rPr>
        <w:b/>
        <w:color w:val="404040"/>
      </w:rPr>
    </w:tblStylePr>
    <w:tblStylePr w:type="lastRow">
      <w:rPr>
        <w:b/>
        <w:color w:val="404040"/>
      </w:rPr>
    </w:tblStylePr>
  </w:style>
  <w:style w:type="table" w:styleId="945" w:customStyle="1">
    <w:name w:val="List Table 4 - Accent 6"/>
    <w:basedOn w:val="789"/>
    <w:uiPriority w:val="99"/>
    <w:qFormat/>
    <w:pPr>
      <w:spacing w:after="0" w:line="240" w:lineRule="auto"/>
    </w:pPr>
    <w:tblPr>
      <w:tblBorders>
        <w:top w:val="single" w:color="F099A4" w:themeColor="accent6" w:themeTint="90" w:sz="4" w:space="0"/>
        <w:left w:val="single" w:color="F099A4" w:themeColor="accent6" w:themeTint="90" w:sz="4" w:space="0"/>
        <w:bottom w:val="single" w:color="F099A4" w:themeColor="accent6" w:themeTint="90" w:sz="4" w:space="0"/>
        <w:right w:val="single" w:color="F099A4" w:themeColor="accent6" w:themeTint="90" w:sz="4" w:space="0"/>
        <w:insideH w:val="single" w:color="F099A4" w:themeColor="accent6" w:themeTint="90" w:sz="4" w:space="0"/>
      </w:tblBorders>
    </w:tblPr>
    <w:tblStylePr w:type="band1Horz">
      <w:rPr>
        <w:rFonts w:ascii="Arial" w:hAnsi="Arial"/>
        <w:color w:val="404040"/>
        <w:sz w:val="22"/>
      </w:rPr>
      <w:tcPr>
        <w:shd w:val="clear" w:color="f8d2d6" w:themeColor="accent6" w:themeTint="40" w:fill="f8d2d6" w:themeFill="accent6" w:themeFillTint="40"/>
      </w:tcPr>
    </w:tblStylePr>
    <w:tblStylePr w:type="band1Vert">
      <w:rPr>
        <w:rFonts w:ascii="Arial" w:hAnsi="Arial"/>
        <w:color w:val="404040"/>
        <w:sz w:val="22"/>
      </w:rPr>
      <w:tcPr>
        <w:shd w:val="clear" w:color="f8d2d6" w:themeColor="accent6" w:themeTint="40" w:fill="f8d2d6" w:themeFill="accent6" w:themeFillTint="40"/>
      </w:tcPr>
    </w:tblStylePr>
    <w:tblStylePr w:type="firstCol">
      <w:rPr>
        <w:b/>
        <w:color w:val="404040"/>
      </w:rPr>
    </w:tblStylePr>
    <w:tblStylePr w:type="firstRow">
      <w:rPr>
        <w:rFonts w:ascii="Arial" w:hAnsi="Arial"/>
        <w:b/>
        <w:color w:val="ffffff"/>
        <w:sz w:val="22"/>
      </w:rPr>
      <w:tcPr>
        <w:shd w:val="clear" w:color="e54c5e" w:themeColor="accent6" w:fill="e54c5e" w:themeFill="accent6"/>
      </w:tcPr>
    </w:tblStylePr>
    <w:tblStylePr w:type="lastCol">
      <w:rPr>
        <w:b/>
        <w:color w:val="404040"/>
      </w:rPr>
    </w:tblStylePr>
    <w:tblStylePr w:type="lastRow">
      <w:rPr>
        <w:b/>
        <w:color w:val="404040"/>
      </w:rPr>
    </w:tblStylePr>
  </w:style>
  <w:style w:type="table" w:styleId="946" w:customStyle="1">
    <w:name w:val="List Table 5 Dark"/>
    <w:basedOn w:val="789"/>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7" w:customStyle="1">
    <w:name w:val="List Table 5 Dark - Accent 1"/>
    <w:basedOn w:val="789"/>
    <w:uiPriority w:val="99"/>
    <w:qFormat/>
    <w:pPr>
      <w:spacing w:after="0" w:line="240" w:lineRule="auto"/>
    </w:pPr>
    <w:tblPr>
      <w:tblBorders>
        <w:top w:val="single" w:color="4874CB" w:themeColor="accent1" w:sz="32" w:space="0"/>
        <w:left w:val="single" w:color="4874CB" w:themeColor="accent1" w:sz="32" w:space="0"/>
        <w:bottom w:val="single" w:color="4874CB" w:themeColor="accent1" w:sz="32" w:space="0"/>
        <w:right w:val="single" w:color="4874CB" w:themeColor="accent1" w:sz="32" w:space="0"/>
      </w:tblBorders>
    </w:tblPr>
    <w:tblStylePr w:type="band1Horz">
      <w:tcPr>
        <w:shd w:val="clear" w:color="4874cb" w:themeColor="accent1" w:fill="4874cb" w:themeFill="accent1"/>
        <w:tcBorders>
          <w:top w:val="single" w:color="FFFFFF" w:themeColor="light1" w:sz="4" w:space="0"/>
          <w:bottom w:val="single" w:color="FFFFFF" w:themeColor="light1" w:sz="4" w:space="0"/>
        </w:tcBorders>
      </w:tcPr>
    </w:tblStylePr>
    <w:tblStylePr w:type="band1Vert">
      <w:tcPr>
        <w:shd w:val="clear" w:color="4874cb" w:themeColor="accent1" w:fill="4874cb" w:themeFill="accent1"/>
        <w:tcBorders>
          <w:left w:val="single" w:color="FFFFFF" w:themeColor="light1" w:sz="4" w:space="0"/>
          <w:right w:val="single" w:color="FFFFFF" w:themeColor="light1" w:sz="4" w:space="0"/>
        </w:tcBorders>
      </w:tcPr>
    </w:tblStylePr>
    <w:tblStylePr w:type="band2Horz">
      <w:tcPr>
        <w:shd w:val="clear" w:color="4874cb" w:themeColor="accent1" w:fill="4874cb"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874CB"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874cb" w:themeColor="accent1" w:fill="4874cb" w:themeFill="accent1"/>
        <w:tcBorders>
          <w:top w:val="single" w:color="4874CB" w:themeColor="accent1" w:sz="32" w:space="0"/>
          <w:bottom w:val="single" w:color="FFFFFF" w:themeColor="light1" w:sz="12" w:space="0"/>
        </w:tcBorders>
      </w:tcPr>
    </w:tblStylePr>
    <w:tblStylePr w:type="lastCol">
      <w:tcPr>
        <w:tcBorders>
          <w:left w:val="single" w:color="FFFFFF" w:themeColor="light1" w:sz="4" w:space="0"/>
          <w:right w:val="single" w:color="4874CB"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8" w:customStyle="1">
    <w:name w:val="List Table 5 Dark - Accent 2"/>
    <w:basedOn w:val="789"/>
    <w:uiPriority w:val="99"/>
    <w:qFormat/>
    <w:pPr>
      <w:spacing w:after="0" w:line="240" w:lineRule="auto"/>
    </w:pPr>
    <w:tblPr>
      <w:tblBorders>
        <w:top w:val="single" w:color="F4B483" w:themeColor="accent2" w:themeTint="97" w:sz="32" w:space="0"/>
        <w:left w:val="single" w:color="F4B483" w:themeColor="accent2" w:themeTint="97" w:sz="32" w:space="0"/>
        <w:bottom w:val="single" w:color="F4B483" w:themeColor="accent2" w:themeTint="97" w:sz="32" w:space="0"/>
        <w:right w:val="single" w:color="F4B483" w:themeColor="accent2" w:themeTint="97" w:sz="32" w:space="0"/>
      </w:tblBorders>
    </w:tblPr>
    <w:tblStylePr w:type="band1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1Vert">
      <w:tcPr>
        <w:shd w:val="clear" w:color="f4b483" w:themeColor="accent2" w:themeTint="97" w:fill="f4b483" w:themeFill="accent2" w:themeFillTint="97"/>
        <w:tcBorders>
          <w:left w:val="single" w:color="FFFFFF" w:themeColor="light1" w:sz="4" w:space="0"/>
          <w:right w:val="single" w:color="FFFFFF" w:themeColor="light1" w:sz="4" w:space="0"/>
        </w:tcBorders>
      </w:tcPr>
    </w:tblStylePr>
    <w:tblStylePr w:type="band2Horz">
      <w:tcPr>
        <w:shd w:val="clear" w:color="f4b483" w:themeColor="accent2" w:themeTint="97" w:fill="f4b483"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4B483"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4b483" w:themeColor="accent2" w:themeTint="97" w:fill="f4b483" w:themeFill="accent2" w:themeFillTint="97"/>
        <w:tcBorders>
          <w:top w:val="single" w:color="F4B483" w:themeColor="accent2" w:themeTint="97" w:sz="32" w:space="0"/>
          <w:bottom w:val="single" w:color="FFFFFF" w:themeColor="light1" w:sz="12" w:space="0"/>
        </w:tcBorders>
      </w:tcPr>
    </w:tblStylePr>
    <w:tblStylePr w:type="lastCol">
      <w:tcPr>
        <w:tcBorders>
          <w:left w:val="single" w:color="FFFFFF" w:themeColor="light1" w:sz="4" w:space="0"/>
          <w:right w:val="single" w:color="F4B483"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9" w:customStyle="1">
    <w:name w:val="List Table 5 Dark - Accent 3"/>
    <w:basedOn w:val="789"/>
    <w:uiPriority w:val="99"/>
    <w:qFormat/>
    <w:pPr>
      <w:spacing w:after="0" w:line="240" w:lineRule="auto"/>
    </w:pPr>
    <w:tblPr>
      <w:tblBorders>
        <w:top w:val="single" w:color="FDD961" w:themeColor="accent3" w:themeTint="98" w:sz="32" w:space="0"/>
        <w:left w:val="single" w:color="FDD961" w:themeColor="accent3" w:themeTint="98" w:sz="32" w:space="0"/>
        <w:bottom w:val="single" w:color="FDD961" w:themeColor="accent3" w:themeTint="98" w:sz="32" w:space="0"/>
        <w:right w:val="single" w:color="FDD961" w:themeColor="accent3" w:themeTint="98" w:sz="32" w:space="0"/>
      </w:tblBorders>
    </w:tblPr>
    <w:tblStylePr w:type="band1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1Vert">
      <w:tcPr>
        <w:shd w:val="clear" w:color="fdd961" w:themeColor="accent3" w:themeTint="98" w:fill="fdd961" w:themeFill="accent3" w:themeFillTint="98"/>
        <w:tcBorders>
          <w:left w:val="single" w:color="FFFFFF" w:themeColor="light1" w:sz="4" w:space="0"/>
          <w:right w:val="single" w:color="FFFFFF" w:themeColor="light1" w:sz="4" w:space="0"/>
        </w:tcBorders>
      </w:tcPr>
    </w:tblStylePr>
    <w:tblStylePr w:type="band2Horz">
      <w:tcPr>
        <w:shd w:val="clear" w:color="fdd961" w:themeColor="accent3" w:themeTint="98" w:fill="fdd961"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DD961"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dd961" w:themeColor="accent3" w:themeTint="98" w:fill="fdd961" w:themeFill="accent3" w:themeFillTint="98"/>
        <w:tcBorders>
          <w:top w:val="single" w:color="FDD961" w:themeColor="accent3" w:themeTint="98" w:sz="32" w:space="0"/>
          <w:bottom w:val="single" w:color="FFFFFF" w:themeColor="light1" w:sz="12" w:space="0"/>
        </w:tcBorders>
      </w:tcPr>
    </w:tblStylePr>
    <w:tblStylePr w:type="lastCol">
      <w:tcPr>
        <w:tcBorders>
          <w:left w:val="single" w:color="FFFFFF" w:themeColor="light1" w:sz="4" w:space="0"/>
          <w:right w:val="single" w:color="FDD961"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0" w:customStyle="1">
    <w:name w:val="List Table 5 Dark - Accent 4"/>
    <w:basedOn w:val="789"/>
    <w:uiPriority w:val="99"/>
    <w:qFormat/>
    <w:pPr>
      <w:spacing w:after="0" w:line="240" w:lineRule="auto"/>
    </w:pPr>
    <w:tblPr>
      <w:tblBorders>
        <w:top w:val="single" w:color="ABD78C" w:themeColor="accent4" w:themeTint="9A" w:sz="32" w:space="0"/>
        <w:left w:val="single" w:color="ABD78C" w:themeColor="accent4" w:themeTint="9A" w:sz="32" w:space="0"/>
        <w:bottom w:val="single" w:color="ABD78C" w:themeColor="accent4" w:themeTint="9A" w:sz="32" w:space="0"/>
        <w:right w:val="single" w:color="ABD78C" w:themeColor="accent4" w:themeTint="9A" w:sz="32" w:space="0"/>
      </w:tblBorders>
    </w:tblPr>
    <w:tblStylePr w:type="band1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1Vert">
      <w:tcPr>
        <w:shd w:val="clear" w:color="abd78c" w:themeColor="accent4" w:themeTint="9A" w:fill="abd78c" w:themeFill="accent4" w:themeFillTint="9A"/>
        <w:tcBorders>
          <w:left w:val="single" w:color="FFFFFF" w:themeColor="light1" w:sz="4" w:space="0"/>
          <w:right w:val="single" w:color="FFFFFF" w:themeColor="light1" w:sz="4" w:space="0"/>
        </w:tcBorders>
      </w:tcPr>
    </w:tblStylePr>
    <w:tblStylePr w:type="band2Horz">
      <w:tcPr>
        <w:shd w:val="clear" w:color="abd78c" w:themeColor="accent4" w:themeTint="9A" w:fill="abd78c"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ABD78C"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abd78c" w:themeColor="accent4" w:themeTint="9A" w:fill="abd78c" w:themeFill="accent4" w:themeFillTint="9A"/>
        <w:tcBorders>
          <w:top w:val="single" w:color="ABD78C" w:themeColor="accent4" w:themeTint="9A" w:sz="32" w:space="0"/>
          <w:bottom w:val="single" w:color="FFFFFF" w:themeColor="light1" w:sz="12" w:space="0"/>
        </w:tcBorders>
      </w:tcPr>
    </w:tblStylePr>
    <w:tblStylePr w:type="lastCol">
      <w:tcPr>
        <w:tcBorders>
          <w:left w:val="single" w:color="FFFFFF" w:themeColor="light1" w:sz="4" w:space="0"/>
          <w:right w:val="single" w:color="ABD78C"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1" w:customStyle="1">
    <w:name w:val="List Table 5 Dark - Accent 5"/>
    <w:basedOn w:val="789"/>
    <w:uiPriority w:val="99"/>
    <w:qFormat/>
    <w:pPr>
      <w:spacing w:after="0" w:line="240" w:lineRule="auto"/>
    </w:pPr>
    <w:tblPr>
      <w:tblBorders>
        <w:top w:val="single" w:color="7CDED6" w:themeColor="accent5" w:themeTint="9A" w:sz="32" w:space="0"/>
        <w:left w:val="single" w:color="7CDED6" w:themeColor="accent5" w:themeTint="9A" w:sz="32" w:space="0"/>
        <w:bottom w:val="single" w:color="7CDED6" w:themeColor="accent5" w:themeTint="9A" w:sz="32" w:space="0"/>
        <w:right w:val="single" w:color="7CDED6" w:themeColor="accent5" w:themeTint="9A" w:sz="32" w:space="0"/>
      </w:tblBorders>
    </w:tblPr>
    <w:tblStylePr w:type="band1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1Vert">
      <w:tcPr>
        <w:shd w:val="clear" w:color="7cded6" w:themeColor="accent5" w:themeTint="9A" w:fill="7cded6" w:themeFill="accent5" w:themeFillTint="9A"/>
        <w:tcBorders>
          <w:left w:val="single" w:color="FFFFFF" w:themeColor="light1" w:sz="4" w:space="0"/>
          <w:right w:val="single" w:color="FFFFFF" w:themeColor="light1" w:sz="4" w:space="0"/>
        </w:tcBorders>
      </w:tcPr>
    </w:tblStylePr>
    <w:tblStylePr w:type="band2Horz">
      <w:tcPr>
        <w:shd w:val="clear" w:color="7cded6" w:themeColor="accent5" w:themeTint="9A" w:fill="7cded6"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CDED6"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cded6" w:themeColor="accent5" w:themeTint="9A" w:fill="7cded6" w:themeFill="accent5" w:themeFillTint="9A"/>
        <w:tcBorders>
          <w:top w:val="single" w:color="7CDED6" w:themeColor="accent5" w:themeTint="9A" w:sz="32" w:space="0"/>
          <w:bottom w:val="single" w:color="FFFFFF" w:themeColor="light1" w:sz="12" w:space="0"/>
        </w:tcBorders>
      </w:tcPr>
    </w:tblStylePr>
    <w:tblStylePr w:type="lastCol">
      <w:tcPr>
        <w:tcBorders>
          <w:left w:val="single" w:color="FFFFFF" w:themeColor="light1" w:sz="4" w:space="0"/>
          <w:right w:val="single" w:color="7CDED6"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2" w:customStyle="1">
    <w:name w:val="List Table 5 Dark - Accent 6"/>
    <w:basedOn w:val="789"/>
    <w:uiPriority w:val="99"/>
    <w:qFormat/>
    <w:pPr>
      <w:spacing w:after="0" w:line="240" w:lineRule="auto"/>
    </w:pPr>
    <w:tblPr>
      <w:tblBorders>
        <w:top w:val="single" w:color="EF949F" w:themeColor="accent6" w:themeTint="98" w:sz="32" w:space="0"/>
        <w:left w:val="single" w:color="EF949F" w:themeColor="accent6" w:themeTint="98" w:sz="32" w:space="0"/>
        <w:bottom w:val="single" w:color="EF949F" w:themeColor="accent6" w:themeTint="98" w:sz="32" w:space="0"/>
        <w:right w:val="single" w:color="EF949F" w:themeColor="accent6" w:themeTint="98" w:sz="32" w:space="0"/>
      </w:tblBorders>
    </w:tblPr>
    <w:tblStylePr w:type="band1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1Vert">
      <w:tcPr>
        <w:shd w:val="clear" w:color="ef949f" w:themeColor="accent6" w:themeTint="98" w:fill="ef949f" w:themeFill="accent6" w:themeFillTint="98"/>
        <w:tcBorders>
          <w:left w:val="single" w:color="FFFFFF" w:themeColor="light1" w:sz="4" w:space="0"/>
          <w:right w:val="single" w:color="FFFFFF" w:themeColor="light1" w:sz="4" w:space="0"/>
        </w:tcBorders>
      </w:tcPr>
    </w:tblStylePr>
    <w:tblStylePr w:type="band2Horz">
      <w:tcPr>
        <w:shd w:val="clear" w:color="ef949f" w:themeColor="accent6" w:themeTint="98" w:fill="ef949f"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EF949F"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ef949f" w:themeColor="accent6" w:themeTint="98" w:fill="ef949f" w:themeFill="accent6" w:themeFillTint="98"/>
        <w:tcBorders>
          <w:top w:val="single" w:color="EF949F" w:themeColor="accent6" w:themeTint="98" w:sz="32" w:space="0"/>
          <w:bottom w:val="single" w:color="FFFFFF" w:themeColor="light1" w:sz="12" w:space="0"/>
        </w:tcBorders>
      </w:tcPr>
    </w:tblStylePr>
    <w:tblStylePr w:type="lastCol">
      <w:tcPr>
        <w:tcBorders>
          <w:left w:val="single" w:color="FFFFFF" w:themeColor="light1" w:sz="4" w:space="0"/>
          <w:right w:val="single" w:color="EF949F"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53" w:customStyle="1">
    <w:name w:val="List Table 6 Colorful"/>
    <w:basedOn w:val="789"/>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54" w:customStyle="1">
    <w:name w:val="List Table 6 Colorful - Accent 1"/>
    <w:basedOn w:val="789"/>
    <w:uiPriority w:val="99"/>
    <w:qFormat/>
    <w:pPr>
      <w:spacing w:after="0" w:line="240" w:lineRule="auto"/>
    </w:pPr>
    <w:tblPr>
      <w:tblBorders>
        <w:top w:val="single" w:color="4874CB" w:themeColor="accent1" w:sz="4" w:space="0"/>
        <w:bottom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b/>
        <w:color w:val="23417c" w:themeColor="accent1" w:themeShade="94"/>
      </w:rPr>
    </w:tblStylePr>
    <w:tblStylePr w:type="firstRow">
      <w:rPr>
        <w:b/>
        <w:color w:val="23417c" w:themeColor="accent1" w:themeShade="94"/>
      </w:rPr>
      <w:tcPr>
        <w:tcBorders>
          <w:bottom w:val="single" w:color="4874CB" w:themeColor="accent1" w:sz="4" w:space="0"/>
        </w:tcBorders>
      </w:tcPr>
    </w:tblStylePr>
    <w:tblStylePr w:type="lastCol">
      <w:rPr>
        <w:b/>
        <w:color w:val="23417c" w:themeColor="accent1" w:themeShade="94"/>
      </w:rPr>
    </w:tblStylePr>
    <w:tblStylePr w:type="lastRow">
      <w:rPr>
        <w:b/>
        <w:color w:val="23417c" w:themeColor="accent1" w:themeShade="94"/>
      </w:rPr>
      <w:tcPr>
        <w:tcBorders>
          <w:top w:val="single" w:color="4874CB" w:themeColor="accent1" w:sz="4" w:space="0"/>
        </w:tcBorders>
      </w:tcPr>
    </w:tblStylePr>
  </w:style>
  <w:style w:type="table" w:styleId="955" w:customStyle="1">
    <w:name w:val="List Table 6 Colorful - Accent 2"/>
    <w:basedOn w:val="789"/>
    <w:uiPriority w:val="99"/>
    <w:qFormat/>
    <w:pPr>
      <w:spacing w:after="0" w:line="240" w:lineRule="auto"/>
    </w:pPr>
    <w:tblPr>
      <w:tblBorders>
        <w:top w:val="single" w:color="F4B483" w:themeColor="accent2" w:themeTint="97" w:sz="4" w:space="0"/>
        <w:bottom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b/>
        <w:color w:val="f5b584" w:themeColor="accent2" w:themeTint="96"/>
        <w14:textFill>
          <w14:solidFill>
            <w14:schemeClr w14:val="accent2">
              <w14:lumMod w14:val="59000"/>
              <w14:lumOff w14:val="41000"/>
            </w14:schemeClr>
          </w14:solidFill>
        </w14:textFill>
      </w:rPr>
    </w:tblStylePr>
    <w:tblStylePr w:type="firstRow">
      <w:rPr>
        <w:b/>
        <w:color w:val="f5b584" w:themeColor="accent2" w:themeTint="96"/>
        <w14:textFill>
          <w14:solidFill>
            <w14:schemeClr w14:val="accent2">
              <w14:lumMod w14:val="59000"/>
              <w14:lumOff w14:val="41000"/>
            </w14:schemeClr>
          </w14:solidFill>
        </w14:textFill>
      </w:rPr>
      <w:tcPr>
        <w:tcBorders>
          <w:bottom w:val="single" w:color="F4B483" w:themeColor="accent2" w:themeTint="97" w:sz="4" w:space="0"/>
        </w:tcBorders>
      </w:tcPr>
    </w:tblStylePr>
    <w:tblStylePr w:type="lastCol">
      <w:rPr>
        <w:b/>
        <w:color w:val="f5b584" w:themeColor="accent2" w:themeTint="96"/>
        <w14:textFill>
          <w14:solidFill>
            <w14:schemeClr w14:val="accent2">
              <w14:lumMod w14:val="59000"/>
              <w14:lumOff w14:val="41000"/>
            </w14:schemeClr>
          </w14:solidFill>
        </w14:textFill>
      </w:rPr>
    </w:tblStylePr>
    <w:tblStylePr w:type="lastRow">
      <w:rPr>
        <w:b/>
        <w:color w:val="f5b584" w:themeColor="accent2" w:themeTint="96"/>
        <w14:textFill>
          <w14:solidFill>
            <w14:schemeClr w14:val="accent2">
              <w14:lumMod w14:val="59000"/>
              <w14:lumOff w14:val="41000"/>
            </w14:schemeClr>
          </w14:solidFill>
        </w14:textFill>
      </w:rPr>
      <w:tcPr>
        <w:tcBorders>
          <w:top w:val="single" w:color="F4B483" w:themeColor="accent2" w:themeTint="97" w:sz="4" w:space="0"/>
        </w:tcBorders>
      </w:tcPr>
    </w:tblStylePr>
  </w:style>
  <w:style w:type="table" w:styleId="956" w:customStyle="1">
    <w:name w:val="List Table 6 Colorful - Accent 3"/>
    <w:basedOn w:val="789"/>
    <w:uiPriority w:val="99"/>
    <w:qFormat/>
    <w:pPr>
      <w:spacing w:after="0" w:line="240" w:lineRule="auto"/>
    </w:pPr>
    <w:tblPr>
      <w:tblBorders>
        <w:top w:val="single" w:color="FDD961" w:themeColor="accent3" w:themeTint="98" w:sz="4" w:space="0"/>
        <w:bottom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b/>
        <w:color w:val="fed961" w:themeColor="accent3" w:themeTint="99"/>
        <w14:textFill>
          <w14:solidFill>
            <w14:schemeClr w14:val="accent3">
              <w14:lumMod w14:val="60000"/>
              <w14:lumOff w14:val="40000"/>
            </w14:schemeClr>
          </w14:solidFill>
        </w14:textFill>
      </w:rPr>
    </w:tblStylePr>
    <w:tblStylePr w:type="firstRow">
      <w:rPr>
        <w:b/>
        <w:color w:val="fed961" w:themeColor="accent3" w:themeTint="99"/>
        <w14:textFill>
          <w14:solidFill>
            <w14:schemeClr w14:val="accent3">
              <w14:lumMod w14:val="60000"/>
              <w14:lumOff w14:val="40000"/>
            </w14:schemeClr>
          </w14:solidFill>
        </w14:textFill>
      </w:rPr>
      <w:tcPr>
        <w:tcBorders>
          <w:bottom w:val="single" w:color="FDD961" w:themeColor="accent3" w:themeTint="98" w:sz="4" w:space="0"/>
        </w:tcBorders>
      </w:tcPr>
    </w:tblStylePr>
    <w:tblStylePr w:type="lastCol">
      <w:rPr>
        <w:b/>
        <w:color w:val="fed961" w:themeColor="accent3" w:themeTint="99"/>
        <w14:textFill>
          <w14:solidFill>
            <w14:schemeClr w14:val="accent3">
              <w14:lumMod w14:val="60000"/>
              <w14:lumOff w14:val="40000"/>
            </w14:schemeClr>
          </w14:solidFill>
        </w14:textFill>
      </w:rPr>
    </w:tblStylePr>
    <w:tblStylePr w:type="lastRow">
      <w:rPr>
        <w:b/>
        <w:color w:val="fed961" w:themeColor="accent3" w:themeTint="99"/>
        <w14:textFill>
          <w14:solidFill>
            <w14:schemeClr w14:val="accent3">
              <w14:lumMod w14:val="60000"/>
              <w14:lumOff w14:val="40000"/>
            </w14:schemeClr>
          </w14:solidFill>
        </w14:textFill>
      </w:rPr>
      <w:tcPr>
        <w:tcBorders>
          <w:top w:val="single" w:color="FDD961" w:themeColor="accent3" w:themeTint="98" w:sz="4" w:space="0"/>
        </w:tcBorders>
      </w:tcPr>
    </w:tblStylePr>
  </w:style>
  <w:style w:type="table" w:styleId="957" w:customStyle="1">
    <w:name w:val="List Table 6 Colorful - Accent 4"/>
    <w:basedOn w:val="789"/>
    <w:uiPriority w:val="99"/>
    <w:qFormat/>
    <w:pPr>
      <w:spacing w:after="0" w:line="240" w:lineRule="auto"/>
    </w:pPr>
    <w:tblPr>
      <w:tblBorders>
        <w:top w:val="single" w:color="ABD78C" w:themeColor="accent4" w:themeTint="9A" w:sz="4" w:space="0"/>
        <w:bottom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b/>
        <w:color w:val="acd78e" w:themeColor="accent4" w:themeTint="99"/>
        <w14:textFill>
          <w14:solidFill>
            <w14:schemeClr w14:val="accent4">
              <w14:lumMod w14:val="60000"/>
              <w14:lumOff w14:val="40000"/>
            </w14:schemeClr>
          </w14:solidFill>
        </w14:textFill>
      </w:rPr>
    </w:tblStylePr>
    <w:tblStylePr w:type="firstRow">
      <w:rPr>
        <w:b/>
        <w:color w:val="acd78e" w:themeColor="accent4" w:themeTint="99"/>
        <w14:textFill>
          <w14:solidFill>
            <w14:schemeClr w14:val="accent4">
              <w14:lumMod w14:val="60000"/>
              <w14:lumOff w14:val="40000"/>
            </w14:schemeClr>
          </w14:solidFill>
        </w14:textFill>
      </w:rPr>
      <w:tcPr>
        <w:tcBorders>
          <w:bottom w:val="single" w:color="ABD78C" w:themeColor="accent4" w:themeTint="9A" w:sz="4" w:space="0"/>
        </w:tcBorders>
      </w:tcPr>
    </w:tblStylePr>
    <w:tblStylePr w:type="lastCol">
      <w:rPr>
        <w:b/>
        <w:color w:val="acd78e" w:themeColor="accent4" w:themeTint="99"/>
        <w14:textFill>
          <w14:solidFill>
            <w14:schemeClr w14:val="accent4">
              <w14:lumMod w14:val="60000"/>
              <w14:lumOff w14:val="40000"/>
            </w14:schemeClr>
          </w14:solidFill>
        </w14:textFill>
      </w:rPr>
    </w:tblStylePr>
    <w:tblStylePr w:type="lastRow">
      <w:rPr>
        <w:b/>
        <w:color w:val="acd78e" w:themeColor="accent4" w:themeTint="99"/>
        <w14:textFill>
          <w14:solidFill>
            <w14:schemeClr w14:val="accent4">
              <w14:lumMod w14:val="60000"/>
              <w14:lumOff w14:val="40000"/>
            </w14:schemeClr>
          </w14:solidFill>
        </w14:textFill>
      </w:rPr>
      <w:tcPr>
        <w:tcBorders>
          <w:top w:val="single" w:color="ABD78C" w:themeColor="accent4" w:themeTint="9A" w:sz="4" w:space="0"/>
        </w:tcBorders>
      </w:tcPr>
    </w:tblStylePr>
  </w:style>
  <w:style w:type="table" w:styleId="958" w:customStyle="1">
    <w:name w:val="List Table 6 Colorful - Accent 5"/>
    <w:basedOn w:val="789"/>
    <w:uiPriority w:val="99"/>
    <w:qFormat/>
    <w:pPr>
      <w:spacing w:after="0" w:line="240" w:lineRule="auto"/>
    </w:pPr>
    <w:tblPr>
      <w:tblBorders>
        <w:top w:val="single" w:color="7CDED6" w:themeColor="accent5" w:themeTint="9A" w:sz="4" w:space="0"/>
        <w:bottom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b/>
        <w:color w:val="7ddfd7" w:themeColor="accent5" w:themeTint="99"/>
        <w14:textFill>
          <w14:solidFill>
            <w14:schemeClr w14:val="accent5">
              <w14:lumMod w14:val="60000"/>
              <w14:lumOff w14:val="40000"/>
            </w14:schemeClr>
          </w14:solidFill>
        </w14:textFill>
      </w:rPr>
    </w:tblStylePr>
    <w:tblStylePr w:type="firstRow">
      <w:rPr>
        <w:b/>
        <w:color w:val="7ddfd7" w:themeColor="accent5" w:themeTint="99"/>
        <w14:textFill>
          <w14:solidFill>
            <w14:schemeClr w14:val="accent5">
              <w14:lumMod w14:val="60000"/>
              <w14:lumOff w14:val="40000"/>
            </w14:schemeClr>
          </w14:solidFill>
        </w14:textFill>
      </w:rPr>
      <w:tcPr>
        <w:tcBorders>
          <w:bottom w:val="single" w:color="7CDED6" w:themeColor="accent5" w:themeTint="9A" w:sz="4" w:space="0"/>
        </w:tcBorders>
      </w:tcPr>
    </w:tblStylePr>
    <w:tblStylePr w:type="lastCol">
      <w:rPr>
        <w:b/>
        <w:color w:val="7ddfd7" w:themeColor="accent5" w:themeTint="99"/>
        <w14:textFill>
          <w14:solidFill>
            <w14:schemeClr w14:val="accent5">
              <w14:lumMod w14:val="60000"/>
              <w14:lumOff w14:val="40000"/>
            </w14:schemeClr>
          </w14:solidFill>
        </w14:textFill>
      </w:rPr>
    </w:tblStylePr>
    <w:tblStylePr w:type="lastRow">
      <w:rPr>
        <w:b/>
        <w:color w:val="7ddfd7" w:themeColor="accent5" w:themeTint="99"/>
        <w14:textFill>
          <w14:solidFill>
            <w14:schemeClr w14:val="accent5">
              <w14:lumMod w14:val="60000"/>
              <w14:lumOff w14:val="40000"/>
            </w14:schemeClr>
          </w14:solidFill>
        </w14:textFill>
      </w:rPr>
      <w:tcPr>
        <w:tcBorders>
          <w:top w:val="single" w:color="7CDED6" w:themeColor="accent5" w:themeTint="9A" w:sz="4" w:space="0"/>
        </w:tcBorders>
      </w:tcPr>
    </w:tblStylePr>
  </w:style>
  <w:style w:type="table" w:styleId="959" w:customStyle="1">
    <w:name w:val="List Table 6 Colorful - Accent 6"/>
    <w:basedOn w:val="789"/>
    <w:uiPriority w:val="99"/>
    <w:qFormat/>
    <w:pPr>
      <w:spacing w:after="0" w:line="240" w:lineRule="auto"/>
    </w:pPr>
    <w:tblPr>
      <w:tblBorders>
        <w:top w:val="single" w:color="EF949F" w:themeColor="accent6" w:themeTint="98" w:sz="4" w:space="0"/>
        <w:bottom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b/>
        <w:color w:val="ef949e" w:themeColor="accent6" w:themeTint="99"/>
        <w14:textFill>
          <w14:solidFill>
            <w14:schemeClr w14:val="accent6">
              <w14:lumMod w14:val="60000"/>
              <w14:lumOff w14:val="40000"/>
            </w14:schemeClr>
          </w14:solidFill>
        </w14:textFill>
      </w:rPr>
    </w:tblStylePr>
    <w:tblStylePr w:type="firstRow">
      <w:rPr>
        <w:b/>
        <w:color w:val="ef949e" w:themeColor="accent6" w:themeTint="99"/>
        <w14:textFill>
          <w14:solidFill>
            <w14:schemeClr w14:val="accent6">
              <w14:lumMod w14:val="60000"/>
              <w14:lumOff w14:val="40000"/>
            </w14:schemeClr>
          </w14:solidFill>
        </w14:textFill>
      </w:rPr>
      <w:tcPr>
        <w:tcBorders>
          <w:bottom w:val="single" w:color="EF949F" w:themeColor="accent6" w:themeTint="98" w:sz="4" w:space="0"/>
        </w:tcBorders>
      </w:tcPr>
    </w:tblStylePr>
    <w:tblStylePr w:type="lastCol">
      <w:rPr>
        <w:b/>
        <w:color w:val="ef949e" w:themeColor="accent6" w:themeTint="99"/>
        <w14:textFill>
          <w14:solidFill>
            <w14:schemeClr w14:val="accent6">
              <w14:lumMod w14:val="60000"/>
              <w14:lumOff w14:val="40000"/>
            </w14:schemeClr>
          </w14:solidFill>
        </w14:textFill>
      </w:rPr>
    </w:tblStylePr>
    <w:tblStylePr w:type="lastRow">
      <w:rPr>
        <w:b/>
        <w:color w:val="ef949e" w:themeColor="accent6" w:themeTint="99"/>
        <w14:textFill>
          <w14:solidFill>
            <w14:schemeClr w14:val="accent6">
              <w14:lumMod w14:val="60000"/>
              <w14:lumOff w14:val="40000"/>
            </w14:schemeClr>
          </w14:solidFill>
        </w14:textFill>
      </w:rPr>
      <w:tcPr>
        <w:tcBorders>
          <w:top w:val="single" w:color="EF949F" w:themeColor="accent6" w:themeTint="98" w:sz="4" w:space="0"/>
        </w:tcBorders>
      </w:tcPr>
    </w:tblStylePr>
  </w:style>
  <w:style w:type="table" w:styleId="960" w:customStyle="1">
    <w:name w:val="List Table 7 Colorful"/>
    <w:basedOn w:val="789"/>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61" w:customStyle="1">
    <w:name w:val="List Table 7 Colorful - Accent 1"/>
    <w:basedOn w:val="789"/>
    <w:uiPriority w:val="99"/>
    <w:qFormat/>
    <w:pPr>
      <w:spacing w:after="0" w:line="240" w:lineRule="auto"/>
    </w:pPr>
    <w:tblPr>
      <w:tblBorders>
        <w:right w:val="single" w:color="4874CB" w:themeColor="accent1" w:sz="4" w:space="0"/>
      </w:tblBorders>
    </w:tblPr>
    <w:tblStylePr w:type="band1Horz">
      <w:rPr>
        <w:rFonts w:ascii="Arial" w:hAnsi="Arial"/>
        <w:color w:val="23417c" w:themeColor="accent1" w:themeShade="94"/>
        <w:sz w:val="22"/>
      </w:rPr>
      <w:tcPr>
        <w:shd w:val="clear" w:color="d1dcf1" w:themeColor="accent1" w:themeTint="40" w:fill="d1dcf1" w:themeFill="accent1" w:themeFillTint="40"/>
      </w:tcPr>
    </w:tblStylePr>
    <w:tblStylePr w:type="band1Vert">
      <w:tcPr>
        <w:shd w:val="clear" w:color="d1dcf1" w:themeColor="accent1" w:themeTint="40" w:fill="d1dcf1" w:themeFill="accent1" w:themeFillTint="40"/>
      </w:tcPr>
    </w:tblStylePr>
    <w:tblStylePr w:type="band2Horz">
      <w:rPr>
        <w:rFonts w:ascii="Arial" w:hAnsi="Arial"/>
        <w:color w:val="23417c" w:themeColor="accent1" w:themeShade="94"/>
        <w:sz w:val="22"/>
      </w:rPr>
    </w:tblStylePr>
    <w:tblStylePr w:type="firstCol">
      <w:rPr>
        <w:rFonts w:ascii="Arial" w:hAnsi="Arial"/>
        <w:i/>
        <w:color w:val="23417c" w:themeColor="accent1" w:themeShade="94"/>
        <w:sz w:val="22"/>
      </w:rPr>
      <w:pPr>
        <w:jc w:val="right"/>
      </w:pPr>
      <w:tcPr>
        <w:shd w:val="clear" w:color="ffffff" w:fill="auto"/>
        <w:tcBorders>
          <w:top w:val="none" w:color="000000" w:sz="4" w:space="0"/>
          <w:left w:val="none" w:color="000000" w:sz="4" w:space="0"/>
          <w:bottom w:val="none" w:color="000000" w:sz="4" w:space="0"/>
          <w:right w:val="single" w:color="4874CB" w:themeColor="accent1" w:sz="4" w:space="0"/>
        </w:tcBorders>
      </w:tcPr>
    </w:tblStylePr>
    <w:tblStylePr w:type="firstRow">
      <w:rPr>
        <w:rFonts w:ascii="Arial" w:hAnsi="Arial"/>
        <w:i/>
        <w:color w:val="23417c" w:themeColor="accent1" w:themeShade="94"/>
        <w:sz w:val="22"/>
      </w:rPr>
      <w:tcPr>
        <w:shd w:val="clear" w:color="ffffff" w:themeColor="light1" w:fill="ffffff" w:themeFill="light1"/>
        <w:tcBorders>
          <w:top w:val="none" w:color="000000" w:sz="4" w:space="0"/>
          <w:left w:val="none" w:color="000000" w:sz="4" w:space="0"/>
          <w:bottom w:val="single" w:color="4874CB" w:themeColor="accent1" w:sz="4" w:space="0"/>
          <w:right w:val="none" w:color="000000" w:sz="4" w:space="0"/>
        </w:tcBorders>
      </w:tcPr>
    </w:tblStylePr>
    <w:tblStylePr w:type="lastCol">
      <w:rPr>
        <w:rFonts w:ascii="Arial" w:hAnsi="Arial"/>
        <w:i/>
        <w:color w:val="23417c" w:themeColor="accent1" w:themeShade="94"/>
        <w:sz w:val="22"/>
      </w:rPr>
      <w:tcPr>
        <w:shd w:val="clear" w:color="ffffff" w:fill="auto"/>
        <w:tcBorders>
          <w:top w:val="none" w:color="000000" w:sz="4" w:space="0"/>
          <w:left w:val="single" w:color="4874CB" w:themeColor="accent1" w:sz="4" w:space="0"/>
          <w:bottom w:val="none" w:color="000000" w:sz="4" w:space="0"/>
          <w:right w:val="none" w:color="000000" w:sz="4" w:space="0"/>
        </w:tcBorders>
      </w:tcPr>
    </w:tblStylePr>
    <w:tblStylePr w:type="lastRow">
      <w:rPr>
        <w:rFonts w:ascii="Arial" w:hAnsi="Arial"/>
        <w:i/>
        <w:color w:val="23417c" w:themeColor="accent1" w:themeShade="94"/>
        <w:sz w:val="22"/>
      </w:rPr>
      <w:tcPr>
        <w:shd w:val="clear" w:color="ffffff" w:themeColor="light1" w:fill="ffffff" w:themeFill="light1"/>
        <w:tcBorders>
          <w:top w:val="single" w:color="4874CB" w:themeColor="accent1" w:sz="4" w:space="0"/>
          <w:left w:val="none" w:color="000000" w:sz="4" w:space="0"/>
          <w:bottom w:val="none" w:color="000000" w:sz="4" w:space="0"/>
          <w:right w:val="none" w:color="000000" w:sz="4" w:space="0"/>
        </w:tcBorders>
      </w:tcPr>
    </w:tblStylePr>
  </w:style>
  <w:style w:type="table" w:styleId="962" w:customStyle="1">
    <w:name w:val="List Table 7 Colorful - Accent 2"/>
    <w:basedOn w:val="789"/>
    <w:uiPriority w:val="99"/>
    <w:qFormat/>
    <w:pPr>
      <w:spacing w:after="0" w:line="240" w:lineRule="auto"/>
    </w:pPr>
    <w:tblPr>
      <w:tblBorders>
        <w:right w:val="single" w:color="F4B483" w:themeColor="accent2" w:themeTint="97" w:sz="4" w:space="0"/>
      </w:tblBorders>
    </w:tblPr>
    <w:tblStylePr w:type="band1Horz">
      <w:rPr>
        <w:rFonts w:ascii="Arial" w:hAnsi="Arial"/>
        <w:color w:val="f5b584" w:themeColor="accent2" w:themeTint="96"/>
        <w:sz w:val="22"/>
        <w14:textFill>
          <w14:solidFill>
            <w14:schemeClr w14:val="accent2">
              <w14:lumMod w14:val="59000"/>
              <w14:lumOff w14:val="41000"/>
            </w14:schemeClr>
          </w14:solidFill>
        </w14:textFill>
      </w:rPr>
      <w:tcPr>
        <w:shd w:val="clear" w:color="fadfca" w:themeColor="accent2" w:themeTint="40" w:fill="fadfca" w:themeFill="accent2" w:themeFillTint="40"/>
      </w:tcPr>
    </w:tblStylePr>
    <w:tblStylePr w:type="band1Vert">
      <w:tcPr>
        <w:shd w:val="clear" w:color="fadfca" w:themeColor="accent2" w:themeTint="40" w:fill="fadfca" w:themeFill="accent2" w:themeFillTint="40"/>
      </w:tcPr>
    </w:tblStylePr>
    <w:tblStylePr w:type="band2Horz">
      <w:rPr>
        <w:rFonts w:ascii="Arial" w:hAnsi="Arial"/>
        <w:color w:val="f5b584" w:themeColor="accent2" w:themeTint="96"/>
        <w:sz w:val="22"/>
        <w14:textFill>
          <w14:solidFill>
            <w14:schemeClr w14:val="accent2">
              <w14:lumMod w14:val="59000"/>
              <w14:lumOff w14:val="41000"/>
            </w14:schemeClr>
          </w14:solidFill>
        </w14:textFill>
      </w:rPr>
    </w:tblStylePr>
    <w:tblStylePr w:type="firstCol">
      <w:rPr>
        <w:rFonts w:ascii="Arial" w:hAnsi="Arial"/>
        <w:i/>
        <w:color w:val="f5b584"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F4B483" w:themeColor="accent2" w:themeTint="97" w:sz="4" w:space="0"/>
        </w:tcBorders>
      </w:tcPr>
    </w:tblStylePr>
    <w:tblStylePr w:type="fir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F4B483" w:themeColor="accent2" w:themeTint="97" w:sz="4" w:space="0"/>
          <w:right w:val="none" w:color="000000" w:sz="4" w:space="0"/>
        </w:tcBorders>
      </w:tcPr>
    </w:tblStylePr>
    <w:tblStylePr w:type="lastCol">
      <w:rPr>
        <w:rFonts w:ascii="Arial" w:hAnsi="Arial"/>
        <w:i/>
        <w:color w:val="f5b584"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F4B483" w:themeColor="accent2" w:themeTint="97" w:sz="4" w:space="0"/>
          <w:bottom w:val="none" w:color="000000" w:sz="4" w:space="0"/>
          <w:right w:val="none" w:color="000000" w:sz="4" w:space="0"/>
        </w:tcBorders>
      </w:tcPr>
    </w:tblStylePr>
    <w:tblStylePr w:type="lastRow">
      <w:rPr>
        <w:rFonts w:ascii="Arial" w:hAnsi="Arial"/>
        <w:i/>
        <w:color w:val="f5b584"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F4B483" w:themeColor="accent2" w:themeTint="97" w:sz="4" w:space="0"/>
          <w:left w:val="none" w:color="000000" w:sz="4" w:space="0"/>
          <w:bottom w:val="none" w:color="000000" w:sz="4" w:space="0"/>
          <w:right w:val="none" w:color="000000" w:sz="4" w:space="0"/>
        </w:tcBorders>
      </w:tcPr>
    </w:tblStylePr>
  </w:style>
  <w:style w:type="table" w:styleId="963" w:customStyle="1">
    <w:name w:val="List Table 7 Colorful - Accent 3"/>
    <w:basedOn w:val="789"/>
    <w:uiPriority w:val="99"/>
    <w:qFormat/>
    <w:pPr>
      <w:spacing w:after="0" w:line="240" w:lineRule="auto"/>
    </w:pPr>
    <w:tblPr>
      <w:tblBorders>
        <w:right w:val="single" w:color="FDD961" w:themeColor="accent3" w:themeTint="98" w:sz="4" w:space="0"/>
      </w:tblBorders>
    </w:tblPr>
    <w:tblStylePr w:type="band1Horz">
      <w:rPr>
        <w:rFonts w:ascii="Arial" w:hAnsi="Arial"/>
        <w:color w:val="fed961" w:themeColor="accent3" w:themeTint="99"/>
        <w:sz w:val="22"/>
        <w14:textFill>
          <w14:solidFill>
            <w14:schemeClr w14:val="accent3">
              <w14:lumMod w14:val="60000"/>
              <w14:lumOff w14:val="40000"/>
            </w14:schemeClr>
          </w14:solidFill>
        </w14:textFill>
      </w:rPr>
      <w:tcPr>
        <w:shd w:val="clear" w:color="feefbc" w:themeColor="accent3" w:themeTint="40" w:fill="feefbc" w:themeFill="accent3" w:themeFillTint="40"/>
      </w:tcPr>
    </w:tblStylePr>
    <w:tblStylePr w:type="band1Vert">
      <w:tcPr>
        <w:shd w:val="clear" w:color="feefbc" w:themeColor="accent3" w:themeTint="40" w:fill="feefbc" w:themeFill="accent3" w:themeFillTint="40"/>
      </w:tcPr>
    </w:tblStylePr>
    <w:tblStylePr w:type="band2Horz">
      <w:rPr>
        <w:rFonts w:ascii="Arial" w:hAnsi="Arial"/>
        <w:color w:val="fed961" w:themeColor="accent3" w:themeTint="99"/>
        <w:sz w:val="22"/>
        <w14:textFill>
          <w14:solidFill>
            <w14:schemeClr w14:val="accent3">
              <w14:lumMod w14:val="60000"/>
              <w14:lumOff w14:val="40000"/>
            </w14:schemeClr>
          </w14:solidFill>
        </w14:textFill>
      </w:rPr>
    </w:tblStylePr>
    <w:tblStylePr w:type="firstCol">
      <w:rPr>
        <w:rFonts w:ascii="Arial" w:hAnsi="Arial"/>
        <w:i/>
        <w:color w:val="fed961"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DD961" w:themeColor="accent3" w:themeTint="98" w:sz="4" w:space="0"/>
        </w:tcBorders>
      </w:tcPr>
    </w:tblStylePr>
    <w:tblStylePr w:type="fir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DD961" w:themeColor="accent3" w:themeTint="98" w:sz="4" w:space="0"/>
          <w:right w:val="none" w:color="000000" w:sz="4" w:space="0"/>
        </w:tcBorders>
      </w:tcPr>
    </w:tblStylePr>
    <w:tblStylePr w:type="lastCol">
      <w:rPr>
        <w:rFonts w:ascii="Arial" w:hAnsi="Arial"/>
        <w:i/>
        <w:color w:val="fed961"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FDD961" w:themeColor="accent3" w:themeTint="98" w:sz="4" w:space="0"/>
          <w:bottom w:val="none" w:color="000000" w:sz="4" w:space="0"/>
          <w:right w:val="none" w:color="000000" w:sz="4" w:space="0"/>
        </w:tcBorders>
      </w:tcPr>
    </w:tblStylePr>
    <w:tblStylePr w:type="lastRow">
      <w:rPr>
        <w:rFonts w:ascii="Arial" w:hAnsi="Arial"/>
        <w:i/>
        <w:color w:val="fed961"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FDD961" w:themeColor="accent3" w:themeTint="98" w:sz="4" w:space="0"/>
          <w:left w:val="none" w:color="000000" w:sz="4" w:space="0"/>
          <w:bottom w:val="none" w:color="000000" w:sz="4" w:space="0"/>
          <w:right w:val="none" w:color="000000" w:sz="4" w:space="0"/>
        </w:tcBorders>
      </w:tcPr>
    </w:tblStylePr>
  </w:style>
  <w:style w:type="table" w:styleId="964" w:customStyle="1">
    <w:name w:val="List Table 7 Colorful - Accent 4"/>
    <w:basedOn w:val="789"/>
    <w:uiPriority w:val="99"/>
    <w:qFormat/>
    <w:pPr>
      <w:spacing w:after="0" w:line="240" w:lineRule="auto"/>
    </w:pPr>
    <w:tblPr>
      <w:tblBorders>
        <w:right w:val="single" w:color="ABD78C" w:themeColor="accent4" w:themeTint="9A" w:sz="4" w:space="0"/>
      </w:tblBorders>
    </w:tblPr>
    <w:tblStylePr w:type="band1Horz">
      <w:rPr>
        <w:rFonts w:ascii="Arial" w:hAnsi="Arial"/>
        <w:color w:val="acd78e" w:themeColor="accent4" w:themeTint="99"/>
        <w:sz w:val="22"/>
        <w14:textFill>
          <w14:solidFill>
            <w14:schemeClr w14:val="accent4">
              <w14:lumMod w14:val="60000"/>
              <w14:lumOff w14:val="40000"/>
            </w14:schemeClr>
          </w14:solidFill>
        </w14:textFill>
      </w:rPr>
      <w:tcPr>
        <w:shd w:val="clear" w:color="dceecf" w:themeColor="accent4" w:themeTint="40" w:fill="dceecf" w:themeFill="accent4" w:themeFillTint="40"/>
      </w:tcPr>
    </w:tblStylePr>
    <w:tblStylePr w:type="band1Vert">
      <w:tcPr>
        <w:shd w:val="clear" w:color="dceecf" w:themeColor="accent4" w:themeTint="40" w:fill="dceecf" w:themeFill="accent4" w:themeFillTint="40"/>
      </w:tcPr>
    </w:tblStylePr>
    <w:tblStylePr w:type="band2Horz">
      <w:rPr>
        <w:rFonts w:ascii="Arial" w:hAnsi="Arial"/>
        <w:color w:val="acd78e" w:themeColor="accent4" w:themeTint="99"/>
        <w:sz w:val="22"/>
        <w14:textFill>
          <w14:solidFill>
            <w14:schemeClr w14:val="accent4">
              <w14:lumMod w14:val="60000"/>
              <w14:lumOff w14:val="40000"/>
            </w14:schemeClr>
          </w14:solidFill>
        </w14:textFill>
      </w:rPr>
    </w:tblStylePr>
    <w:tblStylePr w:type="firstCol">
      <w:rPr>
        <w:rFonts w:ascii="Arial" w:hAnsi="Arial"/>
        <w:i/>
        <w:color w:val="acd78e"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ABD78C" w:themeColor="accent4" w:themeTint="9A" w:sz="4" w:space="0"/>
        </w:tcBorders>
      </w:tcPr>
    </w:tblStylePr>
    <w:tblStylePr w:type="fir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ABD78C" w:themeColor="accent4" w:themeTint="9A" w:sz="4" w:space="0"/>
          <w:right w:val="none" w:color="000000" w:sz="4" w:space="0"/>
        </w:tcBorders>
      </w:tcPr>
    </w:tblStylePr>
    <w:tblStylePr w:type="lastCol">
      <w:rPr>
        <w:rFonts w:ascii="Arial" w:hAnsi="Arial"/>
        <w:i/>
        <w:color w:val="acd78e"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ABD78C" w:themeColor="accent4" w:themeTint="9A" w:sz="4" w:space="0"/>
          <w:bottom w:val="none" w:color="000000" w:sz="4" w:space="0"/>
          <w:right w:val="none" w:color="000000" w:sz="4" w:space="0"/>
        </w:tcBorders>
      </w:tcPr>
    </w:tblStylePr>
    <w:tblStylePr w:type="lastRow">
      <w:rPr>
        <w:rFonts w:ascii="Arial" w:hAnsi="Arial"/>
        <w:i/>
        <w:color w:val="acd78e"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ABD78C" w:themeColor="accent4" w:themeTint="9A" w:sz="4" w:space="0"/>
          <w:left w:val="none" w:color="000000" w:sz="4" w:space="0"/>
          <w:bottom w:val="none" w:color="000000" w:sz="4" w:space="0"/>
          <w:right w:val="none" w:color="000000" w:sz="4" w:space="0"/>
        </w:tcBorders>
      </w:tcPr>
    </w:tblStylePr>
  </w:style>
  <w:style w:type="table" w:styleId="965" w:customStyle="1">
    <w:name w:val="List Table 7 Colorful - Accent 5"/>
    <w:basedOn w:val="789"/>
    <w:uiPriority w:val="99"/>
    <w:qFormat/>
    <w:pPr>
      <w:spacing w:after="0" w:line="240" w:lineRule="auto"/>
    </w:pPr>
    <w:tblPr>
      <w:tblBorders>
        <w:right w:val="single" w:color="7CDED6" w:themeColor="accent5" w:themeTint="9A" w:sz="4" w:space="0"/>
      </w:tblBorders>
    </w:tblPr>
    <w:tblStylePr w:type="band1Horz">
      <w:rPr>
        <w:rFonts w:ascii="Arial" w:hAnsi="Arial"/>
        <w:color w:val="7ddfd7" w:themeColor="accent5" w:themeTint="99"/>
        <w:sz w:val="22"/>
        <w14:textFill>
          <w14:solidFill>
            <w14:schemeClr w14:val="accent5">
              <w14:lumMod w14:val="60000"/>
              <w14:lumOff w14:val="40000"/>
            </w14:schemeClr>
          </w14:solidFill>
        </w14:textFill>
      </w:rPr>
      <w:tcPr>
        <w:shd w:val="clear" w:color="c8f1ee" w:themeColor="accent5" w:themeTint="40" w:fill="c8f1ee" w:themeFill="accent5" w:themeFillTint="40"/>
      </w:tcPr>
    </w:tblStylePr>
    <w:tblStylePr w:type="band1Vert">
      <w:tcPr>
        <w:shd w:val="clear" w:color="c8f1ee" w:themeColor="accent5" w:themeTint="40" w:fill="c8f1ee" w:themeFill="accent5" w:themeFillTint="40"/>
      </w:tcPr>
    </w:tblStylePr>
    <w:tblStylePr w:type="band2Horz">
      <w:rPr>
        <w:rFonts w:ascii="Arial" w:hAnsi="Arial"/>
        <w:color w:val="7ddfd7" w:themeColor="accent5" w:themeTint="99"/>
        <w:sz w:val="22"/>
        <w14:textFill>
          <w14:solidFill>
            <w14:schemeClr w14:val="accent5">
              <w14:lumMod w14:val="60000"/>
              <w14:lumOff w14:val="40000"/>
            </w14:schemeClr>
          </w14:solidFill>
        </w14:textFill>
      </w:rPr>
    </w:tblStylePr>
    <w:tblStylePr w:type="firstCol">
      <w:rPr>
        <w:rFonts w:ascii="Arial" w:hAnsi="Arial"/>
        <w:i/>
        <w:color w:val="7ddfd7"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7CDED6" w:themeColor="accent5" w:themeTint="9A" w:sz="4" w:space="0"/>
        </w:tcBorders>
      </w:tcPr>
    </w:tblStylePr>
    <w:tblStylePr w:type="fir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7CDED6" w:themeColor="accent5" w:themeTint="9A" w:sz="4" w:space="0"/>
          <w:right w:val="none" w:color="000000" w:sz="4" w:space="0"/>
        </w:tcBorders>
      </w:tcPr>
    </w:tblStylePr>
    <w:tblStylePr w:type="lastCol">
      <w:rPr>
        <w:rFonts w:ascii="Arial" w:hAnsi="Arial"/>
        <w:i/>
        <w:color w:val="7ddfd7"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7CDED6" w:themeColor="accent5" w:themeTint="9A" w:sz="4" w:space="0"/>
          <w:bottom w:val="none" w:color="000000" w:sz="4" w:space="0"/>
          <w:right w:val="none" w:color="000000" w:sz="4" w:space="0"/>
        </w:tcBorders>
      </w:tcPr>
    </w:tblStylePr>
    <w:tblStylePr w:type="lastRow">
      <w:rPr>
        <w:rFonts w:ascii="Arial" w:hAnsi="Arial"/>
        <w:i/>
        <w:color w:val="7ddfd7"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7CDED6" w:themeColor="accent5" w:themeTint="9A" w:sz="4" w:space="0"/>
          <w:left w:val="none" w:color="000000" w:sz="4" w:space="0"/>
          <w:bottom w:val="none" w:color="000000" w:sz="4" w:space="0"/>
          <w:right w:val="none" w:color="000000" w:sz="4" w:space="0"/>
        </w:tcBorders>
      </w:tcPr>
    </w:tblStylePr>
  </w:style>
  <w:style w:type="table" w:styleId="966" w:customStyle="1">
    <w:name w:val="List Table 7 Colorful - Accent 6"/>
    <w:basedOn w:val="789"/>
    <w:uiPriority w:val="99"/>
    <w:qFormat/>
    <w:pPr>
      <w:spacing w:after="0" w:line="240" w:lineRule="auto"/>
    </w:pPr>
    <w:tblPr>
      <w:tblBorders>
        <w:right w:val="single" w:color="EF949F" w:themeColor="accent6" w:themeTint="98" w:sz="4" w:space="0"/>
      </w:tblBorders>
    </w:tblPr>
    <w:tblStylePr w:type="band1Horz">
      <w:rPr>
        <w:rFonts w:ascii="Arial" w:hAnsi="Arial"/>
        <w:color w:val="ef949e" w:themeColor="accent6" w:themeTint="99"/>
        <w:sz w:val="22"/>
        <w14:textFill>
          <w14:solidFill>
            <w14:schemeClr w14:val="accent6">
              <w14:lumMod w14:val="60000"/>
              <w14:lumOff w14:val="40000"/>
            </w14:schemeClr>
          </w14:solidFill>
        </w14:textFill>
      </w:rPr>
      <w:tcPr>
        <w:shd w:val="clear" w:color="f8d2d6" w:themeColor="accent6" w:themeTint="40" w:fill="f8d2d6" w:themeFill="accent6" w:themeFillTint="40"/>
      </w:tcPr>
    </w:tblStylePr>
    <w:tblStylePr w:type="band1Vert">
      <w:tcPr>
        <w:shd w:val="clear" w:color="f8d2d6" w:themeColor="accent6" w:themeTint="40" w:fill="f8d2d6" w:themeFill="accent6" w:themeFillTint="40"/>
      </w:tcPr>
    </w:tblStylePr>
    <w:tblStylePr w:type="band2Horz">
      <w:rPr>
        <w:rFonts w:ascii="Arial" w:hAnsi="Arial"/>
        <w:color w:val="ef949e" w:themeColor="accent6" w:themeTint="99"/>
        <w:sz w:val="22"/>
        <w14:textFill>
          <w14:solidFill>
            <w14:schemeClr w14:val="accent6">
              <w14:lumMod w14:val="60000"/>
              <w14:lumOff w14:val="40000"/>
            </w14:schemeClr>
          </w14:solidFill>
        </w14:textFill>
      </w:rPr>
    </w:tblStylePr>
    <w:tblStylePr w:type="firstCol">
      <w:rPr>
        <w:rFonts w:ascii="Arial" w:hAnsi="Arial"/>
        <w:i/>
        <w:color w:val="ef949e"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EF949F" w:themeColor="accent6" w:themeTint="98" w:sz="4" w:space="0"/>
        </w:tcBorders>
      </w:tcPr>
    </w:tblStylePr>
    <w:tblStylePr w:type="fir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EF949F" w:themeColor="accent6" w:themeTint="98" w:sz="4" w:space="0"/>
          <w:right w:val="none" w:color="000000" w:sz="4" w:space="0"/>
        </w:tcBorders>
      </w:tcPr>
    </w:tblStylePr>
    <w:tblStylePr w:type="lastCol">
      <w:rPr>
        <w:rFonts w:ascii="Arial" w:hAnsi="Arial"/>
        <w:i/>
        <w:color w:val="ef949e"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EF949F" w:themeColor="accent6" w:themeTint="98" w:sz="4" w:space="0"/>
          <w:bottom w:val="none" w:color="000000" w:sz="4" w:space="0"/>
          <w:right w:val="none" w:color="000000" w:sz="4" w:space="0"/>
        </w:tcBorders>
      </w:tcPr>
    </w:tblStylePr>
    <w:tblStylePr w:type="lastRow">
      <w:rPr>
        <w:rFonts w:ascii="Arial" w:hAnsi="Arial"/>
        <w:i/>
        <w:color w:val="ef949e"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EF949F" w:themeColor="accent6" w:themeTint="98" w:sz="4" w:space="0"/>
          <w:left w:val="none" w:color="000000" w:sz="4" w:space="0"/>
          <w:bottom w:val="none" w:color="000000" w:sz="4" w:space="0"/>
          <w:right w:val="none" w:color="000000" w:sz="4" w:space="0"/>
        </w:tcBorders>
      </w:tcPr>
    </w:tblStylePr>
  </w:style>
  <w:style w:type="table" w:styleId="967" w:customStyle="1">
    <w:name w:val="Lined - Accent"/>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8" w:customStyle="1">
    <w:name w:val="Lined - Accent 1"/>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69" w:customStyle="1">
    <w:name w:val="Lined - Accent 2"/>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0" w:customStyle="1">
    <w:name w:val="Lined - Accent 3"/>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1" w:customStyle="1">
    <w:name w:val="Lined - Accent 4"/>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2" w:customStyle="1">
    <w:name w:val="Lined - Accent 5"/>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73" w:customStyle="1">
    <w:name w:val="Lined - Accent 6"/>
    <w:basedOn w:val="789"/>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74" w:customStyle="1">
    <w:name w:val="Bordered &amp; Lined - Accent"/>
    <w:basedOn w:val="789"/>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75" w:customStyle="1">
    <w:name w:val="Bordered &amp; Lined - Accent 1"/>
    <w:basedOn w:val="789"/>
    <w:uiPriority w:val="99"/>
    <w:qFormat/>
    <w:pPr>
      <w:spacing w:after="0" w:line="240" w:lineRule="auto"/>
    </w:pPr>
    <w:rPr>
      <w:color w:val="404040"/>
    </w:rPr>
    <w:tblPr>
      <w:tblBorders>
        <w:top w:val="single" w:color="23417D" w:themeColor="accent1" w:themeShade="95" w:sz="4" w:space="0"/>
        <w:left w:val="single" w:color="23417D" w:themeColor="accent1" w:themeShade="95" w:sz="4" w:space="0"/>
        <w:bottom w:val="single" w:color="23417D" w:themeColor="accent1" w:themeShade="95" w:sz="4" w:space="0"/>
        <w:right w:val="single" w:color="23417D" w:themeColor="accent1" w:themeShade="95" w:sz="4" w:space="0"/>
        <w:insideH w:val="single" w:color="23417D" w:themeColor="accent1" w:themeShade="95" w:sz="4" w:space="0"/>
        <w:insideV w:val="single" w:color="23417D"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5d3ee" w:themeColor="accent1" w:themeTint="50" w:fill="c5d3ee" w:themeFill="accent1" w:themeFillTint="50"/>
      </w:tcPr>
    </w:tblStylePr>
    <w:tblStylePr w:type="band2Vert">
      <w:rPr>
        <w:rFonts w:ascii="Arial" w:hAnsi="Arial"/>
        <w:color w:val="404040"/>
        <w:sz w:val="22"/>
      </w:rPr>
      <w:tcPr>
        <w:shd w:val="clear" w:color="c5d3ee" w:themeColor="accent1" w:themeTint="50" w:fill="c5d3ee" w:themeFill="accent1" w:themeFillTint="50"/>
      </w:tcPr>
    </w:tblStylePr>
    <w:tblStylePr w:type="firstCol">
      <w:rPr>
        <w:rFonts w:ascii="Arial" w:hAnsi="Arial"/>
        <w:color w:val="f2f2f2"/>
        <w:sz w:val="22"/>
      </w:rPr>
      <w:tcPr>
        <w:shd w:val="clear" w:color="577fcf" w:themeColor="accent1" w:themeTint="EA" w:fill="577fcf" w:themeFill="accent1" w:themeFillTint="EA"/>
      </w:tcPr>
    </w:tblStylePr>
    <w:tblStylePr w:type="firstRow">
      <w:rPr>
        <w:rFonts w:ascii="Arial" w:hAnsi="Arial"/>
        <w:color w:val="f2f2f2"/>
        <w:sz w:val="22"/>
      </w:rPr>
      <w:tcPr>
        <w:shd w:val="clear" w:color="577fcf" w:themeColor="accent1" w:themeTint="EA" w:fill="577fcf" w:themeFill="accent1" w:themeFillTint="EA"/>
      </w:tcPr>
    </w:tblStylePr>
    <w:tblStylePr w:type="lastCol">
      <w:rPr>
        <w:rFonts w:ascii="Arial" w:hAnsi="Arial"/>
        <w:color w:val="f2f2f2"/>
        <w:sz w:val="22"/>
      </w:rPr>
      <w:tcPr>
        <w:shd w:val="clear" w:color="577fcf" w:themeColor="accent1" w:themeTint="EA" w:fill="577fcf" w:themeFill="accent1" w:themeFillTint="EA"/>
      </w:tcPr>
    </w:tblStylePr>
    <w:tblStylePr w:type="lastRow">
      <w:rPr>
        <w:rFonts w:ascii="Arial" w:hAnsi="Arial"/>
        <w:color w:val="f2f2f2"/>
        <w:sz w:val="22"/>
      </w:rPr>
      <w:tcPr>
        <w:shd w:val="clear" w:color="577fcf" w:themeColor="accent1" w:themeTint="EA" w:fill="577fcf" w:themeFill="accent1" w:themeFillTint="EA"/>
      </w:tcPr>
    </w:tblStylePr>
  </w:style>
  <w:style w:type="table" w:styleId="976" w:customStyle="1">
    <w:name w:val="Bordered &amp; Lined - Accent 2"/>
    <w:basedOn w:val="789"/>
    <w:uiPriority w:val="99"/>
    <w:qFormat/>
    <w:pPr>
      <w:spacing w:after="0" w:line="240" w:lineRule="auto"/>
    </w:pPr>
    <w:rPr>
      <w:color w:val="404040"/>
    </w:rPr>
    <w:tblPr>
      <w:tblBorders>
        <w:top w:val="single" w:color="994A0C" w:themeColor="accent2" w:themeShade="95" w:sz="4" w:space="0"/>
        <w:left w:val="single" w:color="994A0C" w:themeColor="accent2" w:themeShade="95" w:sz="4" w:space="0"/>
        <w:bottom w:val="single" w:color="994A0C" w:themeColor="accent2" w:themeShade="95" w:sz="4" w:space="0"/>
        <w:right w:val="single" w:color="994A0C" w:themeColor="accent2" w:themeShade="95" w:sz="4" w:space="0"/>
        <w:insideH w:val="single" w:color="994A0C" w:themeColor="accent2" w:themeShade="95" w:sz="4" w:space="0"/>
        <w:insideV w:val="single" w:color="994A0C"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be6d6" w:themeColor="accent2" w:themeTint="32" w:fill="fbe6d6" w:themeFill="accent2" w:themeFillTint="32"/>
      </w:tcPr>
    </w:tblStylePr>
    <w:tblStylePr w:type="band2Vert">
      <w:rPr>
        <w:rFonts w:ascii="Arial" w:hAnsi="Arial"/>
        <w:color w:val="404040"/>
        <w:sz w:val="22"/>
      </w:rPr>
      <w:tcPr>
        <w:shd w:val="clear" w:color="fbe6d6" w:themeColor="accent2" w:themeTint="32" w:fill="fbe6d6" w:themeFill="accent2" w:themeFillTint="32"/>
      </w:tcPr>
    </w:tblStylePr>
    <w:tblStylePr w:type="firstCol">
      <w:rPr>
        <w:rFonts w:ascii="Arial" w:hAnsi="Arial"/>
        <w:color w:val="f2f2f2"/>
        <w:sz w:val="22"/>
      </w:rPr>
      <w:tcPr>
        <w:shd w:val="clear" w:color="f4b483" w:themeColor="accent2" w:themeTint="97" w:fill="f4b483" w:themeFill="accent2" w:themeFillTint="97"/>
      </w:tcPr>
    </w:tblStylePr>
    <w:tblStylePr w:type="firstRow">
      <w:rPr>
        <w:rFonts w:ascii="Arial" w:hAnsi="Arial"/>
        <w:color w:val="f2f2f2"/>
        <w:sz w:val="22"/>
      </w:rPr>
      <w:tcPr>
        <w:shd w:val="clear" w:color="f4b483" w:themeColor="accent2" w:themeTint="97" w:fill="f4b483" w:themeFill="accent2" w:themeFillTint="97"/>
      </w:tcPr>
    </w:tblStylePr>
    <w:tblStylePr w:type="lastCol">
      <w:rPr>
        <w:rFonts w:ascii="Arial" w:hAnsi="Arial"/>
        <w:color w:val="f2f2f2"/>
        <w:sz w:val="22"/>
      </w:rPr>
      <w:tcPr>
        <w:shd w:val="clear" w:color="f4b483" w:themeColor="accent2" w:themeTint="97" w:fill="f4b483" w:themeFill="accent2" w:themeFillTint="97"/>
      </w:tcPr>
    </w:tblStylePr>
    <w:tblStylePr w:type="lastRow">
      <w:rPr>
        <w:rFonts w:ascii="Arial" w:hAnsi="Arial"/>
        <w:color w:val="f2f2f2"/>
        <w:sz w:val="22"/>
      </w:rPr>
      <w:tcPr>
        <w:shd w:val="clear" w:color="f4b483" w:themeColor="accent2" w:themeTint="97" w:fill="f4b483" w:themeFill="accent2" w:themeFillTint="97"/>
      </w:tcPr>
    </w:tblStylePr>
  </w:style>
  <w:style w:type="table" w:styleId="977" w:customStyle="1">
    <w:name w:val="Bordered &amp; Lined - Accent 3"/>
    <w:basedOn w:val="789"/>
    <w:uiPriority w:val="99"/>
    <w:qFormat/>
    <w:pPr>
      <w:spacing w:after="0" w:line="240" w:lineRule="auto"/>
    </w:pPr>
    <w:rPr>
      <w:color w:val="404040"/>
    </w:rPr>
    <w:tblPr>
      <w:tblBorders>
        <w:top w:val="single" w:color="8D6C01" w:themeColor="accent3" w:themeShade="95" w:sz="4" w:space="0"/>
        <w:left w:val="single" w:color="8D6C01" w:themeColor="accent3" w:themeShade="95" w:sz="4" w:space="0"/>
        <w:bottom w:val="single" w:color="8D6C01" w:themeColor="accent3" w:themeShade="95" w:sz="4" w:space="0"/>
        <w:right w:val="single" w:color="8D6C01" w:themeColor="accent3" w:themeShade="95" w:sz="4" w:space="0"/>
        <w:insideH w:val="single" w:color="8D6C01" w:themeColor="accent3" w:themeShade="95" w:sz="4" w:space="0"/>
        <w:insideV w:val="single" w:color="8D6C01"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ef2c9" w:themeColor="accent3" w:themeTint="34" w:fill="fef2c9" w:themeFill="accent3" w:themeFillTint="34"/>
      </w:tcPr>
    </w:tblStylePr>
    <w:tblStylePr w:type="band2Vert">
      <w:rPr>
        <w:rFonts w:ascii="Arial" w:hAnsi="Arial"/>
        <w:color w:val="404040"/>
        <w:sz w:val="22"/>
      </w:rPr>
      <w:tcPr>
        <w:shd w:val="clear" w:color="fef2c9" w:themeColor="accent3" w:themeTint="34" w:fill="fef2c9" w:themeFill="accent3" w:themeFillTint="34"/>
      </w:tcPr>
    </w:tblStylePr>
    <w:tblStylePr w:type="firstCol">
      <w:rPr>
        <w:rFonts w:ascii="Arial" w:hAnsi="Arial"/>
        <w:color w:val="f2f2f2"/>
        <w:sz w:val="22"/>
      </w:rPr>
      <w:tcPr>
        <w:shd w:val="clear" w:color="f3ba02" w:themeColor="accent3" w:themeTint="FE" w:fill="f3ba02" w:themeFill="accent3" w:themeFillTint="FE"/>
      </w:tcPr>
    </w:tblStylePr>
    <w:tblStylePr w:type="firstRow">
      <w:rPr>
        <w:rFonts w:ascii="Arial" w:hAnsi="Arial"/>
        <w:color w:val="f2f2f2"/>
        <w:sz w:val="22"/>
      </w:rPr>
      <w:tcPr>
        <w:shd w:val="clear" w:color="f3ba02" w:themeColor="accent3" w:themeTint="FE" w:fill="f3ba02" w:themeFill="accent3" w:themeFillTint="FE"/>
      </w:tcPr>
    </w:tblStylePr>
    <w:tblStylePr w:type="lastCol">
      <w:rPr>
        <w:rFonts w:ascii="Arial" w:hAnsi="Arial"/>
        <w:color w:val="f2f2f2"/>
        <w:sz w:val="22"/>
      </w:rPr>
      <w:tcPr>
        <w:shd w:val="clear" w:color="f3ba02" w:themeColor="accent3" w:themeTint="FE" w:fill="f3ba02" w:themeFill="accent3" w:themeFillTint="FE"/>
      </w:tcPr>
    </w:tblStylePr>
    <w:tblStylePr w:type="lastRow">
      <w:rPr>
        <w:rFonts w:ascii="Arial" w:hAnsi="Arial"/>
        <w:color w:val="f2f2f2"/>
        <w:sz w:val="22"/>
      </w:rPr>
      <w:tcPr>
        <w:shd w:val="clear" w:color="f3ba02" w:themeColor="accent3" w:themeTint="FE" w:fill="f3ba02" w:themeFill="accent3" w:themeFillTint="FE"/>
      </w:tcPr>
    </w:tblStylePr>
  </w:style>
  <w:style w:type="table" w:styleId="978" w:customStyle="1">
    <w:name w:val="Bordered &amp; Lined - Accent 4"/>
    <w:basedOn w:val="789"/>
    <w:uiPriority w:val="99"/>
    <w:qFormat/>
    <w:pPr>
      <w:spacing w:after="0" w:line="240" w:lineRule="auto"/>
    </w:pPr>
    <w:rPr>
      <w:color w:val="404040"/>
    </w:rPr>
    <w:tblPr>
      <w:tblBorders>
        <w:top w:val="single" w:color="446E26" w:themeColor="accent4" w:themeShade="95" w:sz="4" w:space="0"/>
        <w:left w:val="single" w:color="446E26" w:themeColor="accent4" w:themeShade="95" w:sz="4" w:space="0"/>
        <w:bottom w:val="single" w:color="446E26" w:themeColor="accent4" w:themeShade="95" w:sz="4" w:space="0"/>
        <w:right w:val="single" w:color="446E26" w:themeColor="accent4" w:themeShade="95" w:sz="4" w:space="0"/>
        <w:insideH w:val="single" w:color="446E26" w:themeColor="accent4" w:themeShade="95" w:sz="4" w:space="0"/>
        <w:insideV w:val="single" w:color="446E26"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2f1d8" w:themeColor="accent4" w:themeTint="34" w:fill="e2f1d8" w:themeFill="accent4" w:themeFillTint="34"/>
      </w:tcPr>
    </w:tblStylePr>
    <w:tblStylePr w:type="band2Vert">
      <w:rPr>
        <w:rFonts w:ascii="Arial" w:hAnsi="Arial"/>
        <w:color w:val="404040"/>
        <w:sz w:val="22"/>
      </w:rPr>
      <w:tcPr>
        <w:shd w:val="clear" w:color="e2f1d8" w:themeColor="accent4" w:themeTint="34" w:fill="e2f1d8" w:themeFill="accent4" w:themeFillTint="34"/>
      </w:tcPr>
    </w:tblStylePr>
    <w:tblStylePr w:type="firstCol">
      <w:rPr>
        <w:rFonts w:ascii="Arial" w:hAnsi="Arial"/>
        <w:color w:val="f2f2f2"/>
        <w:sz w:val="22"/>
      </w:rPr>
      <w:tcPr>
        <w:shd w:val="clear" w:color="abd78c" w:themeColor="accent4" w:themeTint="9A" w:fill="abd78c" w:themeFill="accent4" w:themeFillTint="9A"/>
      </w:tcPr>
    </w:tblStylePr>
    <w:tblStylePr w:type="firstRow">
      <w:rPr>
        <w:rFonts w:ascii="Arial" w:hAnsi="Arial"/>
        <w:color w:val="f2f2f2"/>
        <w:sz w:val="22"/>
      </w:rPr>
      <w:tcPr>
        <w:shd w:val="clear" w:color="abd78c" w:themeColor="accent4" w:themeTint="9A" w:fill="abd78c" w:themeFill="accent4" w:themeFillTint="9A"/>
      </w:tcPr>
    </w:tblStylePr>
    <w:tblStylePr w:type="lastCol">
      <w:rPr>
        <w:rFonts w:ascii="Arial" w:hAnsi="Arial"/>
        <w:color w:val="f2f2f2"/>
        <w:sz w:val="22"/>
      </w:rPr>
      <w:tcPr>
        <w:shd w:val="clear" w:color="abd78c" w:themeColor="accent4" w:themeTint="9A" w:fill="abd78c" w:themeFill="accent4" w:themeFillTint="9A"/>
      </w:tcPr>
    </w:tblStylePr>
    <w:tblStylePr w:type="lastRow">
      <w:rPr>
        <w:rFonts w:ascii="Arial" w:hAnsi="Arial"/>
        <w:color w:val="f2f2f2"/>
        <w:sz w:val="22"/>
      </w:rPr>
      <w:tcPr>
        <w:shd w:val="clear" w:color="abd78c" w:themeColor="accent4" w:themeTint="9A" w:fill="abd78c" w:themeFill="accent4" w:themeFillTint="9A"/>
      </w:tcPr>
    </w:tblStylePr>
  </w:style>
  <w:style w:type="table" w:styleId="979" w:customStyle="1">
    <w:name w:val="Bordered &amp; Lined - Accent 5"/>
    <w:basedOn w:val="789"/>
    <w:uiPriority w:val="99"/>
    <w:qFormat/>
    <w:pPr>
      <w:spacing w:after="0" w:line="240" w:lineRule="auto"/>
    </w:pPr>
    <w:rPr>
      <w:color w:val="404040"/>
    </w:rPr>
    <w:tblPr>
      <w:tblBorders>
        <w:top w:val="single" w:color="1C7069" w:themeColor="accent5" w:themeShade="95" w:sz="4" w:space="0"/>
        <w:left w:val="single" w:color="1C7069" w:themeColor="accent5" w:themeShade="95" w:sz="4" w:space="0"/>
        <w:bottom w:val="single" w:color="1C7069" w:themeColor="accent5" w:themeShade="95" w:sz="4" w:space="0"/>
        <w:right w:val="single" w:color="1C7069" w:themeColor="accent5" w:themeShade="95" w:sz="4" w:space="0"/>
        <w:insideH w:val="single" w:color="1C7069" w:themeColor="accent5" w:themeShade="95" w:sz="4" w:space="0"/>
        <w:insideV w:val="single" w:color="1C706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2f3f1" w:themeColor="accent5" w:themeTint="34" w:fill="d2f3f1" w:themeFill="accent5" w:themeFillTint="34"/>
      </w:tcPr>
    </w:tblStylePr>
    <w:tblStylePr w:type="band2Vert">
      <w:rPr>
        <w:rFonts w:ascii="Arial" w:hAnsi="Arial"/>
        <w:color w:val="404040"/>
        <w:sz w:val="22"/>
      </w:rPr>
      <w:tcPr>
        <w:shd w:val="clear" w:color="d2f3f1" w:themeColor="accent5" w:themeTint="34" w:fill="d2f3f1" w:themeFill="accent5" w:themeFillTint="34"/>
      </w:tcPr>
    </w:tblStylePr>
    <w:tblStylePr w:type="firstCol">
      <w:rPr>
        <w:rFonts w:ascii="Arial" w:hAnsi="Arial"/>
        <w:color w:val="f2f2f2"/>
        <w:sz w:val="22"/>
      </w:rPr>
      <w:tcPr>
        <w:shd w:val="clear" w:color="30c0b4" w:themeColor="accent5" w:fill="30c0b4" w:themeFill="accent5"/>
      </w:tcPr>
    </w:tblStylePr>
    <w:tblStylePr w:type="firstRow">
      <w:rPr>
        <w:rFonts w:ascii="Arial" w:hAnsi="Arial"/>
        <w:color w:val="f2f2f2"/>
        <w:sz w:val="22"/>
      </w:rPr>
      <w:tcPr>
        <w:shd w:val="clear" w:color="30c0b4" w:themeColor="accent5" w:fill="30c0b4" w:themeFill="accent5"/>
      </w:tcPr>
    </w:tblStylePr>
    <w:tblStylePr w:type="lastCol">
      <w:rPr>
        <w:rFonts w:ascii="Arial" w:hAnsi="Arial"/>
        <w:color w:val="f2f2f2"/>
        <w:sz w:val="22"/>
      </w:rPr>
      <w:tcPr>
        <w:shd w:val="clear" w:color="30c0b4" w:themeColor="accent5" w:fill="30c0b4" w:themeFill="accent5"/>
      </w:tcPr>
    </w:tblStylePr>
    <w:tblStylePr w:type="lastRow">
      <w:rPr>
        <w:rFonts w:ascii="Arial" w:hAnsi="Arial"/>
        <w:color w:val="f2f2f2"/>
        <w:sz w:val="22"/>
      </w:rPr>
      <w:tcPr>
        <w:shd w:val="clear" w:color="30c0b4" w:themeColor="accent5" w:fill="30c0b4" w:themeFill="accent5"/>
      </w:tcPr>
    </w:tblStylePr>
  </w:style>
  <w:style w:type="table" w:styleId="980" w:customStyle="1">
    <w:name w:val="Bordered &amp; Lined - Accent 6"/>
    <w:basedOn w:val="789"/>
    <w:uiPriority w:val="99"/>
    <w:qFormat/>
    <w:pPr>
      <w:spacing w:after="0" w:line="240" w:lineRule="auto"/>
    </w:pPr>
    <w:rPr>
      <w:color w:val="404040"/>
    </w:rPr>
    <w:tblPr>
      <w:tblBorders>
        <w:top w:val="single" w:color="9B1626" w:themeColor="accent6" w:themeShade="95" w:sz="4" w:space="0"/>
        <w:left w:val="single" w:color="9B1626" w:themeColor="accent6" w:themeShade="95" w:sz="4" w:space="0"/>
        <w:bottom w:val="single" w:color="9B1626" w:themeColor="accent6" w:themeShade="95" w:sz="4" w:space="0"/>
        <w:right w:val="single" w:color="9B1626" w:themeColor="accent6" w:themeShade="95" w:sz="4" w:space="0"/>
        <w:insideH w:val="single" w:color="9B1626" w:themeColor="accent6" w:themeShade="95" w:sz="4" w:space="0"/>
        <w:insideV w:val="single" w:color="9B1626"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9dade" w:themeColor="accent6" w:themeTint="34" w:fill="f9dade" w:themeFill="accent6" w:themeFillTint="34"/>
      </w:tcPr>
    </w:tblStylePr>
    <w:tblStylePr w:type="band2Vert">
      <w:rPr>
        <w:rFonts w:ascii="Arial" w:hAnsi="Arial"/>
        <w:color w:val="404040"/>
        <w:sz w:val="22"/>
      </w:rPr>
      <w:tcPr>
        <w:shd w:val="clear" w:color="f9dade" w:themeColor="accent6" w:themeTint="34" w:fill="f9dade" w:themeFill="accent6" w:themeFillTint="34"/>
      </w:tcPr>
    </w:tblStylePr>
    <w:tblStylePr w:type="firstCol">
      <w:rPr>
        <w:rFonts w:ascii="Arial" w:hAnsi="Arial"/>
        <w:color w:val="f2f2f2"/>
        <w:sz w:val="22"/>
      </w:rPr>
      <w:tcPr>
        <w:shd w:val="clear" w:color="e54c5e" w:themeColor="accent6" w:fill="e54c5e" w:themeFill="accent6"/>
      </w:tcPr>
    </w:tblStylePr>
    <w:tblStylePr w:type="firstRow">
      <w:rPr>
        <w:rFonts w:ascii="Arial" w:hAnsi="Arial"/>
        <w:color w:val="f2f2f2"/>
        <w:sz w:val="22"/>
      </w:rPr>
      <w:tcPr>
        <w:shd w:val="clear" w:color="e54c5e" w:themeColor="accent6" w:fill="e54c5e" w:themeFill="accent6"/>
      </w:tcPr>
    </w:tblStylePr>
    <w:tblStylePr w:type="lastCol">
      <w:rPr>
        <w:rFonts w:ascii="Arial" w:hAnsi="Arial"/>
        <w:color w:val="f2f2f2"/>
        <w:sz w:val="22"/>
      </w:rPr>
      <w:tcPr>
        <w:shd w:val="clear" w:color="e54c5e" w:themeColor="accent6" w:fill="e54c5e" w:themeFill="accent6"/>
      </w:tcPr>
    </w:tblStylePr>
    <w:tblStylePr w:type="lastRow">
      <w:rPr>
        <w:rFonts w:ascii="Arial" w:hAnsi="Arial"/>
        <w:color w:val="f2f2f2"/>
        <w:sz w:val="22"/>
      </w:rPr>
      <w:tcPr>
        <w:shd w:val="clear" w:color="e54c5e" w:themeColor="accent6" w:fill="e54c5e" w:themeFill="accent6"/>
      </w:tcPr>
    </w:tblStylePr>
  </w:style>
  <w:style w:type="table" w:styleId="981" w:customStyle="1">
    <w:name w:val="Bordered"/>
    <w:basedOn w:val="789"/>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82" w:customStyle="1">
    <w:name w:val="Bordered - Accent 1"/>
    <w:basedOn w:val="789"/>
    <w:uiPriority w:val="99"/>
    <w:qFormat/>
    <w:pPr>
      <w:spacing w:after="0" w:line="240" w:lineRule="auto"/>
    </w:pPr>
    <w:tblPr>
      <w:tbl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insideH w:val="single" w:color="B5C6E9" w:themeColor="accent1" w:themeTint="67" w:sz="4" w:space="0"/>
        <w:insideV w:val="single" w:color="B5C6E9" w:themeColor="accent1" w:themeTint="67" w:sz="4" w:space="0"/>
      </w:tblBorders>
    </w:tblPr>
    <w:tblStylePr w:type="band1Horz">
      <w:rPr>
        <w:rFonts w:ascii="Arial" w:hAnsi="Arial"/>
        <w:color w:val="404040"/>
        <w:sz w:val="22"/>
      </w:rPr>
      <w:tcPr>
        <w:tcBorders>
          <w:top w:val="single" w:color="B5C6E9" w:themeColor="accent1" w:themeTint="67" w:sz="4" w:space="0"/>
          <w:left w:val="single" w:color="B5C6E9" w:themeColor="accent1" w:themeTint="67" w:sz="4" w:space="0"/>
          <w:bottom w:val="single" w:color="B5C6E9" w:themeColor="accent1" w:themeTint="67" w:sz="4" w:space="0"/>
          <w:right w:val="single" w:color="B5C6E9"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874CB" w:themeColor="accent1" w:sz="12" w:space="0"/>
        </w:tcBorders>
      </w:tcPr>
    </w:tblStylePr>
    <w:tblStylePr w:type="lastCol">
      <w:rPr>
        <w:rFonts w:ascii="Arial" w:hAnsi="Arial"/>
        <w:color w:val="404040"/>
        <w:sz w:val="22"/>
      </w:rPr>
      <w:tcPr>
        <w:tcBorders>
          <w:left w:val="single" w:color="4874CB" w:themeColor="accent1" w:sz="12" w:space="0"/>
        </w:tcBorders>
      </w:tcPr>
    </w:tblStylePr>
    <w:tblStylePr w:type="lastRow">
      <w:rPr>
        <w:rFonts w:ascii="Arial" w:hAnsi="Arial"/>
        <w:color w:val="404040"/>
        <w:sz w:val="22"/>
      </w:rPr>
      <w:tcPr>
        <w:tcBorders>
          <w:top w:val="single" w:color="4874CB" w:themeColor="accent1" w:sz="12" w:space="0"/>
        </w:tcBorders>
      </w:tcPr>
    </w:tblStylePr>
  </w:style>
  <w:style w:type="table" w:styleId="983" w:customStyle="1">
    <w:name w:val="Bordered - Accent 2"/>
    <w:basedOn w:val="789"/>
    <w:uiPriority w:val="99"/>
    <w:qFormat/>
    <w:pPr>
      <w:spacing w:after="0" w:line="240" w:lineRule="auto"/>
    </w:pPr>
    <w:tblPr>
      <w:tbl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insideH w:val="single" w:color="F8CCAA" w:themeColor="accent2" w:themeTint="67" w:sz="4" w:space="0"/>
        <w:insideV w:val="single" w:color="F8CCAA" w:themeColor="accent2" w:themeTint="67" w:sz="4" w:space="0"/>
      </w:tblBorders>
    </w:tblPr>
    <w:tblStylePr w:type="band1Horz">
      <w:rPr>
        <w:rFonts w:ascii="Arial" w:hAnsi="Arial"/>
        <w:color w:val="404040"/>
        <w:sz w:val="22"/>
      </w:rPr>
      <w:tcPr>
        <w:tcBorders>
          <w:top w:val="single" w:color="F8CCAA" w:themeColor="accent2" w:themeTint="67" w:sz="4" w:space="0"/>
          <w:left w:val="single" w:color="F8CCAA" w:themeColor="accent2" w:themeTint="67" w:sz="4" w:space="0"/>
          <w:bottom w:val="single" w:color="F8CCAA" w:themeColor="accent2" w:themeTint="67" w:sz="4" w:space="0"/>
          <w:right w:val="single" w:color="F8CCAA"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4B483" w:themeColor="accent2" w:themeTint="97" w:sz="12" w:space="0"/>
        </w:tcBorders>
      </w:tcPr>
    </w:tblStylePr>
    <w:tblStylePr w:type="lastCol">
      <w:rPr>
        <w:rFonts w:ascii="Arial" w:hAnsi="Arial"/>
        <w:color w:val="404040"/>
        <w:sz w:val="22"/>
      </w:rPr>
      <w:tcPr>
        <w:tcBorders>
          <w:left w:val="single" w:color="F4B483" w:themeColor="accent2" w:themeTint="97" w:sz="12" w:space="0"/>
        </w:tcBorders>
      </w:tcPr>
    </w:tblStylePr>
    <w:tblStylePr w:type="lastRow">
      <w:rPr>
        <w:rFonts w:ascii="Arial" w:hAnsi="Arial"/>
        <w:color w:val="404040"/>
        <w:sz w:val="22"/>
      </w:rPr>
      <w:tcPr>
        <w:tcBorders>
          <w:top w:val="single" w:color="F4B483" w:themeColor="accent2" w:themeTint="97" w:sz="12" w:space="0"/>
        </w:tcBorders>
      </w:tcPr>
    </w:tblStylePr>
  </w:style>
  <w:style w:type="table" w:styleId="984" w:customStyle="1">
    <w:name w:val="Bordered - Accent 3"/>
    <w:basedOn w:val="789"/>
    <w:uiPriority w:val="99"/>
    <w:qFormat/>
    <w:pPr>
      <w:spacing w:after="0" w:line="240" w:lineRule="auto"/>
    </w:pPr>
    <w:tblPr>
      <w:tbl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insideH w:val="single" w:color="FEE594" w:themeColor="accent3" w:themeTint="67" w:sz="4" w:space="0"/>
        <w:insideV w:val="single" w:color="FEE594" w:themeColor="accent3" w:themeTint="67" w:sz="4" w:space="0"/>
      </w:tblBorders>
    </w:tblPr>
    <w:tblStylePr w:type="band1Horz">
      <w:rPr>
        <w:rFonts w:ascii="Arial" w:hAnsi="Arial"/>
        <w:color w:val="404040"/>
        <w:sz w:val="22"/>
      </w:rPr>
      <w:tcPr>
        <w:tcBorders>
          <w:top w:val="single" w:color="FEE594" w:themeColor="accent3" w:themeTint="67" w:sz="4" w:space="0"/>
          <w:left w:val="single" w:color="FEE594" w:themeColor="accent3" w:themeTint="67" w:sz="4" w:space="0"/>
          <w:bottom w:val="single" w:color="FEE594" w:themeColor="accent3" w:themeTint="67" w:sz="4" w:space="0"/>
          <w:right w:val="single" w:color="FEE594"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DD961" w:themeColor="accent3" w:themeTint="98" w:sz="12" w:space="0"/>
        </w:tcBorders>
      </w:tcPr>
    </w:tblStylePr>
    <w:tblStylePr w:type="lastCol">
      <w:rPr>
        <w:rFonts w:ascii="Arial" w:hAnsi="Arial"/>
        <w:color w:val="404040"/>
        <w:sz w:val="22"/>
      </w:rPr>
      <w:tcPr>
        <w:tcBorders>
          <w:left w:val="single" w:color="FDD961" w:themeColor="accent3" w:themeTint="98" w:sz="12" w:space="0"/>
        </w:tcBorders>
      </w:tcPr>
    </w:tblStylePr>
    <w:tblStylePr w:type="lastRow">
      <w:rPr>
        <w:rFonts w:ascii="Arial" w:hAnsi="Arial"/>
        <w:color w:val="404040"/>
        <w:sz w:val="22"/>
      </w:rPr>
      <w:tcPr>
        <w:tcBorders>
          <w:top w:val="single" w:color="FDD961" w:themeColor="accent3" w:themeTint="98" w:sz="12" w:space="0"/>
        </w:tcBorders>
      </w:tcPr>
    </w:tblStylePr>
  </w:style>
  <w:style w:type="table" w:styleId="985" w:customStyle="1">
    <w:name w:val="Bordered - Accent 4"/>
    <w:basedOn w:val="789"/>
    <w:uiPriority w:val="99"/>
    <w:qFormat/>
    <w:pPr>
      <w:spacing w:after="0" w:line="240" w:lineRule="auto"/>
    </w:pPr>
    <w:tblPr>
      <w:tbl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insideH w:val="single" w:color="C7E4B2" w:themeColor="accent4" w:themeTint="67" w:sz="4" w:space="0"/>
        <w:insideV w:val="single" w:color="C7E4B2" w:themeColor="accent4" w:themeTint="67" w:sz="4" w:space="0"/>
      </w:tblBorders>
    </w:tblPr>
    <w:tblStylePr w:type="band1Horz">
      <w:rPr>
        <w:rFonts w:ascii="Arial" w:hAnsi="Arial"/>
        <w:color w:val="404040"/>
        <w:sz w:val="22"/>
      </w:rPr>
      <w:tcPr>
        <w:tcBorders>
          <w:top w:val="single" w:color="C7E4B2" w:themeColor="accent4" w:themeTint="67" w:sz="4" w:space="0"/>
          <w:left w:val="single" w:color="C7E4B2" w:themeColor="accent4" w:themeTint="67" w:sz="4" w:space="0"/>
          <w:bottom w:val="single" w:color="C7E4B2" w:themeColor="accent4" w:themeTint="67" w:sz="4" w:space="0"/>
          <w:right w:val="single" w:color="C7E4B2"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ABD78C" w:themeColor="accent4" w:themeTint="9A" w:sz="12" w:space="0"/>
        </w:tcBorders>
      </w:tcPr>
    </w:tblStylePr>
    <w:tblStylePr w:type="lastCol">
      <w:rPr>
        <w:rFonts w:ascii="Arial" w:hAnsi="Arial"/>
        <w:color w:val="404040"/>
        <w:sz w:val="22"/>
      </w:rPr>
      <w:tcPr>
        <w:tcBorders>
          <w:left w:val="single" w:color="ABD78C" w:themeColor="accent4" w:themeTint="9A" w:sz="12" w:space="0"/>
        </w:tcBorders>
      </w:tcPr>
    </w:tblStylePr>
    <w:tblStylePr w:type="lastRow">
      <w:rPr>
        <w:rFonts w:ascii="Arial" w:hAnsi="Arial"/>
        <w:color w:val="404040"/>
        <w:sz w:val="22"/>
      </w:rPr>
      <w:tcPr>
        <w:tcBorders>
          <w:top w:val="single" w:color="ABD78C" w:themeColor="accent4" w:themeTint="9A" w:sz="12" w:space="0"/>
        </w:tcBorders>
      </w:tcPr>
    </w:tblStylePr>
  </w:style>
  <w:style w:type="table" w:styleId="986" w:customStyle="1">
    <w:name w:val="Bordered - Accent 5"/>
    <w:basedOn w:val="789"/>
    <w:uiPriority w:val="99"/>
    <w:qFormat/>
    <w:pPr>
      <w:spacing w:after="0" w:line="240" w:lineRule="auto"/>
    </w:pPr>
    <w:tblPr>
      <w:tbl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insideH w:val="single" w:color="A7E9E3" w:themeColor="accent5" w:themeTint="67" w:sz="4" w:space="0"/>
        <w:insideV w:val="single" w:color="A7E9E3" w:themeColor="accent5" w:themeTint="67" w:sz="4" w:space="0"/>
      </w:tblBorders>
    </w:tblPr>
    <w:tblStylePr w:type="band1Horz">
      <w:rPr>
        <w:rFonts w:ascii="Arial" w:hAnsi="Arial"/>
        <w:color w:val="404040"/>
        <w:sz w:val="22"/>
      </w:rPr>
      <w:tcPr>
        <w:tcBorders>
          <w:top w:val="single" w:color="A7E9E3" w:themeColor="accent5" w:themeTint="67" w:sz="4" w:space="0"/>
          <w:left w:val="single" w:color="A7E9E3" w:themeColor="accent5" w:themeTint="67" w:sz="4" w:space="0"/>
          <w:bottom w:val="single" w:color="A7E9E3" w:themeColor="accent5" w:themeTint="67" w:sz="4" w:space="0"/>
          <w:right w:val="single" w:color="A7E9E3"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CDED6" w:themeColor="accent5" w:themeTint="9A" w:sz="12" w:space="0"/>
        </w:tcBorders>
      </w:tcPr>
    </w:tblStylePr>
    <w:tblStylePr w:type="lastCol">
      <w:rPr>
        <w:rFonts w:ascii="Arial" w:hAnsi="Arial"/>
        <w:color w:val="404040"/>
        <w:sz w:val="22"/>
      </w:rPr>
      <w:tcPr>
        <w:tcBorders>
          <w:left w:val="single" w:color="7CDED6" w:themeColor="accent5" w:themeTint="9A" w:sz="12" w:space="0"/>
        </w:tcBorders>
      </w:tcPr>
    </w:tblStylePr>
    <w:tblStylePr w:type="lastRow">
      <w:rPr>
        <w:rFonts w:ascii="Arial" w:hAnsi="Arial"/>
        <w:color w:val="404040"/>
        <w:sz w:val="22"/>
      </w:rPr>
      <w:tcPr>
        <w:tcBorders>
          <w:top w:val="single" w:color="7CDED6" w:themeColor="accent5" w:themeTint="9A" w:sz="12" w:space="0"/>
        </w:tcBorders>
      </w:tcPr>
    </w:tblStylePr>
  </w:style>
  <w:style w:type="table" w:styleId="987" w:customStyle="1">
    <w:name w:val="Bordered - Accent 6"/>
    <w:basedOn w:val="789"/>
    <w:uiPriority w:val="99"/>
    <w:qFormat/>
    <w:pPr>
      <w:spacing w:after="0" w:line="240" w:lineRule="auto"/>
    </w:pPr>
    <w:tblPr>
      <w:tbl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insideH w:val="single" w:color="F4B6BD" w:themeColor="accent6" w:themeTint="67" w:sz="4" w:space="0"/>
        <w:insideV w:val="single" w:color="F4B6BD" w:themeColor="accent6" w:themeTint="67" w:sz="4" w:space="0"/>
      </w:tblBorders>
    </w:tblPr>
    <w:tblStylePr w:type="band1Horz">
      <w:rPr>
        <w:rFonts w:ascii="Arial" w:hAnsi="Arial"/>
        <w:color w:val="404040"/>
        <w:sz w:val="22"/>
      </w:rPr>
      <w:tcPr>
        <w:tcBorders>
          <w:top w:val="single" w:color="F4B6BD" w:themeColor="accent6" w:themeTint="67" w:sz="4" w:space="0"/>
          <w:left w:val="single" w:color="F4B6BD" w:themeColor="accent6" w:themeTint="67" w:sz="4" w:space="0"/>
          <w:bottom w:val="single" w:color="F4B6BD" w:themeColor="accent6" w:themeTint="67" w:sz="4" w:space="0"/>
          <w:right w:val="single" w:color="F4B6BD"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EF949F" w:themeColor="accent6" w:themeTint="98" w:sz="12" w:space="0"/>
        </w:tcBorders>
      </w:tcPr>
    </w:tblStylePr>
    <w:tblStylePr w:type="lastCol">
      <w:rPr>
        <w:rFonts w:ascii="Arial" w:hAnsi="Arial"/>
        <w:color w:val="404040"/>
        <w:sz w:val="22"/>
      </w:rPr>
      <w:tcPr>
        <w:tcBorders>
          <w:left w:val="single" w:color="EF949F" w:themeColor="accent6" w:themeTint="98" w:sz="12" w:space="0"/>
        </w:tcBorders>
      </w:tcPr>
    </w:tblStylePr>
    <w:tblStylePr w:type="lastRow">
      <w:rPr>
        <w:rFonts w:ascii="Arial" w:hAnsi="Arial"/>
        <w:color w:val="404040"/>
        <w:sz w:val="22"/>
      </w:rPr>
      <w:tcPr>
        <w:tcBorders>
          <w:top w:val="single" w:color="EF949F" w:themeColor="accent6" w:themeTint="98" w:sz="12" w:space="0"/>
        </w:tcBorders>
      </w:tcPr>
    </w:tblStylePr>
  </w:style>
  <w:style w:type="character" w:styleId="988" w:customStyle="1">
    <w:name w:val="Footnote Text Char"/>
    <w:link w:val="809"/>
    <w:uiPriority w:val="99"/>
    <w:qFormat/>
    <w:rPr>
      <w:sz w:val="18"/>
    </w:rPr>
  </w:style>
  <w:style w:type="character" w:styleId="989" w:customStyle="1">
    <w:name w:val="Endnote Text Char"/>
    <w:link w:val="802"/>
    <w:uiPriority w:val="99"/>
    <w:qFormat/>
    <w:rPr>
      <w:sz w:val="20"/>
    </w:rPr>
  </w:style>
  <w:style w:type="paragraph" w:styleId="990" w:customStyle="1">
    <w:name w:val="TOC Heading"/>
    <w:uiPriority w:val="39"/>
    <w:unhideWhenUsed/>
    <w:qFormat/>
    <w:rPr>
      <w:rFonts w:hint="default" w:asciiTheme="minorHAnsi" w:hAnsiTheme="minorHAnsi" w:eastAsiaTheme="minorEastAsia" w:cstheme="minorBidi"/>
    </w:rPr>
  </w:style>
  <w:style w:type="paragraph" w:styleId="991" w:customStyle="1">
    <w:name w:val="文本块11"/>
    <w:basedOn w:val="836"/>
    <w:uiPriority w:val="0"/>
    <w:qFormat/>
    <w:pPr>
      <w:ind w:left="420" w:right="33"/>
      <w:jc w:val="left"/>
    </w:pPr>
    <w:rPr>
      <w:rFonts w:ascii="Times New Roman" w:hAnsi="Times New Roman" w:eastAsia="宋体"/>
      <w:sz w:val="24"/>
      <w:szCs w:val="20"/>
    </w:rPr>
  </w:style>
  <w:style w:type="paragraph" w:styleId="992" w:customStyle="1">
    <w:name w:val="脚注文本1"/>
    <w:basedOn w:val="836"/>
    <w:next w:val="993"/>
    <w:uiPriority w:val="0"/>
    <w:qFormat/>
    <w:pPr>
      <w:spacing w:after="40"/>
    </w:pPr>
    <w:rPr>
      <w:sz w:val="18"/>
    </w:rPr>
  </w:style>
  <w:style w:type="paragraph" w:styleId="993" w:customStyle="1">
    <w:name w:val="索引 51"/>
    <w:basedOn w:val="836"/>
    <w:next w:val="829"/>
    <w:uiPriority w:val="0"/>
    <w:qFormat/>
    <w:pPr>
      <w:ind w:left="798"/>
    </w:pPr>
    <w:rPr>
      <w:rFonts w:ascii="Calibri" w:hAnsi="Calibri"/>
    </w:rPr>
  </w:style>
  <w:style w:type="paragraph" w:styleId="994" w:customStyle="1">
    <w:name w:val="black1"/>
    <w:basedOn w:val="778"/>
    <w:uiPriority w:val="0"/>
    <w:qFormat/>
    <w:pPr>
      <w:jc w:val="left"/>
      <w:spacing w:before="100" w:beforeAutospacing="1" w:after="100" w:afterAutospacing="1"/>
      <w:widowControl/>
    </w:pPr>
    <w:rPr>
      <w:rFonts w:ascii="宋体" w:hAnsi="宋体"/>
      <w:sz w:val="24"/>
    </w:rPr>
  </w:style>
  <w:style w:type="paragraph" w:styleId="995" w:customStyle="1">
    <w:name w:val="标题 11"/>
    <w:basedOn w:val="828"/>
    <w:next w:val="828"/>
    <w:uiPriority w:val="0"/>
    <w:qFormat/>
    <w:pPr>
      <w:keepLines/>
      <w:keepNext/>
      <w:spacing w:before="340" w:after="330" w:line="578" w:lineRule="auto"/>
      <w:outlineLvl w:val="0"/>
    </w:pPr>
    <w:rPr>
      <w:b/>
      <w:bCs/>
      <w:sz w:val="44"/>
      <w:szCs w:val="44"/>
    </w:rPr>
  </w:style>
  <w:style w:type="character" w:styleId="996" w:customStyle="1">
    <w:name w:val="NormalCharacter"/>
    <w:link w:val="829"/>
    <w:uiPriority w:val="0"/>
    <w:semiHidden/>
    <w:qFormat/>
    <w:rPr>
      <w:rFonts w:ascii="Times New Roman" w:hAnsi="Times New Roman" w:eastAsia="宋体" w:cs="Times New Roman"/>
      <w:sz w:val="28"/>
      <w:lang w:val="en-US" w:eastAsia="zh-CN" w:bidi="ar-SA"/>
    </w:rPr>
  </w:style>
  <w:style w:type="paragraph" w:styleId="997" w:customStyle="1">
    <w:name w:val="页脚1"/>
    <w:basedOn w:val="829"/>
    <w:uiPriority w:val="0"/>
    <w:qFormat/>
    <w:pPr>
      <w:spacing w:line="240" w:lineRule="auto"/>
      <w:tabs>
        <w:tab w:val="center" w:pos="4153" w:leader="none"/>
        <w:tab w:val="right" w:pos="8306" w:leader="none"/>
      </w:tabs>
    </w:pPr>
    <w:rPr>
      <w:sz w:val="18"/>
      <w:szCs w:val="18"/>
    </w:rPr>
  </w:style>
  <w:style w:type="paragraph" w:styleId="998" w:customStyle="1">
    <w:name w:val="Default"/>
    <w:uiPriority w:val="0"/>
    <w:qFormat/>
    <w:pPr>
      <w:widowControl w:val="off"/>
    </w:pPr>
    <w:rPr>
      <w:rFonts w:hint="default" w:ascii="宋体" w:hAnsi="宋体" w:eastAsia="宋体" w:cs="Times New Roman"/>
      <w:color w:val="000000"/>
      <w:sz w:val="24"/>
      <w:szCs w:val="24"/>
      <w:lang w:val="en-US" w:eastAsia="zh-CN" w:bidi="ar-SA"/>
    </w:rPr>
  </w:style>
  <w:style w:type="paragraph" w:styleId="999" w:customStyle="1">
    <w:name w:val="正文49"/>
    <w:uiPriority w:val="0"/>
    <w:qFormat/>
    <w:pPr>
      <w:jc w:val="both"/>
      <w:widowControl w:val="off"/>
    </w:pPr>
    <w:rPr>
      <w:rFonts w:hint="default" w:ascii="Calibri" w:hAnsi="Calibri" w:eastAsia="宋体" w:cs="Times New Roman"/>
      <w:sz w:val="21"/>
      <w:szCs w:val="22"/>
      <w:lang w:val="en-US" w:eastAsia="zh-CN" w:bidi="ar-SA"/>
    </w:rPr>
  </w:style>
  <w:style w:type="paragraph" w:styleId="1000" w:customStyle="1">
    <w:name w:val="AONormal"/>
    <w:uiPriority w:val="0"/>
    <w:qFormat/>
    <w:pPr>
      <w:ind w:firstLine="200"/>
      <w:spacing w:line="400" w:lineRule="exact"/>
    </w:pPr>
    <w:rPr>
      <w:rFonts w:hint="default" w:ascii="华文楷体" w:hAnsi="Times New Roman" w:eastAsia="华文楷体" w:cs="华文楷体"/>
      <w:sz w:val="22"/>
      <w:szCs w:val="21"/>
    </w:rPr>
  </w:style>
  <w:style w:type="paragraph" w:styleId="1001" w:customStyle="1">
    <w:name w:val="列出段落1"/>
    <w:basedOn w:val="829"/>
    <w:uiPriority w:val="0"/>
    <w:qFormat/>
    <w:pPr>
      <w:ind w:firstLine="420"/>
    </w:pPr>
  </w:style>
  <w:style w:type="paragraph" w:styleId="1002" w:customStyle="1">
    <w:name w:val="正文仿宋"/>
    <w:basedOn w:val="778"/>
    <w:uiPriority w:val="0"/>
    <w:qFormat/>
    <w:pPr>
      <w:ind w:firstLine="520"/>
      <w:spacing w:line="350" w:lineRule="exact"/>
    </w:pPr>
    <w:rPr>
      <w:rFonts w:ascii="Times New Roman" w:hAnsi="Times New Roman" w:eastAsia="方正仿宋_GB2312" w:cs="Times New Roman"/>
      <w:sz w:val="24"/>
      <w:lang w:val="zh-CN"/>
    </w:rPr>
  </w:style>
  <w:style w:type="paragraph" w:styleId="1003" w:customStyle="1">
    <w:name w:val="正文文本缩进1"/>
    <w:basedOn w:val="829"/>
    <w:next w:val="1004"/>
    <w:uiPriority w:val="0"/>
    <w:qFormat/>
    <w:pPr>
      <w:ind w:left="420"/>
      <w:spacing w:after="120"/>
    </w:pPr>
  </w:style>
  <w:style w:type="paragraph" w:styleId="1004" w:customStyle="1">
    <w:name w:val="寄信人地址1"/>
    <w:basedOn w:val="828"/>
    <w:uiPriority w:val="0"/>
    <w:qFormat/>
    <w:rPr>
      <w:rFonts w:ascii="Arial" w:hAnsi="Arial"/>
      <w:sz w:val="22"/>
      <w:szCs w:val="22"/>
    </w:rPr>
  </w:style>
  <w:style w:type="paragraph" w:styleId="1005" w:customStyle="1">
    <w:name w:val="WPSOffice手动目录 1"/>
    <w:uiPriority w:val="0"/>
    <w:qFormat/>
    <w:rPr>
      <w:rFonts w:hint="default" w:asciiTheme="minorHAnsi" w:hAnsiTheme="minorHAnsi" w:eastAsiaTheme="minorEastAsia" w:cstheme="minorBidi"/>
      <w:sz w:val="20"/>
      <w:szCs w:val="20"/>
    </w:rPr>
  </w:style>
  <w:style w:type="paragraph" w:styleId="1006" w:customStyle="1">
    <w:name w:val="目录 11"/>
    <w:basedOn w:val="828"/>
    <w:next w:val="828"/>
    <w:uiPriority w:val="0"/>
    <w:qFormat/>
  </w:style>
  <w:style w:type="paragraph" w:styleId="1007" w:customStyle="1">
    <w:name w:val="正文文本11"/>
    <w:basedOn w:val="828"/>
    <w:next w:val="828"/>
    <w:uiPriority w:val="0"/>
    <w:qFormat/>
    <w:pPr>
      <w:spacing w:after="120"/>
    </w:pPr>
  </w:style>
  <w:style w:type="paragraph" w:styleId="1008" w:customStyle="1">
    <w:name w:val="正文_16"/>
    <w:uiPriority w:val="0"/>
    <w:qFormat/>
    <w:pPr>
      <w:jc w:val="both"/>
      <w:widowControl w:val="off"/>
    </w:pPr>
    <w:rPr>
      <w:rFonts w:hint="default" w:ascii="Times New Roman" w:hAnsi="Times New Roman" w:eastAsia="宋体" w:cs="Times New Roman"/>
      <w:sz w:val="21"/>
      <w:szCs w:val="22"/>
      <w:lang w:val="en-US" w:eastAsia="zh-CN" w:bidi="ar-SA"/>
    </w:rPr>
  </w:style>
  <w:style w:type="character" w:styleId="1009" w:customStyle="1">
    <w:name w:val="标题 1 Char"/>
    <w:link w:val="779"/>
    <w:uiPriority w:val="0"/>
    <w:qFormat/>
    <w:rPr>
      <w:rFonts w:ascii="Arial" w:hAnsi="Arial" w:cs="Arial"/>
      <w:b/>
      <w:sz w:val="32"/>
      <w:szCs w:val="40"/>
    </w:rPr>
  </w:style>
  <w:style w:type="paragraph" w:styleId="1010" w:customStyle="1">
    <w:name w:val="Table Paragraph"/>
    <w:basedOn w:val="778"/>
    <w:uiPriority w:val="1"/>
    <w:qFormat/>
    <w:rPr>
      <w:rFonts w:ascii="宋体" w:hAnsi="宋体" w:cs="宋体"/>
      <w:lang w:val="zh-CN" w:bidi="zh-CN"/>
    </w:rPr>
  </w:style>
  <w:style w:type="paragraph" w:styleId="1011" w:customStyle="1">
    <w:name w:val="纯文本1"/>
    <w:basedOn w:val="778"/>
    <w:uiPriority w:val="0"/>
    <w:qFormat/>
    <w:rPr>
      <w:rFonts w:ascii="宋体" w:hAnsi="Courier New" w:cs="Courier New"/>
      <w:szCs w:val="21"/>
    </w:rPr>
  </w:style>
  <w:style w:type="paragraph" w:styleId="1012" w:customStyle="1">
    <w:name w:val="正文空2格  1."/>
    <w:basedOn w:val="778"/>
    <w:uiPriority w:val="0"/>
    <w:qFormat/>
    <w:pPr>
      <w:ind w:firstLine="480"/>
      <w:spacing w:line="360" w:lineRule="auto"/>
    </w:pPr>
    <w:rPr>
      <w:rFonts w:hint="eastAsia" w:ascii="宋体" w:hAnsi="Times New Roman" w:eastAsia="仿宋"/>
      <w:sz w:val="28"/>
      <w:szCs w:val="20"/>
    </w:rPr>
  </w:style>
  <w:style w:type="character" w:styleId="1013" w:customStyle="1">
    <w:name w:val="NormalCharacter1"/>
    <w:link w:val="778"/>
    <w:uiPriority w:val="0"/>
    <w:qFormat/>
    <w:rPr>
      <w:rFonts w:hint="default" w:ascii="Times New Roman" w:hAnsi="Times New Roman" w:eastAsia="仿宋" w:cs="Times New Roman"/>
      <w:sz w:val="28"/>
      <w:szCs w:val="24"/>
      <w:lang w:val="en-US" w:eastAsia="zh-CN" w:bidi="ar-SA"/>
    </w:rPr>
  </w:style>
  <w:style w:type="paragraph" w:styleId="1014" w:customStyle="1">
    <w:name w:val="Normal_2"/>
    <w:uiPriority w:val="0"/>
    <w:qFormat/>
    <w:rPr>
      <w:rFonts w:hint="default" w:ascii="Times New Roman" w:hAnsi="Times New Roman" w:eastAsia="Times New Roman" w:cs="Times New Roman"/>
      <w:sz w:val="24"/>
      <w:szCs w:val="24"/>
      <w:lang w:bidi="ar-SA"/>
    </w:rPr>
  </w:style>
  <w:style w:type="numbering" w:styleId="1015"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image" Target="media/image3.png"/><Relationship Id="rId16" Type="http://schemas.openxmlformats.org/officeDocument/2006/relationships/image" Target="media/image4.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 Id="rId1" Type="http://schemas.openxmlformats.org/officeDocument/2006/relationships/image" Target="media/image2.png"/></Relationships>
</file>

<file path=word/_rels/footer3.xml.rels><?xml version="1.0" encoding="UTF-8" standalone="yes"?><Relationships xmlns="http://schemas.openxmlformats.org/package/2006/relationships"><Relationship Id="rId1" Type="http://schemas.openxmlformats.org/officeDocument/2006/relationships/image" Target="media/image2.png"/></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Arial"/>
        <a:cs typeface="Arial"/>
      </a:majorFont>
      <a:minorFont>
        <a:latin typeface="Calibri"/>
        <a:ea typeface="Arial"/>
        <a:cs typeface="Arial"/>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chemeClr val="phClr">
            <a:tint val="95000"/>
            <a:satMod val="170000"/>
          </a:schemeClr>
        </a:solidFill>
        <a:gradFill>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明</dc:creator>
  <cp:lastModifiedBy>朱云</cp:lastModifiedBy>
  <cp:revision>8</cp:revision>
  <dcterms:created xsi:type="dcterms:W3CDTF">2025-01-14T00:01:00Z</dcterms:created>
  <dcterms:modified xsi:type="dcterms:W3CDTF">2026-09-20T08:21:25Z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8198E6712E6D42FEB33EAC343566F479_13</vt:lpwstr>
  </property>
  <property fmtid="{D5CDD505-2E9C-101B-9397-08002B2CF9AE}" pid="4" name="KSOTemplateDocerSaveRecord">
    <vt:lpwstr>eyJoZGlkIjoiYmQ0MjA2YzA5ZTU0NjMxNDFjOWU4OTI4ODkxODk0YTUiLCJ1c2VySWQiOiIyMjYxODI1MTYifQ==</vt:lpwstr>
  </property>
</Properties>
</file>