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jc w:val="center"/>
        <w:rPr>
          <w:rFonts w:hint="eastAsia" w:ascii="宋体" w:hAnsi="宋体" w:eastAsia="宋体"/>
          <w:b/>
          <w:color w:val="000000"/>
          <w:sz w:val="72"/>
          <w:szCs w:val="72"/>
          <w:highlight w:val="none"/>
          <w:lang w:val="en-US" w:eastAsia="zh-CN"/>
        </w:rPr>
      </w:pPr>
      <w:r>
        <w:rPr>
          <w:rFonts w:hint="eastAsia" w:ascii="宋体" w:hAnsi="宋体" w:eastAsia="宋体"/>
          <w:b/>
          <w:color w:val="000000"/>
          <w:sz w:val="72"/>
          <w:szCs w:val="72"/>
          <w:highlight w:val="none"/>
          <w:lang w:val="en-US" w:eastAsia="zh-CN"/>
        </w:rPr>
      </w:r>
      <w:r/>
    </w:p>
    <w:p>
      <w:pPr>
        <w:pStyle w:val="1045"/>
        <w:jc w:val="center"/>
        <w:rPr>
          <w:rFonts w:ascii="宋体" w:hAnsi="宋体" w:eastAsia="宋体"/>
          <w:b/>
          <w:color w:val="000000"/>
          <w:sz w:val="84"/>
          <w:szCs w:val="84"/>
          <w:highlight w:val="none"/>
          <w:lang w:val="en-US" w:eastAsia="zh-CN"/>
        </w:rPr>
      </w:pPr>
      <w:r>
        <w:rPr>
          <w:rFonts w:hint="eastAsia" w:ascii="宋体" w:hAnsi="宋体"/>
          <w:b/>
          <w:color w:val="000000"/>
          <w:sz w:val="84"/>
          <w:szCs w:val="84"/>
          <w:highlight w:val="none"/>
          <w:lang w:val="en-US" w:eastAsia="zh-CN"/>
        </w:rPr>
        <w:t xml:space="preserve">苏州市</w:t>
      </w:r>
      <w:r>
        <w:rPr>
          <w:rFonts w:hint="eastAsia" w:ascii="宋体" w:hAnsi="宋体"/>
          <w:b/>
          <w:color w:val="000000"/>
          <w:sz w:val="84"/>
          <w:szCs w:val="84"/>
          <w:highlight w:val="none"/>
          <w:lang w:val="en-US" w:eastAsia="zh-CN"/>
        </w:rPr>
        <w:t xml:space="preserve">吴江区</w:t>
      </w:r>
      <w:r>
        <w:rPr>
          <w:rFonts w:ascii="宋体" w:hAnsi="宋体" w:eastAsia="宋体"/>
          <w:b/>
          <w:color w:val="000000"/>
          <w:sz w:val="84"/>
          <w:szCs w:val="84"/>
          <w:highlight w:val="none"/>
          <w:lang w:val="en-US" w:eastAsia="zh-CN"/>
        </w:rPr>
      </w:r>
      <w:r/>
    </w:p>
    <w:p>
      <w:pPr>
        <w:pStyle w:val="1045"/>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1045"/>
        <w:rPr>
          <w:rFonts w:hint="eastAsia" w:ascii="宋体" w:hAnsi="宋体"/>
          <w:color w:val="000000"/>
          <w:highlight w:val="none"/>
        </w:rPr>
      </w:pPr>
      <w:r>
        <w:rPr>
          <w:rFonts w:hint="eastAsia" w:ascii="宋体" w:hAnsi="宋体"/>
          <w:color w:val="000000"/>
          <w:highlight w:val="none"/>
        </w:rPr>
      </w:r>
      <w:r/>
    </w:p>
    <w:p>
      <w:pPr>
        <w:pStyle w:val="1045"/>
        <w:rPr>
          <w:rFonts w:hint="eastAsia" w:ascii="宋体" w:hAnsi="宋体"/>
          <w:color w:val="000000"/>
          <w:highlight w:val="none"/>
        </w:rPr>
      </w:pPr>
      <w:r>
        <w:rPr>
          <w:rFonts w:hint="eastAsia" w:ascii="宋体" w:hAnsi="宋体"/>
          <w:color w:val="000000"/>
          <w:highlight w:val="none"/>
        </w:rPr>
      </w:r>
      <w:r/>
    </w:p>
    <w:p>
      <w:pPr>
        <w:pStyle w:val="1045"/>
        <w:rPr>
          <w:rFonts w:hint="eastAsia" w:ascii="宋体" w:hAnsi="宋体"/>
          <w:color w:val="000000"/>
          <w:highlight w:val="none"/>
        </w:rPr>
      </w:pPr>
      <w:r>
        <w:rPr>
          <w:rFonts w:hint="eastAsia" w:ascii="宋体" w:hAnsi="宋体"/>
          <w:color w:val="000000"/>
          <w:highlight w:val="none"/>
        </w:rPr>
      </w:r>
      <w:r/>
    </w:p>
    <w:p>
      <w:pPr>
        <w:pStyle w:val="1095"/>
        <w:rPr>
          <w:rFonts w:hint="eastAsia"/>
          <w:color w:val="000000"/>
          <w:highlight w:val="none"/>
        </w:rPr>
      </w:pPr>
      <w:r>
        <w:rPr>
          <w:rFonts w:hint="eastAsia"/>
          <w:color w:val="000000"/>
          <w:highlight w:val="none"/>
        </w:rPr>
      </w:r>
      <w:r/>
    </w:p>
    <w:p>
      <w:pPr>
        <w:pStyle w:val="1045"/>
        <w:rPr>
          <w:rFonts w:hint="eastAsia" w:ascii="宋体" w:hAnsi="宋体"/>
          <w:bCs/>
          <w:color w:val="000000"/>
          <w:highlight w:val="none"/>
        </w:rPr>
      </w:pPr>
      <w:r>
        <w:rPr>
          <w:rFonts w:hint="eastAsia" w:ascii="宋体" w:hAnsi="宋体"/>
          <w:bCs/>
          <w:color w:val="000000"/>
          <w:highlight w:val="none"/>
        </w:rPr>
      </w:r>
      <w:r/>
    </w:p>
    <w:p>
      <w:pPr>
        <w:pStyle w:val="1045"/>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JSZC-320509-ZZHL-C2026-0033</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1045"/>
        <w:ind w:left="2401"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七都镇综合为老服务中心、七都镇日间照料中心及七都镇美美驿站运营服务项目</w:t>
      </w:r>
      <w:r>
        <w:rPr>
          <w:rFonts w:hint="eastAsia" w:ascii="宋体" w:hAnsi="宋体" w:eastAsia="宋体"/>
          <w:bCs/>
          <w:color w:val="000000"/>
          <w:sz w:val="30"/>
          <w:highlight w:val="none"/>
          <w:lang w:eastAsia="zh-CN"/>
        </w:rPr>
      </w:r>
      <w:r/>
    </w:p>
    <w:p>
      <w:pPr>
        <w:pStyle w:val="1045"/>
        <w:ind w:left="0" w:right="0" w:firstLine="904"/>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苏州市吴江区七都镇人民政府</w:t>
      </w:r>
      <w:r>
        <w:rPr>
          <w:rFonts w:hint="eastAsia" w:ascii="宋体" w:hAnsi="宋体" w:eastAsia="宋体"/>
          <w:bCs/>
          <w:color w:val="000000"/>
          <w:sz w:val="30"/>
          <w:highlight w:val="none"/>
          <w:lang w:eastAsia="zh-CN"/>
        </w:rPr>
      </w:r>
      <w:r/>
    </w:p>
    <w:p>
      <w:pPr>
        <w:pStyle w:val="1045"/>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1045"/>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1060"/>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1060"/>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1045"/>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1045"/>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八</w:t>
      </w:r>
      <w:r>
        <w:rPr>
          <w:rFonts w:hint="eastAsia" w:ascii="宋体" w:hAnsi="宋体"/>
          <w:b/>
          <w:color w:val="000000"/>
          <w:sz w:val="30"/>
          <w:highlight w:val="none"/>
        </w:rPr>
        <w:t xml:space="preserve">月</w:t>
      </w:r>
      <w:r>
        <w:rPr>
          <w:rFonts w:hint="eastAsia" w:ascii="宋体" w:hAnsi="宋体"/>
          <w:b/>
          <w:color w:val="000000"/>
          <w:highlight w:val="none"/>
        </w:rPr>
      </w:r>
      <w:r/>
    </w:p>
    <w:p>
      <w:pPr>
        <w:pStyle w:val="1045"/>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1045"/>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104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45"/>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1045"/>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104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104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104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104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1045"/>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1045"/>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800"/>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七都镇综合为老服务中心、七都镇日间照料中心及七都镇美美驿站运营服务项目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2026年9月7日</w:t>
      </w:r>
      <w:r>
        <w:rPr>
          <w:rFonts w:hint="eastAsia" w:ascii="宋体" w:hAnsi="宋体" w:cs="宋体"/>
          <w:color w:val="000000"/>
          <w:sz w:val="24"/>
          <w:highlight w:val="none"/>
          <w:u w:val="single"/>
          <w:lang w:val="en-US" w:eastAsia="zh-CN"/>
        </w:rPr>
        <w:t xml:space="preserve">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7"/>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1"/>
      <w:r/>
      <w:bookmarkStart w:id="5" w:name="OLE_LINK4"/>
      <w:r/>
      <w:bookmarkStart w:id="6" w:name="OLE_LINK6"/>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109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JSZC-320509-ZZHL-C2026-0033。</w:t>
      </w:r>
      <w:r>
        <w:rPr>
          <w:rFonts w:hint="eastAsia" w:ascii="宋体" w:hAnsi="宋体" w:eastAsia="宋体" w:cs="宋体"/>
          <w:color w:val="000000"/>
          <w:sz w:val="24"/>
          <w:highlight w:val="none"/>
          <w:lang w:eastAsia="zh-CN"/>
        </w:rPr>
      </w:r>
      <w:r/>
    </w:p>
    <w:p>
      <w:pPr>
        <w:pStyle w:val="109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七都镇综合为老服务中心、七都镇日间照料中心及七都镇美美驿站运营服务项目。</w:t>
      </w:r>
      <w:r>
        <w:rPr>
          <w:rFonts w:hint="eastAsia" w:ascii="宋体" w:hAnsi="宋体" w:eastAsia="宋体" w:cs="宋体"/>
          <w:color w:val="000000"/>
          <w:sz w:val="24"/>
          <w:highlight w:val="none"/>
          <w:lang w:eastAsia="zh-CN"/>
        </w:rPr>
      </w:r>
      <w:r/>
    </w:p>
    <w:p>
      <w:pPr>
        <w:pStyle w:val="1097"/>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额：人民币壹佰壹拾柒万圆整（￥：1170000.00）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9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4.最高限价：人民币壹佰壹拾柒万圆整（￥：1170000.00）。</w:t>
      </w:r>
      <w:r>
        <w:rPr>
          <w:rFonts w:hint="eastAsia" w:ascii="宋体" w:hAnsi="宋体" w:eastAsia="宋体" w:cs="宋体"/>
          <w:color w:val="000000"/>
          <w:sz w:val="24"/>
          <w:highlight w:val="none"/>
          <w:lang w:eastAsia="zh-CN"/>
        </w:rPr>
      </w:r>
      <w:r/>
    </w:p>
    <w:p>
      <w:pPr>
        <w:pStyle w:val="109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5.采购需求：提供综合性社区养老服务，包括但不限于老年人日间照料服务，助残服务，公益便民服务，医疗健康服务等；具体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1097"/>
        <w:ind w:firstLine="480"/>
        <w:spacing w:line="360" w:lineRule="auto"/>
        <w:tabs>
          <w:tab w:val="left" w:pos="540" w:leader="none"/>
        </w:tabs>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b w:val="0"/>
          <w:bCs/>
          <w:color w:val="000000"/>
          <w:sz w:val="24"/>
          <w:highlight w:val="none"/>
          <w:lang w:eastAsia="zh-CN"/>
        </w:rPr>
        <w:t xml:space="preserve">1年，具体以采购人要求的进场服务时间起计算。</w:t>
      </w:r>
      <w:r>
        <w:rPr>
          <w:rFonts w:hint="eastAsia" w:ascii="宋体" w:hAnsi="宋体" w:eastAsia="宋体" w:cs="宋体"/>
          <w:b w:val="0"/>
          <w:bCs/>
          <w:color w:val="000000"/>
          <w:sz w:val="24"/>
          <w:highlight w:val="none"/>
          <w:lang w:eastAsia="zh-CN"/>
        </w:rPr>
      </w:r>
      <w:r/>
    </w:p>
    <w:p>
      <w:pPr>
        <w:pStyle w:val="1097"/>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ascii="宋体" w:hAnsi="宋体" w:eastAsia="宋体" w:cs="宋体"/>
          <w:color w:val="000000"/>
          <w:sz w:val="24"/>
          <w:highlight w:val="none"/>
          <w:lang w:val="en-US" w:eastAsia="zh-CN"/>
        </w:rPr>
      </w:r>
      <w:r/>
    </w:p>
    <w:p>
      <w:pPr>
        <w:pStyle w:val="109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1097"/>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1097"/>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109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109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具有独立承担民事责任的能力； </w:t>
      </w:r>
      <w:r>
        <w:rPr>
          <w:rFonts w:hint="eastAsia" w:ascii="宋体" w:hAnsi="宋体" w:cs="宋体"/>
          <w:color w:val="000000"/>
          <w:sz w:val="24"/>
          <w:highlight w:val="none"/>
        </w:rPr>
      </w:r>
      <w:r/>
    </w:p>
    <w:p>
      <w:pPr>
        <w:pStyle w:val="109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p>
      <w:pPr>
        <w:pStyle w:val="109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p>
      <w:pPr>
        <w:pStyle w:val="109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p>
      <w:pPr>
        <w:pStyle w:val="109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1097"/>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9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097"/>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w:t>
      </w:r>
      <w:r>
        <w:rPr>
          <w:rFonts w:hint="eastAsia" w:ascii="宋体" w:hAnsi="宋体" w:eastAsia="宋体" w:cs="宋体"/>
          <w:b/>
          <w:bCs/>
          <w:color w:val="000000"/>
          <w:sz w:val="24"/>
          <w:szCs w:val="24"/>
          <w:highlight w:val="none"/>
          <w:lang w:val="en-US" w:eastAsia="zh-CN"/>
        </w:rPr>
        <w:t xml:space="preserve">其他文件未列明行业</w:t>
      </w:r>
      <w:r>
        <w:rPr>
          <w:rFonts w:hint="eastAsia" w:ascii="宋体" w:hAnsi="宋体" w:eastAsia="宋体" w:cs="宋体"/>
          <w:b/>
          <w:bCs/>
          <w:color w:val="000000"/>
          <w:sz w:val="24"/>
          <w:szCs w:val="24"/>
          <w:highlight w:val="none"/>
          <w:lang w:eastAsia="zh-CN"/>
        </w:rPr>
        <w:t xml:space="preserve">；承接服务的供应商应为中小微企业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1097"/>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3.本项目的特定资格要求：</w:t>
      </w:r>
      <w:r>
        <w:rPr>
          <w:rFonts w:hint="eastAsia" w:ascii="宋体" w:hAnsi="宋体" w:eastAsia="宋体" w:cs="宋体"/>
          <w:color w:val="000000"/>
          <w:sz w:val="24"/>
          <w:highlight w:val="none"/>
          <w:lang w:val="en-US" w:eastAsia="zh-CN"/>
        </w:rPr>
      </w:r>
      <w:r/>
    </w:p>
    <w:p>
      <w:pPr>
        <w:pStyle w:val="1097"/>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lang w:val="en-US" w:eastAsia="zh-CN"/>
        </w:rPr>
      </w:r>
      <w:r/>
    </w:p>
    <w:p>
      <w:pPr>
        <w:pStyle w:val="1097"/>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val="en-US" w:eastAsia="zh-CN"/>
        </w:rPr>
      </w:r>
      <w:r/>
    </w:p>
    <w:p>
      <w:pPr>
        <w:pStyle w:val="1045"/>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u w:val="single"/>
        </w:rPr>
      </w:pPr>
      <w:r/>
      <w:bookmarkStart w:id="7" w:name="_Toc35393636"/>
      <w:r/>
      <w:bookmarkStart w:id="8" w:name="_Toc35393805"/>
      <w:r/>
      <w:bookmarkStart w:id="9" w:name="_Toc28359095"/>
      <w:r/>
      <w:bookmarkStart w:id="10" w:name="_Toc28359018"/>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日23:59</w:t>
      </w:r>
      <w:r>
        <w:rPr>
          <w:rFonts w:hint="eastAsia" w:ascii="宋体" w:hAnsi="宋体" w:cs="宋体"/>
          <w:color w:val="000000"/>
          <w:sz w:val="24"/>
          <w:highlight w:val="none"/>
        </w:rPr>
        <w:t xml:space="preserve">（北京时间）。</w:t>
      </w:r>
      <w:r>
        <w:rPr>
          <w:rFonts w:hint="eastAsia" w:ascii="宋体" w:hAnsi="宋体" w:cs="宋体"/>
          <w:color w:val="000000"/>
          <w:sz w:val="24"/>
          <w:highlight w:val="none"/>
          <w:u w:val="single"/>
        </w:rPr>
      </w:r>
      <w:r/>
    </w:p>
    <w:p>
      <w:pPr>
        <w:pStyle w:val="1045"/>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val="zh-CN"/>
        </w:rPr>
        <w:t xml:space="preserve">CA证书办理 </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val="zh-CN"/>
        </w:rPr>
        <w:t xml:space="preserve">参与采购活动 </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val="zh-CN"/>
        </w:rPr>
        <w:t xml:space="preserve">电子投标（响应）准备 </w:t>
      </w:r>
      <w:r>
        <w:rPr>
          <w:rFonts w:hint="eastAsia" w:ascii="宋体" w:hAnsi="宋体" w:cs="宋体"/>
          <w:color w:val="000000"/>
          <w:sz w:val="24"/>
          <w:highlight w:val="none"/>
        </w:rPr>
      </w:r>
      <w:r/>
    </w:p>
    <w:p>
      <w:pPr>
        <w:pStyle w:val="1045"/>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1045"/>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1045"/>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1045"/>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104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109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2026年9月7日</w:t>
      </w:r>
      <w:r>
        <w:rPr>
          <w:rFonts w:hint="eastAsia" w:ascii="宋体" w:hAnsi="宋体" w:eastAsia="宋体" w:cs="宋体"/>
          <w:color w:val="000000"/>
          <w:szCs w:val="24"/>
          <w:highlight w:val="none"/>
          <w:lang w:val="en-US" w:eastAsia="zh-CN"/>
        </w:rPr>
        <w:t xml:space="preserve">13：30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109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109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104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104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2026年9月7日</w:t>
      </w:r>
      <w:r>
        <w:rPr>
          <w:rFonts w:hint="eastAsia" w:ascii="宋体" w:hAnsi="宋体" w:cs="宋体"/>
          <w:color w:val="000000"/>
          <w:sz w:val="24"/>
          <w:highlight w:val="none"/>
          <w:lang w:val="en-US" w:eastAsia="zh-CN"/>
        </w:rPr>
        <w:t xml:space="preserve">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98"/>
        <w:ind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109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104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1045"/>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1045"/>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1071"/>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1045"/>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1071"/>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104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28359019"/>
      <w:r/>
      <w:bookmarkStart w:id="15" w:name="_Toc28359096"/>
      <w:r/>
      <w:bookmarkStart w:id="16" w:name="_Toc35393806"/>
      <w:r>
        <w:rPr>
          <w:rFonts w:hint="eastAsia" w:ascii="宋体" w:hAnsi="宋体" w:cs="宋体"/>
          <w:b/>
          <w:color w:val="000000"/>
          <w:sz w:val="24"/>
          <w:highlight w:val="none"/>
        </w:rPr>
      </w:r>
      <w:r/>
    </w:p>
    <w:p>
      <w:pPr>
        <w:pStyle w:val="1045"/>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1045"/>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称：苏州市吴江区七都镇人民政府　　　　　　　　　　　　</w:t>
      </w:r>
      <w:r>
        <w:rPr>
          <w:rFonts w:hint="eastAsia" w:ascii="宋体" w:hAnsi="宋体" w:eastAsia="宋体" w:cs="宋体"/>
          <w:color w:val="000000"/>
          <w:sz w:val="24"/>
          <w:highlight w:val="none"/>
          <w:shd w:val="clear" w:color="auto" w:fill="ffffff"/>
          <w:lang w:val="zh-CN"/>
        </w:rPr>
      </w:r>
      <w:r/>
    </w:p>
    <w:p>
      <w:pPr>
        <w:pStyle w:val="1045"/>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址：苏州市吴江区七都大道1688号</w:t>
      </w:r>
      <w:r>
        <w:rPr>
          <w:rFonts w:hint="eastAsia" w:ascii="宋体" w:hAnsi="宋体" w:eastAsia="宋体" w:cs="宋体"/>
          <w:color w:val="000000"/>
          <w:sz w:val="24"/>
          <w:highlight w:val="none"/>
          <w:shd w:val="clear" w:color="auto" w:fill="ffffff"/>
          <w:lang w:val="zh-CN"/>
        </w:rPr>
      </w:r>
      <w:r/>
    </w:p>
    <w:p>
      <w:pPr>
        <w:pStyle w:val="1045"/>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吴志聪</w:t>
      </w:r>
      <w:r>
        <w:rPr>
          <w:rFonts w:hint="eastAsia" w:ascii="宋体" w:hAnsi="宋体" w:eastAsia="宋体" w:cs="宋体"/>
          <w:color w:val="000000"/>
          <w:sz w:val="24"/>
          <w:highlight w:val="none"/>
          <w:shd w:val="clear" w:color="auto" w:fill="ffffff"/>
          <w:lang w:val="zh-CN" w:eastAsia="zh-CN"/>
        </w:rPr>
      </w:r>
      <w:r/>
    </w:p>
    <w:p>
      <w:pPr>
        <w:pStyle w:val="1045"/>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0512-63811639</w:t>
      </w:r>
      <w:r>
        <w:rPr>
          <w:rFonts w:ascii="宋体" w:hAnsi="宋体" w:eastAsia="宋体" w:cs="宋体"/>
          <w:color w:val="000000"/>
          <w:sz w:val="24"/>
          <w:highlight w:val="none"/>
          <w:shd w:val="clear" w:color="auto" w:fill="ffffff"/>
          <w:lang w:val="en-US" w:eastAsia="zh-CN"/>
        </w:rPr>
      </w:r>
      <w:r/>
    </w:p>
    <w:p>
      <w:pPr>
        <w:pStyle w:val="1045"/>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1045"/>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1045"/>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1045"/>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钱予淳、王雪娇、丁飞</w:t>
      </w:r>
      <w:r>
        <w:rPr>
          <w:rFonts w:ascii="宋体" w:hAnsi="宋体" w:eastAsia="宋体" w:cs="宋体"/>
          <w:color w:val="000000"/>
          <w:sz w:val="24"/>
          <w:highlight w:val="none"/>
          <w:shd w:val="clear" w:color="auto" w:fill="ffffff"/>
          <w:lang w:val="en-US" w:eastAsia="zh-CN"/>
        </w:rPr>
      </w:r>
      <w:r/>
    </w:p>
    <w:p>
      <w:pPr>
        <w:pStyle w:val="1045"/>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1045"/>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104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51"/>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5"/>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51"/>
        <w:rPr>
          <w:rFonts w:hint="eastAsia" w:ascii="宋体" w:hAnsi="宋体"/>
          <w:b/>
          <w:color w:val="000000"/>
          <w:sz w:val="30"/>
          <w:szCs w:val="30"/>
          <w:highlight w:val="none"/>
        </w:rPr>
      </w:pPr>
      <w:r>
        <w:rPr>
          <w:rFonts w:hint="eastAsia" w:ascii="宋体" w:hAnsi="宋体"/>
          <w:b/>
          <w:color w:val="000000"/>
          <w:sz w:val="30"/>
          <w:szCs w:val="30"/>
          <w:highlight w:val="none"/>
        </w:rPr>
      </w:r>
      <w:r/>
    </w:p>
    <w:p>
      <w:pP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1045"/>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1051"/>
        <w:rPr>
          <w:rFonts w:hint="eastAsia"/>
          <w:color w:val="000000"/>
          <w:highlight w:val="none"/>
        </w:rPr>
      </w:pPr>
      <w:r>
        <w:rPr>
          <w:rFonts w:hint="eastAsia"/>
          <w:color w:val="000000"/>
          <w:highlight w:val="none"/>
        </w:rPr>
      </w:r>
      <w:r/>
    </w:p>
    <w:p>
      <w:pPr>
        <w:pStyle w:val="1045"/>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1045"/>
        <w:ind w:firstLine="482"/>
        <w:keepLines/>
        <w:keepNext/>
        <w:spacing w:line="360" w:lineRule="auto"/>
        <w:rPr>
          <w:rFonts w:hint="eastAsia" w:ascii="宋体" w:hAnsi="宋体" w:cs="宋体"/>
          <w:b/>
          <w:bCs/>
          <w:color w:val="000000"/>
          <w:sz w:val="24"/>
          <w:highlight w:val="none"/>
        </w:rPr>
        <w:outlineLvl w:val="2"/>
      </w:pPr>
      <w:r/>
      <w:bookmarkStart w:id="17" w:name="_Toc120614214"/>
      <w:r/>
      <w:bookmarkStart w:id="18" w:name="_Toc16938519"/>
      <w:r/>
      <w:bookmarkStart w:id="19" w:name="_Toc20823275"/>
      <w:r/>
      <w:bookmarkStart w:id="20" w:name="_Toc513029203"/>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16938520"/>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25" w:name="_Toc20823277"/>
      <w:r/>
      <w:bookmarkStart w:id="26" w:name="_Toc513029205"/>
      <w:r/>
      <w:bookmarkStart w:id="27" w:name="_Toc16938521"/>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28" w:name="_Toc20823278"/>
      <w:r/>
      <w:bookmarkStart w:id="29" w:name="_Toc513029206"/>
      <w:r/>
      <w:bookmarkStart w:id="30" w:name="_Toc16938522"/>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104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1045"/>
        <w:ind w:firstLine="480"/>
        <w:keepLines/>
        <w:keepNext/>
        <w:spacing w:line="360" w:lineRule="auto"/>
        <w:rPr>
          <w:rFonts w:hint="eastAsia" w:ascii="宋体" w:hAnsi="宋体" w:cs="宋体"/>
          <w:color w:val="000000"/>
          <w:sz w:val="24"/>
          <w:highlight w:val="none"/>
        </w:rPr>
        <w:outlineLvl w:val="3"/>
      </w:pPr>
      <w:r/>
      <w:bookmarkStart w:id="31" w:name="_Toc462564067"/>
      <w:r/>
      <w:bookmarkStart w:id="32" w:name="_Toc513029207"/>
      <w:r/>
      <w:bookmarkStart w:id="33" w:name="_Toc20823279"/>
      <w:r/>
      <w:bookmarkStart w:id="34" w:name="_Toc16938523"/>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1045"/>
        <w:ind w:firstLine="480"/>
        <w:spacing w:line="360" w:lineRule="auto"/>
        <w:rPr>
          <w:rStyle w:val="1100"/>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由采购人在</w:t>
      </w:r>
      <w:r>
        <w:rPr>
          <w:rFonts w:hint="eastAsia" w:ascii="宋体" w:hAnsi="宋体" w:cs="宋体"/>
          <w:bCs/>
          <w:color w:val="000000"/>
          <w:sz w:val="24"/>
          <w:highlight w:val="none"/>
        </w:rPr>
        <w:t xml:space="preserve">在成交通知书发出之日起30个工作日内向代理机构支付，</w:t>
      </w:r>
      <w:r>
        <w:rPr>
          <w:rFonts w:hint="eastAsia" w:ascii="宋体" w:hAnsi="宋体"/>
          <w:color w:val="000000"/>
          <w:sz w:val="24"/>
          <w:highlight w:val="none"/>
        </w:rPr>
        <w:t xml:space="preserve">采购人已通过</w:t>
      </w:r>
      <w:r>
        <w:rPr>
          <w:rStyle w:val="1100"/>
          <w:rFonts w:hint="eastAsia" w:ascii="宋体" w:hAnsi="宋体" w:cs="宋体"/>
          <w:color w:val="000000"/>
          <w:sz w:val="24"/>
          <w:highlight w:val="none"/>
        </w:rPr>
        <w:t xml:space="preserve">吴江区中介超市确定代理服务费</w:t>
      </w:r>
      <w:r>
        <w:rPr>
          <w:rStyle w:val="1100"/>
          <w:rFonts w:hint="eastAsia" w:ascii="宋体" w:hAnsi="宋体" w:cs="宋体"/>
          <w:color w:val="000000"/>
          <w:sz w:val="24"/>
          <w:highlight w:val="none"/>
          <w:lang w:val="en-US" w:eastAsia="zh-CN"/>
        </w:rPr>
        <w:t xml:space="preserve">金额为14000.00元。</w:t>
      </w:r>
      <w:r>
        <w:rPr>
          <w:rStyle w:val="1100"/>
          <w:rFonts w:hint="eastAsia" w:ascii="宋体" w:hAnsi="宋体" w:cs="宋体"/>
          <w:color w:val="000000"/>
          <w:sz w:val="24"/>
          <w:highlight w:val="none"/>
          <w:lang w:val="en-US" w:eastAsia="zh-CN"/>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收款</w:t>
      </w:r>
      <w:r>
        <w:rPr>
          <w:rFonts w:hint="eastAsia" w:ascii="宋体" w:hAnsi="宋体" w:cs="宋体"/>
          <w:color w:val="000000"/>
          <w:sz w:val="24"/>
          <w:highlight w:val="none"/>
        </w:rPr>
        <w:t xml:space="preserve">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1045"/>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rFonts w:hint="eastAsia" w:ascii="宋体" w:hAnsi="宋体" w:cs="宋体"/>
          <w:color w:val="000000"/>
          <w:sz w:val="24"/>
          <w:highlight w:val="none"/>
          <w:lang w:val="en-US" w:eastAsia="zh-CN"/>
        </w:rPr>
        <w:t xml:space="preserve">。</w:t>
      </w:r>
      <w:r>
        <w:rPr>
          <w:color w:val="000000"/>
          <w:highlight w:val="none"/>
          <w:lang w:val="en-US" w:eastAsia="zh-CN"/>
        </w:rPr>
      </w:r>
      <w:r/>
    </w:p>
    <w:p>
      <w:pPr>
        <w:pStyle w:val="1045"/>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1045"/>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16938525"/>
      <w:r/>
      <w:bookmarkStart w:id="37" w:name="_Toc513029209"/>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104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104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42" w:name="_Toc462564070"/>
      <w:r/>
      <w:bookmarkStart w:id="43" w:name="_Toc16938527"/>
      <w:r/>
      <w:bookmarkStart w:id="44" w:name="_Toc513029211"/>
      <w:r/>
      <w:bookmarkStart w:id="45" w:name="_Toc20823283"/>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46" w:name="_Toc20823284"/>
      <w:r/>
      <w:bookmarkStart w:id="47" w:name="_Toc513029212"/>
      <w:r/>
      <w:bookmarkStart w:id="48" w:name="_Toc16938528"/>
      <w:r/>
      <w:bookmarkStart w:id="49" w:name="_Toc462564071"/>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6938529"/>
      <w:r/>
      <w:bookmarkStart w:id="51" w:name="_Toc513029213"/>
      <w:r/>
      <w:bookmarkStart w:id="52" w:name="_Toc20823285"/>
      <w:r/>
      <w:bookmarkStart w:id="53" w:name="_Toc120614216"/>
      <w:r/>
      <w:bookmarkStart w:id="54" w:name="_Toc462564072"/>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104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1045"/>
        <w:ind w:firstLine="480"/>
        <w:keepLines/>
        <w:keepNext/>
        <w:spacing w:line="360" w:lineRule="auto"/>
        <w:rPr>
          <w:rFonts w:hint="eastAsia" w:ascii="宋体" w:hAnsi="宋体" w:cs="宋体"/>
          <w:b/>
          <w:color w:val="000000"/>
          <w:sz w:val="24"/>
          <w:highlight w:val="none"/>
        </w:rPr>
        <w:outlineLvl w:val="3"/>
      </w:pPr>
      <w:r/>
      <w:bookmarkStart w:id="55" w:name="_Toc513029214"/>
      <w:r/>
      <w:bookmarkStart w:id="56" w:name="_Toc20823286"/>
      <w:r/>
      <w:bookmarkStart w:id="57" w:name="_Toc16938530"/>
      <w:r/>
      <w:bookmarkStart w:id="58" w:name="_Toc462564073"/>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104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1045"/>
        <w:ind w:firstLine="480"/>
        <w:keepLines/>
        <w:keepNext/>
        <w:spacing w:line="360" w:lineRule="auto"/>
        <w:rPr>
          <w:rFonts w:hint="eastAsia" w:ascii="宋体" w:hAnsi="宋体" w:cs="宋体"/>
          <w:color w:val="000000"/>
          <w:sz w:val="24"/>
          <w:highlight w:val="none"/>
        </w:rPr>
        <w:outlineLvl w:val="3"/>
      </w:pPr>
      <w:r/>
      <w:bookmarkStart w:id="59" w:name="_Toc16938531"/>
      <w:r/>
      <w:bookmarkStart w:id="60" w:name="_Toc513029215"/>
      <w:r/>
      <w:bookmarkStart w:id="61" w:name="_Toc20823287"/>
      <w:r/>
      <w:bookmarkStart w:id="62" w:name="_Toc462564074"/>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1056"/>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cs="宋体"/>
          <w:color w:val="000000"/>
          <w:sz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hint="eastAsia" w:ascii="宋体" w:hAnsi="宋体" w:cs="宋体"/>
          <w:color w:val="000000"/>
          <w:sz w:val="24"/>
          <w:highlight w:val="none"/>
          <w:lang w:val="en-US" w:eastAsia="zh-CN"/>
        </w:rPr>
      </w:r>
      <w:r/>
    </w:p>
    <w:p>
      <w:pPr>
        <w:pStyle w:val="1045"/>
        <w:ind w:firstLine="480"/>
        <w:spacing w:line="360" w:lineRule="auto"/>
        <w:rPr>
          <w:rFonts w:hint="eastAsia" w:ascii="宋体" w:hAnsi="宋体" w:cs="宋体"/>
          <w:b w:val="0"/>
          <w:bCs w:val="0"/>
          <w:color w:val="000000"/>
          <w:sz w:val="24"/>
          <w:highlight w:val="none"/>
          <w:lang w:val="en-US" w:eastAsia="zh-CN"/>
        </w:rPr>
      </w:pPr>
      <w:r>
        <w:rPr>
          <w:rFonts w:hint="eastAsia" w:ascii="宋体" w:hAnsi="宋体" w:cs="宋体"/>
          <w:color w:val="000000"/>
          <w:sz w:val="24"/>
          <w:highlight w:val="none"/>
          <w:lang w:val="en-US" w:eastAsia="zh-CN"/>
        </w:rPr>
        <w:t xml:space="preserve">10.4.1.7</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b w:val="0"/>
          <w:bCs w:val="0"/>
          <w:color w:val="000000"/>
          <w:sz w:val="24"/>
          <w:highlight w:val="none"/>
          <w:lang w:val="en-US" w:eastAsia="zh-CN"/>
        </w:rPr>
        <w:t xml:space="preserve">提供响应截止前1个月内“信用中国网站”信用查询报告、“中国政府采购网”</w:t>
      </w:r>
      <w:r>
        <w:rPr>
          <w:rFonts w:hint="eastAsia" w:ascii="宋体" w:hAnsi="宋体" w:cs="宋体"/>
          <w:b w:val="0"/>
          <w:bCs w:val="0"/>
          <w:color w:val="000000"/>
          <w:sz w:val="24"/>
          <w:highlight w:val="none"/>
        </w:rPr>
        <w:t xml:space="preserve">政府采购严重失信行为记录名单</w:t>
      </w:r>
      <w:r>
        <w:rPr>
          <w:rFonts w:hint="eastAsia" w:ascii="宋体" w:hAnsi="宋体" w:cs="宋体"/>
          <w:b w:val="0"/>
          <w:bCs w:val="0"/>
          <w:color w:val="000000"/>
          <w:sz w:val="24"/>
          <w:highlight w:val="none"/>
          <w:lang w:val="en-US" w:eastAsia="zh-CN"/>
        </w:rPr>
        <w:t xml:space="preserve">查询截图。</w:t>
      </w:r>
      <w:r>
        <w:rPr>
          <w:rFonts w:hint="eastAsia" w:ascii="宋体" w:hAnsi="宋体" w:cs="宋体"/>
          <w:b w:val="0"/>
          <w:bCs w:val="0"/>
          <w:color w:val="000000"/>
          <w:sz w:val="24"/>
          <w:highlight w:val="none"/>
          <w:lang w:val="en-US" w:eastAsia="zh-CN"/>
        </w:rPr>
      </w:r>
      <w:r/>
    </w:p>
    <w:p>
      <w:pPr>
        <w:pStyle w:val="1045"/>
        <w:ind w:firstLine="480"/>
        <w:jc w:val="both"/>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10.4.1.8</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w:t>
      </w:r>
      <w:r>
        <w:rPr>
          <w:rFonts w:hint="eastAsia" w:ascii="宋体" w:hAnsi="宋体" w:cs="宋体"/>
          <w:b w:val="0"/>
          <w:bCs w:val="0"/>
          <w:color w:val="000000"/>
          <w:sz w:val="24"/>
          <w:highlight w:val="none"/>
          <w:lang w:bidi="ar"/>
        </w:rPr>
        <w:t xml:space="preserve">府采购活动</w:t>
      </w:r>
      <w:r>
        <w:rPr>
          <w:rFonts w:hint="eastAsia" w:ascii="宋体" w:hAnsi="宋体" w:cs="宋体"/>
          <w:b w:val="0"/>
          <w:bCs w:val="0"/>
          <w:color w:val="000000"/>
          <w:sz w:val="24"/>
          <w:highlight w:val="none"/>
          <w:lang w:eastAsia="zh-CN" w:bidi="ar"/>
        </w:rPr>
        <w:t xml:space="preserve">；</w:t>
      </w:r>
      <w:r>
        <w:rPr>
          <w:rFonts w:hint="eastAsia" w:ascii="宋体" w:hAnsi="宋体" w:cs="宋体"/>
          <w:b w:val="0"/>
          <w:bCs w:val="0"/>
          <w:color w:val="000000"/>
          <w:sz w:val="24"/>
          <w:highlight w:val="none"/>
          <w:lang w:val="en-US" w:eastAsia="zh-CN" w:bidi="ar"/>
        </w:rPr>
        <w:t xml:space="preserve">提供控股及管理关系明细（格式自拟）。</w:t>
      </w:r>
      <w:r>
        <w:rPr>
          <w:rFonts w:ascii="宋体" w:hAnsi="宋体" w:eastAsia="宋体" w:cs="宋体"/>
          <w:color w:val="000000"/>
          <w:sz w:val="24"/>
          <w:highlight w:val="none"/>
          <w:lang w:val="en-US" w:eastAsia="zh-CN"/>
        </w:rPr>
      </w:r>
      <w:r/>
    </w:p>
    <w:p>
      <w:pPr>
        <w:pStyle w:val="105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56"/>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1056"/>
        <w:ind w:firstLine="482"/>
        <w:spacing w:line="360" w:lineRule="auto"/>
        <w:rPr>
          <w:rFonts w:eastAsia="宋体"/>
          <w:b/>
          <w:bCs/>
          <w:color w:val="000000"/>
          <w:highlight w:val="none"/>
          <w:lang w:val="en-US" w:eastAsia="zh-CN"/>
        </w:rPr>
      </w:pPr>
      <w:r>
        <w:rPr>
          <w:rFonts w:hint="eastAsia" w:ascii="宋体" w:hAnsi="宋体" w:cs="宋体"/>
          <w:b/>
          <w:bCs/>
          <w:color w:val="000000"/>
          <w:sz w:val="24"/>
          <w:szCs w:val="24"/>
          <w:highlight w:val="none"/>
          <w:lang w:val="en-US" w:eastAsia="zh-CN"/>
        </w:rPr>
        <w:t xml:space="preserve">具体以“苏采云”系统模块要求为准。</w:t>
      </w:r>
      <w:r>
        <w:rPr>
          <w:rFonts w:eastAsia="宋体"/>
          <w:b/>
          <w:bCs/>
          <w:color w:val="000000"/>
          <w:highlight w:val="none"/>
          <w:lang w:val="en-US" w:eastAsia="zh-CN"/>
        </w:rPr>
      </w:r>
      <w:r/>
    </w:p>
    <w:p>
      <w:pPr>
        <w:pStyle w:val="1056"/>
        <w:ind w:firstLine="482"/>
        <w:spacing w:line="360" w:lineRule="auto"/>
        <w:rPr>
          <w:rFonts w:hint="eastAsia" w:ascii="宋体" w:hAnsi="宋体" w:cs="宋体"/>
          <w:color w:val="000000"/>
          <w:sz w:val="24"/>
          <w:szCs w:val="24"/>
          <w:highlight w:val="none"/>
        </w:rPr>
      </w:pPr>
      <w:r>
        <w:rPr>
          <w:rFonts w:hint="eastAsia" w:ascii="宋体" w:hAnsi="宋体" w:cs="宋体"/>
          <w:b/>
          <w:bCs w:val="0"/>
          <w:color w:val="000000"/>
          <w:sz w:val="24"/>
          <w:szCs w:val="24"/>
          <w:highlight w:val="none"/>
        </w:rPr>
        <w:t xml:space="preserve">10.6综合评</w:t>
      </w:r>
      <w:r>
        <w:rPr>
          <w:rFonts w:hint="eastAsia" w:ascii="宋体" w:hAnsi="宋体" w:cs="宋体"/>
          <w:b/>
          <w:color w:val="000000"/>
          <w:sz w:val="24"/>
          <w:szCs w:val="24"/>
          <w:highlight w:val="none"/>
        </w:rPr>
        <w:t xml:space="preserve">审响应文件</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10.6.5关于符合本国产品标准的声明函（如有）；</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采购需求及评分标准中所涉及到的其他材料。</w:t>
      </w:r>
      <w:r>
        <w:rPr>
          <w:rFonts w:hint="eastAsia" w:ascii="宋体" w:hAnsi="宋体" w:cs="宋体"/>
          <w:color w:val="000000"/>
          <w:sz w:val="24"/>
          <w:szCs w:val="24"/>
          <w:highlight w:val="none"/>
        </w:rPr>
      </w:r>
      <w:r/>
    </w:p>
    <w:p>
      <w:pPr>
        <w:pStyle w:val="1056"/>
        <w:ind w:firstLine="482"/>
        <w:spacing w:line="360" w:lineRule="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rPr>
        <w:t xml:space="preserve">注：（1）以上10.4.1-10.4.</w:t>
      </w: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为资</w:t>
      </w:r>
      <w:r>
        <w:rPr>
          <w:rFonts w:hint="eastAsia" w:ascii="宋体" w:hAnsi="宋体" w:cs="宋体"/>
          <w:b/>
          <w:bCs/>
          <w:color w:val="000000"/>
          <w:sz w:val="24"/>
          <w:szCs w:val="24"/>
          <w:highlight w:val="none"/>
        </w:rPr>
        <w:t xml:space="preserve">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1056"/>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1045"/>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104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1045"/>
        <w:ind w:firstLine="480"/>
        <w:keepLines/>
        <w:keepNext/>
        <w:spacing w:line="360" w:lineRule="auto"/>
        <w:rPr>
          <w:rFonts w:hint="eastAsia" w:ascii="宋体" w:hAnsi="宋体" w:cs="宋体"/>
          <w:color w:val="000000"/>
          <w:sz w:val="24"/>
          <w:highlight w:val="none"/>
        </w:rPr>
        <w:outlineLvl w:val="3"/>
      </w:pPr>
      <w:r/>
      <w:bookmarkStart w:id="63" w:name="_Hlt26954838"/>
      <w:r/>
      <w:bookmarkEnd w:id="63"/>
      <w:r/>
      <w:bookmarkStart w:id="64" w:name="_Hlt26670360"/>
      <w:r/>
      <w:bookmarkEnd w:id="64"/>
      <w:r/>
      <w:bookmarkStart w:id="65" w:name="_Hlt26668975"/>
      <w:r/>
      <w:bookmarkEnd w:id="65"/>
      <w:r/>
      <w:bookmarkStart w:id="66" w:name="_Toc513029219"/>
      <w:r/>
      <w:bookmarkStart w:id="67" w:name="_Toc14577357"/>
      <w:r/>
      <w:bookmarkStart w:id="68" w:name="_Toc49090509"/>
      <w:r/>
      <w:bookmarkStart w:id="69" w:name="_Toc513029216"/>
      <w:r/>
      <w:bookmarkStart w:id="70" w:name="_Toc14577354"/>
      <w:r/>
      <w:bookmarkStart w:id="71" w:name="_Toc49090507"/>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731"/>
      <w:r/>
      <w:bookmarkEnd w:id="75"/>
      <w:r/>
      <w:bookmarkStart w:id="76" w:name="_Hlt26954846"/>
      <w:r/>
      <w:bookmarkEnd w:id="76"/>
      <w:r/>
      <w:bookmarkStart w:id="77" w:name="_Hlt26954848"/>
      <w:r/>
      <w:bookmarkEnd w:id="77"/>
      <w:r/>
      <w:bookmarkStart w:id="78" w:name="_Hlt26670486"/>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104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104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5"/>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513029224"/>
      <w:r/>
      <w:bookmarkStart w:id="86" w:name="_Toc16938540"/>
      <w:r/>
      <w:bookmarkStart w:id="87" w:name="_Toc120614217"/>
      <w:r/>
      <w:bookmarkStart w:id="88" w:name="_Toc20823296"/>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89" w:name="_Toc20823297"/>
      <w:r/>
      <w:bookmarkStart w:id="90" w:name="_Toc513029225"/>
      <w:r/>
      <w:bookmarkStart w:id="91" w:name="_Toc462564084"/>
      <w:r/>
      <w:bookmarkStart w:id="92" w:name="_Toc16938541"/>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16938543"/>
      <w:r/>
      <w:bookmarkStart w:id="98" w:name="_Toc513029227"/>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99" w:name="_Toc16938544"/>
      <w:r/>
      <w:bookmarkStart w:id="100" w:name="_Toc513029228"/>
      <w:r/>
      <w:bookmarkStart w:id="101" w:name="_Toc20823300"/>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1045"/>
        <w:ind w:firstLine="48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1045"/>
        <w:ind w:firstLine="48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bookmarkStart w:id="102" w:name="_Toc20823301"/>
      <w:r/>
      <w:bookmarkStart w:id="103" w:name="_Toc513029229"/>
      <w:r/>
      <w:bookmarkStart w:id="104" w:name="_Toc16938545"/>
      <w:r/>
      <w:bookmarkStart w:id="105" w:name="_Toc120614218"/>
      <w:r>
        <w:rPr>
          <w:rFonts w:hint="eastAsia" w:ascii="宋体" w:hAnsi="宋体" w:cs="宋体"/>
          <w:bCs/>
          <w:color w:val="000000"/>
          <w:sz w:val="24"/>
          <w:highlight w:val="none"/>
        </w:rPr>
      </w:r>
      <w:r/>
    </w:p>
    <w:p>
      <w:pPr>
        <w:pStyle w:val="1045"/>
        <w:ind w:firstLine="482"/>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bookmarkStart w:id="106" w:name="_Toc513029230"/>
      <w:r/>
      <w:bookmarkStart w:id="107" w:name="_Toc20823302"/>
      <w:r/>
      <w:bookmarkStart w:id="108" w:name="_Toc16938546"/>
      <w:r>
        <w:rPr>
          <w:rFonts w:hint="eastAsia" w:ascii="宋体" w:hAnsi="宋体" w:cs="宋体"/>
          <w:b/>
          <w:bCs/>
          <w:color w:val="000000"/>
          <w:sz w:val="24"/>
          <w:highlight w:val="none"/>
        </w:rPr>
      </w:r>
      <w:r/>
    </w:p>
    <w:p>
      <w:pPr>
        <w:pStyle w:val="1045"/>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1045"/>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16938547"/>
      <w:r/>
      <w:bookmarkStart w:id="111" w:name="_Toc20823303"/>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1045"/>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112" w:name="_Toc16938548"/>
      <w:r/>
      <w:bookmarkStart w:id="113" w:name="_Toc513029232"/>
      <w:r/>
      <w:bookmarkStart w:id="114" w:name="_Toc20823304"/>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20823305"/>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26.1.1.1</w:t>
      </w: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1045"/>
        <w:ind w:firstLine="480"/>
        <w:spacing w:line="360" w:lineRule="auto"/>
        <w:rPr>
          <w:rFonts w:ascii="宋体" w:hAnsi="宋体" w:eastAsia="宋体" w:cs="宋体"/>
          <w:bCs/>
          <w:color w:val="000000"/>
          <w:sz w:val="24"/>
          <w:highlight w:val="none"/>
          <w:lang w:val="en-US" w:eastAsia="zh-CN"/>
        </w:rPr>
      </w:pPr>
      <w:r>
        <w:rPr>
          <w:rFonts w:hint="eastAsia" w:ascii="宋体" w:hAnsi="宋体" w:cs="宋体"/>
          <w:color w:val="000000"/>
          <w:sz w:val="24"/>
          <w:highlight w:val="none"/>
          <w:lang w:val="en-US" w:eastAsia="zh-CN"/>
        </w:rPr>
        <w:t xml:space="preserve">26.1.1.</w:t>
      </w:r>
      <w:r>
        <w:rPr>
          <w:rFonts w:hint="eastAsia" w:ascii="宋体" w:hAnsi="宋体" w:eastAsia="宋体" w:cs="宋体"/>
          <w:bCs/>
          <w:color w:val="000000"/>
          <w:sz w:val="24"/>
          <w:highlight w:val="none"/>
          <w:lang w:val="en-US" w:eastAsia="zh-CN"/>
        </w:rPr>
        <w:t xml:space="preserve">2供应商存在下列情形的，资格审查将不通过：</w:t>
      </w:r>
      <w:r>
        <w:rPr>
          <w:rFonts w:ascii="宋体" w:hAnsi="宋体" w:eastAsia="宋体" w:cs="宋体"/>
          <w:bCs/>
          <w:color w:val="000000"/>
          <w:sz w:val="24"/>
          <w:highlight w:val="none"/>
          <w:lang w:val="en-US" w:eastAsia="zh-CN"/>
        </w:rPr>
      </w:r>
      <w:r/>
    </w:p>
    <w:p>
      <w:pPr>
        <w:pStyle w:val="10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26.1.1.2.1</w:t>
      </w:r>
      <w:r>
        <w:rPr>
          <w:rFonts w:hint="eastAsia" w:ascii="宋体" w:hAnsi="宋体" w:eastAsia="宋体" w:cs="宋体"/>
          <w:bCs/>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eastAsia="宋体" w:cs="宋体"/>
          <w:bCs/>
          <w:color w:val="000000"/>
          <w:sz w:val="24"/>
          <w:highlight w:val="none"/>
        </w:rPr>
      </w:r>
      <w:r/>
    </w:p>
    <w:p>
      <w:pPr>
        <w:pStyle w:val="10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w:t>
      </w:r>
      <w:r>
        <w:rPr>
          <w:rFonts w:hint="eastAsia" w:ascii="宋体" w:hAnsi="宋体" w:eastAsia="宋体" w:cs="宋体"/>
          <w:bCs/>
          <w:color w:val="000000"/>
          <w:sz w:val="24"/>
          <w:highlight w:val="none"/>
        </w:rPr>
        <w:t xml:space="preserve">财政部门与法院、工商、税务等部门联合惩戒的失信信息，包括：</w:t>
      </w:r>
      <w:r>
        <w:rPr>
          <w:rFonts w:hint="eastAsia" w:ascii="宋体" w:hAnsi="宋体" w:eastAsia="宋体" w:cs="宋体"/>
          <w:bCs/>
          <w:color w:val="000000"/>
          <w:sz w:val="24"/>
          <w:highlight w:val="none"/>
        </w:rPr>
      </w:r>
      <w:r/>
    </w:p>
    <w:p>
      <w:pPr>
        <w:pStyle w:val="10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26.1.1.2.2.1</w:t>
      </w:r>
      <w:r>
        <w:rPr>
          <w:rFonts w:hint="eastAsia" w:ascii="宋体" w:hAnsi="宋体" w:eastAsia="宋体" w:cs="宋体"/>
          <w:bCs/>
          <w:color w:val="000000"/>
          <w:sz w:val="24"/>
          <w:highlight w:val="none"/>
        </w:rPr>
        <w:t xml:space="preserve">被列入失信被执行人名单；</w:t>
      </w:r>
      <w:r>
        <w:rPr>
          <w:rFonts w:hint="eastAsia" w:ascii="宋体" w:hAnsi="宋体" w:eastAsia="宋体" w:cs="宋体"/>
          <w:bCs/>
          <w:color w:val="000000"/>
          <w:sz w:val="24"/>
          <w:highlight w:val="none"/>
        </w:rPr>
      </w:r>
      <w:r/>
    </w:p>
    <w:p>
      <w:pPr>
        <w:pStyle w:val="10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26.1.1.2.2.2</w:t>
      </w:r>
      <w:r>
        <w:rPr>
          <w:rFonts w:hint="eastAsia" w:ascii="宋体" w:hAnsi="宋体" w:eastAsia="宋体" w:cs="宋体"/>
          <w:bCs/>
          <w:color w:val="000000"/>
          <w:sz w:val="24"/>
          <w:highlight w:val="none"/>
        </w:rPr>
        <w:t xml:space="preserve">被列入重大税收违法案件当事人名单；</w:t>
      </w:r>
      <w:r>
        <w:rPr>
          <w:rFonts w:hint="eastAsia" w:ascii="宋体" w:hAnsi="宋体" w:eastAsia="宋体" w:cs="宋体"/>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eastAsia="宋体" w:cs="宋体"/>
          <w:bCs/>
          <w:color w:val="000000"/>
          <w:sz w:val="24"/>
          <w:highlight w:val="none"/>
          <w:lang w:val="en-US" w:eastAsia="zh-CN"/>
        </w:rPr>
        <w:t xml:space="preserve">26.1.1.2.2.3</w:t>
      </w:r>
      <w:r>
        <w:rPr>
          <w:rFonts w:hint="eastAsia" w:ascii="宋体" w:hAnsi="宋体" w:eastAsia="宋体" w:cs="宋体"/>
          <w:bCs/>
          <w:color w:val="000000"/>
          <w:sz w:val="24"/>
          <w:highlight w:val="none"/>
        </w:rPr>
        <w:t xml:space="preserve">企业经营异常名录中被责令停产停业、暂扣或者吊销许可证或者执照，或者对经营活动中的</w:t>
      </w:r>
      <w:r>
        <w:rPr>
          <w:rFonts w:hint="eastAsia" w:ascii="宋体" w:hAnsi="宋体" w:cs="宋体"/>
          <w:color w:val="000000"/>
          <w:sz w:val="24"/>
          <w:highlight w:val="none"/>
        </w:rPr>
        <w:t xml:space="preserve">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报价合理性</w:t>
      </w:r>
      <w:r>
        <w:rPr>
          <w:rFonts w:hint="eastAsia" w:ascii="宋体" w:hAnsi="宋体" w:cs="宋体"/>
          <w:bCs/>
          <w:color w:val="000000"/>
          <w:sz w:val="24"/>
          <w:highlight w:val="none"/>
        </w:rPr>
        <w:t xml:space="preserve">和对磋商文件的响应程度进行审查，以确定是否对磋商文件的实质性要求作出响应。</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lang w:val="en-US" w:eastAsia="zh-CN"/>
        </w:rPr>
        <w:t xml:space="preserve">或被认定为异常低价的（详见异常低价认定情形）</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45"/>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w:t>
      </w:r>
      <w:r>
        <w:rPr>
          <w:rFonts w:hint="eastAsia" w:ascii="宋体" w:hAnsi="宋体" w:eastAsia="宋体" w:cs="宋体"/>
          <w:bCs/>
          <w:color w:val="000000"/>
          <w:sz w:val="24"/>
          <w:highlight w:val="none"/>
        </w:rPr>
        <w:t xml:space="preserve">性要求和条件）。</w:t>
      </w:r>
      <w:r>
        <w:rPr>
          <w:rFonts w:hint="eastAsia" w:ascii="宋体" w:hAnsi="宋体" w:eastAsia="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响应文件含有采购人不能接受的附加条件的。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响应文件未按照磋商文件要求加盖CA电子公章的。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不同供应商的响应文件制作机器码一致。</w:t>
      </w:r>
      <w:r>
        <w:rPr>
          <w:rFonts w:hint="eastAsia" w:ascii="宋体" w:hAnsi="宋体" w:cs="宋体"/>
          <w:bCs/>
          <w:color w:val="000000"/>
          <w:sz w:val="24"/>
          <w:highlight w:val="none"/>
        </w:rPr>
      </w:r>
      <w:r/>
    </w:p>
    <w:p>
      <w:pPr>
        <w:pStyle w:val="1045"/>
        <w:ind w:firstLine="480"/>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6.3.11采购文件规定的其他</w:t>
      </w:r>
      <w:r>
        <w:rPr>
          <w:rFonts w:hint="eastAsia" w:ascii="宋体" w:hAnsi="宋体" w:cs="宋体"/>
          <w:bCs/>
          <w:color w:val="000000"/>
          <w:sz w:val="24"/>
          <w:highlight w:val="none"/>
        </w:rPr>
        <w:t xml:space="preserve">未实质性响应</w:t>
      </w:r>
      <w:r>
        <w:rPr>
          <w:rFonts w:hint="eastAsia" w:ascii="宋体" w:hAnsi="宋体" w:cs="宋体"/>
          <w:bCs/>
          <w:color w:val="000000"/>
          <w:sz w:val="24"/>
          <w:highlight w:val="none"/>
          <w:lang w:val="en-US" w:eastAsia="zh-CN"/>
        </w:rPr>
        <w:t xml:space="preserve">情形。</w:t>
      </w:r>
      <w:r>
        <w:rPr>
          <w:rFonts w:ascii="宋体" w:hAnsi="宋体" w:eastAsia="宋体" w:cs="宋体"/>
          <w:bCs/>
          <w:color w:val="000000"/>
          <w:sz w:val="24"/>
          <w:highlight w:val="none"/>
          <w:lang w:val="en-US" w:eastAsia="zh-CN"/>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1045"/>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w:t>
      </w:r>
      <w:r>
        <w:rPr>
          <w:rFonts w:hint="eastAsia" w:ascii="宋体" w:hAnsi="宋体" w:eastAsia="宋体" w:cs="宋体"/>
          <w:bCs/>
          <w:color w:val="000000"/>
          <w:sz w:val="24"/>
          <w:highlight w:val="none"/>
        </w:rPr>
        <w:t xml:space="preserve">而使其成为实质性响应的文件。</w:t>
      </w:r>
      <w:r>
        <w:rPr>
          <w:rFonts w:hint="eastAsia" w:ascii="宋体" w:hAnsi="宋体" w:eastAsia="宋体" w:cs="宋体"/>
          <w:bCs/>
          <w:color w:val="000000"/>
          <w:sz w:val="24"/>
          <w:highlight w:val="none"/>
        </w:rPr>
      </w:r>
      <w:r/>
    </w:p>
    <w:p>
      <w:pPr>
        <w:pStyle w:val="1045"/>
        <w:ind w:firstLine="480"/>
        <w:spacing w:line="360" w:lineRule="auto"/>
        <w:rPr>
          <w:rFonts w:hint="eastAsia" w:ascii="宋体" w:hAnsi="宋体" w:eastAsia="宋体" w:cs="宋体"/>
          <w:bCs/>
          <w:color w:val="000000"/>
          <w:sz w:val="24"/>
          <w:highlight w:val="none"/>
        </w:rPr>
      </w:pPr>
      <w:r/>
      <w:bookmarkStart w:id="118" w:name="_Toc20823306"/>
      <w:r/>
      <w:bookmarkStart w:id="119" w:name="_Toc16938550"/>
      <w:r/>
      <w:bookmarkStart w:id="120" w:name="_Toc513029234"/>
      <w:r>
        <w:rPr>
          <w:rFonts w:hint="eastAsia" w:ascii="宋体" w:hAnsi="宋体" w:eastAsia="宋体" w:cs="宋体"/>
          <w:bCs/>
          <w:color w:val="000000"/>
          <w:sz w:val="24"/>
          <w:highlight w:val="none"/>
        </w:rPr>
        <w:t xml:space="preserve">26.6供应商在项目评审全过程中应保持通讯畅通，并安排专人与采购代理机构及磋商小组联系。</w:t>
      </w:r>
      <w:r>
        <w:rPr>
          <w:rFonts w:hint="eastAsia" w:ascii="宋体" w:hAnsi="宋体" w:eastAsia="宋体" w:cs="宋体"/>
          <w:bCs/>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1099"/>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w:t>
      </w:r>
      <w:r>
        <w:rPr>
          <w:rFonts w:hint="eastAsia" w:ascii="宋体" w:hAnsi="宋体" w:cs="宋体"/>
          <w:b/>
          <w:color w:val="000000"/>
          <w:sz w:val="24"/>
          <w:szCs w:val="24"/>
          <w:highlight w:val="none"/>
          <w:lang w:val="en-US" w:eastAsia="zh-CN"/>
        </w:rPr>
        <w:t xml:space="preserve">不少于</w:t>
      </w:r>
      <w:r>
        <w:rPr>
          <w:rFonts w:hint="eastAsia" w:ascii="宋体" w:hAnsi="宋体" w:cs="宋体"/>
          <w:b/>
          <w:color w:val="000000"/>
          <w:sz w:val="24"/>
          <w:szCs w:val="24"/>
          <w:highlight w:val="none"/>
        </w:rPr>
        <w:t xml:space="preserve">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105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本磋商文件所</w:t>
      </w:r>
      <w:r>
        <w:rPr>
          <w:rFonts w:hint="eastAsia" w:ascii="宋体" w:hAnsi="宋体" w:eastAsia="宋体" w:cs="宋体"/>
          <w:color w:val="000000"/>
          <w:sz w:val="24"/>
          <w:highlight w:val="none"/>
        </w:rPr>
        <w:t xml:space="preserve">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104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104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104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w:t>
      </w:r>
      <w:r>
        <w:rPr>
          <w:rFonts w:hint="eastAsia" w:ascii="宋体" w:hAnsi="宋体" w:eastAsia="宋体" w:cs="宋体"/>
          <w:color w:val="000000"/>
          <w:sz w:val="24"/>
          <w:highlight w:val="none"/>
          <w:lang w:eastAsia="zh-CN"/>
        </w:rPr>
        <w:t xml:space="preserve">无效响应</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条规定的情形外，在采购过程中符合要求的供应商或者最后报价未超过采购预算的供应商不足3家的。</w:t>
      </w:r>
      <w:r>
        <w:rPr>
          <w:rFonts w:hint="eastAsia" w:ascii="宋体" w:hAnsi="宋体" w:cs="宋体"/>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1045"/>
        <w:ind w:firstLine="482"/>
        <w:keepLines/>
        <w:keepNext/>
        <w:spacing w:line="360" w:lineRule="auto"/>
        <w:rPr>
          <w:rFonts w:hint="eastAsia" w:ascii="宋体" w:hAnsi="宋体" w:cs="宋体"/>
          <w:b/>
          <w:bCs/>
          <w:color w:val="000000"/>
          <w:sz w:val="24"/>
          <w:highlight w:val="none"/>
        </w:rPr>
        <w:outlineLvl w:val="2"/>
      </w:pPr>
      <w:r/>
      <w:bookmarkStart w:id="123" w:name="_Toc513029235"/>
      <w:r/>
      <w:bookmarkStart w:id="124" w:name="_Toc120614219"/>
      <w:r/>
      <w:bookmarkStart w:id="125" w:name="_Toc16938551"/>
      <w:r/>
      <w:bookmarkStart w:id="126" w:name="_Toc20823307"/>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104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105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105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1056"/>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1056"/>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1056"/>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105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10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1045"/>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16938552"/>
      <w:r/>
      <w:bookmarkStart w:id="133" w:name="_Toc20823308"/>
      <w:r/>
      <w:bookmarkStart w:id="134" w:name="_Toc513029236"/>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20823309"/>
      <w:r/>
      <w:bookmarkStart w:id="136" w:name="_Toc16938553"/>
      <w:r/>
      <w:bookmarkStart w:id="137" w:name="_Toc513029237"/>
      <w:r>
        <w:rPr>
          <w:rFonts w:hint="eastAsia" w:ascii="宋体" w:hAnsi="宋体" w:cs="宋体"/>
          <w:bCs/>
          <w:color w:val="000000"/>
          <w:sz w:val="24"/>
          <w:highlight w:val="none"/>
        </w:rPr>
        <w:t xml:space="preserve">31.签订合同</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104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104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1045"/>
        <w:ind w:firstLine="482"/>
        <w:spacing w:line="360" w:lineRule="auto"/>
        <w:tabs>
          <w:tab w:val="left" w:pos="567"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33.7针对</w:t>
      </w:r>
      <w:r>
        <w:rPr>
          <w:rFonts w:hint="eastAsia" w:ascii="宋体" w:hAnsi="宋体" w:eastAsia="宋体" w:cs="宋体"/>
          <w:b/>
          <w:bCs/>
          <w:color w:val="000000"/>
          <w:sz w:val="24"/>
          <w:highlight w:val="none"/>
        </w:rPr>
        <w:t xml:space="preserve">采购本国产品的支持政策</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如涉及</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045"/>
        <w:ind w:firstLine="480"/>
        <w:spacing w:line="360" w:lineRule="auto"/>
        <w:tabs>
          <w:tab w:val="left" w:pos="567" w:leader="none"/>
        </w:tabs>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33.7.1</w:t>
      </w:r>
      <w:r>
        <w:rPr>
          <w:rFonts w:hint="eastAsia" w:ascii="宋体" w:hAnsi="宋体" w:eastAsia="宋体" w:cs="宋体"/>
          <w:color w:val="000000"/>
          <w:spacing w:val="7"/>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highlight w:val="none"/>
          <w:lang w:val="en-US"/>
        </w:rPr>
      </w:r>
      <w:r/>
    </w:p>
    <w:p>
      <w:pPr>
        <w:pStyle w:val="104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33.7.2</w:t>
      </w: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104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33.7.3</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104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33.7.4</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格式”的“</w:t>
      </w:r>
      <w:r>
        <w:rPr>
          <w:rFonts w:hint="eastAsia" w:ascii="宋体" w:hAnsi="宋体" w:eastAsia="宋体" w:cs="宋体"/>
          <w:color w:val="000000"/>
          <w:sz w:val="24"/>
          <w:highlight w:val="none"/>
          <w:lang w:val="en-US" w:eastAsia="zh-CN"/>
        </w:rPr>
        <w:t xml:space="preserve">磋商报价分析表</w:t>
      </w:r>
      <w:r>
        <w:rPr>
          <w:rFonts w:hint="eastAsia" w:ascii="宋体" w:hAnsi="宋体" w:eastAsia="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104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33.7.5</w:t>
      </w:r>
      <w:r>
        <w:rPr>
          <w:rFonts w:hint="eastAsia" w:ascii="宋体" w:hAnsi="宋体" w:eastAsia="宋体" w:cs="宋体"/>
          <w:color w:val="000000"/>
          <w:sz w:val="24"/>
          <w:highlight w:val="none"/>
        </w:rPr>
        <w:t xml:space="preserve">供应商需按照</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104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33.7.6</w:t>
      </w:r>
      <w:r>
        <w:rPr>
          <w:rFonts w:hint="eastAsia" w:ascii="宋体" w:hAnsi="宋体" w:eastAsia="宋体" w:cs="宋体"/>
          <w:color w:val="000000"/>
          <w:sz w:val="24"/>
          <w:highlight w:val="none"/>
        </w:rPr>
        <w:t xml:space="preserve">供应商需在《声明函》中逐一、准确填写产品名称、厂名、生产厂址三项信息（《声明函》中用</w:t>
      </w:r>
      <w:r>
        <w:rPr>
          <w:rFonts w:hint="eastAsia" w:ascii="宋体" w:hAnsi="宋体" w:eastAsia="宋体" w:cs="宋体"/>
          <w:color w:val="000000"/>
          <w:sz w:val="24"/>
          <w:highlight w:val="none"/>
          <w:lang w:val="en-US" w:eastAsia="zh-CN"/>
        </w:rPr>
        <w:t xml:space="preserve">横线</w:t>
      </w:r>
      <w:r>
        <w:rPr>
          <w:rFonts w:hint="eastAsia" w:ascii="宋体" w:hAnsi="宋体" w:eastAsia="宋体" w:cs="宋体"/>
          <w:color w:val="000000"/>
          <w:sz w:val="24"/>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104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33.7.7</w:t>
      </w: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规定的，供应商提供的相关产品视为不符合本国产品标准。</w:t>
      </w:r>
      <w:r>
        <w:rPr>
          <w:rFonts w:hint="eastAsia" w:ascii="宋体" w:hAnsi="宋体" w:eastAsia="宋体" w:cs="宋体"/>
          <w:color w:val="000000"/>
          <w:sz w:val="24"/>
          <w:highlight w:val="none"/>
        </w:rPr>
      </w:r>
      <w:r/>
    </w:p>
    <w:p>
      <w:pPr>
        <w:pStyle w:val="1045"/>
        <w:ind w:firstLine="482"/>
        <w:spacing w:line="360" w:lineRule="auto"/>
        <w:tabs>
          <w:tab w:val="left" w:pos="567" w:leader="none"/>
        </w:tabs>
        <w:rPr>
          <w:rFonts w:eastAsia="宋体"/>
          <w:b/>
          <w:bCs/>
          <w:color w:val="000000"/>
          <w:highlight w:val="none"/>
          <w:lang w:val="en-US" w:eastAsia="zh-CN"/>
        </w:rPr>
      </w:pPr>
      <w:r>
        <w:rPr>
          <w:rFonts w:hint="eastAsia" w:ascii="宋体" w:hAnsi="宋体" w:eastAsia="宋体" w:cs="宋体"/>
          <w:b/>
          <w:bCs/>
          <w:color w:val="000000"/>
          <w:sz w:val="24"/>
          <w:highlight w:val="none"/>
          <w:lang w:val="en-US" w:eastAsia="zh-CN"/>
        </w:rPr>
        <w:t xml:space="preserve">33.7.8如采购包中不涉及，则无需提供该声明函。</w:t>
      </w:r>
      <w:r>
        <w:rPr>
          <w:rFonts w:eastAsia="宋体"/>
          <w:b/>
          <w:bCs/>
          <w:color w:val="000000"/>
          <w:highlight w:val="none"/>
          <w:lang w:val="en-US" w:eastAsia="zh-CN"/>
        </w:rPr>
      </w:r>
      <w:r/>
    </w:p>
    <w:p>
      <w:pPr>
        <w:pStyle w:val="1045"/>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eastAsia="zh-CN"/>
        </w:rPr>
        <w:t xml:space="preserve">响应单位</w:t>
      </w:r>
      <w:r>
        <w:rPr>
          <w:rFonts w:hint="eastAsia" w:ascii="宋体" w:hAnsi="宋体" w:eastAsia="宋体" w:cs="宋体"/>
          <w:b/>
          <w:bCs/>
          <w:color w:val="000000"/>
          <w:sz w:val="24"/>
          <w:highlight w:val="none"/>
        </w:rPr>
        <w:t xml:space="preserve">提供虚假材料，将按“政府采购法”相关规定处理并由政府监管部门给予严肃处理。</w:t>
      </w:r>
      <w:r>
        <w:rPr>
          <w:rFonts w:hint="eastAsia" w:ascii="宋体" w:hAnsi="宋体" w:eastAsia="宋体" w:cs="宋体"/>
          <w:b/>
          <w:bCs/>
          <w:color w:val="000000"/>
          <w:sz w:val="24"/>
          <w:highlight w:val="none"/>
        </w:rPr>
      </w:r>
      <w:r/>
    </w:p>
    <w:p>
      <w:pPr>
        <w:pStyle w:val="1065"/>
        <w:tabs>
          <w:tab w:val="center" w:pos="4153" w:leader="none"/>
          <w:tab w:val="right" w:pos="8306" w:leader="none"/>
        </w:tabs>
        <w:rPr>
          <w:rFonts w:hint="eastAsia"/>
          <w:color w:val="000000"/>
          <w:highlight w:val="none"/>
        </w:rPr>
      </w:pPr>
      <w:r>
        <w:rPr>
          <w:rFonts w:hint="eastAsia"/>
          <w:color w:val="000000"/>
          <w:highlight w:val="none"/>
        </w:rPr>
      </w:r>
      <w:r/>
    </w:p>
    <w:p>
      <w:pPr>
        <w:pStyle w:val="109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9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94"/>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color w:val="000000"/>
          <w:highlight w:val="none"/>
        </w:rPr>
      </w:pPr>
      <w:r>
        <w:rPr>
          <w:rFonts w:hint="eastAsia"/>
          <w:color w:val="000000"/>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5"/>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1045"/>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苏州市吴江区七都镇人民政府</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七都镇综合为老服务中心、七都镇日间照料中心及七都镇美美驿站运营服务项目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JSZC-320509-ZZHL-C2026-0033</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45"/>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七都镇综合为老服务中心、七都镇日间照料中心及七都镇美美驿站运营服务项目</w:t>
      </w:r>
      <w:r>
        <w:rPr>
          <w:rFonts w:hint="eastAsia" w:ascii="宋体" w:hAnsi="宋体" w:eastAsia="宋体" w:cs="宋体"/>
          <w:b w:val="0"/>
          <w:bCs/>
          <w:color w:val="000000"/>
          <w:sz w:val="24"/>
          <w:szCs w:val="24"/>
          <w:highlight w:val="none"/>
          <w:lang w:eastAsia="zh-CN"/>
        </w:rPr>
      </w:r>
      <w:r/>
    </w:p>
    <w:p>
      <w:pPr>
        <w:pStyle w:val="1045"/>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人民币壹佰壹拾柒万圆整（￥：1170000.00）</w:t>
      </w:r>
      <w:r>
        <w:rPr>
          <w:rFonts w:hint="eastAsia" w:ascii="宋体" w:hAnsi="宋体" w:eastAsia="宋体" w:cs="宋体"/>
          <w:b w:val="0"/>
          <w:bCs/>
          <w:color w:val="000000"/>
          <w:sz w:val="24"/>
          <w:szCs w:val="24"/>
          <w:highlight w:val="none"/>
          <w:lang w:eastAsia="zh-CN"/>
        </w:rPr>
      </w:r>
      <w:r/>
    </w:p>
    <w:p>
      <w:pPr>
        <w:pStyle w:val="1045"/>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人民币壹佰壹拾柒万圆整（￥：1170000.00）</w:t>
      </w:r>
      <w:r>
        <w:rPr>
          <w:rFonts w:hint="eastAsia" w:ascii="宋体" w:hAnsi="宋体" w:eastAsia="宋体" w:cs="宋体"/>
          <w:b w:val="0"/>
          <w:bCs/>
          <w:color w:val="000000"/>
          <w:sz w:val="24"/>
          <w:szCs w:val="24"/>
          <w:highlight w:val="none"/>
          <w:lang w:eastAsia="zh-CN"/>
        </w:rPr>
      </w:r>
      <w:r/>
    </w:p>
    <w:p>
      <w:pPr>
        <w:pStyle w:val="1045"/>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rPr>
        <w:t xml:space="preserve">合同履行期限：</w:t>
      </w:r>
      <w:r>
        <w:rPr>
          <w:rFonts w:hint="eastAsia" w:ascii="宋体" w:hAnsi="宋体" w:eastAsia="宋体" w:cs="宋体"/>
          <w:b w:val="0"/>
          <w:bCs/>
          <w:color w:val="000000"/>
          <w:sz w:val="24"/>
          <w:szCs w:val="24"/>
          <w:highlight w:val="none"/>
          <w:lang w:eastAsia="zh-CN"/>
        </w:rPr>
        <w:t xml:space="preserve">1年，具体以采购人要求的进场服务时间起计算</w:t>
      </w:r>
      <w:r>
        <w:rPr>
          <w:rFonts w:hint="eastAsia" w:ascii="宋体" w:hAnsi="宋体" w:eastAsia="宋体" w:cs="宋体"/>
          <w:b w:val="0"/>
          <w:bCs/>
          <w:color w:val="000000"/>
          <w:sz w:val="24"/>
          <w:szCs w:val="24"/>
          <w:highlight w:val="none"/>
          <w:lang w:eastAsia="zh-CN"/>
        </w:rPr>
      </w:r>
      <w:r/>
    </w:p>
    <w:p>
      <w:pPr>
        <w:pStyle w:val="1045"/>
        <w:ind w:left="0" w:firstLine="482"/>
        <w:jc w:val="both"/>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1056"/>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主要服务对象：</w:t>
      </w:r>
      <w:r>
        <w:rPr>
          <w:rFonts w:hint="eastAsia" w:ascii="宋体" w:hAnsi="宋体" w:eastAsia="宋体" w:cs="宋体"/>
          <w:color w:val="000000"/>
          <w:sz w:val="24"/>
          <w:szCs w:val="24"/>
          <w:highlight w:val="none"/>
        </w:rPr>
      </w:r>
      <w:r/>
    </w:p>
    <w:p>
      <w:pPr>
        <w:pStyle w:val="1056"/>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为镇/社区（村）范围内所有具有本辖区户籍、年满60周岁、生活能基本自理、健康状况良好、无传染性疾病和精神病史的老人提供日间照料服务。</w:t>
      </w:r>
      <w:r>
        <w:rPr>
          <w:rFonts w:hint="eastAsia" w:ascii="宋体" w:hAnsi="宋体" w:eastAsia="宋体" w:cs="宋体"/>
          <w:color w:val="000000"/>
          <w:sz w:val="24"/>
          <w:szCs w:val="24"/>
          <w:highlight w:val="none"/>
        </w:rPr>
      </w:r>
      <w:r/>
    </w:p>
    <w:p>
      <w:pPr>
        <w:pStyle w:val="1045"/>
        <w:ind w:firstLine="420"/>
        <w:jc w:val="left"/>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工作时间：每天8：30-16:30正常开放，特殊活动根据具体时间开展。（每周日和法定国假日休息）</w:t>
      </w:r>
      <w:r>
        <w:rPr>
          <w:rFonts w:hint="eastAsia" w:ascii="宋体" w:hAnsi="宋体" w:eastAsia="宋体" w:cs="宋体"/>
          <w:color w:val="000000"/>
          <w:sz w:val="24"/>
          <w:szCs w:val="24"/>
          <w:highlight w:val="none"/>
        </w:rPr>
      </w:r>
      <w:r/>
    </w:p>
    <w:p>
      <w:pPr>
        <w:pStyle w:val="1056"/>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项目人员配备情况：</w:t>
      </w:r>
      <w:r>
        <w:rPr>
          <w:rFonts w:hint="eastAsia" w:ascii="宋体" w:hAnsi="宋体" w:eastAsia="宋体" w:cs="宋体"/>
          <w:color w:val="000000"/>
          <w:sz w:val="24"/>
          <w:szCs w:val="24"/>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6"/>
        <w:gridCol w:w="873"/>
        <w:gridCol w:w="623"/>
        <w:gridCol w:w="1177"/>
        <w:gridCol w:w="749"/>
        <w:gridCol w:w="1605"/>
        <w:gridCol w:w="1177"/>
        <w:gridCol w:w="2388"/>
      </w:tblGrid>
      <w:tr>
        <w:trPr>
          <w:trHeight w:val="415"/>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873" w:type="dxa"/>
            <w:vAlign w:val="center"/>
            <w:vMerge w:val="restart"/>
            <w:textDirection w:val="lrTb"/>
            <w:noWrap w:val="false"/>
          </w:tcPr>
          <w:p>
            <w:pPr>
              <w:pStyle w:val="1045"/>
              <w:jc w:val="center"/>
              <w:widowControl/>
              <w:rPr>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岗位要求（人数）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88" w:type="dxa"/>
            <w:vAlign w:val="center"/>
            <w:vMerge w:val="restart"/>
            <w:textDirection w:val="lrTb"/>
            <w:noWrap/>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工作时间</w:t>
            </w:r>
            <w:r>
              <w:rPr>
                <w:rFonts w:hint="eastAsia"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pStyle w:val="10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10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45"/>
              <w:jc w:val="center"/>
              <w:widowControl/>
              <w:rPr>
                <w:rFonts w:ascii="宋体" w:hAnsi="宋体" w:eastAsia="宋体" w:cs="宋体"/>
                <w:color w:val="000000"/>
                <w:sz w:val="24"/>
                <w:szCs w:val="24"/>
                <w:highlight w:val="none"/>
                <w:lang w:val="en-US" w:eastAsia="zh-CN"/>
              </w:rPr>
            </w:pPr>
            <w:r>
              <w:rPr>
                <w:rStyle w:val="1104"/>
                <w:rFonts w:hint="eastAsia" w:ascii="宋体" w:hAnsi="宋体" w:eastAsia="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lang w:eastAsia="zh-CN"/>
              </w:rPr>
            </w:pPr>
            <w:r>
              <w:rPr>
                <w:rStyle w:val="1104"/>
                <w:rFonts w:hint="eastAsia" w:ascii="宋体" w:hAnsi="宋体" w:eastAsia="宋体" w:cs="宋体"/>
                <w:color w:val="000000"/>
                <w:sz w:val="24"/>
                <w:szCs w:val="24"/>
                <w:highlight w:val="none"/>
                <w:lang w:val="en-US" w:eastAsia="zh-CN"/>
              </w:rPr>
              <w:t xml:space="preserve">分站长</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专职养老服务人员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专（兼）职保健康复人员或专（兼）职社工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卫生保洁人员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88" w:type="dxa"/>
            <w:vAlign w:val="center"/>
            <w:vMerge w:val="continue"/>
            <w:textDirection w:val="lrTb"/>
            <w:noWrap/>
          </w:tcPr>
          <w:p>
            <w:pPr>
              <w:pStyle w:val="10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873"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七都镇综合为老服务中心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623" w:type="dxa"/>
            <w:vAlign w:val="center"/>
            <w:vMerge w:val="restart"/>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2388" w:type="dxa"/>
            <w:vAlign w:val="center"/>
            <w:vMerge w:val="restart"/>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每天8：30-16:30正常开放，特殊活动根据具体时间开展。（每周日休息）</w:t>
            </w:r>
            <w:r>
              <w:rPr>
                <w:rFonts w:hint="eastAsia" w:ascii="宋体" w:hAnsi="宋体" w:eastAsia="宋体" w:cs="宋体"/>
                <w:color w:val="000000"/>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七都镇日间照料中心</w:t>
            </w: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623" w:type="dxa"/>
            <w:vAlign w:val="center"/>
            <w:vMerge w:val="continue"/>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1（可兼任养老服务专业人员）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388" w:type="dxa"/>
            <w:vAlign w:val="center"/>
            <w:vMerge w:val="continue"/>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104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丽都名苑美美驿站</w:t>
            </w: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623" w:type="dxa"/>
            <w:vAlign w:val="center"/>
            <w:vMerge w:val="continue"/>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（可兼任养老服务专业人员）</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104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104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（可兼任养老服务专业人员）</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104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（可兼任养老服务专业人员）</w:t>
            </w:r>
            <w:r>
              <w:rPr>
                <w:rFonts w:hint="eastAsia" w:ascii="宋体" w:hAnsi="宋体" w:eastAsia="宋体" w:cs="宋体"/>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388" w:type="dxa"/>
            <w:vAlign w:val="center"/>
            <w:vMerge w:val="continue"/>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7"/>
        </w:trPr>
        <w:tc>
          <w:tcPr>
            <w:gridSpan w:val="2"/>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1045"/>
              <w:jc w:val="center"/>
              <w:widowControl/>
              <w:rPr>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10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2388" w:type="dxa"/>
            <w:vAlign w:val="center"/>
            <w:vMerge w:val="continue"/>
            <w:textDirection w:val="lrTb"/>
            <w:noWrap w:val="false"/>
          </w:tcPr>
          <w:p>
            <w:pPr>
              <w:pStyle w:val="10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注：★各供应商可按实际情况自行配置，但各中心人员岗位及人数配置不得低于上述要求，否则视为无效响应。</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4.服务内容：</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提供综合性社区养老服务，包括但不</w:t>
      </w:r>
      <w:r>
        <w:rPr>
          <w:rFonts w:hint="eastAsia" w:ascii="宋体" w:hAnsi="宋体" w:eastAsia="宋体" w:cs="宋体"/>
          <w:color w:val="000000"/>
          <w:sz w:val="24"/>
          <w:szCs w:val="24"/>
          <w:highlight w:val="none"/>
          <w:lang w:val="en-US" w:eastAsia="zh-CN"/>
        </w:rPr>
        <w:t xml:space="preserve">限于老年人日间照料服务，助残服务，公益便民服务，医疗健康服务等。为镇/社区（村）范围内所有具有本辖区户籍年满60周岁的老年居民提供生活照料与照护、康复保健、文体娱乐、教育咨询、居家上门等专业化服务。详见日间照料中心服务清单表。</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4.1具体内容及其他要求：</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4.1.1一级中心既具有直接提供各类社区养老服务的功能，同时具备对下级分中心的管理和业务指导功能，致力于向老人提供较为全面的社区养老服务，至少包括以下六类：</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4.1.1.1文体娱乐服务：主要满足老人的精神文化和娱乐需求。服务内容和形式可以多样化，包括但不限于阅览、绘画、书法、上网、健身、游戏、手工制作、看电影或电视、戏曲表演等内容。</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4.1.1.2个人生活照料与照护服务：主要根据老人的个性化需求，为老人提供个人日常生活的照料和护理等服务，包括但不限于膳食餐饮、助浴、洗涤、理发、提示或协助服药、身体护理等服务，服务对象重点是高龄、独居、半失能等生活不能完全自理的老人，包括全托和日托老人。</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4.1.1.3康复保健服务：促进和维持老年人的生理健康和心理健康，通常包括为老人提供健康管理（含健康档案、健康咨询、健康监测等）、中医保健、心理慰籍、康复保健、协助社区医生定期为老人体检、开药等简单医疗服务。 </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4.1.1.4教育咨询服务：通过老年课堂、专题讲座、咨询指导等向老人提供终生教育和学习条件，丰富老年人精神文化生活；同时通过养老保健、养生、防诈骗、常见疾病预防、康复、法律、安全教育等公益讲座，增强老人自我防范意识和自我保护能力，解决老年群体共同关注的问题。</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4.1.1.5居家上门服务：鼓励日照中心合并提供居家养老、长护险服务，提高养老资源的利用效率。</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4.1.1.6其他服务：结合属地实际，根据镇、社区（村）相关要求，开展各类委托代办服务、便民服务、老人辅助器具租赁服务、社区嵌入式养老服务以及自行设置的特色服务。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管理功能为信息平台及养老咨询及业务指导功能。</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二级中心主要定位于服务功能，并协助一级中心动态更新老人相关信息，同时设有三级延伸服务站的，兼有对三级中心标准化建设和运营业务指导等功能。在确保主要服务功能大类齐全的前提下，各服务细类可根据实际条件及本地老人实际需求状况选择性提供：</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4.1.2.1文体娱乐服务：主要满足老人的精神文化和娱乐需求。服务内容和形式可以多样化，包括但不限于阅览、戏曲、手工、体能训练、社团活动、节日活动等内容。</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4.1.2.2生活照料与照护服务：主要根据老人的个性化需求，为老人提供日常生活的照料和护理等服务，包括但不限于膳食餐饮、日间休息、生活护理等服务，服务对象重点是高龄、半失智、半失能等生活不能完全自理的老人，提供日托服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4.1.2.3医疗保健服务：促进和维持老年人的生理健康和心理健康，通常包括为老人提供健康管理（含健康档案、健康咨询、健康监测等）、心理慰籍、协助社区医生定期为老人体检、开药等简单医疗服务。 </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4.1.2.4教育咨询服务：通过老年课堂、专题讲座等向老人提供终生教育和学习条件，丰富老年人精神文化生活；同时通过养老保健、养生、防诈骗、常见疾病预防、康复、法律、安全教育等公益讲座，增强老人自我防范意识和自我保护能力，解决老年群体共同关注的问题。</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4.1.2.5居家上门服务：鼓励日照中心延伸提供居家养老服务，提高养老资源的利用效率。</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4.1.2.6其他服务：结合属地实际，根据镇、社区（村）相关要求，开展各类代办服务、便民服务、老人辅助器具租赁服务以及自行设置的特色服务。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4.1.3三级中心主要提供常见的公益性文体活动服务及日常生活照料服务和养老有关的教育咨询服务为主：</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4.1.3.1文体娱乐服务：主要满足老人的精神文化和娱乐需求。服务内容和形式可以多样化，包括但不限于戏曲、手工、体能训练、节日活动等内容。</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4.1.3.2生活照料与照护服务：主要根据老人的个性化需求，为老人提供日常生活的照料和护理等服务，包括但不限于膳食餐饮、日间休息等服务。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4.1.3.3医疗保健服务：促进和维持老年人的生理健康和心理健康，通常包括为老人提供健康管理（含健康档案、健康咨询、健康监测等）、心理慰籍、协助社区医生定期为老人体检、开药等简单医疗服务。 </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4.1.3.4教育咨询服务：通过知识讲座等向老人传授养老保健、养生、防诈骗、常见疾病预防、康复、法律、安全教育等，增强老人自我防范意识和自我保护能力。</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4.1.3.5居家上门服务：鼓励日照中心延伸提供居家养老服务，提高养老资源的利用效率。</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4.1.3.6其他服务：结合属地实际，根据镇、社区（村）相关要求，开展各类代办服务、便民服务、老人辅助器具租赁服务以及自行设置的特色服务。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4.2运营管理要求：</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需使用区民政部门提供的各类养老运营平台（响应文件中需单独提供相应承诺（格式自拟），否则视为非实质性响应）。</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4.2.2服务场所显眼位置公示服务项目、时间、收费、联系方式、投诉渠道等服务信息。</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4.2.3有服务流程、服务承诺并上墙公示，包括但不限于日常服务管理制度、安全管理制度、人员管理制度等。</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4.2.4运营合同签订后一周内向镇、社区（村）提交各日间照料中心的年度当月服务计划，每周活动计划应提前在日间照料中心进行公示。</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4.2.5应制定突发事件应急预案，每半年组织一次演练，应急预案应包括但不限于老年人意外伤害应急预案，老年人突发疾病应急预案，消防应急预案，疫情防控预案等。</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4.2.6在服务期间应确保老人及场所运行安全，若有事故发生,成交单位依法承担相关法律和民事责任；配合、协助当地公安机关进行安全监控和巡视等安保工作。</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4.2.7做好所有活动的台账资料，积极配合甲方完成各日间照料中心的星级评价工作。</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4.2.8在做好日照服务的基础上，配合政府相应行政服务职能，引导社区养老产业化、社会化发展，逐步形成市场化运行机制。</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4.2.9考核与退出机制</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按照社区日间照料中心标准化建设要求和星级评价指标(吴民[2021]35号)，经甲方或甲方委托的第三方对乙方考核和满意度调查，不通过的，采购单位有权终止合同。考核标准及办法如下：</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4.2.9.1甲方对服务单位的工作进行现场</w:t>
      </w:r>
      <w:r>
        <w:rPr>
          <w:rFonts w:hint="eastAsia" w:ascii="宋体" w:hAnsi="宋体" w:eastAsia="宋体" w:cs="宋体"/>
          <w:color w:val="000000"/>
          <w:sz w:val="24"/>
          <w:szCs w:val="24"/>
          <w:highlight w:val="none"/>
          <w:lang w:val="en-US" w:eastAsia="zh-CN"/>
        </w:rPr>
        <w:t xml:space="preserve">评价、打分。考核以百分制为基准，除责令改正外，半年度得分在90分及以上不扣罚服务费；得分在85分~90分（不含）扣减该点位半年度服务费的1%；得分在80分~85分（不含）扣减该点位半年度服务费的2%；得分在70分~80分（不含）扣减该点位半年度服务费的3%；低于70分的扣减该点位半年度服务费的10%；有“一票否决”的，扣除该点位全部半年度服务费；一个年度内累计二次得分在70分以下，采购单位有权终止合同。终止合同后包括但不限于为完成后续服务另外委托服务商所发生的费用均由成交单位负责。考核评分表详见合同附件1。</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4.2.9.2采购单位有权随时前往中心现场监督成交单位管理工作，每半年对中心服务老人进行满意度调查，如成交单位半年度满意度调查结果低于80%，采购单位有权要求整改；整改无改正效果的，采购单位有权终止合同。终止合同后包括但不限于为完成后续服务另外委托服务商所发生的额外费用均由成交单位负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4.3其他要求：</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合同签订后，成交单位应深入社区（村）开展调研，了解各自的特点和需求，制定甲方认可的年度和月度服务计划。</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4.4人员职责要求：</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4.4.1专职管理人员及站长岗位职责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4.4.1.1在上级民政部门领导下，全面领导中心内的各项工作。</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4.4.1.2制定中心内发展规划、制定规章制度、管理手册。</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4.4.1.3督促检查中心内各项规章制度和岗位职责执行情况，督促工作人员遵守劳动纪律，加强责任心和安全防范意识，制定突发事件应急方案。</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4.4.1.4定期参加生活照护护理工作，检查服务质量，了解长者需求，及时向长者家属反馈长者信息，听取意见，切实采取有效措施，保证不断提高服务质量。</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4.4.1.5协调各方矛盾和关系，及时解决重大问题，并做好工作日志。</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4.4.1.6组织每周业务会、每月例会、每季度座谈会，持续改进管理工作。</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4.4.1.7定期组织员工的政治学习、思想教育和业务和安全教育培训。</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4.4.1.8贯彻劳动制度，贯彻人事等制度。</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4.4.1.9财务管理，做好中心收支统计、分析工作，为老人服务创造社会效益的同时，创造合理的经济效益。</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4.4.1.10接待社会各界来访、参观、咨询与政府部门和有关社会团体、机构保持联络。</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4.4.1.11定期向上级主管部门汇报、总结工作。</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4.4.2专职养老服务人员岗位职责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4.4.2.1认真执行各项规章制度和技术操作规程，严防差错事故的发生，按时上班，坚守岗位，不做私活，做好台账资料。</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4.4.2.2关注长者身体变化，协助做好生活照料。天气变化提醒长者增减衣物，防止感冒，发现异常及时报告。</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4.4.2.3不断更新和学习老年护理知识，积累经验更好地服务长者。</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4.4.2.4对待长者热情礼貌、谨慎耐心，服务周到细致、轻声细语，工作中避免出现任何不适宜长者年龄、身体状况的言论或行为。</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4.4.3健康管理师（保健康复人员）或社工岗位职责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4.4.3.1采集和管理老年人的健康信息</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4.4.3.2评估老年人的健康和疾病危险性</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4.4.3.3进行老年人的健康咨询与指导</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4.4.3.4对老年人进行健康教育和推广</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4.4.4卫生保洁人员岗位职责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4.4.4.1保持工作区域内的清洁卫生，垃圾及时倾倒，每日清扫公共场所两次以上，做到辖区门窗、楼梯扶手无灰尘，天花板、墙角无蜘蛛网，地面无垃圾、痰渍、积水，瓷砖无污垢。严格按照垃圾分类要求，定点定时投放。</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4.4.4.2按规定使用消毒剂做好消毒工作，保持房间及公共区域无异味，填写相关清洁表单、消毒记录。</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4.4.4.3打扫卫生时节约用水，发现未关好的水龙头、照明灯，及时关好。保证不出现长流水、长明灯现象。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4.4.4.4爱护清洁工具，对清洁工具物品，妥善使用及保管，并按要求存放。</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苏州市吴江区七都镇人民政府（苏州市吴江区七都镇社会事业办公室）为服务点主管单位，合同签订后，运营方需根据服务点的实际情况，提交详细的运营方案、内部管理方案（设施设备、规章制度等）、人员配置方案，经由服务点主管单位、主管民政部门同意后实施。</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6.根据主管民政部门的要求使用相应的信息平台或系统，保证数据不外泄。</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7.其他事项约定：</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7.1运营方在运营期间必须服从服务点主管单位的工作安排。</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7.2运营方不能开展与经营范围不相符或民政部门不允许开展的活动或服务。</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7.3自定义的服务项目需报由服务点主管单位、镇级民政部门，得到同意后方可实施。</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7.4运营方不能擅自使用镇民政部门规定以外的信息平台或系统。</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7.5由政府部门投入的设施设备日常维修维护由运营方负责。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7.6因开展健康管理服务所需的设备、材料等物品由运营方自费购买。</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7.7水电气费用、有线电视费用及网络通讯费等其它涉及运营所需费用，均由运营方负责。</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七、其它说明</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供应商须在响应文件中提供详细的服务方案、人员配备方案、项目管理方案、服务质量承诺等。对磋商文件中提出的全部技术规范要求及服务要求做出承诺，如果其中某些条款不响应时，应在响应文件中逐条列出，未列出的视同响应。</w:t>
      </w:r>
      <w:r>
        <w:rPr>
          <w:rFonts w:hint="eastAsia" w:ascii="宋体" w:hAnsi="宋体" w:eastAsia="宋体" w:cs="宋体"/>
          <w:color w:val="000000"/>
          <w:sz w:val="24"/>
          <w:szCs w:val="24"/>
          <w:highlight w:val="none"/>
          <w:lang w:val="zh-CN"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.响应价格采取二次报价，合同金额以最终第二次价格为准，综合报价包含了</w:t>
      </w:r>
      <w:r>
        <w:rPr>
          <w:rFonts w:hint="eastAsia" w:ascii="宋体" w:hAnsi="宋体" w:eastAsia="宋体" w:cs="宋体"/>
          <w:color w:val="000000"/>
          <w:sz w:val="24"/>
          <w:szCs w:val="24"/>
          <w:highlight w:val="none"/>
          <w:lang w:val="zh-CN" w:eastAsia="zh-CN"/>
        </w:rPr>
        <w:t xml:space="preserve">本项目为综合报价：报价包括完成本项目所需的相关人工（包括工资和补贴）、社区活动服务费、办公场所及设施日常维修维护、技术支持与培训、水电气费用、有线电视费用及网络通讯费、信息平台的建设和运营等其它费用、保险、劳保、管理、各种税费、利润、税金、政策性文件规定及履行合同包含的所有风险、责任等各项应有费用。</w:t>
      </w:r>
      <w:r>
        <w:rPr>
          <w:rFonts w:hint="eastAsia" w:ascii="宋体" w:hAnsi="宋体" w:eastAsia="宋体" w:cs="宋体"/>
          <w:color w:val="000000"/>
          <w:sz w:val="24"/>
          <w:szCs w:val="24"/>
          <w:highlight w:val="none"/>
          <w:lang w:val="zh-CN"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服务期间，服务人员配备情况应达到采购要求及成交单位</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zh-CN" w:eastAsia="zh-CN"/>
        </w:rPr>
        <w:t xml:space="preserve">响应时承诺的配备能力并应配合采购方需要提供相关证明资料。</w:t>
      </w:r>
      <w:r>
        <w:rPr>
          <w:rFonts w:hint="eastAsia" w:ascii="宋体" w:hAnsi="宋体" w:eastAsia="宋体" w:cs="宋体"/>
          <w:color w:val="000000"/>
          <w:sz w:val="24"/>
          <w:szCs w:val="24"/>
          <w:highlight w:val="none"/>
          <w:lang w:val="zh-CN"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成交单位工作人员在岗履行职责期间（包括上下班途中），发生自身的人身伤害、伤亡，均由成交单位负责处理并承担经济和道义上的责任，采购单位不承担任何责任。</w:t>
      </w:r>
      <w:r>
        <w:rPr>
          <w:rFonts w:hint="eastAsia" w:ascii="宋体" w:hAnsi="宋体" w:eastAsia="宋体" w:cs="宋体"/>
          <w:color w:val="000000"/>
          <w:sz w:val="24"/>
          <w:szCs w:val="24"/>
          <w:highlight w:val="none"/>
          <w:lang w:val="zh-CN"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确因采购单位工作检查需要，成交单位应无条件配合采购单位完成一些突击工作。如：安排服务人员（内部）临时加班。</w:t>
      </w:r>
      <w:r>
        <w:rPr>
          <w:rFonts w:hint="eastAsia" w:ascii="宋体" w:hAnsi="宋体" w:eastAsia="宋体" w:cs="宋体"/>
          <w:color w:val="000000"/>
          <w:sz w:val="24"/>
          <w:szCs w:val="24"/>
          <w:highlight w:val="none"/>
          <w:lang w:val="zh-CN"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各磋商供应商应结合现场勘察对所投项目提出合理、完整的技术方案和配套设施配置，以确保与服务中心要求吻合，功能满足采购人的使用需求。供应商不得以不完全了解现场情况或其它任何理由向采购人和采购代理机构提出追加要求，对此采购人和采购代理机构不承担任何责任并将不作任何答复与考虑。</w:t>
      </w:r>
      <w:r>
        <w:rPr>
          <w:rFonts w:hint="eastAsia"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本项目不得转包或分包，若发现成交供应商转包或分包，采购人有权立即解除合同，并要求成交供应商赔偿采购人工期等方面的损失。</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8.成交单位必须按照《劳动法》及苏州市的有关规定配置工作人员数量，并支付工资、国假加班费和交纳正常的社会保险，不得安排工作人员超时限加班。</w:t>
      </w:r>
      <w:r>
        <w:rPr>
          <w:rFonts w:hint="eastAsia" w:ascii="宋体" w:hAnsi="宋体" w:eastAsia="宋体" w:cs="宋体"/>
          <w:color w:val="000000"/>
          <w:sz w:val="24"/>
          <w:szCs w:val="24"/>
          <w:highlight w:val="none"/>
          <w:lang w:val="en-US" w:eastAsia="zh-CN"/>
        </w:rPr>
      </w:r>
      <w:r/>
    </w:p>
    <w:p>
      <w:pPr>
        <w:pStyle w:val="1045"/>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5"/>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104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t xml:space="preserve">具体规定详见采购文件第二章。</w:t>
      </w:r>
      <w:r>
        <w:rPr>
          <w:rFonts w:ascii="宋体" w:hAnsi="宋体" w:eastAsia="宋体" w:cs="宋体"/>
          <w:color w:val="000000"/>
          <w:sz w:val="24"/>
          <w:szCs w:val="24"/>
          <w:highlight w:val="none"/>
          <w:lang w:val="en-US"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104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hint="eastAsia" w:ascii="宋体" w:hAnsi="宋体" w:eastAsia="宋体" w:cs="宋体"/>
          <w:b/>
          <w:bCs/>
          <w:color w:val="000000"/>
          <w:sz w:val="24"/>
          <w:szCs w:val="24"/>
          <w:highlight w:val="none"/>
        </w:rPr>
      </w:r>
      <w:r/>
    </w:p>
    <w:p>
      <w:pPr>
        <w:pStyle w:val="1045"/>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bookmarkStart w:id="138" w:name="OLE_LINK17"/>
      <w:r/>
      <w:bookmarkStart w:id="139" w:name="OLE_LINK25"/>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000000"/>
          <w:sz w:val="24"/>
          <w:szCs w:val="24"/>
          <w:highlight w:val="none"/>
          <w:lang w:val="en-US" w:eastAsia="zh-CN"/>
        </w:rPr>
        <w:t xml:space="preserve">供应商须在采购文件提供的格式中填写比例</w:t>
      </w:r>
      <w:r>
        <w:rPr>
          <w:rFonts w:hint="eastAsia" w:ascii="宋体" w:hAnsi="宋体" w:eastAsia="宋体" w:cs="宋体"/>
          <w:color w:val="000000"/>
          <w:sz w:val="24"/>
          <w:szCs w:val="24"/>
          <w:highlight w:val="none"/>
        </w:rPr>
        <w:t xml:space="preserve">），依法对该供应商提供的全部产品给予价格评审优惠，即对该供应商提供的全部产品的总报价给予20%的价格扣除，用扣除后的价格参与评审。</w:t>
      </w:r>
      <w:bookmarkStart w:id="140" w:name="OLE_LINK26"/>
      <w:r>
        <w:rPr>
          <w:rFonts w:hint="eastAsia" w:ascii="宋体" w:hAnsi="宋体" w:eastAsia="宋体" w:cs="宋体"/>
          <w:color w:val="000000"/>
          <w:sz w:val="24"/>
          <w:szCs w:val="24"/>
          <w:highlight w:val="none"/>
        </w:rPr>
        <w:t xml:space="preserve">供应商未填写比例数值，或比例数值未达到80%的，将不享受本国产品价格评审优惠。</w:t>
      </w:r>
      <w:bookmarkEnd w:id="138"/>
      <w:r/>
      <w:bookmarkEnd w:id="139"/>
      <w:r/>
      <w:bookmarkEnd w:id="140"/>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的要求对其提供的产品出具《关于符合本国产品标准的声明函》（以下简称《声明函》），如不提供将不享受本国产品价格评审优惠。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需在《声明函》中逐一、准确填写产品名称、厂名、生产厂址三项信息（《声明函》中用线划除的地方无需填写），三项信息中任意一项未填写的视为该项产品不符合本国产品标准，不享受本国产品价格评审优惠。 </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1045"/>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106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本次磋商总分为100分，评审因素及各比重如下：价格分值占总分值的比重为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%（权重），服务方案及其它占</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1045"/>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（一）报价得分：</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4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价格分统一采用低价优先法计算，磋商报价低于或等于财政预算价格</w:t>
      </w:r>
      <w:r>
        <w:rPr>
          <w:rFonts w:hint="eastAsia" w:ascii="宋体" w:hAnsi="宋体" w:eastAsia="宋体" w:cs="宋体"/>
          <w:color w:val="000000"/>
          <w:sz w:val="24"/>
          <w:szCs w:val="24"/>
          <w:highlight w:val="none"/>
          <w:lang w:val="en-US" w:eastAsia="zh-CN"/>
        </w:rPr>
        <w:t xml:space="preserve">及最高限价</w:t>
      </w:r>
      <w:r>
        <w:rPr>
          <w:rFonts w:hint="eastAsia" w:ascii="宋体" w:hAnsi="宋体" w:eastAsia="宋体" w:cs="宋体"/>
          <w:color w:val="000000"/>
          <w:sz w:val="24"/>
          <w:szCs w:val="24"/>
          <w:highlight w:val="none"/>
        </w:rPr>
        <w:t xml:space="preserve">的，为有效磋商报价，</w:t>
      </w:r>
      <w:r>
        <w:rPr>
          <w:rFonts w:hint="eastAsia" w:ascii="宋体" w:hAnsi="宋体" w:eastAsia="宋体" w:cs="宋体"/>
          <w:color w:val="000000"/>
          <w:sz w:val="24"/>
          <w:szCs w:val="24"/>
          <w:highlight w:val="none"/>
          <w:lang w:val="zh-TW" w:eastAsia="zh-TW"/>
        </w:rPr>
        <w:t xml:space="preserve">超财政预算</w:t>
      </w:r>
      <w:r>
        <w:rPr>
          <w:rFonts w:hint="eastAsia" w:ascii="宋体" w:hAnsi="宋体" w:eastAsia="宋体" w:cs="宋体"/>
          <w:color w:val="000000"/>
          <w:sz w:val="24"/>
          <w:szCs w:val="24"/>
          <w:highlight w:val="none"/>
          <w:lang w:val="en-US" w:eastAsia="zh-CN"/>
        </w:rPr>
        <w:t xml:space="preserve">或最高限价</w:t>
      </w:r>
      <w:r>
        <w:rPr>
          <w:rFonts w:hint="eastAsia" w:ascii="宋体" w:hAnsi="宋体" w:eastAsia="宋体" w:cs="宋体"/>
          <w:color w:val="000000"/>
          <w:sz w:val="24"/>
          <w:szCs w:val="24"/>
          <w:highlight w:val="none"/>
          <w:lang w:val="zh-TW" w:eastAsia="zh-TW"/>
        </w:rPr>
        <w:t xml:space="preserve">的磋商报价文件为未实质性响应文件，不参与评审</w:t>
      </w:r>
      <w:r>
        <w:rPr>
          <w:rFonts w:hint="eastAsia" w:ascii="宋体" w:hAnsi="宋体" w:eastAsia="宋体" w:cs="宋体"/>
          <w:color w:val="000000"/>
          <w:sz w:val="24"/>
          <w:szCs w:val="24"/>
          <w:highlight w:val="none"/>
          <w:lang w:val="zh-TW"/>
        </w:rPr>
        <w:t xml:space="preserve">，也不得</w:t>
      </w:r>
      <w:r>
        <w:rPr>
          <w:rFonts w:hint="eastAsia" w:ascii="宋体" w:hAnsi="宋体" w:eastAsia="宋体" w:cs="宋体"/>
          <w:color w:val="000000"/>
          <w:sz w:val="24"/>
          <w:szCs w:val="24"/>
          <w:highlight w:val="none"/>
        </w:rPr>
        <w:t xml:space="preserve">成交。在所有有效磋商报价中满足磋商文件要求且最终价格最低的供应商的价格为磋商基准价。其价格分为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分，其他供应商的价格分按照下列公式计算（计算结果四舍五入保留两位小数）。</w:t>
      </w:r>
      <w:r>
        <w:rPr>
          <w:rFonts w:hint="eastAsia" w:ascii="宋体" w:hAnsi="宋体" w:eastAsia="宋体" w:cs="宋体"/>
          <w:color w:val="000000"/>
          <w:sz w:val="24"/>
          <w:szCs w:val="24"/>
          <w:highlight w:val="none"/>
        </w:rPr>
      </w:r>
      <w:r/>
    </w:p>
    <w:p>
      <w:pPr>
        <w:pStyle w:val="104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磋商报价得分＝（磋商基准价/最终磋商报价）×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1045"/>
        <w:numPr>
          <w:ilvl w:val="0"/>
          <w:numId w:val="0"/>
        </w:numPr>
        <w:ind w:firstLine="482"/>
        <w:keepLines w:val="0"/>
        <w:keepNext w:val="0"/>
        <w:pageBreakBefore w:val="0"/>
        <w:spacing w:line="360" w:lineRule="auto"/>
        <w:widowControl w:val="off"/>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运营管理方案（62分）</w:t>
      </w:r>
      <w:r>
        <w:rPr>
          <w:rFonts w:hint="eastAsia" w:ascii="宋体" w:hAnsi="宋体" w:eastAsia="宋体" w:cs="宋体"/>
          <w:b/>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根据供应商对本项目的理解把握、发展规划与目标定位综合比较（8分）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本项目总体要求进行多层级的理解分析，有明确且合理的目标定位，能结合目标定位制定科学的发展规划，定位明确、发展规划完善、创新的得8分；定位较明确、发展规划较完善的得6分；定位不全面、发展规划不太完善的得4分；未作相关说明不得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供应商服务宗旨和服务理念比较（6分）                                   </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够结合本项目要求的各类服务制定符合发展规划与目标的服务宗旨和服务理念，且宗旨和理念具有较好的可读性与宣传性，规范、清晰、可操作的得6分；服务宗旨及服务理念可读性与宣传性，较为规范、清晰的得4分；服务宗旨及服务理念可读性与宣传性，不太规范、清晰度不够的得2分；未作相关说明不得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供应商针对本项目的服务方案（30分）                                      </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服务实施方案包含服务内容、活动计划，实施步骤等，方案全面、条理清晰，可操作性强，服务内容完善的得6分；方案较好、可实施性略有欠缺的得4分；方案简单、可实施性差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其它业务，如针对助餐、上门服务等的实施方案比较，方案完整、合理、可实施性强的得6分；方案较好、可实施性略有欠缺的得4分；方案简单、可实施性差的得2分；未作相关说明不得分；本项最高得6分。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应急与安全保障措施方面，需有完善的保障制度，制定突发事件（包括突发公共卫生事件、灾害事故等）应急预案，应结合规章制度和服务规范制定，应急与安全保障措施完善、可实施性强的得6分；应急与安全保障措施较完善、可实施性略有欠缺的得4分；应急与安全保障措施简单、可实施性差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供应商有较强的协调能力，运营期间与其他单位、部门的综合协调方案，配合协调方案全面、科学合理、可实施性强的得6分；配合协调方案较全面、可实施性略有欠缺的得4分；配合协调方案简单、实施性差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结合七都镇和属地社区（村）实际，制定个性化、创新性的亮点服务。方案须包含服务计划、服务内容、预期达到的效果等，方案全面、符合七都镇实际、可实施性强、亮点突出的得6分；方案较全面、可实施性略有欠缺的得4分；方案简单、实施性差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组织架构和人员配备（12分）                                                </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能够根据本项目运营以及日常行政、业务管理合理设置职能部门，各职能部门均按需配备人员，且各项工作均有专人负责但不冗余的，方案全面、科学合理、可行性强且满足采购需求的得6分；方案较全面、可行性略有欠缺且满足采购需求的得4分；方案简单、可行性差基本满足采购需求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供应商企业内部管理制度，包含但不限于工作制度、考核制度、财务制度，方案全面、科学合理、可行性强的得6分；方案较全面、可行性略有欠缺的得4分；方案简单、可行性差的得2分；未作相关说明不得分。本项最高得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针对本项目的重点难点分析（6分）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运营服务特点，提出服务过程中的重点及难点，并具备全面、完善、有针对性、可操作性的应对措施。方案全面、完善、可行且优于采购需求的得6分；方案较全面较完善、较可行且满足采购需求的得4分；方案内容一般、完善度一般、可行性一般但基本满足采购需求的得2分；方案较差、可行性较差且不能完全满足采购需求或不提供不得分。</w:t>
      </w:r>
      <w:r>
        <w:rPr>
          <w:rFonts w:hint="eastAsia" w:ascii="宋体" w:hAnsi="宋体" w:eastAsia="宋体" w:cs="宋体"/>
          <w:color w:val="000000"/>
          <w:sz w:val="24"/>
          <w:szCs w:val="24"/>
          <w:highlight w:val="none"/>
        </w:rPr>
      </w:r>
      <w:r/>
    </w:p>
    <w:p>
      <w:pPr>
        <w:pStyle w:val="1045"/>
        <w:numPr>
          <w:ilvl w:val="0"/>
          <w:numId w:val="0"/>
        </w:numPr>
        <w:ind w:firstLine="482"/>
        <w:keepLines w:val="0"/>
        <w:keepNext w:val="0"/>
        <w:pageBreakBefore w:val="0"/>
        <w:spacing w:line="360" w:lineRule="auto"/>
        <w:widowControl w:val="off"/>
        <w:tabs>
          <w:tab w:val="left" w:pos="287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（三）企业综合实力（28分） </w:t>
      </w:r>
      <w:r>
        <w:rPr>
          <w:rFonts w:hint="eastAsia" w:ascii="宋体" w:hAnsi="宋体" w:eastAsia="宋体" w:cs="宋体"/>
          <w:b/>
          <w:bCs/>
          <w:color w:val="000000"/>
          <w:sz w:val="24"/>
          <w:szCs w:val="24"/>
          <w:highlight w:val="none"/>
          <w:lang w:val="en-US" w:eastAsia="zh-CN"/>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项目负责人配备（4分）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项目负责人具有本科或以上学历得2分；大专学历得1分；本项最高得2分；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项目负责人具有人社部门颁发的社会工作者职业资格证书的得2分，本项最高得2分。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注：响应文件中提供学历的</w:t>
      </w:r>
      <w:r>
        <w:rPr>
          <w:rFonts w:hint="eastAsia" w:ascii="宋体" w:hAnsi="宋体" w:eastAsia="宋体" w:cs="宋体"/>
          <w:color w:val="000000"/>
          <w:sz w:val="24"/>
          <w:szCs w:val="24"/>
          <w:highlight w:val="none"/>
        </w:rPr>
        <w:t xml:space="preserve">学信网截图或毕业证书或学位证书复印件</w:t>
      </w:r>
      <w:r>
        <w:rPr>
          <w:rFonts w:hint="eastAsia" w:ascii="宋体" w:hAnsi="宋体" w:eastAsia="宋体" w:cs="宋体"/>
          <w:color w:val="000000"/>
          <w:sz w:val="24"/>
          <w:szCs w:val="24"/>
          <w:highlight w:val="none"/>
        </w:rPr>
        <w:t xml:space="preserve">、资格证书及磋商供应商为其缴纳</w:t>
      </w:r>
      <w:r>
        <w:rPr>
          <w:rFonts w:hint="eastAsia" w:ascii="宋体" w:hAnsi="宋体" w:eastAsia="宋体" w:cs="宋体"/>
          <w:color w:val="000000"/>
          <w:sz w:val="24"/>
          <w:szCs w:val="24"/>
          <w:highlight w:val="none"/>
          <w:lang w:val="en-US" w:eastAsia="zh-CN"/>
        </w:rPr>
        <w:t xml:space="preserve">磋商截止前三个月内任意一期</w:t>
      </w:r>
      <w:r>
        <w:rPr>
          <w:rFonts w:hint="eastAsia" w:ascii="宋体" w:hAnsi="宋体" w:eastAsia="宋体" w:cs="宋体"/>
          <w:color w:val="000000"/>
          <w:sz w:val="24"/>
          <w:szCs w:val="24"/>
          <w:highlight w:val="none"/>
        </w:rPr>
        <w:t xml:space="preserve">社保证明复印件或扫描件并加盖公章，缺失、不符或不提供者，对应项不得分。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项目运营团队人员配备（除项目负责人外）（15分）                                          </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拟投入人员具有养老护理员证的，有1人得2分，本项最高得4分。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拟投入人员具有人社部门颁发的社会工作者职业资格证书的，提供1人得2分，本项最高得4分。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拟投入人员具有健康管理师证书的，提供1人得2分，本项最高得2分。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拟投入人员具有心理咨询师证书的，初级（五级）得1分；中级（四级）得2分；高级（三级）及以上得3分；限评1人，本项最高得3分。 </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拟投入人员具有老年人能力评估师证书的，提供1人得2分，本项最高得2分。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的人员，响应文件中需提供相关人员证书及磋商供应商与其签订的劳动合同复印件并加盖磋商供应商公章，缺失、不符或不提供者，对应项不得分，同一人不可重复累计得分。</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3.认证体系（3分）</w:t>
      </w:r>
      <w:r>
        <w:rPr>
          <w:rFonts w:ascii="宋体" w:hAnsi="宋体" w:eastAsia="宋体" w:cs="宋体"/>
          <w:color w:val="000000"/>
          <w:sz w:val="24"/>
          <w:szCs w:val="24"/>
          <w:highlight w:val="none"/>
          <w:lang w:val="en-US" w:eastAsia="zh-CN"/>
        </w:rPr>
      </w:r>
      <w:r/>
    </w:p>
    <w:p>
      <w:pPr>
        <w:pStyle w:val="1045"/>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磋商</w:t>
      </w:r>
      <w:r>
        <w:rPr>
          <w:rFonts w:hint="eastAsia" w:ascii="宋体" w:hAnsi="宋体" w:eastAsia="宋体" w:cs="宋体"/>
          <w:bCs/>
          <w:color w:val="000000"/>
          <w:sz w:val="24"/>
          <w:szCs w:val="24"/>
          <w:highlight w:val="none"/>
        </w:rPr>
        <w:t xml:space="preserve">供应商</w:t>
      </w:r>
      <w:r>
        <w:rPr>
          <w:rFonts w:hint="eastAsia" w:ascii="宋体" w:hAnsi="宋体" w:eastAsia="宋体" w:cs="宋体"/>
          <w:color w:val="000000"/>
          <w:sz w:val="24"/>
          <w:szCs w:val="24"/>
          <w:highlight w:val="none"/>
        </w:rPr>
        <w:t xml:space="preserve">具有有效期内的质量管理体系认证证书、环境管理体系认证证书、职业健康安全管理体系认证证书，每提供一项得1分，本项最高得3分。</w:t>
      </w:r>
      <w:r>
        <w:rPr>
          <w:rFonts w:hint="eastAsia" w:ascii="宋体" w:hAnsi="宋体" w:eastAsia="宋体" w:cs="宋体"/>
          <w:b/>
          <w:bCs/>
          <w:color w:val="000000"/>
          <w:sz w:val="24"/>
          <w:szCs w:val="24"/>
          <w:highlight w:val="none"/>
        </w:rPr>
        <w:t xml:space="preserve">（响应文件中需提供有效证书复印件或扫描件及</w:t>
      </w:r>
      <w:r>
        <w:rPr>
          <w:rFonts w:hint="eastAsia" w:ascii="宋体" w:hAnsi="宋体" w:eastAsia="宋体" w:cs="宋体"/>
          <w:b/>
          <w:bCs/>
          <w:color w:val="000000"/>
          <w:sz w:val="24"/>
          <w:szCs w:val="24"/>
          <w:highlight w:val="none"/>
          <w:lang w:val="zh-CN"/>
        </w:rPr>
        <w:t xml:space="preserve">证书在</w:t>
      </w:r>
      <w:r>
        <w:rPr>
          <w:rFonts w:hint="eastAsia" w:ascii="宋体" w:hAnsi="宋体" w:eastAsia="宋体" w:cs="宋体"/>
          <w:b/>
          <w:color w:val="000000"/>
          <w:sz w:val="24"/>
          <w:szCs w:val="24"/>
          <w:highlight w:val="none"/>
          <w:lang w:val="zh-CN"/>
        </w:rPr>
        <w:t xml:space="preserve">国家认证认可监督</w:t>
      </w:r>
      <w:r>
        <w:rPr>
          <w:rFonts w:hint="eastAsia" w:ascii="宋体" w:hAnsi="宋体" w:eastAsia="宋体" w:cs="宋体"/>
          <w:b/>
          <w:color w:val="000000"/>
          <w:sz w:val="24"/>
          <w:szCs w:val="24"/>
          <w:highlight w:val="none"/>
        </w:rPr>
        <w:t xml:space="preserve">管理</w:t>
      </w:r>
      <w:r>
        <w:rPr>
          <w:rFonts w:hint="eastAsia" w:ascii="宋体" w:hAnsi="宋体" w:eastAsia="宋体" w:cs="宋体"/>
          <w:b/>
          <w:color w:val="000000"/>
          <w:sz w:val="24"/>
          <w:szCs w:val="24"/>
          <w:highlight w:val="none"/>
          <w:lang w:val="zh-CN"/>
        </w:rPr>
        <w:t xml:space="preserve">委员会</w:t>
      </w:r>
      <w:r>
        <w:rPr>
          <w:rFonts w:hint="eastAsia" w:ascii="宋体" w:hAnsi="宋体" w:eastAsia="宋体" w:cs="宋体"/>
          <w:b/>
          <w:color w:val="000000"/>
          <w:sz w:val="24"/>
          <w:szCs w:val="24"/>
          <w:highlight w:val="none"/>
        </w:rPr>
        <w:t xml:space="preserve">官网</w:t>
      </w:r>
      <w:r>
        <w:rPr>
          <w:rFonts w:hint="eastAsia" w:ascii="宋体" w:hAnsi="宋体" w:eastAsia="宋体" w:cs="宋体"/>
          <w:b/>
          <w:color w:val="000000"/>
          <w:sz w:val="24"/>
          <w:szCs w:val="24"/>
          <w:highlight w:val="none"/>
          <w:lang w:val="zh-CN"/>
        </w:rPr>
        <w:t xml:space="preserve">（www.cnca.gov.cn）</w:t>
      </w:r>
      <w:r>
        <w:rPr>
          <w:rFonts w:hint="eastAsia" w:ascii="宋体" w:hAnsi="宋体" w:eastAsia="宋体" w:cs="宋体"/>
          <w:b/>
          <w:bCs/>
          <w:color w:val="000000"/>
          <w:sz w:val="24"/>
          <w:szCs w:val="24"/>
          <w:highlight w:val="none"/>
          <w:lang w:val="zh-CN"/>
        </w:rPr>
        <w:t xml:space="preserve">查询有效</w:t>
      </w:r>
      <w:r>
        <w:rPr>
          <w:rFonts w:hint="eastAsia" w:ascii="宋体" w:hAnsi="宋体" w:eastAsia="宋体" w:cs="宋体"/>
          <w:b/>
          <w:bCs/>
          <w:color w:val="000000"/>
          <w:sz w:val="24"/>
          <w:szCs w:val="24"/>
          <w:highlight w:val="none"/>
        </w:rPr>
        <w:t xml:space="preserve">的完整网页</w:t>
      </w:r>
      <w:r>
        <w:rPr>
          <w:rFonts w:hint="eastAsia" w:ascii="宋体" w:hAnsi="宋体" w:eastAsia="宋体" w:cs="宋体"/>
          <w:b/>
          <w:bCs/>
          <w:color w:val="000000"/>
          <w:sz w:val="24"/>
          <w:szCs w:val="24"/>
          <w:highlight w:val="none"/>
          <w:lang w:val="zh-CN"/>
        </w:rPr>
        <w:t xml:space="preserve">截图</w:t>
      </w:r>
      <w:r>
        <w:rPr>
          <w:rFonts w:hint="eastAsia" w:ascii="宋体" w:hAnsi="宋体" w:eastAsia="宋体" w:cs="宋体"/>
          <w:b/>
          <w:bCs/>
          <w:color w:val="000000"/>
          <w:sz w:val="24"/>
          <w:szCs w:val="24"/>
          <w:highlight w:val="none"/>
        </w:rPr>
        <w:t xml:space="preserve">并加盖供应商公章，缺失、不符或不提供者，对应项不得分）</w:t>
      </w:r>
      <w:r>
        <w:rPr>
          <w:rFonts w:hint="eastAsia" w:ascii="宋体" w:hAnsi="宋体" w:eastAsia="宋体" w:cs="宋体"/>
          <w:b/>
          <w:bCs/>
          <w:color w:val="000000"/>
          <w:sz w:val="24"/>
          <w:szCs w:val="24"/>
          <w:highlight w:val="none"/>
        </w:rPr>
      </w:r>
      <w:r/>
    </w:p>
    <w:p>
      <w:pPr>
        <w:pStyle w:val="1045"/>
        <w:ind w:firstLine="480"/>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4.类似业绩（6分）</w:t>
      </w:r>
      <w:r>
        <w:rPr>
          <w:rFonts w:ascii="宋体" w:hAnsi="宋体" w:eastAsia="宋体" w:cs="宋体"/>
          <w:b w:val="0"/>
          <w:bCs/>
          <w:color w:val="000000"/>
          <w:sz w:val="24"/>
          <w:szCs w:val="24"/>
          <w:highlight w:val="none"/>
          <w:lang w:val="en-US" w:eastAsia="zh-CN"/>
        </w:rPr>
      </w:r>
      <w:r/>
    </w:p>
    <w:p>
      <w:pPr>
        <w:pStyle w:val="1045"/>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rPr>
        <w:t xml:space="preserve">供应商自</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年8月以来(以合同签订时间为准)承接过类似项目业绩的，每提供一份有效业绩合同得3分，本项最高得6分。</w:t>
      </w:r>
      <w:r>
        <w:rPr>
          <w:rFonts w:hint="eastAsia" w:ascii="宋体" w:hAnsi="宋体" w:eastAsia="宋体" w:cs="宋体"/>
          <w:b/>
          <w:bCs/>
          <w:color w:val="000000"/>
          <w:sz w:val="24"/>
          <w:szCs w:val="24"/>
          <w:highlight w:val="none"/>
        </w:rPr>
        <w:t xml:space="preserve">（响应文件中提供合同原件扫描件、本项目任意一期发票扫描件并加盖供应商公章的证明材料，缺失、不符或不提供者，对应项不得分。）</w:t>
      </w:r>
      <w:r>
        <w:rPr>
          <w:rFonts w:hint="eastAsia" w:ascii="宋体" w:hAnsi="宋体" w:eastAsia="宋体" w:cs="宋体"/>
          <w:bCs/>
          <w:color w:val="000000"/>
          <w:sz w:val="24"/>
          <w:szCs w:val="24"/>
          <w:highlight w:val="none"/>
        </w:rPr>
      </w:r>
      <w:r/>
    </w:p>
    <w:p>
      <w:pPr>
        <w:pStyle w:val="1045"/>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02"/>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eastAsia="zh-CN"/>
        </w:rPr>
      </w:r>
      <w:r/>
    </w:p>
    <w:p>
      <w:pPr>
        <w:pStyle w:val="106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磋商总报价超过采购预算的将不进入综合评审程序，也不得成交。</w:t>
      </w:r>
      <w:r>
        <w:rPr>
          <w:rFonts w:hint="eastAsia" w:ascii="宋体" w:hAnsi="宋体" w:eastAsia="宋体" w:cs="宋体"/>
          <w:color w:val="000000"/>
          <w:sz w:val="24"/>
          <w:szCs w:val="24"/>
          <w:highlight w:val="none"/>
        </w:rPr>
      </w:r>
      <w:r/>
    </w:p>
    <w:p>
      <w:pPr>
        <w:pStyle w:val="106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合同履行期限、付款步骤如有负偏离的不得成交。</w:t>
      </w:r>
      <w:r>
        <w:rPr>
          <w:rFonts w:hint="eastAsia" w:ascii="宋体" w:hAnsi="宋体" w:eastAsia="宋体" w:cs="宋体"/>
          <w:color w:val="000000"/>
          <w:sz w:val="24"/>
          <w:szCs w:val="24"/>
          <w:highlight w:val="none"/>
        </w:rPr>
      </w:r>
      <w:r/>
    </w:p>
    <w:p>
      <w:pPr>
        <w:pStyle w:val="106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对评分标准中评分的每一条，供应商均应提供相关资料并作出相应说明供评委评判。</w:t>
      </w:r>
      <w:r>
        <w:rPr>
          <w:rFonts w:hint="eastAsia" w:ascii="宋体" w:hAnsi="宋体" w:eastAsia="宋体" w:cs="宋体"/>
          <w:color w:val="000000"/>
          <w:sz w:val="24"/>
          <w:szCs w:val="24"/>
          <w:highlight w:val="none"/>
        </w:rPr>
      </w:r>
      <w:r/>
    </w:p>
    <w:p>
      <w:pPr>
        <w:pStyle w:val="106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响应文件中复印件或扫描件须清晰可辨，如因复印件或扫描件模糊，造成无法辨认，该项不得分。</w:t>
      </w:r>
      <w:r>
        <w:rPr>
          <w:rFonts w:hint="eastAsia" w:ascii="宋体" w:hAnsi="宋体" w:eastAsia="宋体" w:cs="宋体"/>
          <w:color w:val="000000"/>
          <w:sz w:val="24"/>
          <w:szCs w:val="24"/>
          <w:highlight w:val="none"/>
        </w:rPr>
      </w:r>
      <w:r/>
    </w:p>
    <w:p>
      <w:pPr>
        <w:pStyle w:val="106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响应文件中如出现前后不一致时,评委有权请供应商澄清说明,澄清说明事项涉及评分时,</w:t>
      </w:r>
      <w:r>
        <w:rPr>
          <w:rFonts w:hint="eastAsia" w:ascii="宋体" w:hAnsi="宋体" w:eastAsia="宋体" w:cs="宋体"/>
          <w:color w:val="000000"/>
          <w:sz w:val="24"/>
          <w:szCs w:val="24"/>
          <w:highlight w:val="none"/>
        </w:rPr>
        <w:t xml:space="preserve">可能</w:t>
      </w:r>
      <w:r>
        <w:rPr>
          <w:rFonts w:hint="eastAsia" w:ascii="宋体" w:hAnsi="宋体" w:eastAsia="宋体" w:cs="宋体"/>
          <w:color w:val="000000"/>
          <w:sz w:val="24"/>
          <w:szCs w:val="24"/>
          <w:highlight w:val="none"/>
        </w:rPr>
        <w:t xml:space="preserve">会</w:t>
      </w:r>
      <w:r>
        <w:rPr>
          <w:rFonts w:hint="eastAsia" w:ascii="宋体" w:hAnsi="宋体" w:eastAsia="宋体" w:cs="宋体"/>
          <w:color w:val="000000"/>
          <w:sz w:val="24"/>
          <w:szCs w:val="24"/>
          <w:highlight w:val="none"/>
        </w:rPr>
        <w:t xml:space="preserve">影响</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5"/>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104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104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中华人民共和国民法典》和《中华人民共和国政府采购法》等有关法律法规，为明确采购单位（甲方）和供应单位（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lang w:val="en-US" w:eastAsia="zh-CN"/>
        </w:rPr>
      </w:r>
      <w:r/>
    </w:p>
    <w:p>
      <w:pPr>
        <w:pStyle w:val="1045"/>
        <w:ind w:left="0" w:firstLine="482"/>
        <w:jc w:val="both"/>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1045"/>
        <w:ind w:left="0" w:firstLine="480"/>
        <w:jc w:val="both"/>
        <w:keepLines w:val="0"/>
        <w:keepNext w:val="0"/>
        <w:pageBreakBefore w:val="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乙方负责的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具体按照采购内容的要求。</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中标（成交）通知书；</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乙方响应文件；</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磋商文件及其附件；</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乙方在磋商过程中所作的其他承诺、声明、书面澄清等。</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合同附件。</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以上与本合同具有同等法律效力。</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服务地点：具体服务区域根据甲方需求，乙方需无条件接受安排。最终解释权归甲方。</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w:t>
      </w:r>
      <w:r>
        <w:rPr>
          <w:rFonts w:hint="eastAsia" w:ascii="宋体" w:hAnsi="宋体" w:eastAsia="宋体" w:cs="宋体"/>
          <w:b/>
          <w:bCs/>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主要服务对象：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为镇/社区（村）范围内所有具有本辖区户籍、年满60周岁、生活能基本自理、健康状况良好、无传染性疾病和精神病史的老人提供日间照料服务。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工作时间：每天8：30-16:30正常开放，特殊活动根据具体时间开展。（每周日和法定国假日休息）</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具体服务内容：</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综合性社区养老服务，包括但不限于老年人日间照料服务，助残服务，公益便民服务，医疗健康服务等。为镇/社区（村）范围内所有具有本辖区户籍年满60周岁的老年居民提供生活照料与照护、康复保健、文体娱乐、教育咨询、居家上门等专业化服务。详见日间照料中心服务清单表。</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具体内容及其他要求：</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一级中心既具有直接提供各类社区养老服务的功能，同时具备对下级分中心的管理和业务指导功能，致力于向老人提供较为全面的社区养老服务，至少包括以下六类：</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3.1.1.1</w:t>
      </w:r>
      <w:r>
        <w:rPr>
          <w:rFonts w:hint="eastAsia" w:ascii="宋体" w:hAnsi="宋体" w:eastAsia="宋体" w:cs="宋体"/>
          <w:color w:val="000000"/>
          <w:sz w:val="24"/>
          <w:szCs w:val="24"/>
          <w:highlight w:val="none"/>
        </w:rPr>
        <w:t xml:space="preserve">文体娱乐服务：主要满足老人的精神文化和娱乐需求。服务内容和形式可以多样化，包括但不限于阅览、绘画、书法、上网、健身、游戏、手工制作、看电影或电视、戏曲表演等内容。</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3.1.1.2</w:t>
      </w:r>
      <w:r>
        <w:rPr>
          <w:rFonts w:hint="eastAsia" w:ascii="宋体" w:hAnsi="宋体" w:eastAsia="宋体" w:cs="宋体"/>
          <w:color w:val="000000"/>
          <w:sz w:val="24"/>
          <w:szCs w:val="24"/>
          <w:highlight w:val="none"/>
        </w:rPr>
        <w:t xml:space="preserve">个人生活照料与照护服务：主要根据老人的个性化需求，为老人提供个人日常生活的照料和护理等服务，包括但不限于膳食餐饮、助浴、洗涤、理发、提示或协助服药、身体护理等服务，服务对象重点是高龄、独居、半失能等生活不能完全自理的老人，包括全托和日托老人。</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3.1.1.3</w:t>
      </w:r>
      <w:r>
        <w:rPr>
          <w:rFonts w:hint="eastAsia" w:ascii="宋体" w:hAnsi="宋体" w:eastAsia="宋体" w:cs="宋体"/>
          <w:color w:val="000000"/>
          <w:sz w:val="24"/>
          <w:szCs w:val="24"/>
          <w:highlight w:val="none"/>
        </w:rPr>
        <w:t xml:space="preserve">康复保健服务：促进和维持老年人的生理健康和心理健康，通常包括为老人提供健康管理（含健康档案、健康咨询、健康监测等）、中医保健、心理慰籍、康复保健、协助社区医生定期为老人体检、开药等简单医疗服务。 </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3.1.1.4</w:t>
      </w:r>
      <w:r>
        <w:rPr>
          <w:rFonts w:hint="eastAsia" w:ascii="宋体" w:hAnsi="宋体" w:eastAsia="宋体" w:cs="宋体"/>
          <w:color w:val="000000"/>
          <w:sz w:val="24"/>
          <w:szCs w:val="24"/>
          <w:highlight w:val="none"/>
        </w:rPr>
        <w:t xml:space="preserve">教育咨询服务：通过老年课堂、专题讲座、咨询指导等向老人提供终生教育和学习条件，丰富老年人精神文化生活；同时通过养老保健、养生、防诈骗、常见疾病预防、康复、法律、安全教育等公益讲座，增强老人自我防范意识和自我保护能力，解决老年群体共同关注的问题。</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3.1.1.5</w:t>
      </w:r>
      <w:r>
        <w:rPr>
          <w:rFonts w:hint="eastAsia" w:ascii="宋体" w:hAnsi="宋体" w:eastAsia="宋体" w:cs="宋体"/>
          <w:color w:val="000000"/>
          <w:sz w:val="24"/>
          <w:szCs w:val="24"/>
          <w:highlight w:val="none"/>
        </w:rPr>
        <w:t xml:space="preserve">居家上门服务：鼓励日照中心合并提供居家养老、长护险服务，提高养老资源的利用效率。</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3.1.1.6</w:t>
      </w:r>
      <w:r>
        <w:rPr>
          <w:rFonts w:hint="eastAsia" w:ascii="宋体" w:hAnsi="宋体" w:eastAsia="宋体" w:cs="宋体"/>
          <w:color w:val="000000"/>
          <w:sz w:val="24"/>
          <w:szCs w:val="24"/>
          <w:highlight w:val="none"/>
        </w:rPr>
        <w:t xml:space="preserve">其他服务：结合属地实际，根据镇、社区（村）相关要求，开展各类委托代办服务、便民服务、老人辅助器具租赁服务、社区嵌入式养老服务以及自行设置的特色服务。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管理功能为信息平台及养老咨询及业务指导功能。</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rPr>
        <w:t xml:space="preserve">二级中心主要定位于服务功能，并协助一级中心动态更新老人相关信息，同时设有三级延伸服务站的，兼有对三级中心标准化建设和运营业务指导等功能。在确保主要服务功能大类齐全的前提下，各服务细类可根据实际条件及本地老人实际需求状况选择性提供：</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3.1.2.1</w:t>
      </w:r>
      <w:r>
        <w:rPr>
          <w:rFonts w:hint="eastAsia" w:ascii="宋体" w:hAnsi="宋体" w:eastAsia="宋体" w:cs="宋体"/>
          <w:color w:val="000000"/>
          <w:sz w:val="24"/>
          <w:szCs w:val="24"/>
          <w:highlight w:val="none"/>
        </w:rPr>
        <w:t xml:space="preserve">文体娱乐服务：主要满足老人的精神文化和娱乐需求。服务内容和形式可以多样化，包括但不限于阅览、戏曲、手工、体能训练、社团活动、节日活动等内容。</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3.1.2.2</w:t>
      </w:r>
      <w:r>
        <w:rPr>
          <w:rFonts w:hint="eastAsia" w:ascii="宋体" w:hAnsi="宋体" w:eastAsia="宋体" w:cs="宋体"/>
          <w:color w:val="000000"/>
          <w:sz w:val="24"/>
          <w:szCs w:val="24"/>
          <w:highlight w:val="none"/>
        </w:rPr>
        <w:t xml:space="preserve">生活照料与照护服务：主要根据老人的个性化需求，为老人提供日常生活的照料和护理等服务，包括但不限于膳食餐饮、日间休息、生活护理等服务，服务对象重点是高龄、半失智、半失能等生活不能完全自理的老人，提供日托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3.1.2.3</w:t>
      </w:r>
      <w:r>
        <w:rPr>
          <w:rFonts w:hint="eastAsia" w:ascii="宋体" w:hAnsi="宋体" w:eastAsia="宋体" w:cs="宋体"/>
          <w:color w:val="000000"/>
          <w:sz w:val="24"/>
          <w:szCs w:val="24"/>
          <w:highlight w:val="none"/>
        </w:rPr>
        <w:t xml:space="preserve">医疗保健服务：促进和维持老年人的生理健康和心理健康，通常包括为老人提供健康管理（含健康档案、健康咨询、健康监测等）、心理慰籍、协助社区医生定期为老人体检、开药等简单医疗服务。 </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3.1.2.4</w:t>
      </w:r>
      <w:r>
        <w:rPr>
          <w:rFonts w:hint="eastAsia" w:ascii="宋体" w:hAnsi="宋体" w:eastAsia="宋体" w:cs="宋体"/>
          <w:color w:val="000000"/>
          <w:sz w:val="24"/>
          <w:szCs w:val="24"/>
          <w:highlight w:val="none"/>
        </w:rPr>
        <w:t xml:space="preserve">教育咨询服务：通过老年课堂、专题讲座等向老人提供终生教育和学习条件，丰富老年人精神文化生活；同时通过养老保健、养生、防诈骗、常见疾病预防、康复、法律、安全教育等公益讲座，增强老人自我防范意识和自我保护能力，解决老年群体共同关注的问题。</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3.1.2.5</w:t>
      </w:r>
      <w:r>
        <w:rPr>
          <w:rFonts w:hint="eastAsia" w:ascii="宋体" w:hAnsi="宋体" w:eastAsia="宋体" w:cs="宋体"/>
          <w:color w:val="000000"/>
          <w:sz w:val="24"/>
          <w:szCs w:val="24"/>
          <w:highlight w:val="none"/>
        </w:rPr>
        <w:t xml:space="preserve">居家上门服务：鼓励日照中心延伸提供居家养老服务，提高养老资源的利用效率。</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3.1.2.6</w:t>
      </w:r>
      <w:r>
        <w:rPr>
          <w:rFonts w:hint="eastAsia" w:ascii="宋体" w:hAnsi="宋体" w:eastAsia="宋体" w:cs="宋体"/>
          <w:color w:val="000000"/>
          <w:sz w:val="24"/>
          <w:szCs w:val="24"/>
          <w:highlight w:val="none"/>
        </w:rPr>
        <w:t xml:space="preserve">其他服务：结合属地实际，根据镇、社区（村）相关要求，开展各类代办服务、便民服务、老人辅助器具租赁服务以及自行设置的特色服务。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szCs w:val="24"/>
          <w:highlight w:val="none"/>
        </w:rPr>
        <w:t xml:space="preserve">三级中心主要提供常见的公益性文体活动服务及日常生活照料服务和养老有关的教育咨询服务为主：</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3.1.3.1</w:t>
      </w:r>
      <w:r>
        <w:rPr>
          <w:rFonts w:hint="eastAsia" w:ascii="宋体" w:hAnsi="宋体" w:eastAsia="宋体" w:cs="宋体"/>
          <w:color w:val="000000"/>
          <w:sz w:val="24"/>
          <w:szCs w:val="24"/>
          <w:highlight w:val="none"/>
        </w:rPr>
        <w:t xml:space="preserve">文体娱乐服务：主要满足老人的精神文化和娱乐需求。服务内容和形式可以多样化，包括但不限于戏曲、手工、体能训练、节日活动等内容。</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3.1.3.2</w:t>
      </w:r>
      <w:r>
        <w:rPr>
          <w:rFonts w:hint="eastAsia" w:ascii="宋体" w:hAnsi="宋体" w:eastAsia="宋体" w:cs="宋体"/>
          <w:color w:val="000000"/>
          <w:sz w:val="24"/>
          <w:szCs w:val="24"/>
          <w:highlight w:val="none"/>
        </w:rPr>
        <w:t xml:space="preserve">生活照料与照护服务：主要根据老人的个性化需求，为老人提供日常生活的照料和护理等服务，包括但不限于膳食餐饮、日间休息等服务。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3.1.3.3</w:t>
      </w:r>
      <w:r>
        <w:rPr>
          <w:rFonts w:hint="eastAsia" w:ascii="宋体" w:hAnsi="宋体" w:eastAsia="宋体" w:cs="宋体"/>
          <w:color w:val="000000"/>
          <w:sz w:val="24"/>
          <w:szCs w:val="24"/>
          <w:highlight w:val="none"/>
        </w:rPr>
        <w:t xml:space="preserve">医疗保健服务：促进和维持老年人的生理健康和心理健康，通常包括为老人提供健康管理（含健康档案、健康咨询、健康监测等）、心理慰籍、协助社区医生定期为老人体检、开药等简单医疗服务。 </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3.1.3.4</w:t>
      </w:r>
      <w:r>
        <w:rPr>
          <w:rFonts w:hint="eastAsia" w:ascii="宋体" w:hAnsi="宋体" w:eastAsia="宋体" w:cs="宋体"/>
          <w:color w:val="000000"/>
          <w:sz w:val="24"/>
          <w:szCs w:val="24"/>
          <w:highlight w:val="none"/>
        </w:rPr>
        <w:t xml:space="preserve">教育咨询服务：通过知识讲座等向老人传授养老保健、养生、防诈骗、常见疾病预防、康复、法律、安全教育等，增强老人自我防范意识和自我保护能力。</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3.1.3.5</w:t>
      </w:r>
      <w:r>
        <w:rPr>
          <w:rFonts w:hint="eastAsia" w:ascii="宋体" w:hAnsi="宋体" w:eastAsia="宋体" w:cs="宋体"/>
          <w:color w:val="000000"/>
          <w:sz w:val="24"/>
          <w:szCs w:val="24"/>
          <w:highlight w:val="none"/>
        </w:rPr>
        <w:t xml:space="preserve">居家上门服务：鼓励日照中心延伸提供居家养老服务，提高养老资源的利用效率。</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3.1.3.6</w:t>
      </w:r>
      <w:r>
        <w:rPr>
          <w:rFonts w:hint="eastAsia" w:ascii="宋体" w:hAnsi="宋体" w:eastAsia="宋体" w:cs="宋体"/>
          <w:color w:val="000000"/>
          <w:sz w:val="24"/>
          <w:szCs w:val="24"/>
          <w:highlight w:val="none"/>
        </w:rPr>
        <w:t xml:space="preserve">其他服务：结合属地实际，根据镇、社区（村）相关要求，开展各类代办服务、便民服务、老人辅助器具租赁服务以及自行设置的特色服务。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运营管理要求：</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需使用区民政部门提供的各类养老运营平台。</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服务场所显眼位置公示服务项目、时间、收费、联系方式、投诉渠道等服务信息。</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有服务流程、服务承诺并上墙公示，包括但不限于日常服务管理制度、安全管理制度、人员管理制度等。</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rPr>
        <w:t xml:space="preserve">运营合同签订后一周内向镇、社区（村）提交各日间照料中心的年度和当月服务计划，每周活动计划应提前在日间照料中心进行公示。</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3.2.5</w:t>
      </w:r>
      <w:r>
        <w:rPr>
          <w:rFonts w:hint="eastAsia" w:ascii="宋体" w:hAnsi="宋体" w:eastAsia="宋体" w:cs="宋体"/>
          <w:color w:val="000000"/>
          <w:sz w:val="24"/>
          <w:szCs w:val="24"/>
          <w:highlight w:val="none"/>
        </w:rPr>
        <w:t xml:space="preserve">应制定突发事件应急预案，每半年组织一次演练，应急预案应包括但不限于老年人意外伤害应急预案，老年人突发疾病应急预案，消防应急预案，疫情防控预案等。</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3.2.6</w:t>
      </w:r>
      <w:r>
        <w:rPr>
          <w:rFonts w:hint="eastAsia" w:ascii="宋体" w:hAnsi="宋体" w:eastAsia="宋体" w:cs="宋体"/>
          <w:color w:val="000000"/>
          <w:sz w:val="24"/>
          <w:szCs w:val="24"/>
          <w:highlight w:val="none"/>
        </w:rPr>
        <w:t xml:space="preserve">在服务期间应确保老人及场所运行安全，若有事故发生,成交单位依法承担相关法律和民事责任；配合、协助当地公安机关进行安全监控和巡视等安保工作。</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3.2.7</w:t>
      </w:r>
      <w:r>
        <w:rPr>
          <w:rFonts w:hint="eastAsia" w:ascii="宋体" w:hAnsi="宋体" w:eastAsia="宋体" w:cs="宋体"/>
          <w:color w:val="000000"/>
          <w:sz w:val="24"/>
          <w:szCs w:val="24"/>
          <w:highlight w:val="none"/>
        </w:rPr>
        <w:t xml:space="preserve">做好所有活动的台账资料，积极配合甲方完成各日间照料中心的星级评价工作。</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3.2.8</w:t>
      </w:r>
      <w:r>
        <w:rPr>
          <w:rFonts w:hint="eastAsia" w:ascii="宋体" w:hAnsi="宋体" w:eastAsia="宋体" w:cs="宋体"/>
          <w:color w:val="000000"/>
          <w:sz w:val="24"/>
          <w:szCs w:val="24"/>
          <w:highlight w:val="none"/>
        </w:rPr>
        <w:t xml:space="preserve">在做好日照服务的基础上，配合政府相应行政服务职能，引导社区养老产业化、社会化发展，逐步形成市场化运行机制。</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合同签订后，乙方应深入社区（村）开展调研，了解各自的特点和需求，制定甲方认可的年度和月度服务计划。</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其他事项约定：</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乙方在运营期间必须服从服务点主管单位的工作安排。</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3.4.2</w:t>
      </w:r>
      <w:r>
        <w:rPr>
          <w:rFonts w:hint="eastAsia" w:ascii="宋体" w:hAnsi="宋体" w:eastAsia="宋体" w:cs="宋体"/>
          <w:color w:val="000000"/>
          <w:sz w:val="24"/>
          <w:szCs w:val="24"/>
          <w:highlight w:val="none"/>
        </w:rPr>
        <w:t xml:space="preserve">乙方不能开展与经营范围不相符或民政部门不允许开展的活动或服务。</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3.4.3</w:t>
      </w:r>
      <w:r>
        <w:rPr>
          <w:rFonts w:hint="eastAsia" w:ascii="宋体" w:hAnsi="宋体" w:eastAsia="宋体" w:cs="宋体"/>
          <w:color w:val="000000"/>
          <w:sz w:val="24"/>
          <w:szCs w:val="24"/>
          <w:highlight w:val="none"/>
        </w:rPr>
        <w:t xml:space="preserve">自定义的服务项目需报由服务点主管单位、镇级民政部门，得到同意后方可实施。</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3.4.4</w:t>
      </w:r>
      <w:r>
        <w:rPr>
          <w:rFonts w:hint="eastAsia" w:ascii="宋体" w:hAnsi="宋体" w:eastAsia="宋体" w:cs="宋体"/>
          <w:color w:val="000000"/>
          <w:sz w:val="24"/>
          <w:szCs w:val="24"/>
          <w:highlight w:val="none"/>
        </w:rPr>
        <w:t xml:space="preserve">乙方不能擅自使用镇民政部门规定以外的信息平台或系统。</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3.4.5</w:t>
      </w:r>
      <w:r>
        <w:rPr>
          <w:rFonts w:hint="eastAsia" w:ascii="宋体" w:hAnsi="宋体" w:eastAsia="宋体" w:cs="宋体"/>
          <w:color w:val="000000"/>
          <w:sz w:val="24"/>
          <w:szCs w:val="24"/>
          <w:highlight w:val="none"/>
        </w:rPr>
        <w:t xml:space="preserve">由政府部门投入的设施设备日常维修维护由乙方负责。</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3.4.6</w:t>
      </w:r>
      <w:r>
        <w:rPr>
          <w:rFonts w:hint="eastAsia" w:ascii="宋体" w:hAnsi="宋体" w:eastAsia="宋体" w:cs="宋体"/>
          <w:color w:val="000000"/>
          <w:sz w:val="24"/>
          <w:szCs w:val="24"/>
          <w:highlight w:val="none"/>
        </w:rPr>
        <w:t xml:space="preserve">因开展健康管理服务所需的设备、材料等物品由乙方自费购买。</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3.4.7</w:t>
      </w:r>
      <w:r>
        <w:rPr>
          <w:rFonts w:hint="eastAsia" w:ascii="宋体" w:hAnsi="宋体" w:eastAsia="宋体" w:cs="宋体"/>
          <w:color w:val="000000"/>
          <w:sz w:val="24"/>
          <w:szCs w:val="24"/>
          <w:highlight w:val="none"/>
        </w:rPr>
        <w:t xml:space="preserve">水电气费用、有线电视费用及网络通讯费等其它涉及运营所需费用，均由乙方负责。</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三、服务期限：一年，具体以采购单位通知入场时间为准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四、合同总价款及支付：</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合同总价款（大写）人民币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价款包括完成本项目所需的相关人工（包括工资和补贴）、社区活动服务费、办公场所及设施日常维修维护、技术支持与培训、水电气费用、有线电视费用及网络通讯费、信息平台的建设和运营等其它费用、保险、劳保、管理、各种税费、利润、税金、政策性文件规定及履行合同包含的所有风险、责任等各项应有费用。</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支付此项费用外不再承担其它任何费用（包括个人），乙方的服务人员代表乙方为甲方提供合同服务事项、履行本合同义务，故其薪金、福利、休假日补贴等应仅由乙方付给，与甲方无关，乙方指派的任何人员的任何财产损失或人身安全问题由乙方负全责，与甲方无关。</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确因甲方工作需要，乙方应无条件配合甲方完成一些突击工作。如：安排服务人员（内部）临时加班。</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费用支付：合同签订后一周内乙方提交运营点具体服务方案，且经甲方确认后，先服务后结算。甲方将根据甲方或甲方委托的第三方对乙方半年度考核和满意度调查结果，按考核实际情况调整半年度实际支付金额，实际总金额可能与合同总金额有差异。具体支付时间根据甲方财务安排。</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履约保证金：无。</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乙方要求付款应提供以下资料：乙方须提供合格的发票、考核资料等甲方要求的结算凭据。乙方未按要求提供的，甲方有权拒绝付款。</w:t>
      </w:r>
      <w:r>
        <w:rPr>
          <w:rFonts w:hint="eastAsia" w:ascii="宋体" w:hAnsi="宋体" w:eastAsia="宋体" w:cs="宋体"/>
          <w:color w:val="000000"/>
          <w:sz w:val="24"/>
          <w:szCs w:val="24"/>
          <w:highlight w:val="none"/>
        </w:rPr>
      </w:r>
      <w:r/>
    </w:p>
    <w:p>
      <w:pPr>
        <w:pStyle w:val="106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支付方式：银行转账等，具体支付方式甲方有权根据财务安排自主选择。</w:t>
      </w:r>
      <w:r>
        <w:rPr>
          <w:rFonts w:hint="eastAsia" w:ascii="宋体" w:hAnsi="宋体" w:eastAsia="宋体" w:cs="宋体"/>
          <w:color w:val="000000"/>
          <w:sz w:val="24"/>
          <w:szCs w:val="24"/>
          <w:highlight w:val="none"/>
        </w:rPr>
      </w:r>
      <w:r/>
    </w:p>
    <w:p>
      <w:pPr>
        <w:pStyle w:val="106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根据国家现行税法对甲方征收的与本合同有关税费由甲方承担；根据国家现行税法对乙方征收的与本合同有关的税费由乙方承担。</w:t>
      </w:r>
      <w:r>
        <w:rPr>
          <w:rFonts w:hint="eastAsia" w:ascii="宋体" w:hAnsi="宋体" w:eastAsia="宋体" w:cs="宋体"/>
          <w:color w:val="000000"/>
          <w:sz w:val="24"/>
          <w:szCs w:val="24"/>
          <w:highlight w:val="none"/>
        </w:rPr>
      </w:r>
      <w:r/>
    </w:p>
    <w:p>
      <w:pPr>
        <w:pStyle w:val="106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乙方须保证甲方在使用其提供的服务或其任何部分时不受到第三方提出的关于侵犯其版权、专利权、商标权或其他权利的指控或信访，一旦出现此类情况，乙方应负责与第三方交涉并承担可能发生的一切责任。</w:t>
      </w:r>
      <w:r>
        <w:rPr>
          <w:rFonts w:hint="eastAsia" w:ascii="宋体" w:hAnsi="宋体" w:eastAsia="宋体" w:cs="宋体"/>
          <w:color w:val="000000"/>
          <w:sz w:val="24"/>
          <w:szCs w:val="24"/>
          <w:highlight w:val="none"/>
        </w:rPr>
      </w:r>
      <w:r/>
    </w:p>
    <w:p>
      <w:pPr>
        <w:pStyle w:val="1065"/>
        <w:ind w:left="0" w:firstLine="482"/>
        <w:jc w:val="both"/>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五、考核与退出机制</w:t>
      </w:r>
      <w:r>
        <w:rPr>
          <w:rFonts w:hint="eastAsia" w:ascii="宋体" w:hAnsi="宋体" w:eastAsia="宋体" w:cs="宋体"/>
          <w:color w:val="000000"/>
          <w:sz w:val="24"/>
          <w:szCs w:val="24"/>
          <w:highlight w:val="none"/>
        </w:rPr>
      </w:r>
      <w:r/>
    </w:p>
    <w:p>
      <w:pPr>
        <w:pStyle w:val="1065"/>
        <w:ind w:left="0" w:firstLine="480"/>
        <w:jc w:val="both"/>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按照社区日间照料中心标准化建设要求和星级评价指标（吴民[2021]35号），经甲方或甲方委托的第三方对乙方进行考核和评价，不通过的，甲方有权利终止合同。考核标准及办法如下：</w:t>
      </w:r>
      <w:r>
        <w:rPr>
          <w:rFonts w:hint="eastAsia" w:ascii="宋体" w:hAnsi="宋体" w:eastAsia="宋体" w:cs="宋体"/>
          <w:color w:val="000000"/>
          <w:sz w:val="24"/>
          <w:szCs w:val="24"/>
          <w:highlight w:val="none"/>
        </w:rPr>
      </w:r>
      <w:r/>
    </w:p>
    <w:p>
      <w:pPr>
        <w:pStyle w:val="1065"/>
        <w:ind w:left="0" w:firstLine="480"/>
        <w:jc w:val="both"/>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考核以百分制为基准，除责令改正外，半年度得分在90分及以上不扣罚服务费；得分在85分~90分（不含）扣减该点位半年度服务费的1%；得分在80分~85分（不含）扣减该点位半年度服务费的2%；得分在70分~80分（不含）扣减该点位半年度服务费的3%；低于70分的扣减该点位半年度服务费的10%；一个年度内累计二次得分在70分以下，甲方有权终止合同。终止合同后包括但不限于为完成后续服务另外委托服务商所发生的费用均由乙方负责。考核评分表详见合同附件1。</w:t>
      </w:r>
      <w:r>
        <w:rPr>
          <w:rFonts w:hint="eastAsia" w:ascii="宋体" w:hAnsi="宋体" w:eastAsia="宋体" w:cs="宋体"/>
          <w:color w:val="000000"/>
          <w:sz w:val="24"/>
          <w:szCs w:val="24"/>
          <w:highlight w:val="none"/>
        </w:rPr>
      </w:r>
      <w:r/>
    </w:p>
    <w:p>
      <w:pPr>
        <w:pStyle w:val="112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甲方有权随时前往中心现场监督乙方服务管理工作，每半年对中心服务老人进行满意度调查，如乙方半年度满意度调查结果低于80%，甲方有权要求整改，整改无改正效果的，甲方有权终止合同。终止合同后包括但不限于为完成后续服务另外委托服务商所发生的额外费用均由乙方负责。</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tabs>
          <w:tab w:val="left" w:pos="540" w:leader="none"/>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六、双方权利和义务</w:t>
      </w:r>
      <w:r>
        <w:rPr>
          <w:rFonts w:hint="eastAsia" w:ascii="宋体" w:hAnsi="宋体" w:eastAsia="宋体" w:cs="宋体"/>
          <w:b/>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甲方的权利和义务</w:t>
      </w:r>
      <w:r>
        <w:rPr>
          <w:rFonts w:hint="eastAsia" w:ascii="宋体" w:hAnsi="宋体" w:eastAsia="宋体" w:cs="宋体"/>
          <w:bCs/>
          <w:color w:val="000000"/>
          <w:sz w:val="24"/>
          <w:szCs w:val="24"/>
          <w:highlight w:val="none"/>
          <w:lang w:val="zh-CN"/>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指导和监督乙方有效地履行本合同的各项条款。</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rPr>
        <w:t xml:space="preserve">审定乙方为履行本合同拟定的管理制度和管理章程，以及相应服务计划或方案等。</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tabs>
          <w:tab w:val="left" w:pos="42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rPr>
        <w:t xml:space="preserve">检查监督乙方管理工作的实施及制度的执行情况，对乙方违约、违规行为提出整改要求。</w:t>
      </w:r>
      <w:r>
        <w:rPr>
          <w:rFonts w:hint="eastAsia" w:ascii="宋体" w:hAnsi="宋体" w:eastAsia="宋体" w:cs="宋体"/>
          <w:color w:val="000000"/>
          <w:sz w:val="24"/>
          <w:szCs w:val="24"/>
          <w:highlight w:val="none"/>
          <w:lang w:val="zh-CN"/>
        </w:rPr>
      </w:r>
      <w:r/>
    </w:p>
    <w:p>
      <w:pPr>
        <w:pStyle w:val="1045"/>
        <w:ind w:left="0" w:firstLine="480"/>
        <w:jc w:val="both"/>
        <w:keepLines w:val="0"/>
        <w:keepNext w:val="0"/>
        <w:pageBreakBefore w:val="0"/>
        <w:spacing w:line="360" w:lineRule="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甲方每半年开展满意度调查并对乙方进行考核评定，如因乙方的服务不佳、管理不善或管理失误，造成人员损害或其他重大经济损失，甲方有权立即终止协议。</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tabs>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按照合同规定支付服务费用</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乙方的权利和义务</w:t>
      </w:r>
      <w:r>
        <w:rPr>
          <w:rFonts w:hint="eastAsia" w:ascii="宋体" w:hAnsi="宋体" w:eastAsia="宋体" w:cs="宋体"/>
          <w:bCs/>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zh-CN"/>
        </w:rPr>
        <w:t xml:space="preserve">根据有关法律、法规及本合同制订管理制度、相应服务计划、方案等。</w:t>
      </w:r>
      <w:r>
        <w:rPr>
          <w:rFonts w:hint="eastAsia" w:ascii="宋体" w:hAnsi="宋体" w:eastAsia="宋体" w:cs="宋体"/>
          <w:color w:val="000000"/>
          <w:sz w:val="24"/>
          <w:szCs w:val="24"/>
          <w:highlight w:val="none"/>
          <w:lang w:val="zh-CN"/>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严格按照合同约定全面、完整、及时履行合同的约定义务，实现合同预期目标。</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乙方对其工作人员或临时聘用或聘请人员的行为负责，并对员工或聘用、聘请人员的人身安全负责。</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zh-CN"/>
        </w:rPr>
        <w:t xml:space="preserve">乙方应对接受其服务的被照料对象的人身安全负责，严禁出现严重伤害被照料对象情形发生，</w:t>
      </w:r>
      <w:r>
        <w:rPr>
          <w:rFonts w:hint="eastAsia" w:ascii="宋体" w:hAnsi="宋体" w:eastAsia="宋体" w:cs="宋体"/>
          <w:color w:val="000000"/>
          <w:sz w:val="24"/>
          <w:szCs w:val="24"/>
          <w:highlight w:val="none"/>
        </w:rPr>
        <w:t xml:space="preserve">否则乙方将承担一切可能产生的后果</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未经提前申请并经甲方书面审批同意，乙方不得自行向服务对象及（或）其亲属开展其他与合同无关服务并收取费用。</w:t>
      </w:r>
      <w:r>
        <w:rPr>
          <w:rFonts w:hint="eastAsia" w:ascii="宋体" w:hAnsi="宋体" w:eastAsia="宋体" w:cs="宋体"/>
          <w:color w:val="000000"/>
          <w:sz w:val="24"/>
          <w:szCs w:val="24"/>
          <w:highlight w:val="none"/>
          <w:lang w:val="zh-CN"/>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乙方应对为履行本合同所知悉的甲方提供的不公开信息以及资料保密，应对因此获得的社区居民、群众的个人信息保密，且保密义务不因合同解除或终止而终止。</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项目磋商文件或响应文件对项目服务团队人员有特别约定的，以约定为准。</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乙方为运营管理责任主体，承担运营管理过程中的一切法律责任。运营场所要符合安全、消防、卫生及食品安全等有关要求，落实各项安全管理主体责任，并承担相应的法律责任。</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乙方负责承担本项目范围内的设施设备维护费用，包括物业、绿化养护等运营维护费用:如正常情况下发生的损坏或报废，需由双方共同检验并经甲方同意后报废。如因乙方使用不当，造成建筑物以及各项设施设备出现损毁、损坏或经有关部门认为有必要进行维修或更新时，乙方应负责及时进行维修或更新。乙方不能或不能完全承担维修责任时，甲方可代为维修，维修费用由乙方承担。</w:t>
      </w:r>
      <w:r>
        <w:rPr>
          <w:rFonts w:hint="eastAsia" w:ascii="宋体" w:hAnsi="宋体" w:eastAsia="宋体" w:cs="宋体"/>
          <w:color w:val="000000"/>
          <w:sz w:val="24"/>
          <w:szCs w:val="24"/>
          <w:highlight w:val="none"/>
          <w:lang w:val="zh-CN"/>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乙方应建立完整工作台账，及时将服务信息录入上级民政系统。</w:t>
      </w:r>
      <w:r>
        <w:rPr>
          <w:rFonts w:hint="eastAsia" w:ascii="宋体" w:hAnsi="宋体" w:eastAsia="宋体" w:cs="宋体"/>
          <w:color w:val="000000"/>
          <w:sz w:val="24"/>
          <w:szCs w:val="24"/>
          <w:highlight w:val="none"/>
          <w:lang w:val="zh-CN"/>
        </w:rPr>
        <w:t xml:space="preserve">本合同终止时，乙方应向甲方移交全部工作台账及其他全部档案资料，</w:t>
      </w:r>
      <w:r>
        <w:rPr>
          <w:rFonts w:hint="eastAsia" w:ascii="宋体" w:hAnsi="宋体" w:eastAsia="宋体" w:cs="宋体"/>
          <w:color w:val="000000"/>
          <w:sz w:val="24"/>
          <w:szCs w:val="24"/>
          <w:highlight w:val="none"/>
        </w:rPr>
        <w:t xml:space="preserve">如乙方另有配套使用的服务平台，其电子数据也应无偿移交给甲方</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lang w:val="zh-CN"/>
        </w:rPr>
        <w:t xml:space="preserve">乙方必须自己完成全部合同义务，不得转包、分包给第三方完成。</w:t>
      </w:r>
      <w:r>
        <w:rPr>
          <w:rFonts w:hint="eastAsia" w:ascii="宋体" w:hAnsi="宋体" w:eastAsia="宋体" w:cs="宋体"/>
          <w:color w:val="000000"/>
          <w:sz w:val="24"/>
          <w:szCs w:val="24"/>
          <w:highlight w:val="none"/>
          <w:lang w:val="zh-CN"/>
        </w:rPr>
      </w:r>
      <w:r/>
    </w:p>
    <w:p>
      <w:pPr>
        <w:pStyle w:val="1065"/>
        <w:ind w:left="0" w:firstLine="480"/>
        <w:jc w:val="both"/>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rPr>
        <w:t xml:space="preserve">在做好日照服务的基础上，配合政府相应行政服务职能，引导社区养老产业化、社会化发展，逐步形成市场化运行机制。</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七、违约责任</w:t>
      </w:r>
      <w:r>
        <w:rPr>
          <w:rFonts w:hint="eastAsia" w:ascii="宋体" w:hAnsi="宋体" w:eastAsia="宋体" w:cs="宋体"/>
          <w:b/>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合同一方不履行合同义务或者履行合同义务不符合约定的，应当承担继续履行、采取补救措施或者赔偿损失等违约责任，赔偿损失范围包括但不限于经济损失及为维权所发生诉讼费、律师费等合理开支与费用。</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乙方的违约责任</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乙方必须自己完成合同内容，不得转包、分包，否则，甲方有权按乙方根本违约不履行合同义务处理。</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乙方未按合同约定的质量标准和要求提供服务（含服务数量、质量、承诺提供的各类服务设施设备等），包括但不限于甲方和社区（村）自查发现、聘请第三方核查发现或被服务对象的有效投诉等，甲方有权要求乙方限期整改。如乙方严重违反合同约定的服务标准和质量，经催告限期整改仍不合格的，或因乙方原因造成被服务对象严重的人身损害的，乙方除应对受害方承担相应损失赔偿责任外，甲方还有权立即解除本合同并要求乙方向甲方支付合同总金额20%的违约金，若违约金仍不足以弥补甲方实际损失的，甲方还有权要求乙方补足。</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乙方未按服务进度要求完成服务工作（半年度考核得分在70分以下），累计达到2次的，甲方有权解除合同，乙方应向甲方支付合同总额20%的违约金，若违约金仍不足以弥补甲方实际损失的，甲方有权要求补足。</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乙方应执行国家有关规定，承担因乙方员工的生病、事故、伤残、死亡、劳动和临时劳务纠纷产生的一切法律后果（包括赔偿），甲方不承担任何相关责任。</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乙方如有损害被服务对象或其他居民、群众的合法权益的情形的，应承担相应赔偿责任；如因此造成甲方对外承担责任的，乙方应予全额赔偿。</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乙方如有擅自解除合同的，甲方除有权不再支付服务费用外，还可向乙方主张合同价款10%的违约金，违约金不足以弥补甲方损失的，乙方还应补足。</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甲方违约责任</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如因财政延迟支付或暂停支付等情况而未能及时支付的，甲方不承担违约责任。</w:t>
      </w:r>
      <w:r>
        <w:rPr>
          <w:rFonts w:hint="eastAsia" w:ascii="宋体" w:hAnsi="宋体" w:eastAsia="宋体" w:cs="宋体"/>
          <w:b/>
          <w:bCs/>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3.2</w:t>
      </w:r>
      <w:r>
        <w:rPr>
          <w:rFonts w:hint="eastAsia" w:ascii="宋体" w:hAnsi="宋体" w:eastAsia="宋体" w:cs="宋体"/>
          <w:b/>
          <w:bCs/>
          <w:color w:val="000000"/>
          <w:sz w:val="24"/>
          <w:szCs w:val="24"/>
          <w:highlight w:val="none"/>
        </w:rPr>
        <w:t xml:space="preserve">因上级政府机关命令或决定终止、所在地块规划变更或房屋自然损害等客观情况导致不适宜继续在指定地点开展服务等合理事由导致的合同全部或部分解除的，甲方不承担违约责任。</w:t>
      </w:r>
      <w:r>
        <w:rPr>
          <w:rFonts w:hint="eastAsia" w:ascii="宋体" w:hAnsi="宋体" w:eastAsia="宋体" w:cs="宋体"/>
          <w:b/>
          <w:bCs/>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八、不可抗力</w:t>
      </w:r>
      <w:r>
        <w:rPr>
          <w:rFonts w:hint="eastAsia" w:ascii="宋体" w:hAnsi="宋体" w:eastAsia="宋体" w:cs="宋体"/>
          <w:b/>
          <w:bCs/>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九、知识产权</w:t>
      </w:r>
      <w:r>
        <w:rPr>
          <w:rFonts w:hint="eastAsia" w:ascii="宋体" w:hAnsi="宋体" w:eastAsia="宋体" w:cs="宋体"/>
          <w:b/>
          <w:bCs/>
          <w:color w:val="000000"/>
          <w:sz w:val="24"/>
          <w:szCs w:val="24"/>
          <w:highlight w:val="none"/>
        </w:rPr>
      </w:r>
      <w:r/>
    </w:p>
    <w:p>
      <w:pPr>
        <w:pStyle w:val="1045"/>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甲方对所有乙方为本项目提供的服务和交付物及交付物中所有交付物、版权设计、专有知识、派生知识、方法、技术及文档材料共同享有其所有的产权、所有权及其它知识产权和权益。</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十、合同修改</w:t>
      </w:r>
      <w:r>
        <w:rPr>
          <w:rFonts w:hint="eastAsia" w:ascii="宋体" w:hAnsi="宋体" w:eastAsia="宋体" w:cs="宋体"/>
          <w:b/>
          <w:color w:val="000000"/>
          <w:sz w:val="24"/>
          <w:szCs w:val="24"/>
          <w:highlight w:val="none"/>
        </w:rPr>
      </w:r>
      <w:r/>
    </w:p>
    <w:p>
      <w:pPr>
        <w:pStyle w:val="1045"/>
        <w:ind w:left="0" w:firstLine="480"/>
        <w:jc w:val="both"/>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甲方和乙方都不得擅自变更本合同，但合同继续履行将损害国家和社会公共利益的除外。</w:t>
      </w:r>
      <w:r>
        <w:rPr>
          <w:rFonts w:hint="eastAsia" w:ascii="宋体" w:hAnsi="宋体" w:eastAsia="宋体" w:cs="宋体"/>
          <w:color w:val="000000"/>
          <w:sz w:val="24"/>
          <w:szCs w:val="24"/>
          <w:highlight w:val="none"/>
        </w:rPr>
      </w:r>
      <w:r/>
    </w:p>
    <w:p>
      <w:pPr>
        <w:pStyle w:val="1045"/>
        <w:ind w:left="0" w:firstLine="482"/>
        <w:jc w:val="both"/>
        <w:keepLines w:val="0"/>
        <w:keepNext w:val="0"/>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十一、</w:t>
      </w:r>
      <w:r>
        <w:rPr>
          <w:rFonts w:hint="eastAsia" w:ascii="宋体" w:hAnsi="宋体" w:eastAsia="宋体" w:cs="宋体"/>
          <w:b/>
          <w:bCs/>
          <w:color w:val="000000"/>
          <w:sz w:val="24"/>
          <w:szCs w:val="24"/>
          <w:highlight w:val="none"/>
        </w:rPr>
        <w:t xml:space="preserve">合同的解除和转让以及终止后相关事宜</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甲方和乙方协商一致，可以解除合同。</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有下列情形之一，合同一方可以解除合同：</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因合同一方根本违约导致合同不能履行，另一方有权解除合同。</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1126"/>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合同的部分和全部都不得转让。</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因乙方违约致甲方解除合同的，作为乙方承担违约责任的一部分，乙方应免费提供自解除合同日至甲方找到第三方接收之日期间的服务（即原合同中的义务，时间一般不超过三个月）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合同期限届满终止或因乙方原因、社会养老服务政策变化等情形导致合同全部或部分提前终止的，乙方所投入之必要设施、设备或其他物品，以及为项目场所所做适当装饰和装修等均归甲方所有继续留用，且甲方无需给付乙方任何赔偿或补偿。</w:t>
      </w:r>
      <w:r>
        <w:rPr>
          <w:rFonts w:hint="eastAsia" w:ascii="宋体" w:hAnsi="宋体" w:eastAsia="宋体" w:cs="宋体"/>
          <w:bCs/>
          <w:color w:val="000000"/>
          <w:sz w:val="24"/>
          <w:szCs w:val="24"/>
          <w:highlight w:val="none"/>
        </w:rPr>
      </w:r>
      <w:r/>
    </w:p>
    <w:p>
      <w:pPr>
        <w:pStyle w:val="1045"/>
        <w:ind w:left="0" w:firstLine="482"/>
        <w:jc w:val="both"/>
        <w:keepLines w:val="0"/>
        <w:keepNext w:val="0"/>
        <w:pageBreakBefore w:val="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十二、争议解决办法</w:t>
      </w:r>
      <w:r>
        <w:rPr>
          <w:rFonts w:hint="eastAsia" w:ascii="宋体" w:hAnsi="宋体" w:eastAsia="宋体" w:cs="宋体"/>
          <w:b/>
          <w:color w:val="000000"/>
          <w:sz w:val="24"/>
          <w:szCs w:val="24"/>
          <w:highlight w:val="none"/>
        </w:rPr>
      </w:r>
      <w:r/>
    </w:p>
    <w:p>
      <w:pPr>
        <w:pStyle w:val="1045"/>
        <w:ind w:left="0" w:firstLine="480"/>
        <w:jc w:val="both"/>
        <w:keepLines w:val="0"/>
        <w:keepNext w:val="0"/>
        <w:pageBreakBefore w:val="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本合同在履行过程中发生的争议，由双方当事人协商解决，亦可由当地行政主管部门调解，协商或调解不成时，可向项目所在地人民法院诉讼。</w:t>
      </w:r>
      <w:r>
        <w:rPr>
          <w:rFonts w:hint="eastAsia" w:ascii="宋体" w:hAnsi="宋体" w:eastAsia="宋体" w:cs="宋体"/>
          <w:color w:val="000000"/>
          <w:sz w:val="24"/>
          <w:szCs w:val="24"/>
          <w:highlight w:val="none"/>
          <w:lang w:val="zh-CN"/>
        </w:rPr>
      </w:r>
      <w:r/>
    </w:p>
    <w:p>
      <w:pPr>
        <w:pStyle w:val="1045"/>
        <w:ind w:left="0" w:firstLine="482"/>
        <w:jc w:val="both"/>
        <w:keepLines w:val="0"/>
        <w:keepNext w:val="0"/>
        <w:pageBreakBefore w:val="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十三、合同生效及其他</w:t>
      </w:r>
      <w:r>
        <w:rPr>
          <w:rFonts w:hint="eastAsia" w:ascii="宋体" w:hAnsi="宋体" w:eastAsia="宋体" w:cs="宋体"/>
          <w:b/>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本合同经双方法定（授权）代表人签字（或盖章）并盖单位公章（合同章）后生效，多页合同需甲、乙、采购代理机构加盖骑缝章，并经苏州市吴江区财政局政府采购办网上备案。</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采购合同履行中，甲乙双方需追加与合同标的相同的货物、工程或服务的，在不改变合同其他条款的前提下，可以双方协商签订补充合同，但所有补充合同的采购金额不得超过原合同采购金额的10%。 </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本合同一式</w:t>
      </w:r>
      <w:r>
        <w:rPr>
          <w:rFonts w:hint="eastAsia" w:ascii="宋体" w:hAnsi="宋体" w:eastAsia="宋体" w:cs="宋体"/>
          <w:color w:val="000000"/>
          <w:sz w:val="24"/>
          <w:szCs w:val="24"/>
          <w:highlight w:val="none"/>
        </w:rPr>
        <w:t xml:space="preserve">陆</w:t>
      </w:r>
      <w:r>
        <w:rPr>
          <w:rFonts w:hint="eastAsia" w:ascii="宋体" w:hAnsi="宋体" w:eastAsia="宋体" w:cs="宋体"/>
          <w:color w:val="000000"/>
          <w:sz w:val="24"/>
          <w:szCs w:val="24"/>
          <w:highlight w:val="none"/>
          <w:lang w:val="zh-CN"/>
        </w:rPr>
        <w:t xml:space="preserve">份，甲乙双方各执</w:t>
      </w:r>
      <w:r>
        <w:rPr>
          <w:rFonts w:hint="eastAsia" w:ascii="宋体" w:hAnsi="宋体" w:eastAsia="宋体" w:cs="宋体"/>
          <w:color w:val="000000"/>
          <w:sz w:val="24"/>
          <w:szCs w:val="24"/>
          <w:highlight w:val="none"/>
        </w:rPr>
        <w:t xml:space="preserve">贰</w:t>
      </w:r>
      <w:r>
        <w:rPr>
          <w:rFonts w:hint="eastAsia" w:ascii="宋体" w:hAnsi="宋体" w:eastAsia="宋体" w:cs="宋体"/>
          <w:color w:val="000000"/>
          <w:sz w:val="24"/>
          <w:szCs w:val="24"/>
          <w:highlight w:val="none"/>
          <w:lang w:val="zh-CN"/>
        </w:rPr>
        <w:t xml:space="preserve">份，</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代理机构、政府采购管理机构</w:t>
      </w:r>
      <w:r>
        <w:rPr>
          <w:rFonts w:hint="eastAsia" w:ascii="宋体" w:hAnsi="宋体" w:eastAsia="宋体" w:cs="宋体"/>
          <w:color w:val="000000"/>
          <w:sz w:val="24"/>
          <w:szCs w:val="24"/>
          <w:highlight w:val="none"/>
        </w:rPr>
        <w:t xml:space="preserve">各执壹</w:t>
      </w:r>
      <w:r>
        <w:rPr>
          <w:rFonts w:hint="eastAsia" w:ascii="宋体" w:hAnsi="宋体" w:eastAsia="宋体" w:cs="宋体"/>
          <w:color w:val="000000"/>
          <w:sz w:val="24"/>
          <w:szCs w:val="24"/>
          <w:highlight w:val="none"/>
          <w:lang w:val="zh-CN"/>
        </w:rPr>
        <w:t xml:space="preserve">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6"/>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本合同未尽事宜应按《中华人民共和国民法典》以及相关法律、法规之规定解释。本合同履行过程中产生的纪要、协议以及成交通知书、乙方的响应文件和磋商采购文件为本合同的附件，与本合同具有同等效力。</w:t>
      </w: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859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04"/>
        <w:gridCol w:w="3995"/>
      </w:tblGrid>
      <w:tr>
        <w:trPr>
          <w:trHeight w:val="603"/>
        </w:trPr>
        <w:tc>
          <w:tcPr>
            <w:tcBorders>
              <w:top w:val="none" w:color="000000" w:sz="0" w:space="0"/>
              <w:left w:val="none" w:color="000000" w:sz="0" w:space="0"/>
              <w:bottom w:val="none" w:color="000000" w:sz="0" w:space="0"/>
              <w:right w:val="none" w:color="000000" w:sz="0" w:space="0"/>
            </w:tcBorders>
            <w:tcW w:w="4604" w:type="dxa"/>
            <w:vAlign w:val="center"/>
            <w:textDirection w:val="lrTb"/>
            <w:noWrap w:val="false"/>
          </w:tcPr>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甲方（盖章）：</w:t>
            </w:r>
            <w:r>
              <w:rPr>
                <w:rFonts w:hint="eastAsia" w:ascii="宋体" w:hAnsi="宋体" w:eastAsia="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995" w:type="dxa"/>
            <w:vAlign w:val="center"/>
            <w:textDirection w:val="lrTb"/>
            <w:noWrap w:val="false"/>
          </w:tcPr>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乙方（盖章）：</w:t>
            </w:r>
            <w:r>
              <w:rPr>
                <w:rFonts w:hint="eastAsia" w:ascii="宋体" w:hAnsi="宋体" w:eastAsia="宋体" w:cs="宋体"/>
                <w:bCs/>
                <w:color w:val="000000"/>
                <w:sz w:val="24"/>
                <w:szCs w:val="24"/>
                <w:highlight w:val="none"/>
              </w:rPr>
            </w:r>
            <w:r/>
          </w:p>
        </w:tc>
      </w:tr>
      <w:tr>
        <w:trPr>
          <w:trHeight w:val="570"/>
        </w:trPr>
        <w:tc>
          <w:tcPr>
            <w:tcBorders>
              <w:top w:val="none" w:color="000000" w:sz="0" w:space="0"/>
              <w:left w:val="none" w:color="000000" w:sz="0" w:space="0"/>
              <w:bottom w:val="none" w:color="000000" w:sz="0" w:space="0"/>
              <w:right w:val="none" w:color="000000" w:sz="0" w:space="0"/>
            </w:tcBorders>
            <w:tcW w:w="4604" w:type="dxa"/>
            <w:vAlign w:val="center"/>
            <w:textDirection w:val="lrTb"/>
            <w:noWrap w:val="false"/>
          </w:tcPr>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法定代表人（授权代表）</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995" w:type="dxa"/>
            <w:vAlign w:val="center"/>
            <w:textDirection w:val="lrTb"/>
            <w:noWrap w:val="false"/>
          </w:tcPr>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法定代表人（授权代表）</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rPr>
            </w:r>
            <w:r/>
          </w:p>
        </w:tc>
      </w:tr>
      <w:tr>
        <w:trPr>
          <w:trHeight w:val="631"/>
        </w:trPr>
        <w:tc>
          <w:tcPr>
            <w:tcBorders>
              <w:top w:val="none" w:color="000000" w:sz="0" w:space="0"/>
              <w:left w:val="none" w:color="000000" w:sz="0" w:space="0"/>
              <w:bottom w:val="none" w:color="000000" w:sz="0" w:space="0"/>
              <w:right w:val="none" w:color="000000" w:sz="0" w:space="0"/>
            </w:tcBorders>
            <w:tcW w:w="4604" w:type="dxa"/>
            <w:vAlign w:val="center"/>
            <w:textDirection w:val="lrTb"/>
            <w:noWrap w:val="false"/>
          </w:tcPr>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签订日期：</w:t>
            </w:r>
            <w:r>
              <w:rPr>
                <w:rFonts w:hint="eastAsia" w:ascii="宋体" w:hAnsi="宋体" w:eastAsia="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995" w:type="dxa"/>
            <w:vAlign w:val="center"/>
            <w:textDirection w:val="lrTb"/>
            <w:noWrap w:val="false"/>
          </w:tcPr>
          <w:p>
            <w:pPr>
              <w:pStyle w:val="1045"/>
              <w:ind w:left="0" w:firstLine="480"/>
              <w:jc w:val="both"/>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签订日期：</w:t>
            </w:r>
            <w:r>
              <w:rPr>
                <w:rFonts w:hint="eastAsia" w:ascii="宋体" w:hAnsi="宋体" w:eastAsia="宋体" w:cs="宋体"/>
                <w:bCs/>
                <w:color w:val="000000"/>
                <w:sz w:val="24"/>
                <w:szCs w:val="24"/>
                <w:highlight w:val="none"/>
              </w:rPr>
            </w:r>
            <w:r/>
          </w:p>
        </w:tc>
      </w:tr>
    </w:tbl>
    <w:p>
      <w:pPr>
        <w:pStyle w:val="106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5"/>
        <w:ind w:left="0" w:firstLine="480"/>
        <w:jc w:val="both"/>
        <w:keepLines w:val="0"/>
        <w:keepNext w:val="0"/>
        <w:pageBreakBefore w:val="0"/>
        <w:spacing w:line="360" w:lineRule="auto"/>
        <w:rPr>
          <w:rFonts w:ascii="宋体" w:hAnsi="宋体" w:cs="宋体"/>
          <w:b/>
          <w:bCs/>
          <w:color w:val="000000"/>
          <w:szCs w:val="21"/>
          <w:highlight w:val="none"/>
        </w:rPr>
      </w:pPr>
      <w:r>
        <w:rPr>
          <w:rFonts w:hint="eastAsia" w:ascii="宋体" w:hAnsi="宋体" w:eastAsia="宋体" w:cs="宋体"/>
          <w:color w:val="000000"/>
          <w:sz w:val="24"/>
          <w:szCs w:val="24"/>
          <w:highlight w:val="none"/>
        </w:rPr>
        <w:br w:type="page" w:clear="all"/>
      </w:r>
      <w:r>
        <w:rPr>
          <w:rFonts w:hint="eastAsia" w:ascii="宋体" w:hAnsi="宋体" w:cs="宋体"/>
          <w:b/>
          <w:color w:val="000000"/>
          <w:sz w:val="24"/>
          <w:szCs w:val="24"/>
          <w:highlight w:val="none"/>
        </w:rPr>
        <w:t xml:space="preserve">合同</w:t>
      </w:r>
      <w:r>
        <w:rPr>
          <w:rFonts w:hint="eastAsia" w:ascii="宋体" w:hAnsi="宋体" w:cs="宋体"/>
          <w:b/>
          <w:bCs/>
          <w:color w:val="000000"/>
          <w:sz w:val="24"/>
          <w:szCs w:val="24"/>
          <w:highlight w:val="none"/>
        </w:rPr>
        <w:t xml:space="preserve">附件1：</w:t>
      </w:r>
      <w:r>
        <w:rPr>
          <w:rFonts w:ascii="宋体" w:hAnsi="宋体" w:cs="宋体"/>
          <w:b/>
          <w:bCs/>
          <w:color w:val="000000"/>
          <w:szCs w:val="21"/>
          <w:highlight w:val="none"/>
        </w:rPr>
      </w:r>
      <w:r/>
    </w:p>
    <w:p>
      <w:pPr>
        <w:pStyle w:val="1060"/>
        <w:jc w:val="center"/>
        <w:rPr>
          <w:rFonts w:ascii="宋体" w:hAnsi="宋体" w:cs="宋体"/>
          <w:b/>
          <w:bCs/>
          <w:color w:val="000000"/>
          <w:szCs w:val="21"/>
          <w:highlight w:val="none"/>
        </w:rPr>
      </w:pPr>
      <w:r>
        <w:rPr>
          <w:rFonts w:hint="eastAsia" w:ascii="宋体" w:hAnsi="宋体" w:cs="宋体"/>
          <w:b/>
          <w:bCs/>
          <w:color w:val="000000"/>
          <w:sz w:val="24"/>
          <w:szCs w:val="24"/>
          <w:highlight w:val="none"/>
        </w:rPr>
        <w:t xml:space="preserve">日间照料中心半年度考核方案</w:t>
      </w:r>
      <w:r>
        <w:rPr>
          <w:rFonts w:ascii="宋体" w:hAnsi="宋体" w:cs="宋体"/>
          <w:b/>
          <w:bCs/>
          <w:color w:val="000000"/>
          <w:szCs w:val="21"/>
          <w:highlight w:val="none"/>
        </w:rPr>
      </w:r>
      <w:r/>
    </w:p>
    <w:p>
      <w:pPr>
        <w:pStyle w:val="1061"/>
        <w:rPr>
          <w:rFonts w:ascii="宋体" w:hAnsi="宋体" w:cs="宋体"/>
          <w:b/>
          <w:bCs/>
          <w:color w:val="000000"/>
          <w:szCs w:val="21"/>
          <w:highlight w:val="none"/>
        </w:rPr>
      </w:pPr>
      <w:r>
        <w:rPr>
          <w:rFonts w:ascii="宋体" w:hAnsi="宋体" w:cs="宋体"/>
          <w:b/>
          <w:bCs/>
          <w:color w:val="000000"/>
          <w:szCs w:val="21"/>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为加快推进镇/社区养老服务质量和管理效能，根据《吴江区社区老年人日间照料中心等级划分和星级评价标准》等文件精神，结合镇/社区实际，制定日间照料中心考核方案，具体如下：</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一、职责分工</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苏州市吴江区七都镇人民政府（苏州市吴江区七都镇社会事业办公室）负责对辖区内日间照料中心进行指导、监督和半年度满意度调查工作；甲方或甲方委托的第三方对乙方进行考核，各社区（村）配合甲方的考核工作。</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二、考评对象</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eastAsia="宋体" w:cs="宋体"/>
          <w:b w:val="0"/>
          <w:bCs/>
          <w:color w:val="000000"/>
          <w:sz w:val="24"/>
          <w:szCs w:val="24"/>
          <w:highlight w:val="none"/>
          <w:lang w:eastAsia="zh-CN"/>
        </w:rPr>
        <w:t xml:space="preserve">七都镇综合为老服务中心、七都镇日间照料中心及七都镇美美驿站</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三、考评办法</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（一）考评内容：按照日常管理、服务状况、安全保障、整合社会资源、媒体宣传、一票否决、加分项目等方面进行考评。</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（二）考评方式：由甲方或甲方委托的第三方对乙方进行半年度考核管理和满意度调查，按照考核和满意度结果支付运营经费。</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四、考评标准（见附件）</w:t>
      </w:r>
      <w:r>
        <w:rPr>
          <w:rFonts w:ascii="宋体" w:hAnsi="宋体" w:cs="宋体"/>
          <w:color w:val="000000"/>
          <w:sz w:val="24"/>
          <w:szCs w:val="24"/>
          <w:highlight w:val="none"/>
        </w:rPr>
      </w:r>
      <w:r/>
    </w:p>
    <w:p>
      <w:pPr>
        <w:pStyle w:val="1045"/>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五、奖惩措施</w:t>
      </w:r>
      <w:r>
        <w:rPr>
          <w:rFonts w:ascii="宋体" w:hAnsi="宋体" w:cs="宋体"/>
          <w:color w:val="000000"/>
          <w:sz w:val="24"/>
          <w:szCs w:val="24"/>
          <w:highlight w:val="none"/>
        </w:rPr>
      </w:r>
      <w:r/>
    </w:p>
    <w:p>
      <w:pPr>
        <w:pStyle w:val="1060"/>
        <w:ind w:left="0" w:firstLine="480"/>
        <w:keepLines w:val="0"/>
        <w:keepNext w:val="0"/>
        <w:pageBreakBefore w:val="0"/>
        <w:spacing w:after="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考核以百分制为基准，除责令改正外，半年度得分在90分及以上不扣罚服务费；得分在85分~90分（不含）扣减该点位半年度服务费的1%；得分在80分~85分（不含）扣减该点位半年度服务费的2%；得分在70分~80分（不含）扣减该点位半年度服务费的3%；低于70分的扣减该点位半年度服务费的10%；一个年度内累计二次得分在70分以下，甲方有权终止合同。终止合同后包括但不限于为完成后续服务另外委托服务商所发生的费用均由乙方负责。</w:t>
      </w:r>
      <w:r>
        <w:rPr>
          <w:rFonts w:hint="eastAsia" w:ascii="宋体" w:hAnsi="宋体" w:cs="宋体"/>
          <w:color w:val="000000"/>
          <w:sz w:val="24"/>
          <w:szCs w:val="24"/>
          <w:highlight w:val="none"/>
        </w:rPr>
      </w:r>
      <w:r/>
    </w:p>
    <w:p>
      <w:pPr>
        <w:pStyle w:val="1060"/>
        <w:ind w:left="0" w:firstLine="480"/>
        <w:keepLines w:val="0"/>
        <w:keepNext w:val="0"/>
        <w:pageBreakBefore w:val="0"/>
        <w:spacing w:after="0" w:line="360" w:lineRule="auto"/>
        <w:widowControl w:val="off"/>
        <w:rPr>
          <w:color w:val="000000"/>
          <w:sz w:val="24"/>
          <w:szCs w:val="24"/>
          <w:highlight w:val="none"/>
        </w:rPr>
      </w:pPr>
      <w:r>
        <w:rPr>
          <w:rFonts w:hint="eastAsia" w:ascii="宋体" w:hAnsi="宋体" w:cs="宋体"/>
          <w:color w:val="000000"/>
          <w:sz w:val="24"/>
          <w:szCs w:val="24"/>
          <w:highlight w:val="none"/>
        </w:rPr>
        <w:t xml:space="preserve">（2）甲方有权随时前往中心现场监督乙方管理工作，每半年对中心服务老人进行满意度调查，如乙方半年度满意度调查结果低于80%，甲方有权要求整改，整改无效，甲方有权终止合同。终止合同后包括但不限于为完成后续服务另外委托服务商所发生的费用均由乙方负责。</w:t>
      </w:r>
      <w:r>
        <w:rPr>
          <w:color w:val="000000"/>
          <w:sz w:val="24"/>
          <w:szCs w:val="24"/>
          <w:highlight w:val="none"/>
        </w:rPr>
      </w:r>
      <w:r/>
    </w:p>
    <w:p>
      <w:pPr>
        <w:pStyle w:val="1045"/>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eastAsia="宋体" w:cs="宋体"/>
          <w:b/>
          <w:color w:val="000000"/>
          <w:sz w:val="24"/>
          <w:szCs w:val="24"/>
          <w:highlight w:val="none"/>
        </w:rPr>
        <w:t xml:space="preserve">合同附件2：</w:t>
      </w:r>
      <w:r>
        <w:rPr>
          <w:rFonts w:ascii="宋体" w:hAnsi="宋体" w:cs="宋体"/>
          <w:b/>
          <w:bCs/>
          <w:color w:val="000000"/>
          <w:szCs w:val="21"/>
          <w:highlight w:val="none"/>
        </w:rPr>
      </w:r>
      <w:r/>
    </w:p>
    <w:p>
      <w:pPr>
        <w:pStyle w:val="1045"/>
        <w:jc w:val="center"/>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吴江区一级社区日间照料中心标准化建设要求</w:t>
      </w:r>
      <w:r>
        <w:rPr>
          <w:rFonts w:ascii="宋体" w:hAnsi="宋体" w:cs="宋体"/>
          <w:b/>
          <w:bCs/>
          <w:color w:val="000000"/>
          <w:sz w:val="28"/>
          <w:szCs w:val="28"/>
          <w:highlight w:val="none"/>
        </w:rPr>
      </w:r>
      <w:r/>
    </w:p>
    <w:p>
      <w:pPr>
        <w:pStyle w:val="1097"/>
        <w:numPr>
          <w:ilvl w:val="0"/>
          <w:numId w:val="0"/>
        </w:numPr>
        <w:rPr>
          <w:rFonts w:ascii="宋体" w:hAnsi="宋体" w:cs="宋体"/>
          <w:b/>
          <w:color w:val="000000"/>
          <w:szCs w:val="21"/>
          <w:highlight w:val="none"/>
        </w:rPr>
      </w:pPr>
      <w:r>
        <w:rPr>
          <w:rFonts w:ascii="宋体" w:hAnsi="宋体" w:cs="宋体"/>
          <w:b/>
          <w:color w:val="000000"/>
          <w:sz w:val="21"/>
          <w:szCs w:val="21"/>
          <w:highlight w:val="none"/>
          <w:lang w:val="en-US" w:eastAsia="zh-CN" w:bidi="ar-SA"/>
        </w:rPr>
        <w:t xml:space="preserve">1.</w:t>
      </w:r>
      <w:r>
        <w:rPr>
          <w:rFonts w:hint="eastAsia" w:ascii="宋体" w:hAnsi="宋体" w:cs="宋体"/>
          <w:b/>
          <w:color w:val="000000"/>
          <w:szCs w:val="21"/>
          <w:highlight w:val="none"/>
        </w:rPr>
        <w:t xml:space="preserve">一级社区日间照料中心的功能定位表</w:t>
      </w:r>
      <w:r>
        <w:rPr>
          <w:rFonts w:ascii="宋体" w:hAnsi="宋体" w:cs="宋体"/>
          <w:b/>
          <w:color w:val="000000"/>
          <w:szCs w:val="21"/>
          <w:highlight w:val="none"/>
        </w:rPr>
      </w:r>
      <w:r/>
    </w:p>
    <w:tbl>
      <w:tblPr>
        <w:tblStyle w:val="1076"/>
        <w:tblW w:w="51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642"/>
        <w:gridCol w:w="4807"/>
        <w:gridCol w:w="2113"/>
      </w:tblGrid>
      <w:tr>
        <w:trPr/>
        <w:tc>
          <w:tcPr>
            <w:tcW w:w="510"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大类</w:t>
            </w:r>
            <w:r>
              <w:rPr>
                <w:rFonts w:ascii="宋体" w:hAnsi="宋体" w:cs="宋体"/>
                <w:b/>
                <w:color w:val="000000"/>
                <w:szCs w:val="21"/>
                <w:highlight w:val="none"/>
              </w:rPr>
            </w:r>
            <w:r/>
          </w:p>
        </w:tc>
        <w:tc>
          <w:tcPr>
            <w:tcW w:w="861"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功能细分</w:t>
            </w:r>
            <w:r>
              <w:rPr>
                <w:rFonts w:ascii="宋体" w:hAnsi="宋体" w:cs="宋体"/>
                <w:b/>
                <w:color w:val="000000"/>
                <w:szCs w:val="21"/>
                <w:highlight w:val="none"/>
              </w:rPr>
            </w:r>
            <w:r/>
          </w:p>
        </w:tc>
        <w:tc>
          <w:tcPr>
            <w:tcW w:w="2521"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功能简要说明</w:t>
            </w:r>
            <w:r>
              <w:rPr>
                <w:rFonts w:ascii="宋体" w:hAnsi="宋体" w:cs="宋体"/>
                <w:b/>
                <w:color w:val="000000"/>
                <w:szCs w:val="21"/>
                <w:highlight w:val="none"/>
              </w:rPr>
            </w:r>
            <w:r/>
          </w:p>
        </w:tc>
        <w:tc>
          <w:tcPr>
            <w:tcW w:w="1108"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服务对象</w:t>
            </w:r>
            <w:r>
              <w:rPr>
                <w:rFonts w:ascii="宋体" w:hAnsi="宋体" w:cs="宋体"/>
                <w:b/>
                <w:color w:val="000000"/>
                <w:szCs w:val="21"/>
                <w:highlight w:val="none"/>
              </w:rPr>
            </w:r>
            <w:r/>
          </w:p>
        </w:tc>
      </w:tr>
      <w:tr>
        <w:trPr/>
        <w:tc>
          <w:tcPr>
            <w:tcW w:w="51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功能</w:t>
            </w: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文体娱乐与教育咨询服务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提供阅览、绘画、书法、上网、健身、游戏、手工制作等文体娱乐及教育咨询服务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居住在当地满60周岁的自理老人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生活照料/照护服务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提供个人护理、助浴、助洁、协助如厕、服药等生活照料照护服务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有生活照护需求的老年人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膳食餐饮服务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提供膳食加工、配送餐、集中用餐等服务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有助餐需求的老人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康复保健服务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健康管理、预防保健、心理保健、医疗护理等</w:t>
            </w:r>
            <w:r>
              <w:rPr>
                <w:rFonts w:ascii="宋体" w:hAnsi="宋体" w:cs="宋体"/>
                <w:color w:val="000000"/>
                <w:szCs w:val="21"/>
                <w:highlight w:val="none"/>
              </w:rPr>
            </w:r>
            <w:r/>
          </w:p>
        </w:tc>
        <w:tc>
          <w:tcPr>
            <w:tcW w:w="1108" w:type="dxa"/>
            <w:vAlign w:val="center"/>
            <w:vMerge w:val="restart"/>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有需求的老人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老人辅具租赁服务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提供适合老人的移动辅具、护理床、医疗辅助器具、个人生活自理和防护辅助器具等的租赁服务</w:t>
            </w:r>
            <w:r>
              <w:rPr>
                <w:rFonts w:ascii="宋体" w:hAnsi="宋体" w:cs="宋体"/>
                <w:color w:val="000000"/>
                <w:szCs w:val="21"/>
                <w:highlight w:val="none"/>
              </w:rPr>
            </w:r>
            <w:r/>
          </w:p>
        </w:tc>
        <w:tc>
          <w:tcPr>
            <w:tcW w:w="1108"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委托代办服务</w:t>
            </w:r>
            <w:r>
              <w:rPr>
                <w:rFonts w:ascii="宋体" w:hAnsi="宋体" w:cs="宋体"/>
                <w:color w:val="000000"/>
                <w:szCs w:val="21"/>
                <w:highlight w:val="none"/>
              </w:rPr>
            </w:r>
            <w:r/>
          </w:p>
        </w:tc>
        <w:tc>
          <w:tcPr>
            <w:tcW w:w="2521" w:type="dxa"/>
            <w:vAlign w:val="center"/>
            <w:textDirection w:val="lrTb"/>
            <w:noWrap w:val="false"/>
          </w:tcPr>
          <w:p>
            <w:pPr>
              <w:pStyle w:val="1045"/>
              <w:widowControl/>
              <w:rPr>
                <w:rFonts w:ascii="宋体" w:hAnsi="宋体" w:cs="宋体"/>
                <w:color w:val="000000"/>
                <w:szCs w:val="21"/>
                <w:highlight w:val="none"/>
              </w:rPr>
            </w:pPr>
            <w:r>
              <w:rPr>
                <w:rFonts w:hint="eastAsia" w:ascii="宋体" w:hAnsi="宋体" w:cs="宋体"/>
                <w:color w:val="000000"/>
                <w:szCs w:val="21"/>
                <w:highlight w:val="none"/>
              </w:rPr>
              <w:t xml:space="preserve">代购、代领物品、代缴费用、代配药等服务</w:t>
            </w:r>
            <w:r>
              <w:rPr>
                <w:rFonts w:ascii="宋体" w:hAnsi="宋体" w:cs="宋体"/>
                <w:color w:val="000000"/>
                <w:szCs w:val="21"/>
                <w:highlight w:val="none"/>
              </w:rPr>
            </w:r>
            <w:r/>
          </w:p>
        </w:tc>
        <w:tc>
          <w:tcPr>
            <w:tcW w:w="1108"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居家上门/长护险服务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生活护理、助餐、助浴、助洁、洗涤、助行、代办、康复辅助、相谈、助医等服务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有生活照料需求的居家老人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社区嵌入养老服务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提供包括生活照料、养老机构的专业化服务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生活不能完全自理老人</w:t>
            </w:r>
            <w:r>
              <w:rPr>
                <w:rFonts w:ascii="宋体" w:hAnsi="宋体" w:cs="宋体"/>
                <w:color w:val="000000"/>
                <w:szCs w:val="21"/>
                <w:highlight w:val="none"/>
              </w:rPr>
            </w:r>
            <w:r/>
          </w:p>
        </w:tc>
      </w:tr>
      <w:tr>
        <w:trPr/>
        <w:tc>
          <w:tcPr>
            <w:tcW w:w="51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管理</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功能</w:t>
            </w: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信息平台及养老咨询</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搜集、整合域内老人及养老资源信息并动态更新，发挥上传下达的养老信息沟通和顾问角色</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相关主管部门及下级中心及有需要的老人</w:t>
            </w:r>
            <w:r>
              <w:rPr>
                <w:rFonts w:ascii="宋体" w:hAnsi="宋体" w:cs="宋体"/>
                <w:color w:val="000000"/>
                <w:szCs w:val="21"/>
                <w:highlight w:val="none"/>
              </w:rPr>
            </w:r>
            <w:r/>
          </w:p>
        </w:tc>
      </w:tr>
      <w:tr>
        <w:trPr>
          <w:trHeight w:val="634"/>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业务指导功能</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协助下级中心开展标准化建设工作</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指导下级中心开展规范化、多样化的运营业务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二、三级中心</w:t>
            </w:r>
            <w:r>
              <w:rPr>
                <w:rFonts w:ascii="宋体" w:hAnsi="宋体" w:cs="宋体"/>
                <w:color w:val="000000"/>
                <w:szCs w:val="21"/>
                <w:highlight w:val="none"/>
              </w:rPr>
            </w:r>
            <w:r/>
          </w:p>
        </w:tc>
      </w:tr>
    </w:tbl>
    <w:p>
      <w:pPr>
        <w:pStyle w:val="1045"/>
        <w:spacing w:line="300" w:lineRule="auto"/>
        <w:rPr>
          <w:rFonts w:ascii="楷体_GB2312" w:eastAsia="楷体_GB2312"/>
          <w:b/>
          <w:color w:val="000000"/>
          <w:szCs w:val="21"/>
          <w:highlight w:val="none"/>
        </w:rPr>
      </w:pPr>
      <w:r>
        <w:rPr>
          <w:rFonts w:ascii="楷体_GB2312" w:eastAsia="楷体_GB2312"/>
          <w:b/>
          <w:color w:val="000000"/>
          <w:szCs w:val="21"/>
          <w:highlight w:val="none"/>
        </w:rPr>
      </w:r>
      <w:r/>
    </w:p>
    <w:p>
      <w:pPr>
        <w:pStyle w:val="1045"/>
        <w:rPr>
          <w:rFonts w:ascii="宋体" w:hAnsi="宋体" w:cs="宋体"/>
          <w:b/>
          <w:color w:val="000000"/>
          <w:szCs w:val="21"/>
          <w:highlight w:val="none"/>
        </w:rPr>
      </w:pPr>
      <w:r>
        <w:rPr>
          <w:rFonts w:hint="eastAsia" w:ascii="宋体" w:hAnsi="宋体" w:cs="宋体"/>
          <w:b/>
          <w:color w:val="000000"/>
          <w:szCs w:val="21"/>
          <w:highlight w:val="none"/>
        </w:rPr>
        <w:t xml:space="preserve">2.一级日间照料中心服务清单表</w:t>
      </w:r>
      <w:r>
        <w:rPr>
          <w:rFonts w:ascii="宋体" w:hAnsi="宋体" w:cs="宋体"/>
          <w:b/>
          <w:color w:val="000000"/>
          <w:szCs w:val="21"/>
          <w:highlight w:val="none"/>
        </w:rPr>
      </w:r>
      <w:r/>
    </w:p>
    <w:tbl>
      <w:tblPr>
        <w:tblStyle w:val="1076"/>
        <w:tblW w:w="95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879"/>
        <w:gridCol w:w="8229"/>
      </w:tblGrid>
      <w:tr>
        <w:trPr/>
        <w:tc>
          <w:tcPr>
            <w:tcW w:w="427"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服务大类</w:t>
            </w:r>
            <w:r>
              <w:rPr>
                <w:rFonts w:ascii="宋体" w:hAnsi="宋体" w:cs="宋体"/>
                <w:b/>
                <w:color w:val="000000"/>
                <w:szCs w:val="21"/>
                <w:highlight w:val="none"/>
              </w:rPr>
            </w:r>
            <w:r/>
          </w:p>
        </w:tc>
        <w:tc>
          <w:tcPr>
            <w:tcW w:w="879"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小类</w:t>
            </w:r>
            <w:r>
              <w:rPr>
                <w:rFonts w:ascii="宋体" w:hAnsi="宋体" w:cs="宋体"/>
                <w:b/>
                <w:color w:val="000000"/>
                <w:szCs w:val="21"/>
                <w:highlight w:val="none"/>
              </w:rPr>
            </w:r>
            <w:r/>
          </w:p>
        </w:tc>
        <w:tc>
          <w:tcPr>
            <w:tcW w:w="8229"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服务内容与要求</w:t>
            </w:r>
            <w:r>
              <w:rPr>
                <w:rFonts w:ascii="宋体" w:hAnsi="宋体" w:cs="宋体"/>
                <w:b/>
                <w:color w:val="000000"/>
                <w:szCs w:val="21"/>
                <w:highlight w:val="none"/>
              </w:rPr>
            </w:r>
            <w:r/>
          </w:p>
        </w:tc>
      </w:tr>
      <w:tr>
        <w:trPr/>
        <w:tc>
          <w:tcPr>
            <w:tcW w:w="42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文</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体</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娱</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乐</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阅读</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活动</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提供书籍、报刊阅读场地，组织引导阅读比赛活动，营造读书环境。要求：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提供适合老人阅读的书籍、报刊等读物；</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安静、舒适的活动场所；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定期举办阅读活动吸引老人阅读的兴趣； </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书画</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展览</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为书画爱好者提供沙龙场地及书画展览及书画培训等活动。</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戏曲</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活动</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组织戏曲相关表演，提供声乐、戏曲、二胡、舞蹈、茶道等活动场所，引导组建戏曲、二胡、舞蹈、唱歌、聊天等各种文体娱乐小组。</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根据老人兴趣，内容尽可能多样化、丰富化；</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引导老人多参与。</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手工</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活动</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组织学习剪纸、插花、丝网花、编织、烘焙、园艺、DIY等各种手工制作活动。</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每周至少安排一次，每年不少于52次；</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活动安排提前告知。</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娱乐</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活动</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组织举办或培训老人参与围棋、跳棋、象棋、五子棋等活动，每年4次。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活动场所干净整洁、保持空气流动；</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提供至少5种工具；</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引导健康的活动，禁止赌博等违法违规活动。</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体能</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训练</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组织健身操、手指操、舞蹈、球类活动、户外健身等体能锻炼活动，每年12次。要求：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活动不能过于剧烈，适合老人身体状况；</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要有服务人员引导和旁边查看，以防意外发生；</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运动器材要定期检修。</w:t>
            </w:r>
            <w:r>
              <w:rPr>
                <w:rFonts w:ascii="宋体" w:hAnsi="宋体" w:cs="宋体"/>
                <w:color w:val="000000"/>
                <w:szCs w:val="21"/>
                <w:highlight w:val="none"/>
              </w:rPr>
            </w:r>
            <w:r/>
          </w:p>
        </w:tc>
      </w:tr>
      <w:tr>
        <w:trPr>
          <w:trHeight w:val="90"/>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社团</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活动</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根据老人的业余兴趣爱好，引导创建各类文体活动的专业社团。</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节日</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活动</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在春节、重阳节、中秋节以及老人生日等特定日期组织慰问老人或特殊人群活动，每年12次，总服务人数不少于48人。</w:t>
            </w:r>
            <w:r>
              <w:rPr>
                <w:rFonts w:ascii="宋体" w:hAnsi="宋体" w:cs="宋体"/>
                <w:color w:val="000000"/>
                <w:szCs w:val="21"/>
                <w:highlight w:val="none"/>
              </w:rPr>
            </w:r>
            <w:r/>
          </w:p>
        </w:tc>
      </w:tr>
      <w:tr>
        <w:trPr/>
        <w:tc>
          <w:tcPr>
            <w:tcW w:w="42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生</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照</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料</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与</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照</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护</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膳食</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餐饮</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助餐/送餐服务。要求：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符合食品安全规定；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符合老人饮食习惯及营养需求；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每日至少3种以上选择，一周不重样；</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食谱及费用标准提前公布；</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5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相关服务人员有健康证明。</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助浴</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机构专业化助浴服务。要求：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要防寒保暖、防暑降温及浴室内通风；</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服务人员受过专门训练；</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注意防止老人摔倒及其他意外情形发生。</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洗涤</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衣物洗涤服务包括洗涤、烘干、熨烫及取衣、送衣等服务。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洗涤前检查被洗衣物的性状并告知老年人或家属</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衣物分类清洗、晾晒；</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送洗注意标示清楚，按时送还；</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贵重衣物洗涤需有特别约定。</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日间</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休息</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提供老人午间休息位及照看服务。</w:t>
            </w:r>
            <w:r>
              <w:rPr>
                <w:rFonts w:ascii="宋体" w:hAnsi="宋体" w:cs="宋体"/>
                <w:color w:val="000000"/>
                <w:szCs w:val="21"/>
                <w:highlight w:val="none"/>
              </w:rPr>
            </w:r>
            <w:r/>
          </w:p>
          <w:p>
            <w:pPr>
              <w:pStyle w:val="1045"/>
              <w:widowControl/>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休息室干净、整洁、环境适宜；</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休息位摆放有序，避免老年人发生磕碰或摔倒，提供午休所需棉被、毛毯等；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定时查看，预防意外发生。</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生活护理（日/全托）</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协助老人洗漱、沐浴、擦身、修剪指（趾）甲、剃须、整理仪表仪容等个人卫生护理及衣物、被服清洁等生活起居护理服务。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个人卫生和生活起居应协助到位，</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保持容貌整洁、衣着适度、指(趾)甲整洁、无异味，生活起居用具干净、整洁。</w:t>
            </w:r>
            <w:r>
              <w:rPr>
                <w:rFonts w:ascii="宋体" w:hAnsi="宋体" w:cs="宋体"/>
                <w:color w:val="000000"/>
                <w:szCs w:val="21"/>
                <w:highlight w:val="none"/>
              </w:rPr>
            </w:r>
            <w:r/>
          </w:p>
        </w:tc>
      </w:tr>
      <w:tr>
        <w:trPr/>
        <w:tc>
          <w:tcPr>
            <w:tcW w:w="42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康</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复</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保</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健</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类</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档案</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为服务对象建立健康信息档案、开展健康状况评估，并根据需求制定个性化的照护计划。</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对健康数据跟踪及动态管理；</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不泄露健康档案信息。</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健康监测与体检</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为老人和残疾人提供测血压、心率、体重等基础性体检服务，每年12次。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测量血压、血糖及体温等服务时，按照医疗卫生部门相关规定操作；</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协助社区医生开展定期医疗体检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正确测量血压、体温、脉搏、呼吸和血糖等。</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咨询</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为服务对象提供常见病、季节病、慢性病的管理及预防知识以及营养、健康保健知识咨询，每年4次。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要求：咨询服务应该由相关领域的专业人员提供。</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保健</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提供按摩、肌力训练、以及理疗、刮痧、针灸等中医保健服务，每年4次。要求：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所用器材符合国家安全规定；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由经过训练的专业人员指导或提供。</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康复</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辅助</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开展康复讲座、需求指导、康复锻炼等，借助康复器具向老人、残疾人提供群体康复和个体康复辅助服务。服务要求：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配置适合老年人、残疾人的康复器材，如上肢牵引器、扭腰器、伸背器、太空漫步器、太极云手等；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应有专业人员指导；</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应符合老年人和残疾人的生理心理特点，注意观察老年人和残疾人的身体适应情况，防止损伤。</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助医</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邀请有资质的医生定期到中心或陪同老人和残疾人去医疗机构开展常见病、慢性病的就诊或代为配药等，每年12次。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符合国家医疗服务的相关规定；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限于常见病、慢性病以及辅助性检查和门诊注射、换药等；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及时向老人和残疾儿女家属或其他监护人反馈就诊情况；</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代为配药应做到当面清点钱款和药物等。</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心理慰藉服务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每年开展4次老年人和残疾人心理慰藉服务，包括交流、沟通、相谈，开展情绪疏导、心理咨询、危机干预等精神支持服务。要求：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尊重并保护个人隐私等；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宜由心理咨询师、社会工作者等专业人员提供 。</w:t>
            </w:r>
            <w:r>
              <w:rPr>
                <w:rFonts w:ascii="宋体" w:hAnsi="宋体" w:cs="宋体"/>
                <w:color w:val="000000"/>
                <w:szCs w:val="21"/>
                <w:highlight w:val="none"/>
              </w:rPr>
            </w:r>
            <w:r/>
          </w:p>
        </w:tc>
      </w:tr>
      <w:tr>
        <w:trPr/>
        <w:tc>
          <w:tcPr>
            <w:tcW w:w="42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教</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育</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咨</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询</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老年</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课堂</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每年开展4次线上线下老年课堂，开展法律、科学养生、医疗保健等各类知识更新和技能培训和辅导。要求：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课堂内容、形式和时长适合老人；</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培训宜由专业人士开展。</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知识</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讲座</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每年开展12次适合老年人的各类公益讲座，如健康宣教、保健与营养知识、慢病管理、防诈骗等讲座。要求：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讲座内容兼顾老人需求和时代性；</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讲座宜由专业人士开展。</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养老咨询顾问服务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为老人提供养老政策、养老方式选择、老年生活常见问题等方面的咨询服务。要求：由具备有多年行业从业经验的专业养老人士承担。</w:t>
            </w:r>
            <w:r>
              <w:rPr>
                <w:rFonts w:ascii="宋体" w:hAnsi="宋体" w:cs="宋体"/>
                <w:color w:val="000000"/>
                <w:szCs w:val="21"/>
                <w:highlight w:val="none"/>
              </w:rPr>
            </w:r>
            <w:r/>
          </w:p>
        </w:tc>
      </w:tr>
      <w:tr>
        <w:trPr>
          <w:trHeight w:val="267"/>
        </w:trPr>
        <w:tc>
          <w:tcPr>
            <w:tcW w:w="427"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居家上门服务</w:t>
            </w: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物业+养老</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结合物业服务公司或自行开展便民服务进家门（上门探访、维修、检测水电、消防安全排查等），每年12次。</w:t>
            </w:r>
            <w:r>
              <w:rPr>
                <w:rFonts w:ascii="宋体" w:hAnsi="宋体" w:cs="宋体"/>
                <w:color w:val="000000"/>
                <w:szCs w:val="21"/>
                <w:highlight w:val="none"/>
              </w:rPr>
            </w:r>
            <w:r/>
          </w:p>
        </w:tc>
      </w:tr>
      <w:tr>
        <w:trPr>
          <w:trHeight w:val="267"/>
        </w:trPr>
        <w:tc>
          <w:tcPr>
            <w:tcW w:w="427" w:type="dxa"/>
            <w:vAlign w:val="center"/>
            <w:vMerge w:val="continue"/>
            <w:textDirection w:val="lrTb"/>
            <w:noWrap w:val="false"/>
          </w:tcPr>
          <w:p>
            <w:pPr>
              <w:pStyle w:val="1045"/>
              <w:jc w:val="center"/>
              <w:rPr>
                <w:color w:val="000000"/>
                <w:highlight w:val="none"/>
              </w:rPr>
            </w:pPr>
            <w:r>
              <w:rPr>
                <w:color w:val="000000"/>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居家</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根据当地民政部门居家养老服务规范执行。</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长护险服务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根据当地医保部门长护险相关服务规范执行。</w:t>
            </w:r>
            <w:r>
              <w:rPr>
                <w:rFonts w:ascii="宋体" w:hAnsi="宋体" w:cs="宋体"/>
                <w:color w:val="000000"/>
                <w:szCs w:val="21"/>
                <w:highlight w:val="none"/>
              </w:rPr>
            </w:r>
            <w:r/>
          </w:p>
        </w:tc>
      </w:tr>
      <w:tr>
        <w:trPr/>
        <w:tc>
          <w:tcPr>
            <w:tcW w:w="42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其</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他</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务</w:t>
            </w: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辅具租赁服务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至少提供五种以上的老人辅助器材的租借服务。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事先明确租赁费用；</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签订租赁合同，明确双方权利和义务。</w:t>
            </w:r>
            <w:r>
              <w:rPr>
                <w:rFonts w:ascii="宋体" w:hAnsi="宋体" w:cs="宋体"/>
                <w:color w:val="000000"/>
                <w:szCs w:val="21"/>
                <w:highlight w:val="none"/>
              </w:rPr>
            </w:r>
            <w:r/>
          </w:p>
        </w:tc>
      </w:tr>
      <w:tr>
        <w:trPr>
          <w:trHeight w:val="980"/>
        </w:trPr>
        <w:tc>
          <w:tcPr>
            <w:tcW w:w="427" w:type="dxa"/>
            <w:vAlign w:val="center"/>
            <w:vMerge w:val="continue"/>
            <w:textDirection w:val="lrTb"/>
            <w:noWrap w:val="false"/>
          </w:tcPr>
          <w:p>
            <w:pPr>
              <w:pStyle w:val="1045"/>
              <w:jc w:val="center"/>
              <w:rPr>
                <w:rFonts w:ascii="宋体" w:hAnsi="宋体" w:cs="宋体"/>
                <w:b/>
                <w:color w:val="000000"/>
                <w:szCs w:val="21"/>
                <w:highlight w:val="none"/>
              </w:rPr>
            </w:pPr>
            <w:r>
              <w:rPr>
                <w:rFonts w:ascii="宋体" w:hAnsi="宋体" w:cs="宋体"/>
                <w:b/>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代办</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代为采购、缴费、预约车辆、网购等网上服务。</w:t>
            </w:r>
            <w:r>
              <w:rPr>
                <w:rFonts w:ascii="宋体" w:hAnsi="宋体" w:cs="宋体"/>
                <w:color w:val="000000"/>
                <w:szCs w:val="21"/>
                <w:highlight w:val="none"/>
              </w:rPr>
            </w:r>
            <w:r/>
          </w:p>
          <w:p>
            <w:pPr>
              <w:pStyle w:val="1045"/>
              <w:widowControl/>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代办服务范围一般为日常生活事务；</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应当面清点钱物、证件、单据等。</w:t>
            </w:r>
            <w:r>
              <w:rPr>
                <w:rFonts w:ascii="宋体" w:hAnsi="宋体" w:cs="宋体"/>
                <w:color w:val="000000"/>
                <w:szCs w:val="21"/>
                <w:highlight w:val="none"/>
              </w:rPr>
            </w:r>
            <w:r/>
          </w:p>
        </w:tc>
      </w:tr>
      <w:tr>
        <w:trPr>
          <w:trHeight w:val="558"/>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法律援助服务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为有需要的老年人提供法律咨询、权益维护服务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要求：由法律专业人员提供。</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志愿者服务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搭建为老服务志愿者交流平台，每年组织开展48次及以上志愿者服务。</w:t>
            </w:r>
            <w:r>
              <w:rPr>
                <w:rFonts w:ascii="宋体" w:hAnsi="宋体" w:cs="宋体"/>
                <w:color w:val="000000"/>
                <w:szCs w:val="21"/>
                <w:highlight w:val="none"/>
              </w:rPr>
            </w:r>
            <w:r/>
          </w:p>
        </w:tc>
      </w:tr>
      <w:tr>
        <w:trPr/>
        <w:tc>
          <w:tcPr>
            <w:tcW w:w="42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便民</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8229"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每年组织12次及以上便民服务，每次至少持续2小时，涵盖理发、家电维修、法律、个人服务、健康咨询等内容</w:t>
            </w:r>
            <w:r>
              <w:rPr>
                <w:rFonts w:ascii="宋体" w:hAnsi="宋体" w:cs="宋体"/>
                <w:color w:val="000000"/>
                <w:szCs w:val="21"/>
                <w:highlight w:val="none"/>
              </w:rPr>
            </w:r>
            <w:r/>
          </w:p>
        </w:tc>
      </w:tr>
    </w:tbl>
    <w:p>
      <w:pPr>
        <w:pStyle w:val="1045"/>
        <w:rPr>
          <w:rFonts w:ascii="宋体" w:hAnsi="宋体" w:cs="宋体"/>
          <w:color w:val="000000"/>
          <w:szCs w:val="21"/>
          <w:highlight w:val="none"/>
        </w:rPr>
      </w:pPr>
      <w:r>
        <w:rPr>
          <w:rFonts w:ascii="宋体" w:hAnsi="宋体" w:cs="宋体"/>
          <w:color w:val="000000"/>
          <w:szCs w:val="21"/>
          <w:highlight w:val="none"/>
        </w:rPr>
      </w:r>
      <w:r/>
    </w:p>
    <w:p>
      <w:pPr>
        <w:pStyle w:val="1045"/>
        <w:rPr>
          <w:rFonts w:ascii="宋体" w:hAnsi="宋体" w:cs="宋体"/>
          <w:color w:val="000000"/>
          <w:szCs w:val="21"/>
          <w:highlight w:val="none"/>
        </w:rPr>
      </w:pPr>
      <w:r>
        <w:rPr>
          <w:rFonts w:ascii="宋体" w:hAnsi="宋体" w:cs="宋体"/>
          <w:color w:val="000000"/>
          <w:szCs w:val="21"/>
          <w:highlight w:val="none"/>
        </w:rPr>
      </w:r>
      <w:r/>
    </w:p>
    <w:p>
      <w:pPr>
        <w:pStyle w:val="1045"/>
        <w:spacing w:line="300" w:lineRule="auto"/>
        <w:widowControl/>
        <w:rPr>
          <w:rFonts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rPr>
        <w:t xml:space="preserve">合同附件3：</w:t>
      </w:r>
      <w:r>
        <w:rPr>
          <w:rFonts w:ascii="宋体" w:hAnsi="宋体" w:cs="宋体"/>
          <w:color w:val="000000"/>
          <w:szCs w:val="21"/>
          <w:highlight w:val="none"/>
        </w:rPr>
      </w:r>
      <w:r/>
    </w:p>
    <w:p>
      <w:pPr>
        <w:pStyle w:val="1045"/>
        <w:jc w:val="center"/>
        <w:spacing w:line="300" w:lineRule="auto"/>
        <w:widowControl/>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吴江区二级社区日间照料中心标准化建设要求</w:t>
      </w:r>
      <w:r>
        <w:rPr>
          <w:rFonts w:ascii="宋体" w:hAnsi="宋体" w:cs="宋体"/>
          <w:b/>
          <w:bCs/>
          <w:color w:val="000000"/>
          <w:sz w:val="28"/>
          <w:szCs w:val="28"/>
          <w:highlight w:val="none"/>
        </w:rPr>
      </w:r>
      <w:r/>
    </w:p>
    <w:p>
      <w:pPr>
        <w:pStyle w:val="1045"/>
        <w:rPr>
          <w:rFonts w:ascii="宋体" w:hAnsi="宋体" w:cs="宋体"/>
          <w:b/>
          <w:color w:val="000000"/>
          <w:szCs w:val="21"/>
          <w:highlight w:val="none"/>
        </w:rPr>
      </w:pPr>
      <w:r>
        <w:rPr>
          <w:rFonts w:ascii="宋体" w:hAnsi="宋体" w:cs="宋体"/>
          <w:b/>
          <w:color w:val="000000"/>
          <w:szCs w:val="21"/>
          <w:highlight w:val="none"/>
        </w:rPr>
      </w:r>
      <w:r/>
    </w:p>
    <w:p>
      <w:pPr>
        <w:pStyle w:val="1045"/>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二级社区日间照料中心的功能定位表</w:t>
      </w:r>
      <w:r>
        <w:rPr>
          <w:rFonts w:ascii="宋体" w:hAnsi="宋体" w:cs="宋体"/>
          <w:b/>
          <w:color w:val="000000"/>
          <w:szCs w:val="21"/>
          <w:highlight w:val="none"/>
        </w:rPr>
      </w:r>
      <w:r/>
    </w:p>
    <w:tbl>
      <w:tblPr>
        <w:tblStyle w:val="1076"/>
        <w:tblW w:w="51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642"/>
        <w:gridCol w:w="4807"/>
        <w:gridCol w:w="2113"/>
      </w:tblGrid>
      <w:tr>
        <w:trPr/>
        <w:tc>
          <w:tcPr>
            <w:tcW w:w="510"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功能大类</w:t>
            </w:r>
            <w:r>
              <w:rPr>
                <w:rFonts w:ascii="宋体" w:hAnsi="宋体" w:cs="宋体"/>
                <w:b/>
                <w:color w:val="000000"/>
                <w:szCs w:val="21"/>
                <w:highlight w:val="none"/>
              </w:rPr>
            </w:r>
            <w:r/>
          </w:p>
        </w:tc>
        <w:tc>
          <w:tcPr>
            <w:tcW w:w="861"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功能细分</w:t>
            </w:r>
            <w:r>
              <w:rPr>
                <w:rFonts w:ascii="宋体" w:hAnsi="宋体" w:cs="宋体"/>
                <w:b/>
                <w:color w:val="000000"/>
                <w:szCs w:val="21"/>
                <w:highlight w:val="none"/>
              </w:rPr>
            </w:r>
            <w:r/>
          </w:p>
        </w:tc>
        <w:tc>
          <w:tcPr>
            <w:tcW w:w="2521"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功能简要说明</w:t>
            </w:r>
            <w:r>
              <w:rPr>
                <w:rFonts w:ascii="宋体" w:hAnsi="宋体" w:cs="宋体"/>
                <w:b/>
                <w:color w:val="000000"/>
                <w:szCs w:val="21"/>
                <w:highlight w:val="none"/>
              </w:rPr>
            </w:r>
            <w:r/>
          </w:p>
        </w:tc>
        <w:tc>
          <w:tcPr>
            <w:tcW w:w="1108"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服务对象</w:t>
            </w:r>
            <w:r>
              <w:rPr>
                <w:rFonts w:ascii="宋体" w:hAnsi="宋体" w:cs="宋体"/>
                <w:b/>
                <w:color w:val="000000"/>
                <w:szCs w:val="21"/>
                <w:highlight w:val="none"/>
              </w:rPr>
            </w:r>
            <w:r/>
          </w:p>
        </w:tc>
      </w:tr>
      <w:tr>
        <w:trPr/>
        <w:tc>
          <w:tcPr>
            <w:tcW w:w="51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功能</w:t>
            </w: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文体娱乐与教育咨询服务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提供阅览、绘画、书法、上网、健身、游戏、手工制作等文体娱乐及教育咨询服务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满60周岁的自理老人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生活照料/照护服务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提供个人护理、助浴、助洁、协助如厕、服药等生活照料照护服务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有生活照护需求的老年人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膳食餐饮服务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提供膳食加工、配送餐、集中用餐等服务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有助餐需求的老人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康复保健服务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健康管理、预防保健、心理保健、医疗护理等</w:t>
            </w:r>
            <w:r>
              <w:rPr>
                <w:rFonts w:ascii="宋体" w:hAnsi="宋体" w:cs="宋体"/>
                <w:color w:val="000000"/>
                <w:szCs w:val="21"/>
                <w:highlight w:val="none"/>
              </w:rPr>
            </w:r>
            <w:r/>
          </w:p>
        </w:tc>
        <w:tc>
          <w:tcPr>
            <w:tcW w:w="1108" w:type="dxa"/>
            <w:vAlign w:val="center"/>
            <w:vMerge w:val="restart"/>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有需求的老人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老人辅具租赁服务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提供适合老人的移动辅具、护理床、医疗辅助器具、个人生活自理和防护辅助器具等的租赁服务</w:t>
            </w:r>
            <w:r>
              <w:rPr>
                <w:rFonts w:ascii="宋体" w:hAnsi="宋体" w:cs="宋体"/>
                <w:color w:val="000000"/>
                <w:szCs w:val="21"/>
                <w:highlight w:val="none"/>
              </w:rPr>
            </w:r>
            <w:r/>
          </w:p>
        </w:tc>
        <w:tc>
          <w:tcPr>
            <w:tcW w:w="1108"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委托代办服务</w:t>
            </w:r>
            <w:r>
              <w:rPr>
                <w:rFonts w:ascii="宋体" w:hAnsi="宋体" w:cs="宋体"/>
                <w:color w:val="000000"/>
                <w:szCs w:val="21"/>
                <w:highlight w:val="none"/>
              </w:rPr>
            </w:r>
            <w:r/>
          </w:p>
        </w:tc>
        <w:tc>
          <w:tcPr>
            <w:tcW w:w="2521" w:type="dxa"/>
            <w:vAlign w:val="center"/>
            <w:textDirection w:val="lrTb"/>
            <w:noWrap w:val="false"/>
          </w:tcPr>
          <w:p>
            <w:pPr>
              <w:pStyle w:val="1045"/>
              <w:widowControl/>
              <w:rPr>
                <w:rFonts w:ascii="宋体" w:hAnsi="宋体" w:cs="宋体"/>
                <w:color w:val="000000"/>
                <w:szCs w:val="21"/>
                <w:highlight w:val="none"/>
              </w:rPr>
            </w:pPr>
            <w:r>
              <w:rPr>
                <w:rFonts w:hint="eastAsia" w:ascii="宋体" w:hAnsi="宋体" w:cs="宋体"/>
                <w:color w:val="000000"/>
                <w:szCs w:val="21"/>
                <w:highlight w:val="none"/>
              </w:rPr>
              <w:t xml:space="preserve">代购、代领物品、代缴费用、代配药等服务</w:t>
            </w:r>
            <w:r>
              <w:rPr>
                <w:rFonts w:ascii="宋体" w:hAnsi="宋体" w:cs="宋体"/>
                <w:color w:val="000000"/>
                <w:szCs w:val="21"/>
                <w:highlight w:val="none"/>
              </w:rPr>
            </w:r>
            <w:r/>
          </w:p>
        </w:tc>
        <w:tc>
          <w:tcPr>
            <w:tcW w:w="1108"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居家上门/长护险服务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生活护理、助餐、助浴、助洁、洗涤、助行、代办、康复辅助、相谈、助医等服务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有生活照料需求的居家老人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社区嵌入养老服务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提供包括生活照料、养老机构的专业化服务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生活不能完全自理老人</w:t>
            </w:r>
            <w:r>
              <w:rPr>
                <w:rFonts w:ascii="宋体" w:hAnsi="宋体" w:cs="宋体"/>
                <w:color w:val="000000"/>
                <w:szCs w:val="21"/>
                <w:highlight w:val="none"/>
              </w:rPr>
            </w:r>
            <w:r/>
          </w:p>
        </w:tc>
      </w:tr>
      <w:tr>
        <w:trPr/>
        <w:tc>
          <w:tcPr>
            <w:tcW w:w="51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管理</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功能</w:t>
            </w: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信息平台及养老</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咨询</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搜集、整合域内老人及养老资源信息并动态更新，发挥上传下达的养老信息沟通和顾问角色</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相关主管部门及下级中心及有需要的老人</w:t>
            </w:r>
            <w:r>
              <w:rPr>
                <w:rFonts w:ascii="宋体" w:hAnsi="宋体" w:cs="宋体"/>
                <w:color w:val="000000"/>
                <w:szCs w:val="21"/>
                <w:highlight w:val="none"/>
              </w:rPr>
            </w:r>
            <w:r/>
          </w:p>
        </w:tc>
      </w:tr>
      <w:tr>
        <w:trPr>
          <w:trHeight w:val="634"/>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业务指导功能</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协助下级中心开展标准化建设工作</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指导下级中心开展规范化、多样化的运营业务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三级中心</w:t>
            </w:r>
            <w:r>
              <w:rPr>
                <w:rFonts w:ascii="宋体" w:hAnsi="宋体" w:cs="宋体"/>
                <w:color w:val="000000"/>
                <w:szCs w:val="21"/>
                <w:highlight w:val="none"/>
              </w:rPr>
            </w:r>
            <w:r/>
          </w:p>
        </w:tc>
      </w:tr>
    </w:tbl>
    <w:p>
      <w:pPr>
        <w:pStyle w:val="1045"/>
        <w:rPr>
          <w:rFonts w:ascii="宋体" w:hAnsi="宋体" w:cs="宋体"/>
          <w:b/>
          <w:color w:val="000000"/>
          <w:szCs w:val="21"/>
          <w:highlight w:val="none"/>
        </w:rPr>
      </w:pPr>
      <w:r>
        <w:rPr>
          <w:rFonts w:ascii="宋体" w:hAnsi="宋体" w:cs="宋体"/>
          <w:b/>
          <w:color w:val="000000"/>
          <w:szCs w:val="21"/>
          <w:highlight w:val="none"/>
        </w:rPr>
      </w:r>
      <w:r/>
    </w:p>
    <w:p>
      <w:pPr>
        <w:pStyle w:val="1045"/>
        <w:jc w:val="left"/>
        <w:rPr>
          <w:rFonts w:ascii="宋体" w:hAnsi="宋体" w:cs="宋体"/>
          <w:b/>
          <w:color w:val="000000"/>
          <w:szCs w:val="21"/>
          <w:highlight w:val="none"/>
        </w:rPr>
      </w:pPr>
      <w:r>
        <w:rPr>
          <w:rFonts w:hint="eastAsia" w:ascii="宋体" w:hAnsi="宋体" w:cs="宋体"/>
          <w:b/>
          <w:color w:val="000000"/>
          <w:szCs w:val="21"/>
          <w:highlight w:val="none"/>
        </w:rPr>
        <w:t xml:space="preserve">2.二级日间照料中心的服务清单表</w:t>
      </w:r>
      <w:r>
        <w:rPr>
          <w:rFonts w:ascii="宋体" w:hAnsi="宋体" w:cs="宋体"/>
          <w:b/>
          <w:color w:val="000000"/>
          <w:szCs w:val="21"/>
          <w:highlight w:val="none"/>
        </w:rPr>
      </w:r>
      <w:r/>
    </w:p>
    <w:tbl>
      <w:tblPr>
        <w:tblStyle w:val="1076"/>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67"/>
        <w:gridCol w:w="7633"/>
      </w:tblGrid>
      <w:tr>
        <w:trPr>
          <w:trHeight w:val="1206"/>
        </w:trPr>
        <w:tc>
          <w:tcPr>
            <w:tcW w:w="760"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服务大类</w:t>
            </w:r>
            <w:r>
              <w:rPr>
                <w:rFonts w:ascii="宋体" w:hAnsi="宋体" w:cs="宋体"/>
                <w:b/>
                <w:color w:val="000000"/>
                <w:szCs w:val="21"/>
                <w:highlight w:val="none"/>
              </w:rPr>
            </w:r>
            <w:r/>
          </w:p>
        </w:tc>
        <w:tc>
          <w:tcPr>
            <w:tcW w:w="1167"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小类</w:t>
            </w:r>
            <w:r>
              <w:rPr>
                <w:rFonts w:ascii="宋体" w:hAnsi="宋体" w:cs="宋体"/>
                <w:b/>
                <w:color w:val="000000"/>
                <w:szCs w:val="21"/>
                <w:highlight w:val="none"/>
              </w:rPr>
            </w:r>
            <w:r/>
          </w:p>
        </w:tc>
        <w:tc>
          <w:tcPr>
            <w:tcW w:w="7633"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服务内容与要求</w:t>
            </w:r>
            <w:r>
              <w:rPr>
                <w:rFonts w:ascii="宋体" w:hAnsi="宋体" w:cs="宋体"/>
                <w:b/>
                <w:color w:val="000000"/>
                <w:szCs w:val="21"/>
                <w:highlight w:val="none"/>
              </w:rPr>
            </w:r>
            <w:r/>
          </w:p>
        </w:tc>
      </w:tr>
      <w:tr>
        <w:trPr/>
        <w:tc>
          <w:tcPr>
            <w:tcW w:w="7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文</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体</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娱</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乐</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阅读活动</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提供书籍、报刊阅读场地，组织引导阅读比赛活动，营造读书环境；</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提供适合老人阅读的书籍、报刊等读物；</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安静、舒适的活动场所；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定期举办阅读活动吸引老人阅读的兴趣。</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书画展览</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（可选）</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为书画爱好者提供沙龙场地及书画展览及书画培训等活动。</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戏曲活动</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提供声乐、戏曲、二胡、舞蹈、茶道等活动场所，戏曲、二胡、舞蹈、唱歌、聊天等各种文体娱乐小组。</w:t>
            </w:r>
            <w:r>
              <w:rPr>
                <w:rFonts w:ascii="宋体" w:hAnsi="宋体" w:cs="宋体"/>
                <w:color w:val="000000"/>
                <w:szCs w:val="21"/>
                <w:highlight w:val="none"/>
              </w:rPr>
            </w:r>
            <w:r/>
          </w:p>
        </w:tc>
      </w:tr>
      <w:tr>
        <w:trPr>
          <w:trHeight w:val="791"/>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手工活动</w:t>
            </w:r>
            <w:r>
              <w:rPr>
                <w:rFonts w:ascii="宋体" w:hAnsi="宋体" w:cs="宋体"/>
                <w:color w:val="000000"/>
                <w:szCs w:val="21"/>
                <w:highlight w:val="none"/>
              </w:rPr>
            </w:r>
            <w:r/>
          </w:p>
        </w:tc>
        <w:tc>
          <w:tcPr>
            <w:tcW w:w="7633" w:type="dxa"/>
            <w:vAlign w:val="center"/>
            <w:textDirection w:val="lrTb"/>
            <w:noWrap w:val="false"/>
          </w:tcPr>
          <w:p>
            <w:pPr>
              <w:pStyle w:val="1045"/>
              <w:rPr>
                <w:rFonts w:hint="eastAsia" w:ascii="宋体" w:hAnsi="宋体" w:cs="宋体"/>
                <w:color w:val="000000"/>
                <w:szCs w:val="21"/>
                <w:highlight w:val="none"/>
              </w:rPr>
            </w:pPr>
            <w:r>
              <w:rPr>
                <w:rFonts w:hint="eastAsia" w:ascii="宋体" w:hAnsi="宋体" w:cs="宋体"/>
                <w:color w:val="000000"/>
                <w:szCs w:val="21"/>
                <w:highlight w:val="none"/>
              </w:rPr>
              <w:t xml:space="preserve">组织学习剪纸、插花、丝网花、编织、烘焙、园艺、DIY等各种手手工制作活动。</w:t>
            </w:r>
            <w:r>
              <w:rPr>
                <w:rFonts w:hint="eastAsia" w:ascii="宋体" w:hAnsi="宋体" w:cs="宋体"/>
                <w:color w:val="000000"/>
                <w:szCs w:val="21"/>
                <w:highlight w:val="none"/>
              </w:rPr>
            </w:r>
            <w:r/>
          </w:p>
          <w:p>
            <w:pPr>
              <w:pStyle w:val="1045"/>
              <w:rPr>
                <w:color w:val="000000"/>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每月至少安排2次，每年不少于28次；</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活动安排提前告知。</w:t>
            </w:r>
            <w:r>
              <w:rPr>
                <w:color w:val="000000"/>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娱乐活动</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组织举办或培训老人参与围棋、跳棋、象棋、五子棋等活动，每年4次。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活动场所干净整洁、保持空气流动；</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提供至少5种工具；</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引导健康的活动，禁止赌博等违法违规活动。</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体能训练</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组织健身操、手指操、舞蹈、球类活动、户外健身等体能锻炼活动，每年8次。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活动不能过于剧烈，适合老人身体状况；</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要有服务人员引导和旁边查看，以防意外发生；</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运动器材要定期检修。</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社团活动</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根据老人的业余兴趣爱好，引导创建各类文体活动的专业社团。</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节日活动</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在春节、重阳节、中秋节以及老人生日等特定日期组织慰问老人或特殊人群活动，每年12次，总服务人数不少于48人。</w:t>
            </w:r>
            <w:r>
              <w:rPr>
                <w:rFonts w:ascii="宋体" w:hAnsi="宋体" w:cs="宋体"/>
                <w:color w:val="000000"/>
                <w:szCs w:val="21"/>
                <w:highlight w:val="none"/>
              </w:rPr>
            </w:r>
            <w:r/>
          </w:p>
        </w:tc>
      </w:tr>
      <w:tr>
        <w:trPr/>
        <w:tc>
          <w:tcPr>
            <w:tcW w:w="7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生</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照</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料</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与</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照</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护</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膳食餐饮</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助餐/送餐服务。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符合食品安全规定；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符合老人饮食习惯及营养需求；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每日至少3种以上选择，一周不重样；</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食谱及费用标准提前公布；</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5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相关服务人员有健康证明</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助浴服务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机构专业化助浴服务。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要防寒保暖、防暑降温及浴室内通风；</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服务人员受过专门训练；</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注意防止老人摔倒及其他意外情形发生 。</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洗涤服务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衣物洗涤服务包括洗涤、烘干、熨烫及取衣、送衣等服务。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洗涤前检查被洗衣物的性状并告知老年人或家属</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衣物分类清洗、晾晒；</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送洗注意标示清楚，按时送还；</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贵重衣物洗涤需有特别约定。</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日间休息</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提供老人午间休息位及照看服务。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休息室干净、整洁、环境适宜；</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休息位摆放有序，避免老年人发生磕碰或摔倒，提供午休所需棉被、毛毯等；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定时查看，预防意外发生。</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生活护理（日/临托/喘息式服务）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协助老人洗漱、沐浴、擦身、修剪指（趾）甲、剃须、整理仪表仪容等个人卫生护理及衣物、被服清洁等生活起居护理服务。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个人卫生和生活起居应协助到位，</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保持容貌整洁、衣着适度、指(趾)甲整洁、无异味，生活起居用具干净、整洁。</w:t>
            </w:r>
            <w:r>
              <w:rPr>
                <w:rFonts w:ascii="宋体" w:hAnsi="宋体" w:cs="宋体"/>
                <w:color w:val="000000"/>
                <w:szCs w:val="21"/>
                <w:highlight w:val="none"/>
              </w:rPr>
            </w:r>
            <w:r/>
          </w:p>
        </w:tc>
      </w:tr>
      <w:tr>
        <w:trPr/>
        <w:tc>
          <w:tcPr>
            <w:tcW w:w="7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疗</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保</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健</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类</w:t>
            </w:r>
            <w:r>
              <w:rPr>
                <w:rFonts w:ascii="宋体" w:hAnsi="宋体" w:cs="宋体"/>
                <w:b/>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健康档案</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为服务对象建立健康信息档案、开展健康状况评估，并根据需求制定个性化的照护计划。</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对健康数据跟踪及动态管理；</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不泄露健康档案信息。</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健康监测与体检</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为老人和残疾人提供测血压、心率、体重等基础性体检服务，每年12次。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测量血压、血糖及体温等服务时，按照医疗卫生部门相关规定操作；</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协助社区医生开展定期医疗体检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正确测量血压、体温、脉搏、呼吸和血糖等。</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健康咨询</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为服务对象提供常见病、季节病、慢性病的管理及预防知识以及营养、健康保健知识咨询，每年4次。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要求：咨询服务应该由相关领域的专业人员提供。</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保健服务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提供按摩、肌力训练、以及理疗、刮痧、针灸等中医保健服务，每年4次。要求：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所用器材符合国家安全规定；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由经过训练的专业人员指导或提供。</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助医服务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邀请有资质的医生定期到中心或陪同老人和残疾人去医疗机构开展常见病、慢性病的就诊或代为配药等，每年4次。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符合国家医疗服务的相关规定；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限于常见病、慢性病以及辅助性检查和门诊注射、换药等；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及时向老人和残疾儿女家属或其他监护人反馈就诊情况；</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代为配药应做到当面清点钱款和药物等。</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心理慰藉服务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每年开展4次老年人和残疾人心理慰藉服务，包括交流、沟通、相谈，开展情绪疏导、心理咨询、危机干预等精神支持服务。要求：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尊重并保护个人隐私等；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宜由心理咨询师、社会工作者等专业人员提供 。</w:t>
            </w:r>
            <w:r>
              <w:rPr>
                <w:rFonts w:ascii="宋体" w:hAnsi="宋体" w:cs="宋体"/>
                <w:color w:val="000000"/>
                <w:szCs w:val="21"/>
                <w:highlight w:val="none"/>
              </w:rPr>
            </w:r>
            <w:r/>
          </w:p>
        </w:tc>
      </w:tr>
      <w:tr>
        <w:trPr/>
        <w:tc>
          <w:tcPr>
            <w:tcW w:w="7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教</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育</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咨</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询</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老年课堂</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每年开展4次线上线下老年课堂，开展法律、科学养生、医疗保健等各类知识更新和技能培训和辅导。要求：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课堂内容、形式和时长适合老人；</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培训宜由专业人士开展。</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知识讲座</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每年开展8次适合老年人的各类公益讲座，如健康宣教、保健与营养知识、慢病管理、防诈骗等讲座。要求：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讲座内容兼顾老人需求和时代性；</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讲座宜由专业人士开展。</w:t>
            </w:r>
            <w:r>
              <w:rPr>
                <w:rFonts w:ascii="宋体" w:hAnsi="宋体" w:cs="宋体"/>
                <w:color w:val="000000"/>
                <w:szCs w:val="21"/>
                <w:highlight w:val="none"/>
              </w:rPr>
            </w:r>
            <w:r/>
          </w:p>
        </w:tc>
      </w:tr>
      <w:tr>
        <w:trPr>
          <w:trHeight w:val="242"/>
        </w:trPr>
        <w:tc>
          <w:tcPr>
            <w:tcW w:w="7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居家上门服务</w:t>
            </w:r>
            <w:r>
              <w:rPr>
                <w:rFonts w:ascii="宋体" w:hAnsi="宋体" w:cs="宋体"/>
                <w:b/>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物业+养老</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结合物业服务公司或自行开展便民服务进家门（上门探访、维修、检测水电、消防安全排查等），每年8次。</w:t>
            </w:r>
            <w:r>
              <w:rPr>
                <w:rFonts w:ascii="宋体" w:hAnsi="宋体" w:cs="宋体"/>
                <w:color w:val="000000"/>
                <w:szCs w:val="21"/>
                <w:highlight w:val="none"/>
              </w:rPr>
            </w:r>
            <w:r/>
          </w:p>
        </w:tc>
      </w:tr>
      <w:tr>
        <w:trPr>
          <w:trHeight w:val="242"/>
        </w:trPr>
        <w:tc>
          <w:tcPr>
            <w:tcW w:w="760" w:type="dxa"/>
            <w:vAlign w:val="center"/>
            <w:vMerge w:val="continue"/>
            <w:textDirection w:val="lrTb"/>
            <w:noWrap w:val="false"/>
          </w:tcPr>
          <w:p>
            <w:pPr>
              <w:pStyle w:val="1045"/>
              <w:jc w:val="center"/>
              <w:rPr>
                <w:color w:val="000000"/>
                <w:highlight w:val="none"/>
              </w:rPr>
            </w:pPr>
            <w:r>
              <w:rPr>
                <w:color w:val="000000"/>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居家</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根据当地民政部门居家养老服务规范执行。</w:t>
            </w:r>
            <w:r>
              <w:rPr>
                <w:rFonts w:ascii="宋体" w:hAnsi="宋体" w:cs="宋体"/>
                <w:color w:val="000000"/>
                <w:szCs w:val="21"/>
                <w:highlight w:val="none"/>
              </w:rPr>
            </w:r>
            <w:r/>
          </w:p>
        </w:tc>
      </w:tr>
      <w:tr>
        <w:trPr>
          <w:trHeight w:val="242"/>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长护险服务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根据当地医保部门长护险相关服务规范执行。</w:t>
            </w:r>
            <w:r>
              <w:rPr>
                <w:rFonts w:ascii="宋体" w:hAnsi="宋体" w:cs="宋体"/>
                <w:color w:val="000000"/>
                <w:szCs w:val="21"/>
                <w:highlight w:val="none"/>
              </w:rPr>
            </w:r>
            <w:r/>
          </w:p>
        </w:tc>
      </w:tr>
      <w:tr>
        <w:trPr>
          <w:trHeight w:val="242"/>
        </w:trPr>
        <w:tc>
          <w:tcPr>
            <w:tcW w:w="7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其</w:t>
            </w:r>
            <w:r>
              <w:rPr>
                <w:rFonts w:hint="eastAsia" w:ascii="宋体" w:hAnsi="宋体" w:cs="宋体"/>
                <w:b/>
                <w:color w:val="000000"/>
                <w:szCs w:val="21"/>
                <w:highlight w:val="none"/>
              </w:rPr>
              <w:t xml:space="preserve">他</w:t>
            </w:r>
            <w:r>
              <w:rPr>
                <w:rFonts w:hint="eastAsia" w:ascii="宋体" w:hAnsi="宋体" w:cs="宋体"/>
                <w:b/>
                <w:color w:val="000000"/>
                <w:szCs w:val="21"/>
                <w:highlight w:val="none"/>
              </w:rPr>
              <w:t xml:space="preserve">类</w:t>
            </w:r>
            <w:r>
              <w:rPr>
                <w:rFonts w:hint="eastAsia" w:ascii="宋体" w:hAnsi="宋体" w:cs="宋体"/>
                <w:b/>
                <w:color w:val="000000"/>
                <w:szCs w:val="21"/>
                <w:highlight w:val="none"/>
              </w:rPr>
              <w:t xml:space="preserve">服</w:t>
            </w:r>
            <w:r>
              <w:rPr>
                <w:rFonts w:hint="eastAsia" w:ascii="宋体" w:hAnsi="宋体" w:cs="宋体"/>
                <w:b/>
                <w:color w:val="000000"/>
                <w:szCs w:val="21"/>
                <w:highlight w:val="none"/>
              </w:rPr>
              <w:t xml:space="preserve">务</w:t>
            </w:r>
            <w:r>
              <w:rPr>
                <w:rFonts w:ascii="宋体" w:hAnsi="宋体" w:cs="宋体"/>
                <w:b/>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委托代办服务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代为采购、缴费、预约车辆、网购等网上服务。</w:t>
            </w:r>
            <w:r>
              <w:rPr>
                <w:rFonts w:ascii="宋体" w:hAnsi="宋体" w:cs="宋体"/>
                <w:color w:val="000000"/>
                <w:szCs w:val="21"/>
                <w:highlight w:val="none"/>
              </w:rPr>
            </w:r>
            <w:r/>
          </w:p>
          <w:p>
            <w:pPr>
              <w:pStyle w:val="1045"/>
              <w:widowControl/>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代办服务范围一般为日常生活事务；</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应当面清点钱物、证件、单据等。</w:t>
            </w:r>
            <w:r>
              <w:rPr>
                <w:rFonts w:ascii="宋体" w:hAnsi="宋体" w:cs="宋体"/>
                <w:color w:val="000000"/>
                <w:szCs w:val="21"/>
                <w:highlight w:val="none"/>
              </w:rPr>
            </w:r>
            <w:r/>
          </w:p>
        </w:tc>
      </w:tr>
      <w:tr>
        <w:trPr>
          <w:trHeight w:val="558"/>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法律援助服务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为有需要的老年人提供法律咨询、权益维护服务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要求：由法律专业人员提供。</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志愿者服务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搭建为老服务志愿者交流平台，每年组织开展32次及以上志愿者服务。</w:t>
            </w:r>
            <w:r>
              <w:rPr>
                <w:rFonts w:ascii="宋体" w:hAnsi="宋体" w:cs="宋体"/>
                <w:color w:val="000000"/>
                <w:szCs w:val="21"/>
                <w:highlight w:val="none"/>
              </w:rPr>
            </w:r>
            <w:r/>
          </w:p>
        </w:tc>
      </w:tr>
      <w:tr>
        <w:trPr/>
        <w:tc>
          <w:tcPr>
            <w:tcW w:w="7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167"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便民服务</w:t>
            </w:r>
            <w:r>
              <w:rPr>
                <w:rFonts w:ascii="宋体" w:hAnsi="宋体" w:cs="宋体"/>
                <w:color w:val="000000"/>
                <w:szCs w:val="21"/>
                <w:highlight w:val="none"/>
              </w:rPr>
            </w:r>
            <w:r/>
          </w:p>
        </w:tc>
        <w:tc>
          <w:tcPr>
            <w:tcW w:w="7633"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每年组织12次及以上便民服务，每次至少持续2小时，涵盖理发、家电维修、法律、个人服务、健康咨询等内容</w:t>
            </w:r>
            <w:r>
              <w:rPr>
                <w:rFonts w:ascii="宋体" w:hAnsi="宋体" w:cs="宋体"/>
                <w:color w:val="000000"/>
                <w:szCs w:val="21"/>
                <w:highlight w:val="none"/>
              </w:rPr>
            </w:r>
            <w:r/>
          </w:p>
        </w:tc>
      </w:tr>
    </w:tbl>
    <w:p>
      <w:pPr>
        <w:pStyle w:val="1045"/>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rPr>
          <w:color w:val="000000"/>
          <w:highlight w:val="none"/>
        </w:rPr>
      </w:r>
      <w:r/>
    </w:p>
    <w:p>
      <w:pPr>
        <w:pStyle w:val="1070"/>
        <w:rPr>
          <w:color w:val="000000"/>
          <w:highlight w:val="none"/>
        </w:rPr>
      </w:pPr>
      <w:r>
        <w:rPr>
          <w:color w:val="000000"/>
          <w:highlight w:val="none"/>
        </w:rPr>
      </w:r>
      <w:r/>
    </w:p>
    <w:p>
      <w:pPr>
        <w:pStyle w:val="1070"/>
        <w:rPr>
          <w:color w:val="000000"/>
          <w:highlight w:val="none"/>
        </w:rPr>
      </w:pPr>
      <w:r>
        <w:rPr>
          <w:color w:val="000000"/>
          <w:highlight w:val="none"/>
        </w:rPr>
      </w:r>
      <w:r/>
    </w:p>
    <w:p>
      <w:pPr>
        <w:pStyle w:val="1045"/>
        <w:rPr>
          <w:rFonts w:ascii="宋体" w:hAnsi="宋体" w:cs="宋体"/>
          <w:b/>
          <w:bCs/>
          <w:color w:val="000000"/>
          <w:szCs w:val="21"/>
          <w:highlight w:val="none"/>
        </w:rPr>
      </w:pPr>
      <w:r>
        <w:rPr>
          <w:rFonts w:hint="eastAsia" w:ascii="宋体" w:hAnsi="宋体" w:cs="宋体"/>
          <w:b/>
          <w:bCs/>
          <w:color w:val="000000"/>
          <w:szCs w:val="21"/>
          <w:highlight w:val="none"/>
        </w:rPr>
        <w:t xml:space="preserve">合同附件4：</w:t>
      </w:r>
      <w:r>
        <w:rPr>
          <w:rFonts w:ascii="宋体" w:hAnsi="宋体" w:cs="宋体"/>
          <w:b/>
          <w:bCs/>
          <w:color w:val="000000"/>
          <w:szCs w:val="21"/>
          <w:highlight w:val="none"/>
        </w:rPr>
      </w:r>
      <w:r/>
    </w:p>
    <w:p>
      <w:pPr>
        <w:pStyle w:val="1045"/>
        <w:jc w:val="center"/>
        <w:spacing w:line="300" w:lineRule="auto"/>
        <w:widowControl/>
        <w:rPr>
          <w:rFonts w:ascii="宋体" w:hAnsi="宋体" w:cs="宋体"/>
          <w:b/>
          <w:color w:val="000000"/>
          <w:szCs w:val="21"/>
          <w:highlight w:val="none"/>
        </w:rPr>
      </w:pPr>
      <w:r>
        <w:rPr>
          <w:rFonts w:hint="eastAsia" w:ascii="宋体" w:hAnsi="宋体" w:cs="宋体"/>
          <w:b/>
          <w:bCs/>
          <w:color w:val="000000"/>
          <w:sz w:val="28"/>
          <w:szCs w:val="28"/>
          <w:highlight w:val="none"/>
        </w:rPr>
        <w:t xml:space="preserve">吴江区三级社区日间照料中心标准化建设要求</w:t>
      </w:r>
      <w:r>
        <w:rPr>
          <w:rFonts w:ascii="宋体" w:hAnsi="宋体" w:cs="宋体"/>
          <w:b/>
          <w:color w:val="000000"/>
          <w:szCs w:val="21"/>
          <w:highlight w:val="none"/>
        </w:rPr>
      </w:r>
      <w:r/>
    </w:p>
    <w:p>
      <w:pPr>
        <w:pStyle w:val="1045"/>
        <w:rPr>
          <w:rFonts w:ascii="宋体" w:hAnsi="宋体" w:cs="宋体"/>
          <w:b/>
          <w:color w:val="000000"/>
          <w:szCs w:val="21"/>
          <w:highlight w:val="none"/>
        </w:rPr>
      </w:pPr>
      <w:r>
        <w:rPr>
          <w:rFonts w:hint="eastAsia" w:ascii="宋体" w:hAnsi="宋体" w:cs="宋体"/>
          <w:b/>
          <w:color w:val="000000"/>
          <w:szCs w:val="21"/>
          <w:highlight w:val="none"/>
        </w:rPr>
        <w:t xml:space="preserve">1. 三级社区日间照料中心的功能定位表</w:t>
      </w:r>
      <w:r>
        <w:rPr>
          <w:rFonts w:ascii="宋体" w:hAnsi="宋体" w:cs="宋体"/>
          <w:b/>
          <w:color w:val="000000"/>
          <w:szCs w:val="21"/>
          <w:highlight w:val="none"/>
        </w:rPr>
      </w:r>
      <w:r/>
    </w:p>
    <w:tbl>
      <w:tblPr>
        <w:tblStyle w:val="1076"/>
        <w:tblW w:w="51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642"/>
        <w:gridCol w:w="4807"/>
        <w:gridCol w:w="2113"/>
      </w:tblGrid>
      <w:tr>
        <w:trPr/>
        <w:tc>
          <w:tcPr>
            <w:tcW w:w="510"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功能大类</w:t>
            </w:r>
            <w:r>
              <w:rPr>
                <w:rFonts w:ascii="宋体" w:hAnsi="宋体" w:cs="宋体"/>
                <w:b/>
                <w:color w:val="000000"/>
                <w:szCs w:val="21"/>
                <w:highlight w:val="none"/>
              </w:rPr>
            </w:r>
            <w:r/>
          </w:p>
        </w:tc>
        <w:tc>
          <w:tcPr>
            <w:tcW w:w="861"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功能细分</w:t>
            </w:r>
            <w:r>
              <w:rPr>
                <w:rFonts w:ascii="宋体" w:hAnsi="宋体" w:cs="宋体"/>
                <w:b/>
                <w:color w:val="000000"/>
                <w:szCs w:val="21"/>
                <w:highlight w:val="none"/>
              </w:rPr>
            </w:r>
            <w:r/>
          </w:p>
        </w:tc>
        <w:tc>
          <w:tcPr>
            <w:tcW w:w="2521"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功能简要说明</w:t>
            </w:r>
            <w:r>
              <w:rPr>
                <w:rFonts w:ascii="宋体" w:hAnsi="宋体" w:cs="宋体"/>
                <w:b/>
                <w:color w:val="000000"/>
                <w:szCs w:val="21"/>
                <w:highlight w:val="none"/>
              </w:rPr>
            </w:r>
            <w:r/>
          </w:p>
        </w:tc>
        <w:tc>
          <w:tcPr>
            <w:tcW w:w="1108"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服务对象</w:t>
            </w:r>
            <w:r>
              <w:rPr>
                <w:rFonts w:ascii="宋体" w:hAnsi="宋体" w:cs="宋体"/>
                <w:b/>
                <w:color w:val="000000"/>
                <w:szCs w:val="21"/>
                <w:highlight w:val="none"/>
              </w:rPr>
            </w:r>
            <w:r/>
          </w:p>
        </w:tc>
      </w:tr>
      <w:tr>
        <w:trPr/>
        <w:tc>
          <w:tcPr>
            <w:tcW w:w="51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功能</w:t>
            </w: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文体娱乐与教育咨询服务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提供阅览、绘画、书法、上网、健身、游戏、手工制作等文体娱乐及教育咨询服务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满60周岁的自理老人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生活照料/照护服务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提供个人护理、助浴、助洁、协助如厕、服药等生活照料照护服务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有生活照护需求的老年人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膳食餐饮服务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提供膳食加工、配送餐、集中用餐等服务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有助餐需求的老人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康复保健服务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健康管理、预防保健、心理保健、医疗护理等</w:t>
            </w:r>
            <w:r>
              <w:rPr>
                <w:rFonts w:ascii="宋体" w:hAnsi="宋体" w:cs="宋体"/>
                <w:color w:val="000000"/>
                <w:szCs w:val="21"/>
                <w:highlight w:val="none"/>
              </w:rPr>
            </w:r>
            <w:r/>
          </w:p>
        </w:tc>
        <w:tc>
          <w:tcPr>
            <w:tcW w:w="1108" w:type="dxa"/>
            <w:vAlign w:val="center"/>
            <w:vMerge w:val="restart"/>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有需求的老人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老人辅具租赁服务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提供适合老人的移动辅具、护理床、医疗辅助器具、个人生活自理和防护辅助器具等的租赁服务</w:t>
            </w:r>
            <w:r>
              <w:rPr>
                <w:rFonts w:ascii="宋体" w:hAnsi="宋体" w:cs="宋体"/>
                <w:color w:val="000000"/>
                <w:szCs w:val="21"/>
                <w:highlight w:val="none"/>
              </w:rPr>
            </w:r>
            <w:r/>
          </w:p>
        </w:tc>
        <w:tc>
          <w:tcPr>
            <w:tcW w:w="1108"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委托代办服务</w:t>
            </w:r>
            <w:r>
              <w:rPr>
                <w:rFonts w:ascii="宋体" w:hAnsi="宋体" w:cs="宋体"/>
                <w:color w:val="000000"/>
                <w:szCs w:val="21"/>
                <w:highlight w:val="none"/>
              </w:rPr>
            </w:r>
            <w:r/>
          </w:p>
        </w:tc>
        <w:tc>
          <w:tcPr>
            <w:tcW w:w="2521" w:type="dxa"/>
            <w:vAlign w:val="center"/>
            <w:textDirection w:val="lrTb"/>
            <w:noWrap w:val="false"/>
          </w:tcPr>
          <w:p>
            <w:pPr>
              <w:pStyle w:val="1045"/>
              <w:widowControl/>
              <w:rPr>
                <w:rFonts w:ascii="宋体" w:hAnsi="宋体" w:cs="宋体"/>
                <w:color w:val="000000"/>
                <w:szCs w:val="21"/>
                <w:highlight w:val="none"/>
              </w:rPr>
            </w:pPr>
            <w:r>
              <w:rPr>
                <w:rFonts w:hint="eastAsia" w:ascii="宋体" w:hAnsi="宋体" w:cs="宋体"/>
                <w:color w:val="000000"/>
                <w:szCs w:val="21"/>
                <w:highlight w:val="none"/>
              </w:rPr>
              <w:t xml:space="preserve">代购、代领物品、代缴费用、代配药等服务</w:t>
            </w:r>
            <w:r>
              <w:rPr>
                <w:rFonts w:ascii="宋体" w:hAnsi="宋体" w:cs="宋体"/>
                <w:color w:val="000000"/>
                <w:szCs w:val="21"/>
                <w:highlight w:val="none"/>
              </w:rPr>
            </w:r>
            <w:r/>
          </w:p>
        </w:tc>
        <w:tc>
          <w:tcPr>
            <w:tcW w:w="1108"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居家上门/长护险服务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生活护理、助餐、助浴、助洁、洗涤、助行、代办、康复辅助、相谈、助医等服务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有生活照料需求的居家老人</w:t>
            </w:r>
            <w:r>
              <w:rPr>
                <w:rFonts w:ascii="宋体" w:hAnsi="宋体" w:cs="宋体"/>
                <w:color w:val="000000"/>
                <w:szCs w:val="21"/>
                <w:highlight w:val="none"/>
              </w:rPr>
            </w:r>
            <w:r/>
          </w:p>
        </w:tc>
      </w:tr>
      <w:tr>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社区嵌入养老服务</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提供包括生活照料、养老机构的专业化服务</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生活不能完全自理老人</w:t>
            </w:r>
            <w:r>
              <w:rPr>
                <w:rFonts w:ascii="宋体" w:hAnsi="宋体" w:cs="宋体"/>
                <w:color w:val="000000"/>
                <w:szCs w:val="21"/>
                <w:highlight w:val="none"/>
              </w:rPr>
            </w:r>
            <w:r/>
          </w:p>
        </w:tc>
      </w:tr>
      <w:tr>
        <w:trPr/>
        <w:tc>
          <w:tcPr>
            <w:tcW w:w="51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管理</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功能</w:t>
            </w: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信息平台及养老</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咨询</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搜集、整合域内老人及养老资源信息并动态更新，发挥上传下达的养老信息沟通和顾问角色</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相关主管部门及下级中心及有需要的老人</w:t>
            </w:r>
            <w:r>
              <w:rPr>
                <w:rFonts w:ascii="宋体" w:hAnsi="宋体" w:cs="宋体"/>
                <w:color w:val="000000"/>
                <w:szCs w:val="21"/>
                <w:highlight w:val="none"/>
              </w:rPr>
            </w:r>
            <w:r/>
          </w:p>
        </w:tc>
      </w:tr>
      <w:tr>
        <w:trPr>
          <w:trHeight w:val="496"/>
        </w:trPr>
        <w:tc>
          <w:tcPr>
            <w:tcW w:w="510" w:type="dxa"/>
            <w:vAlign w:val="top"/>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861"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业务配合功能</w:t>
            </w:r>
            <w:r>
              <w:rPr>
                <w:rFonts w:ascii="宋体" w:hAnsi="宋体" w:cs="宋体"/>
                <w:color w:val="000000"/>
                <w:szCs w:val="21"/>
                <w:highlight w:val="none"/>
              </w:rPr>
            </w:r>
            <w:r/>
          </w:p>
        </w:tc>
        <w:tc>
          <w:tcPr>
            <w:tcW w:w="2521"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配合上级中心开展标准化建设工作</w:t>
            </w:r>
            <w:r>
              <w:rPr>
                <w:rFonts w:ascii="宋体" w:hAnsi="宋体" w:cs="宋体"/>
                <w:color w:val="000000"/>
                <w:szCs w:val="21"/>
                <w:highlight w:val="none"/>
              </w:rPr>
            </w:r>
            <w:r/>
          </w:p>
        </w:tc>
        <w:tc>
          <w:tcPr>
            <w:tcW w:w="110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一级、二级</w:t>
            </w:r>
            <w:r>
              <w:rPr>
                <w:rFonts w:ascii="宋体" w:hAnsi="宋体" w:cs="宋体"/>
                <w:color w:val="000000"/>
                <w:szCs w:val="21"/>
                <w:highlight w:val="none"/>
              </w:rPr>
            </w:r>
            <w:r/>
          </w:p>
        </w:tc>
      </w:tr>
    </w:tbl>
    <w:p>
      <w:pPr>
        <w:pStyle w:val="1045"/>
        <w:rPr>
          <w:rFonts w:ascii="宋体" w:hAnsi="宋体" w:cs="宋体"/>
          <w:b/>
          <w:color w:val="000000"/>
          <w:szCs w:val="21"/>
          <w:highlight w:val="none"/>
        </w:rPr>
      </w:pPr>
      <w:r>
        <w:rPr>
          <w:rFonts w:ascii="宋体" w:hAnsi="宋体" w:cs="宋体"/>
          <w:b/>
          <w:color w:val="000000"/>
          <w:szCs w:val="21"/>
          <w:highlight w:val="none"/>
        </w:rPr>
      </w:r>
      <w:r/>
    </w:p>
    <w:p>
      <w:pPr>
        <w:pStyle w:val="1045"/>
        <w:spacing w:line="300" w:lineRule="auto"/>
        <w:rPr>
          <w:rFonts w:ascii="宋体" w:hAnsi="宋体" w:cs="宋体"/>
          <w:b/>
          <w:color w:val="000000"/>
          <w:szCs w:val="21"/>
          <w:highlight w:val="none"/>
        </w:rPr>
      </w:pPr>
      <w:r>
        <w:rPr>
          <w:rFonts w:hint="eastAsia" w:ascii="宋体" w:hAnsi="宋体" w:cs="宋体"/>
          <w:b/>
          <w:color w:val="000000"/>
          <w:szCs w:val="21"/>
          <w:highlight w:val="none"/>
        </w:rPr>
        <w:t xml:space="preserve">2.三级社区日间照料中心服务清单</w:t>
      </w:r>
      <w:r>
        <w:rPr>
          <w:rFonts w:ascii="宋体" w:hAnsi="宋体" w:cs="宋体"/>
          <w:b/>
          <w:color w:val="000000"/>
          <w:szCs w:val="21"/>
          <w:highlight w:val="none"/>
        </w:rPr>
      </w:r>
      <w:r/>
    </w:p>
    <w:p>
      <w:pPr>
        <w:pStyle w:val="1045"/>
        <w:ind w:firstLine="420"/>
        <w:rPr>
          <w:rFonts w:ascii="宋体" w:hAnsi="宋体" w:cs="宋体"/>
          <w:color w:val="000000"/>
          <w:szCs w:val="21"/>
          <w:highlight w:val="none"/>
        </w:rPr>
      </w:pPr>
      <w:r>
        <w:rPr>
          <w:rFonts w:hint="eastAsia" w:ascii="宋体" w:hAnsi="宋体" w:cs="宋体"/>
          <w:color w:val="000000"/>
          <w:szCs w:val="21"/>
          <w:highlight w:val="none"/>
        </w:rPr>
        <w:t xml:space="preserve">可以通过其上属的一、二级中心定期予以提供，提供服务的频率和次数可以相应降低。三级服务中心的服务清单见下表：</w:t>
      </w:r>
      <w:r>
        <w:rPr>
          <w:rFonts w:ascii="宋体" w:hAnsi="宋体" w:cs="宋体"/>
          <w:color w:val="000000"/>
          <w:szCs w:val="21"/>
          <w:highlight w:val="none"/>
        </w:rPr>
      </w:r>
      <w:r/>
    </w:p>
    <w:tbl>
      <w:tblPr>
        <w:tblStyle w:val="1076"/>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476"/>
        <w:gridCol w:w="7525"/>
      </w:tblGrid>
      <w:tr>
        <w:trPr/>
        <w:tc>
          <w:tcPr>
            <w:tcW w:w="457"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服务大类</w:t>
            </w:r>
            <w:r>
              <w:rPr>
                <w:rFonts w:ascii="宋体" w:hAnsi="宋体" w:cs="宋体"/>
                <w:b/>
                <w:color w:val="000000"/>
                <w:szCs w:val="21"/>
                <w:highlight w:val="none"/>
              </w:rPr>
            </w:r>
            <w:r/>
          </w:p>
        </w:tc>
        <w:tc>
          <w:tcPr>
            <w:tcW w:w="1476"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小类</w:t>
            </w:r>
            <w:r>
              <w:rPr>
                <w:rFonts w:ascii="宋体" w:hAnsi="宋体" w:cs="宋体"/>
                <w:b/>
                <w:color w:val="000000"/>
                <w:szCs w:val="21"/>
                <w:highlight w:val="none"/>
              </w:rPr>
            </w:r>
            <w:r/>
          </w:p>
        </w:tc>
        <w:tc>
          <w:tcPr>
            <w:tcW w:w="7525"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服务内容与要求</w:t>
            </w:r>
            <w:r>
              <w:rPr>
                <w:rFonts w:ascii="宋体" w:hAnsi="宋体" w:cs="宋体"/>
                <w:b/>
                <w:color w:val="000000"/>
                <w:szCs w:val="21"/>
                <w:highlight w:val="none"/>
              </w:rPr>
            </w:r>
            <w:r/>
          </w:p>
        </w:tc>
      </w:tr>
      <w:tr>
        <w:trPr/>
        <w:tc>
          <w:tcPr>
            <w:tcW w:w="45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文</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体</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娱</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乐</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阅读活动</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提供书籍、报刊阅读场地，组织引导阅读比赛活动，营造读书环境。</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提供适合老人阅读的书籍、报刊等读物；</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安静、舒适的活动场所；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定期举办阅读活动吸引老人阅读的兴趣。 </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书画展览</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为书画爱好者提供沙龙场地及书画展览及书画培训等活动。</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戏曲活动</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提供声乐、戏曲、二胡、舞蹈、茶道等活动场所，戏曲、二胡、舞蹈、唱歌、聊天等各种文体娱乐小组。</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手工活动</w:t>
            </w:r>
            <w:r>
              <w:rPr>
                <w:rFonts w:ascii="宋体" w:hAnsi="宋体" w:cs="宋体"/>
                <w:color w:val="000000"/>
                <w:szCs w:val="21"/>
                <w:highlight w:val="none"/>
              </w:rPr>
            </w:r>
            <w:r/>
          </w:p>
        </w:tc>
        <w:tc>
          <w:tcPr>
            <w:tcW w:w="7525" w:type="dxa"/>
            <w:vAlign w:val="center"/>
            <w:textDirection w:val="lrTb"/>
            <w:noWrap w:val="false"/>
          </w:tcPr>
          <w:p>
            <w:pPr>
              <w:pStyle w:val="1045"/>
              <w:rPr>
                <w:color w:val="000000"/>
                <w:highlight w:val="none"/>
              </w:rPr>
            </w:pPr>
            <w:r>
              <w:rPr>
                <w:rFonts w:hint="eastAsia"/>
                <w:color w:val="000000"/>
                <w:highlight w:val="none"/>
              </w:rPr>
              <w:t xml:space="preserve">组织学习剪纸、插花、丝网花、编织、烘焙、园艺、DIY等各种手手工制作活动。</w:t>
            </w:r>
            <w:r>
              <w:rPr>
                <w:color w:val="000000"/>
                <w:highlight w:val="none"/>
              </w:rPr>
            </w:r>
            <w:r/>
          </w:p>
          <w:p>
            <w:pPr>
              <w:pStyle w:val="1070"/>
              <w:rPr>
                <w:color w:val="000000"/>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每月至少安排1次，每年不少于12次；</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活动安排提前告知。</w:t>
            </w:r>
            <w:r>
              <w:rPr>
                <w:color w:val="000000"/>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娱乐活动</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组织举办或培训老人参与围棋、跳棋、象棋、五子棋等活动，每年4次。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活动场所干净整洁、保持空气流动；</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提供至少5种工具；</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引导健康的活动，禁止赌博等违法违规活动。</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体能训练</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组织健身操、手指操、舞蹈、球类活动、户外健身等体能锻炼活动，每年4次。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活动不能过于剧烈，适合老人身体状况；</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要有服务人员引导和旁边查看，以防意外发生；</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运动器材要定期检修。</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节日活动</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在春节、重阳节、中秋节以及老人生日等特定日期组织慰问老人或特殊人群活动，每年8次，总服务人数不少于32人。</w:t>
            </w:r>
            <w:r>
              <w:rPr>
                <w:rFonts w:ascii="宋体" w:hAnsi="宋体" w:cs="宋体"/>
                <w:color w:val="000000"/>
                <w:szCs w:val="21"/>
                <w:highlight w:val="none"/>
              </w:rPr>
            </w:r>
            <w:r/>
          </w:p>
        </w:tc>
      </w:tr>
      <w:tr>
        <w:trPr/>
        <w:tc>
          <w:tcPr>
            <w:tcW w:w="45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生</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照</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料</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与</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照</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护</w:t>
            </w:r>
            <w:r>
              <w:rPr>
                <w:rFonts w:ascii="宋体" w:hAnsi="宋体" w:cs="宋体"/>
                <w:b/>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b/>
                <w:color w:val="000000"/>
                <w:szCs w:val="21"/>
                <w:highlight w:val="none"/>
              </w:rPr>
              <w:t xml:space="preserve">类</w:t>
            </w: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膳食餐饮</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助餐/送餐服务。要求：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符合食品安全规定；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符合老人饮食习惯及营养需求；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每日至少3种以上选择，一周不重样；</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食谱及费用标准提前公布；</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5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相关服务人员有健康证明</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洗涤服务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衣物洗涤服务包括洗涤、烘干、熨烫及取衣、送衣等服务。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洗涤前检查被洗衣物的性状并告知老年人或家属</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衣物分类清洗、晾晒；</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送洗注意标示清楚，按时送还；</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贵重衣物洗涤需有特别约定。</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生活护理（日/临托/喘息式服务）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协助老人洗漱、沐浴、擦身、修剪指（趾）甲、剃须、整理仪表仪容等个人卫生护理及衣物、被服清洁等生活起居护理服务。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个人卫生和生活起居应协助到位，</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保持容貌整洁、衣着适度、指(趾)甲整洁、无异味，生活起居用具干净、整洁。</w:t>
            </w:r>
            <w:r>
              <w:rPr>
                <w:rFonts w:ascii="宋体" w:hAnsi="宋体" w:cs="宋体"/>
                <w:color w:val="000000"/>
                <w:szCs w:val="21"/>
                <w:highlight w:val="none"/>
              </w:rPr>
            </w:r>
            <w:r/>
          </w:p>
        </w:tc>
      </w:tr>
      <w:tr>
        <w:trPr/>
        <w:tc>
          <w:tcPr>
            <w:tcW w:w="45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疗</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保</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健</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类</w:t>
            </w:r>
            <w:r>
              <w:rPr>
                <w:rFonts w:ascii="宋体" w:hAnsi="宋体" w:cs="宋体"/>
                <w:b/>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健康档案</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为服务对象建立健康信息档案、开展健康状况评估，并根据需求制定个性化的照护计划。</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对健康数据跟踪及动态管理；</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不泄露健康档案信息。</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健康监测与体检</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为老人和残疾人提供测血压、心率、体重等基础性体检服务，每年4次。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测量血压、血糖及体温等服务时，按照医疗卫生部门相关规定操作；</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协助社区医生开展定期医疗体检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正确测量血压、体温、脉搏、呼吸和血糖等。</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健康咨询</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为服务对象提供常见病、季节病、慢性病的管理及预防知识以及营养、健康保健知识咨询，每年4次。要求：应由相关领域的专业人员提供。</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保健服务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提供按摩、肌力训练、以及理疗、刮痧、针灸等中医保健服务，每年4次。要求：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所用器材符合国家安全规定；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由经过训练的专业人员指导或提供。</w:t>
            </w:r>
            <w:r>
              <w:rPr>
                <w:rFonts w:ascii="宋体" w:hAnsi="宋体" w:cs="宋体"/>
                <w:color w:val="000000"/>
                <w:szCs w:val="21"/>
                <w:highlight w:val="none"/>
              </w:rPr>
            </w:r>
            <w:r/>
          </w:p>
        </w:tc>
      </w:tr>
      <w:tr>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助医服务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邀请有资质的医生定期到中心或陪同老人和残疾人去医疗机构开展常见病、慢性病的就诊或代为配药等，每年4次。</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符合国家医疗服务的相关规定；</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限于常见病、慢性病以及辅助性检查和门诊注射、换药等；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及时向老人和残疾儿女家属或其他监护人反馈就诊情况；</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代为配药应做到当面清点钱款和药物等。</w:t>
            </w:r>
            <w:r>
              <w:rPr>
                <w:rFonts w:ascii="宋体" w:hAnsi="宋体" w:cs="宋体"/>
                <w:color w:val="000000"/>
                <w:szCs w:val="21"/>
                <w:highlight w:val="none"/>
              </w:rPr>
            </w:r>
            <w:r/>
          </w:p>
        </w:tc>
      </w:tr>
      <w:tr>
        <w:trPr>
          <w:trHeight w:val="269"/>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心理慰藉服务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每年开展4次老年人和残疾人心理慰藉服务，包括交流、沟通、相谈，开展情绪疏导、心理咨询、危机干预等精神支持服务。要求：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尊重并保护个人隐私等；</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宜由心理咨询师、社会工作者等专业人员提供 。</w:t>
            </w:r>
            <w:r>
              <w:rPr>
                <w:rFonts w:ascii="宋体" w:hAnsi="宋体" w:cs="宋体"/>
                <w:color w:val="000000"/>
                <w:szCs w:val="21"/>
                <w:highlight w:val="none"/>
              </w:rPr>
            </w:r>
            <w:r/>
          </w:p>
        </w:tc>
      </w:tr>
      <w:tr>
        <w:trPr>
          <w:trHeight w:val="269"/>
        </w:trPr>
        <w:tc>
          <w:tcPr>
            <w:tcW w:w="45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教</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育</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咨</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询</w:t>
            </w:r>
            <w:r>
              <w:rPr>
                <w:rFonts w:ascii="宋体" w:hAnsi="宋体" w:cs="宋体"/>
                <w:b/>
                <w:color w:val="000000"/>
                <w:szCs w:val="21"/>
                <w:highlight w:val="none"/>
              </w:rPr>
            </w:r>
            <w:r/>
          </w:p>
          <w:p>
            <w:pPr>
              <w:pStyle w:val="1045"/>
              <w:jc w:val="center"/>
              <w:rPr>
                <w:color w:val="000000"/>
                <w:highlight w:val="none"/>
              </w:rPr>
            </w:pPr>
            <w:r>
              <w:rPr>
                <w:rFonts w:hint="eastAsia" w:ascii="宋体" w:hAnsi="宋体" w:cs="宋体"/>
                <w:b/>
                <w:color w:val="000000"/>
                <w:szCs w:val="21"/>
                <w:highlight w:val="none"/>
              </w:rPr>
              <w:t xml:space="preserve">类</w:t>
            </w:r>
            <w:r>
              <w:rPr>
                <w:color w:val="000000"/>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老年课堂</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每年开展4次线上线下老年课堂，开展法律、科学养生、医疗保健等各类知识更新和技能培训和辅导。要求：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课堂内容、形式和时长适合老人；</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培训宜由专业人士开展。</w:t>
            </w:r>
            <w:r>
              <w:rPr>
                <w:rFonts w:ascii="宋体" w:hAnsi="宋体" w:cs="宋体"/>
                <w:color w:val="000000"/>
                <w:szCs w:val="21"/>
                <w:highlight w:val="none"/>
              </w:rPr>
            </w:r>
            <w:r/>
          </w:p>
        </w:tc>
      </w:tr>
      <w:tr>
        <w:trPr>
          <w:trHeight w:val="269"/>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知识讲座</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每年开展4次适合老年人的各类公益讲座，如健康宣教、保健与营养知识、慢病管理、防诈骗等讲座。要求：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讲座内容兼顾老人需求和时代性；</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讲座宜由专业人士开展。</w:t>
            </w:r>
            <w:r>
              <w:rPr>
                <w:rFonts w:ascii="宋体" w:hAnsi="宋体" w:cs="宋体"/>
                <w:color w:val="000000"/>
                <w:szCs w:val="21"/>
                <w:highlight w:val="none"/>
              </w:rPr>
            </w:r>
            <w:r/>
          </w:p>
        </w:tc>
      </w:tr>
      <w:tr>
        <w:trPr/>
        <w:tc>
          <w:tcPr>
            <w:tcW w:w="45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居家上门服务</w:t>
            </w:r>
            <w:r>
              <w:rPr>
                <w:rFonts w:ascii="宋体" w:hAnsi="宋体" w:cs="宋体"/>
                <w:b/>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物业+养老</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结合物业服务公司或自行开展便民服务进家门（上门探访、维修、检测水电、消防安全排查等），每年4次。</w:t>
            </w:r>
            <w:r>
              <w:rPr>
                <w:rFonts w:ascii="宋体" w:hAnsi="宋体" w:cs="宋体"/>
                <w:color w:val="000000"/>
                <w:szCs w:val="21"/>
                <w:highlight w:val="none"/>
              </w:rPr>
            </w:r>
            <w:r/>
          </w:p>
        </w:tc>
      </w:tr>
      <w:tr>
        <w:trPr>
          <w:trHeight w:val="462"/>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居家服务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根据当地民政部门居家养老服务规范执行。</w:t>
            </w:r>
            <w:r>
              <w:rPr>
                <w:rFonts w:ascii="宋体" w:hAnsi="宋体" w:cs="宋体"/>
                <w:color w:val="000000"/>
                <w:szCs w:val="21"/>
                <w:highlight w:val="none"/>
              </w:rPr>
            </w:r>
            <w:r/>
          </w:p>
        </w:tc>
      </w:tr>
      <w:tr>
        <w:trPr>
          <w:trHeight w:val="477"/>
        </w:trPr>
        <w:tc>
          <w:tcPr>
            <w:tcW w:w="457"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长护险服务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根据当地医保部门长护险相关服务规范执行。</w:t>
            </w:r>
            <w:r>
              <w:rPr>
                <w:rFonts w:ascii="宋体" w:hAnsi="宋体" w:cs="宋体"/>
                <w:color w:val="000000"/>
                <w:szCs w:val="21"/>
                <w:highlight w:val="none"/>
              </w:rPr>
            </w:r>
            <w:r/>
          </w:p>
        </w:tc>
      </w:tr>
      <w:tr>
        <w:trPr/>
        <w:tc>
          <w:tcPr>
            <w:tcW w:w="457"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其</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他</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类</w:t>
            </w:r>
            <w:r>
              <w:rPr>
                <w:rFonts w:ascii="宋体" w:hAnsi="宋体" w:cs="宋体"/>
                <w:b/>
                <w:color w:val="000000"/>
                <w:szCs w:val="21"/>
                <w:highlight w:val="none"/>
              </w:rPr>
            </w:r>
            <w:r/>
          </w:p>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服</w:t>
            </w:r>
            <w:r>
              <w:rPr>
                <w:rFonts w:ascii="宋体" w:hAnsi="宋体" w:cs="宋体"/>
                <w:b/>
                <w:color w:val="000000"/>
                <w:szCs w:val="21"/>
                <w:highlight w:val="none"/>
              </w:rPr>
            </w:r>
            <w:r/>
          </w:p>
          <w:p>
            <w:pPr>
              <w:pStyle w:val="1045"/>
              <w:widowControl/>
              <w:rPr>
                <w:rFonts w:ascii="宋体" w:hAnsi="宋体" w:cs="宋体"/>
                <w:color w:val="000000"/>
                <w:szCs w:val="21"/>
                <w:highlight w:val="none"/>
              </w:rPr>
            </w:pPr>
            <w:r>
              <w:rPr>
                <w:rFonts w:hint="eastAsia" w:ascii="宋体" w:hAnsi="宋体" w:cs="宋体"/>
                <w:b/>
                <w:color w:val="000000"/>
                <w:szCs w:val="21"/>
                <w:highlight w:val="none"/>
              </w:rPr>
              <w:t xml:space="preserve">务</w:t>
            </w: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委托代办服务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代为采购、缴费、预约车辆、网购等网上服务。要求：</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代办服务范围一般为日常生活事务；</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应当面清点钱物、证件、单据等。</w:t>
            </w:r>
            <w:r>
              <w:rPr>
                <w:rFonts w:ascii="宋体" w:hAnsi="宋体" w:cs="宋体"/>
                <w:color w:val="000000"/>
                <w:szCs w:val="21"/>
                <w:highlight w:val="none"/>
              </w:rPr>
            </w:r>
            <w:r/>
          </w:p>
        </w:tc>
      </w:tr>
      <w:tr>
        <w:trPr/>
        <w:tc>
          <w:tcPr>
            <w:tcW w:w="457" w:type="dxa"/>
            <w:vAlign w:val="top"/>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法律援助服务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为有需要的老年人提供法律咨询、权益维护服务。要求：由法律专业人员提供。</w:t>
            </w:r>
            <w:r>
              <w:rPr>
                <w:rFonts w:ascii="宋体" w:hAnsi="宋体" w:cs="宋体"/>
                <w:color w:val="000000"/>
                <w:szCs w:val="21"/>
                <w:highlight w:val="none"/>
              </w:rPr>
            </w:r>
            <w:r/>
          </w:p>
        </w:tc>
      </w:tr>
      <w:tr>
        <w:trPr/>
        <w:tc>
          <w:tcPr>
            <w:tcW w:w="457" w:type="dxa"/>
            <w:vAlign w:val="top"/>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志愿者服务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搭建为老服务志愿者交流平台，每年组织开展12次及以上志愿者服务。</w:t>
            </w:r>
            <w:r>
              <w:rPr>
                <w:rFonts w:ascii="宋体" w:hAnsi="宋体" w:cs="宋体"/>
                <w:color w:val="000000"/>
                <w:szCs w:val="21"/>
                <w:highlight w:val="none"/>
              </w:rPr>
            </w:r>
            <w:r/>
          </w:p>
        </w:tc>
      </w:tr>
      <w:tr>
        <w:trPr/>
        <w:tc>
          <w:tcPr>
            <w:tcW w:w="457" w:type="dxa"/>
            <w:vAlign w:val="top"/>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1476"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便民服务</w:t>
            </w:r>
            <w:r>
              <w:rPr>
                <w:rFonts w:ascii="宋体" w:hAnsi="宋体" w:cs="宋体"/>
                <w:color w:val="000000"/>
                <w:szCs w:val="21"/>
                <w:highlight w:val="none"/>
              </w:rPr>
            </w:r>
            <w:r/>
          </w:p>
        </w:tc>
        <w:tc>
          <w:tcPr>
            <w:tcW w:w="752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每年组织12次及以上便民服务，每次至少持续2小时，涵盖理发、家电维修、法律、个人服务、健康咨询等内容</w:t>
            </w:r>
            <w:r>
              <w:rPr>
                <w:rFonts w:ascii="宋体" w:hAnsi="宋体" w:cs="宋体"/>
                <w:color w:val="000000"/>
                <w:szCs w:val="21"/>
                <w:highlight w:val="none"/>
              </w:rPr>
            </w:r>
            <w:r/>
          </w:p>
        </w:tc>
      </w:tr>
    </w:tbl>
    <w:p>
      <w:pPr>
        <w:pStyle w:val="1045"/>
        <w:rPr>
          <w:rFonts w:ascii="宋体" w:hAnsi="宋体" w:cs="宋体"/>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合同附件5：</w:t>
      </w:r>
      <w:r>
        <w:rPr>
          <w:rFonts w:ascii="宋体" w:hAnsi="宋体" w:cs="宋体"/>
          <w:color w:val="000000"/>
          <w:szCs w:val="21"/>
          <w:highlight w:val="none"/>
        </w:rPr>
      </w:r>
      <w:r/>
    </w:p>
    <w:p>
      <w:pPr>
        <w:pStyle w:val="1045"/>
        <w:jc w:val="center"/>
        <w:widowControl/>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吴江区社区日间照料中心星级评价指标及评分表</w:t>
      </w:r>
      <w:r>
        <w:rPr>
          <w:rFonts w:ascii="宋体" w:hAnsi="宋体" w:cs="宋体"/>
          <w:b/>
          <w:bCs/>
          <w:color w:val="000000"/>
          <w:sz w:val="28"/>
          <w:szCs w:val="28"/>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日间照料中心名称：                              中心等级：</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所属街镇名称：                                  归属上级中心名称：</w:t>
      </w:r>
      <w:r>
        <w:rPr>
          <w:rFonts w:ascii="宋体" w:hAnsi="宋体" w:cs="宋体"/>
          <w:color w:val="000000"/>
          <w:szCs w:val="21"/>
          <w:highlight w:val="none"/>
        </w:rPr>
      </w:r>
      <w:r/>
    </w:p>
    <w:tbl>
      <w:tblPr>
        <w:tblStyle w:val="1076"/>
        <w:tblW w:w="51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1006"/>
        <w:gridCol w:w="5389"/>
        <w:gridCol w:w="507"/>
        <w:gridCol w:w="583"/>
        <w:gridCol w:w="1130"/>
      </w:tblGrid>
      <w:tr>
        <w:trPr>
          <w:cantSplit/>
        </w:trPr>
        <w:tc>
          <w:tcPr>
            <w:tcW w:w="46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评价项</w:t>
            </w:r>
            <w:r>
              <w:rPr>
                <w:rFonts w:ascii="宋体" w:hAnsi="宋体" w:cs="宋体"/>
                <w:b/>
                <w:color w:val="000000"/>
                <w:szCs w:val="21"/>
                <w:highlight w:val="none"/>
              </w:rPr>
            </w:r>
            <w:r/>
          </w:p>
        </w:tc>
        <w:tc>
          <w:tcPr>
            <w:tcW w:w="530"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评价内容及分值</w:t>
            </w:r>
            <w:r>
              <w:rPr>
                <w:rFonts w:ascii="宋体" w:hAnsi="宋体" w:cs="宋体"/>
                <w:b/>
                <w:color w:val="000000"/>
                <w:szCs w:val="21"/>
                <w:highlight w:val="none"/>
              </w:rPr>
            </w:r>
            <w:r/>
          </w:p>
        </w:tc>
        <w:tc>
          <w:tcPr>
            <w:tcW w:w="2838"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评分等级及标准</w:t>
            </w:r>
            <w:r>
              <w:rPr>
                <w:rFonts w:ascii="宋体" w:hAnsi="宋体" w:cs="宋体"/>
                <w:b/>
                <w:color w:val="000000"/>
                <w:szCs w:val="21"/>
                <w:highlight w:val="none"/>
              </w:rPr>
            </w:r>
            <w:r/>
          </w:p>
        </w:tc>
        <w:tc>
          <w:tcPr>
            <w:gridSpan w:val="2"/>
            <w:tcW w:w="1090" w:type="dxa"/>
            <w:vAlign w:val="center"/>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得分</w:t>
            </w:r>
            <w:r>
              <w:rPr>
                <w:rFonts w:ascii="宋体" w:hAnsi="宋体" w:cs="宋体"/>
                <w:b/>
                <w:color w:val="000000"/>
                <w:szCs w:val="21"/>
                <w:highlight w:val="none"/>
              </w:rPr>
            </w:r>
            <w:r/>
          </w:p>
        </w:tc>
        <w:tc>
          <w:tcPr>
            <w:tcW w:w="595" w:type="dxa"/>
            <w:vAlign w:val="center"/>
            <w:vMerge w:val="restart"/>
            <w:textDirection w:val="lrTb"/>
            <w:noWrap w:val="false"/>
          </w:tcPr>
          <w:p>
            <w:pPr>
              <w:pStyle w:val="1045"/>
              <w:jc w:val="center"/>
              <w:rPr>
                <w:rFonts w:ascii="宋体" w:hAnsi="宋体" w:cs="宋体"/>
                <w:b/>
                <w:color w:val="000000"/>
                <w:szCs w:val="21"/>
                <w:highlight w:val="none"/>
              </w:rPr>
            </w:pPr>
            <w:r>
              <w:rPr>
                <w:rFonts w:hint="eastAsia" w:ascii="宋体" w:hAnsi="宋体" w:cs="宋体"/>
                <w:b/>
                <w:color w:val="000000"/>
                <w:szCs w:val="21"/>
                <w:highlight w:val="none"/>
              </w:rPr>
              <w:t xml:space="preserve">评价操作说明</w:t>
            </w:r>
            <w:r>
              <w:rPr>
                <w:rFonts w:ascii="宋体" w:hAnsi="宋体" w:cs="宋体"/>
                <w:b/>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838"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b/>
                <w:color w:val="000000"/>
                <w:szCs w:val="21"/>
                <w:highlight w:val="none"/>
              </w:rPr>
            </w:pPr>
            <w:r>
              <w:rPr>
                <w:rFonts w:hint="eastAsia" w:ascii="宋体" w:hAnsi="宋体" w:cs="宋体"/>
                <w:b/>
                <w:color w:val="000000"/>
                <w:szCs w:val="21"/>
                <w:highlight w:val="none"/>
              </w:rPr>
              <w:t xml:space="preserve">分项</w:t>
            </w:r>
            <w:r>
              <w:rPr>
                <w:rFonts w:ascii="宋体" w:hAnsi="宋体" w:cs="宋体"/>
                <w:b/>
                <w:color w:val="000000"/>
                <w:szCs w:val="21"/>
                <w:highlight w:val="none"/>
              </w:rPr>
            </w:r>
            <w:r/>
          </w:p>
        </w:tc>
        <w:tc>
          <w:tcPr>
            <w:tcW w:w="307" w:type="dxa"/>
            <w:vAlign w:val="center"/>
            <w:textDirection w:val="lrTb"/>
            <w:noWrap w:val="false"/>
          </w:tcPr>
          <w:p>
            <w:pPr>
              <w:pStyle w:val="1045"/>
              <w:rPr>
                <w:rFonts w:ascii="宋体" w:hAnsi="宋体" w:cs="宋体"/>
                <w:b/>
                <w:color w:val="000000"/>
                <w:szCs w:val="21"/>
                <w:highlight w:val="none"/>
              </w:rPr>
            </w:pPr>
            <w:r>
              <w:rPr>
                <w:rFonts w:hint="eastAsia" w:ascii="宋体" w:hAnsi="宋体" w:cs="宋体"/>
                <w:b/>
                <w:color w:val="000000"/>
                <w:szCs w:val="21"/>
                <w:highlight w:val="none"/>
              </w:rPr>
              <w:t xml:space="preserve">小计</w:t>
            </w:r>
            <w:r>
              <w:rPr>
                <w:rFonts w:ascii="宋体" w:hAnsi="宋体" w:cs="宋体"/>
                <w:b/>
                <w:color w:val="000000"/>
                <w:szCs w:val="21"/>
                <w:highlight w:val="none"/>
              </w:rPr>
            </w:r>
            <w:r/>
          </w:p>
        </w:tc>
        <w:tc>
          <w:tcPr>
            <w:tcW w:w="595"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r>
      <w:tr>
        <w:trPr>
          <w:cantSplit/>
        </w:trPr>
        <w:tc>
          <w:tcPr>
            <w:tcW w:w="46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功能实现程度</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（14分）</w:t>
            </w: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1.信息管理</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平台</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是否使用区民政部门提供的社区养老运营平台</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是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否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restart"/>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查看电子存储信息</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2.业务指导（6分）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①指导二、三级中心家数≥3家             6分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②1家≤指导二、三级中心家数＜3家       4分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③指导二、三级中心家数为0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下级中心电话确认</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3.服务功能（5分）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①能提供的大类服务种类</w:t>
            </w:r>
            <w:r>
              <w:rPr>
                <w:rFonts w:hint="eastAsia" w:ascii="宋体" w:hAnsi="宋体" w:cs="宋体"/>
                <w:color w:val="000000"/>
                <w:szCs w:val="21"/>
                <w:highlight w:val="none"/>
                <w:vertAlign w:val="superscript"/>
              </w:rPr>
              <w:footnoteReference w:id="2"/>
            </w:r>
            <w:r>
              <w:rPr>
                <w:rFonts w:hint="eastAsia" w:ascii="宋体" w:hAnsi="宋体" w:cs="宋体"/>
                <w:color w:val="000000"/>
                <w:szCs w:val="21"/>
                <w:highlight w:val="none"/>
              </w:rPr>
              <w:t xml:space="preserve">≥5类            5分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②3类≤能提供的大类服务种类＜5类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③能提供的大类服务种类＜3类             1分 </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查看活动记录+问询服务对象</w:t>
            </w:r>
            <w:r>
              <w:rPr>
                <w:rFonts w:ascii="宋体" w:hAnsi="宋体" w:cs="宋体"/>
                <w:color w:val="000000"/>
                <w:szCs w:val="21"/>
                <w:highlight w:val="none"/>
              </w:rPr>
            </w:r>
            <w:r/>
          </w:p>
        </w:tc>
      </w:tr>
      <w:tr>
        <w:trPr>
          <w:cantSplit/>
        </w:trPr>
        <w:tc>
          <w:tcPr>
            <w:tcW w:w="46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日常管理规范性（26分）</w:t>
            </w: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4.人员配置和职责分工（5分）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①人员配置达标</w:t>
            </w:r>
            <w:r>
              <w:rPr>
                <w:rFonts w:hint="eastAsia" w:ascii="宋体" w:hAnsi="宋体" w:cs="宋体"/>
                <w:color w:val="000000"/>
                <w:szCs w:val="21"/>
                <w:highlight w:val="none"/>
                <w:vertAlign w:val="superscript"/>
              </w:rPr>
              <w:footnoteReference w:id="3"/>
            </w:r>
            <w:r>
              <w:rPr>
                <w:rFonts w:hint="eastAsia" w:ascii="宋体" w:hAnsi="宋体" w:cs="宋体"/>
                <w:color w:val="000000"/>
                <w:szCs w:val="21"/>
                <w:highlight w:val="none"/>
              </w:rPr>
              <w:t xml:space="preserve">，岗位职责非常明晰，履职非常认真 5分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②人员配置达标，岗位职责明晰，履职认真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③人员配置不达标，职责不明晰，履职不认真   1分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restart"/>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查看员工档案</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5.财务制度（3分）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①财务制度清晰完整合理   3分</w:t>
            </w:r>
            <w:r>
              <w:rPr>
                <w:rFonts w:ascii="宋体" w:hAnsi="宋体" w:cs="宋体"/>
                <w:color w:val="000000"/>
                <w:szCs w:val="21"/>
                <w:highlight w:val="none"/>
              </w:rPr>
            </w:r>
            <w:r/>
          </w:p>
          <w:p>
            <w:pPr>
              <w:pStyle w:val="1045"/>
              <w:ind w:left="105" w:hanging="105"/>
              <w:rPr>
                <w:rFonts w:ascii="宋体" w:hAnsi="宋体" w:cs="宋体"/>
                <w:color w:val="000000"/>
                <w:szCs w:val="21"/>
                <w:highlight w:val="none"/>
              </w:rPr>
            </w:pPr>
            <w:r>
              <w:rPr>
                <w:rFonts w:hint="eastAsia" w:ascii="宋体" w:hAnsi="宋体" w:cs="宋体"/>
                <w:color w:val="000000"/>
                <w:szCs w:val="21"/>
                <w:highlight w:val="none"/>
              </w:rPr>
              <w:t xml:space="preserve">②主要收支项目记录清晰   2分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③无任何财务记录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查看中心财务记录</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6.服务管理制度（7分）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①服务场所显眼位置公示服务项目、时间、收费、联系方式、投诉渠道等服务信息；</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有服务流程并上墙公示；</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有服务承诺并上墙公示；</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有各功能区管理制度并在相应功能区域上墙公示；</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5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有服务质量监督、检查和改进措施；</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6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⑥</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有服务纠纷调解制度；</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7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⑦</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定期检查维护服务设施和设备。以上要求每符合一项加1分，满分7分。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查看制度文件及现场查看或问询相关人员</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7.安全管理制度（3分）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安全管理制度健全且能够落实</w:t>
            </w:r>
            <w:r>
              <w:rPr>
                <w:rFonts w:hint="eastAsia" w:ascii="宋体" w:hAnsi="宋体" w:cs="宋体"/>
                <w:color w:val="000000"/>
                <w:szCs w:val="21"/>
                <w:highlight w:val="none"/>
                <w:vertAlign w:val="superscript"/>
              </w:rPr>
              <w:footnoteReference w:id="4"/>
            </w:r>
            <w:r>
              <w:rPr>
                <w:rFonts w:hint="eastAsia" w:ascii="宋体" w:hAnsi="宋体" w:cs="宋体"/>
                <w:color w:val="000000"/>
                <w:szCs w:val="21"/>
                <w:highlight w:val="none"/>
              </w:rPr>
              <w:t xml:space="preserve">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②有安全管理制度，但不能落实       1分 </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③无安全管理制度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查看文件及询问老人</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8.用餐管理制度（5分）</w:t>
            </w:r>
            <w:r>
              <w:rPr>
                <w:rFonts w:ascii="宋体" w:hAnsi="宋体" w:cs="宋体"/>
                <w:color w:val="000000"/>
                <w:szCs w:val="21"/>
                <w:highlight w:val="none"/>
              </w:rPr>
            </w:r>
            <w:r/>
          </w:p>
        </w:tc>
        <w:tc>
          <w:tcPr>
            <w:tcW w:w="2838" w:type="dxa"/>
            <w:vAlign w:val="center"/>
            <w:textDirection w:val="lrTb"/>
            <w:noWrap w:val="false"/>
          </w:tcPr>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1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有用餐制度（含助餐服务时间、服务须知、清洗消毒制度、费用标准）并上墙公示  2分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2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服务人员、食材、餐饮设备等符合国家食品安全规</w:t>
            </w:r>
            <w:r>
              <w:rPr>
                <w:rFonts w:hint="eastAsia" w:ascii="宋体" w:hAnsi="宋体" w:eastAsia="宋体" w:cs="宋体"/>
                <w:color w:val="000000"/>
                <w:szCs w:val="21"/>
                <w:highlight w:val="none"/>
                <w:lang w:val="en-US" w:eastAsia="zh-CN"/>
              </w:rPr>
              <w:t xml:space="preserve">定</w:t>
            </w:r>
            <w:r>
              <w:rPr>
                <w:rFonts w:hint="eastAsia" w:ascii="宋体" w:hAnsi="宋体" w:eastAsia="宋体" w:cs="宋体"/>
                <w:color w:val="000000"/>
                <w:szCs w:val="21"/>
                <w:highlight w:val="none"/>
              </w:rPr>
              <w:t xml:space="preserve">3分</w:t>
            </w:r>
            <w:r>
              <w:rPr>
                <w:rFonts w:hint="eastAsia" w:ascii="宋体" w:hAnsi="宋体" w:eastAsia="宋体" w:cs="宋体"/>
                <w:color w:val="000000"/>
                <w:szCs w:val="21"/>
                <w:highlight w:val="none"/>
              </w:rPr>
            </w:r>
            <w:r/>
          </w:p>
          <w:p>
            <w:pPr>
              <w:pStyle w:val="1045"/>
              <w:rPr>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3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③</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因场地受限等客观原因无法提供用餐服务的本项得4分</w:t>
            </w:r>
            <w:r>
              <w:rPr>
                <w:color w:val="000000"/>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查看相关证书、文件及现场查看</w:t>
            </w:r>
            <w:r>
              <w:rPr>
                <w:rFonts w:ascii="宋体" w:hAnsi="宋体" w:cs="宋体"/>
                <w:color w:val="000000"/>
                <w:szCs w:val="21"/>
                <w:highlight w:val="none"/>
              </w:rPr>
            </w:r>
            <w:r/>
          </w:p>
        </w:tc>
      </w:tr>
      <w:tr>
        <w:trPr>
          <w:cantSplit/>
          <w:trHeight w:val="953"/>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9.信息档案管理（3分）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为服务对象</w:t>
            </w:r>
            <w:r>
              <w:rPr>
                <w:rFonts w:hint="eastAsia" w:ascii="宋体" w:hAnsi="宋体" w:cs="宋体"/>
                <w:color w:val="000000"/>
                <w:szCs w:val="21"/>
                <w:highlight w:val="none"/>
                <w:vertAlign w:val="superscript"/>
              </w:rPr>
              <w:footnoteReference w:id="5"/>
            </w:r>
            <w:r>
              <w:rPr>
                <w:rFonts w:hint="eastAsia" w:ascii="宋体" w:hAnsi="宋体" w:cs="宋体"/>
                <w:color w:val="000000"/>
                <w:szCs w:val="21"/>
                <w:highlight w:val="none"/>
              </w:rPr>
              <w:t xml:space="preserve">建立动态档案</w:t>
            </w:r>
            <w:r>
              <w:rPr>
                <w:rFonts w:hint="eastAsia" w:ascii="宋体" w:hAnsi="宋体" w:cs="宋体"/>
                <w:color w:val="000000"/>
                <w:szCs w:val="21"/>
                <w:highlight w:val="none"/>
                <w:vertAlign w:val="superscript"/>
              </w:rPr>
              <w:footnoteReference w:id="6"/>
            </w:r>
            <w:r>
              <w:rPr>
                <w:rFonts w:hint="eastAsia" w:ascii="宋体" w:hAnsi="宋体" w:cs="宋体"/>
                <w:color w:val="000000"/>
                <w:szCs w:val="21"/>
                <w:highlight w:val="none"/>
              </w:rPr>
              <w:t xml:space="preserve">且不得外泄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②为服务对象建档但没有动态更新          1分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3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③</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未建立服务对象档案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查看档案记录</w:t>
            </w:r>
            <w:r>
              <w:rPr>
                <w:rFonts w:ascii="宋体" w:hAnsi="宋体" w:cs="宋体"/>
                <w:color w:val="000000"/>
                <w:szCs w:val="21"/>
                <w:highlight w:val="none"/>
              </w:rPr>
            </w:r>
            <w:r/>
          </w:p>
        </w:tc>
      </w:tr>
      <w:tr>
        <w:trPr>
          <w:cantSplit/>
        </w:trPr>
        <w:tc>
          <w:tcPr>
            <w:tcW w:w="46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服务状况（50分）</w:t>
            </w: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10.服务环境</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各区域十分干净、整洁、美观          4分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②各区域比较干净、整洁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③存在较严重脏乱差现象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restart"/>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现场查看</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11.服务人次</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（10分）</w:t>
            </w:r>
            <w:r>
              <w:rPr>
                <w:rFonts w:ascii="宋体" w:hAnsi="宋体" w:cs="宋体"/>
                <w:color w:val="000000"/>
                <w:szCs w:val="21"/>
                <w:highlight w:val="none"/>
              </w:rPr>
            </w:r>
            <w:r/>
          </w:p>
        </w:tc>
        <w:tc>
          <w:tcPr>
            <w:tcW w:w="2838" w:type="dxa"/>
            <w:vAlign w:val="center"/>
            <w:textDirection w:val="lrTb"/>
            <w:noWrap w:val="false"/>
          </w:tcPr>
          <w:p>
            <w:pPr>
              <w:pStyle w:val="1097"/>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（一）站内服务（5分）</w:t>
            </w:r>
            <w:r>
              <w:rPr>
                <w:rFonts w:hint="eastAsia" w:ascii="宋体" w:hAnsi="宋体" w:eastAsia="宋体" w:cs="宋体"/>
                <w:color w:val="000000"/>
                <w:sz w:val="21"/>
                <w:szCs w:val="21"/>
                <w:highlight w:val="none"/>
              </w:rPr>
            </w:r>
            <w:r/>
          </w:p>
          <w:p>
            <w:pPr>
              <w:pStyle w:val="1097"/>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1 \* GB3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每日开放，时长不少于8小时，日均服务人次</w:t>
            </w:r>
            <w:r>
              <w:rPr>
                <w:rFonts w:hint="eastAsia" w:ascii="宋体" w:hAnsi="宋体" w:eastAsia="宋体" w:cs="宋体"/>
                <w:color w:val="000000"/>
                <w:sz w:val="21"/>
                <w:szCs w:val="21"/>
                <w:highlight w:val="none"/>
              </w:rPr>
              <w:footnoteReference w:id="7"/>
            </w:r>
            <w:r>
              <w:rPr>
                <w:rFonts w:hint="eastAsia" w:ascii="宋体" w:hAnsi="宋体" w:eastAsia="宋体" w:cs="宋体"/>
                <w:color w:val="000000"/>
                <w:sz w:val="21"/>
                <w:szCs w:val="21"/>
                <w:highlight w:val="none"/>
              </w:rPr>
              <w:t xml:space="preserve">≥100     8分</w:t>
            </w:r>
            <w:r>
              <w:rPr>
                <w:rFonts w:hint="eastAsia" w:ascii="宋体" w:hAnsi="宋体" w:eastAsia="宋体" w:cs="宋体"/>
                <w:color w:val="000000"/>
                <w:sz w:val="21"/>
                <w:szCs w:val="21"/>
                <w:highlight w:val="none"/>
              </w:rPr>
            </w:r>
            <w:r/>
          </w:p>
          <w:p>
            <w:pPr>
              <w:pStyle w:val="1097"/>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②每日开放，时长不少于8小时，50≤日均服务人次＜100  6分</w:t>
            </w:r>
            <w:r>
              <w:rPr>
                <w:rFonts w:hint="eastAsia" w:ascii="宋体" w:hAnsi="宋体" w:eastAsia="宋体" w:cs="宋体"/>
                <w:color w:val="000000"/>
                <w:sz w:val="21"/>
                <w:szCs w:val="21"/>
                <w:highlight w:val="none"/>
              </w:rPr>
            </w:r>
            <w:r/>
          </w:p>
          <w:p>
            <w:pPr>
              <w:pStyle w:val="1097"/>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3 \* GB3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每日开放，时长不少于8小时，10≤日均服务人次＜50   4分</w:t>
            </w:r>
            <w:r>
              <w:rPr>
                <w:rFonts w:hint="eastAsia" w:ascii="宋体" w:hAnsi="宋体" w:eastAsia="宋体" w:cs="宋体"/>
                <w:color w:val="000000"/>
                <w:sz w:val="21"/>
                <w:szCs w:val="21"/>
                <w:highlight w:val="none"/>
              </w:rPr>
            </w:r>
            <w:r/>
          </w:p>
          <w:p>
            <w:pPr>
              <w:pStyle w:val="1097"/>
              <w:ind w:left="0" w:firstLine="0"/>
              <w:rPr>
                <w:rFonts w:ascii="宋体" w:hAnsi="宋体" w:cs="宋体"/>
                <w:color w:val="000000"/>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4 \* GB3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没有每天开放或时长少于8小时，日均服务人次＜10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查看活动记录</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838" w:type="dxa"/>
            <w:vAlign w:val="center"/>
            <w:textDirection w:val="lrTb"/>
            <w:noWrap w:val="false"/>
          </w:tcPr>
          <w:p>
            <w:pPr>
              <w:pStyle w:val="1097"/>
              <w:ind w:left="0"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（二）提供居家养老上门服务（5分）</w:t>
            </w:r>
            <w:r>
              <w:rPr>
                <w:rFonts w:ascii="宋体" w:hAnsi="宋体" w:cs="宋体"/>
                <w:color w:val="000000"/>
                <w:sz w:val="21"/>
                <w:szCs w:val="21"/>
                <w:highlight w:val="none"/>
              </w:rPr>
            </w:r>
            <w:r/>
          </w:p>
          <w:p>
            <w:pPr>
              <w:pStyle w:val="1045"/>
              <w:rPr>
                <w:rFonts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每年服务人次≥50                     2分</w:t>
            </w:r>
            <w:r>
              <w:rPr>
                <w:rFonts w:ascii="宋体" w:hAnsi="宋体" w:cs="宋体"/>
                <w:color w:val="000000"/>
                <w:sz w:val="21"/>
                <w:szCs w:val="21"/>
                <w:highlight w:val="none"/>
              </w:rPr>
            </w:r>
            <w:r/>
          </w:p>
          <w:p>
            <w:pPr>
              <w:pStyle w:val="1097"/>
              <w:ind w:left="0"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②10≤每年服务人次＜50                 1分</w:t>
            </w:r>
            <w:r>
              <w:rPr>
                <w:rFonts w:ascii="宋体" w:hAnsi="宋体" w:cs="宋体"/>
                <w:color w:val="000000"/>
                <w:sz w:val="21"/>
                <w:szCs w:val="21"/>
                <w:highlight w:val="none"/>
              </w:rPr>
            </w:r>
            <w:r/>
          </w:p>
          <w:p>
            <w:pPr>
              <w:pStyle w:val="1097"/>
              <w:ind w:left="0" w:firstLine="0"/>
              <w:rPr>
                <w:rFonts w:ascii="宋体" w:hAnsi="宋体" w:cs="宋体"/>
                <w:color w:val="000000"/>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未开展居家上门服务的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查看台账、系统</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12.服务计划</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制定有月度和年度服务计划，每周活动计划提前公示才可得分。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按计划开展活动的                       4分 </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②未按计划开展活动的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both"/>
              <w:rPr>
                <w:rFonts w:ascii="宋体" w:hAnsi="宋体" w:cs="宋体"/>
                <w:color w:val="000000"/>
                <w:szCs w:val="21"/>
                <w:highlight w:val="none"/>
              </w:rPr>
            </w:pPr>
            <w:r>
              <w:rPr>
                <w:rFonts w:hint="eastAsia" w:ascii="宋体" w:hAnsi="宋体" w:cs="宋体"/>
                <w:color w:val="000000"/>
                <w:szCs w:val="21"/>
                <w:highlight w:val="none"/>
              </w:rPr>
              <w:t xml:space="preserve">查看文件</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13.文体娱乐服务（5分）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年服务种类达到中心等级要求，且按年初计划执行5分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②年服务种类基本达到中心等级要求，且大体按年初计划执行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③年服务种类与中心等级要求相差较大    0分 </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查看活动记录及年初计划及执行情况表</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14.康复保健服务（5分）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①能提供的服务种类</w:t>
            </w:r>
            <w:r>
              <w:rPr>
                <w:rFonts w:hint="eastAsia" w:ascii="宋体" w:hAnsi="宋体" w:cs="宋体"/>
                <w:color w:val="000000"/>
                <w:szCs w:val="21"/>
                <w:highlight w:val="none"/>
                <w:vertAlign w:val="superscript"/>
              </w:rPr>
              <w:footnoteReference w:id="8"/>
            </w:r>
            <w:r>
              <w:rPr>
                <w:rFonts w:hint="eastAsia" w:ascii="宋体" w:hAnsi="宋体" w:cs="宋体"/>
                <w:color w:val="000000"/>
                <w:szCs w:val="21"/>
                <w:highlight w:val="none"/>
              </w:rPr>
              <w:t xml:space="preserve">≥6类                5分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②3类≤能提供的大类服务种类＜6类       3分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③能提供的大类服务种类＜3类             1分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查看活动记录</w:t>
            </w:r>
            <w:r>
              <w:rPr>
                <w:rFonts w:ascii="宋体" w:hAnsi="宋体" w:cs="宋体"/>
                <w:color w:val="000000"/>
                <w:szCs w:val="21"/>
                <w:highlight w:val="none"/>
              </w:rPr>
            </w:r>
            <w:r/>
          </w:p>
        </w:tc>
      </w:tr>
      <w:tr>
        <w:trPr>
          <w:cantSplit/>
          <w:trHeight w:val="683"/>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15.膳食餐饮服务</w:t>
            </w:r>
            <w:r>
              <w:rPr>
                <w:rFonts w:hint="eastAsia" w:ascii="宋体" w:hAnsi="宋体" w:cs="宋体"/>
                <w:color w:val="000000"/>
                <w:szCs w:val="21"/>
                <w:highlight w:val="none"/>
                <w:vertAlign w:val="superscript"/>
              </w:rPr>
              <w:footnoteReference w:id="9"/>
            </w:r>
            <w:r>
              <w:rPr>
                <w:rFonts w:hint="eastAsia" w:ascii="宋体" w:hAnsi="宋体" w:cs="宋体"/>
                <w:color w:val="000000"/>
                <w:szCs w:val="21"/>
                <w:highlight w:val="none"/>
              </w:rPr>
              <w:t xml:space="preserve">（10分）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菜谱（含价格）每周提前在醒目处公示    2分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2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②</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没有每周菜谱或菜谱没有公示            0分 </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问询老人、现场查看等</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838" w:type="dxa"/>
            <w:vAlign w:val="center"/>
            <w:textDirection w:val="lrTb"/>
            <w:noWrap w:val="false"/>
          </w:tcPr>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1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正常每天至少提供中餐助餐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1分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②食材搭配符合老人膳食习惯，搭配合理（荤素搭配、干稀搭配、粗细搭配）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2分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③每日至少提供三种以上的套餐选择        2分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以上每达到1条要求，获得相应分值，达不到的不得分。</w:t>
            </w:r>
            <w:r>
              <w:rPr>
                <w:rFonts w:hint="eastAsia" w:ascii="宋体" w:hAnsi="宋体" w:eastAsia="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询问老人、现场查看等</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838" w:type="dxa"/>
            <w:vAlign w:val="center"/>
            <w:textDirection w:val="lrTb"/>
            <w:noWrap w:val="false"/>
          </w:tcPr>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1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日均服务人次≥30人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3分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②10人≤日均服务人次＜30人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2分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③5人≤日均服务人次＜10人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1分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④日均服务人次＜5人                    0分 </w:t>
            </w:r>
            <w:r>
              <w:rPr>
                <w:rFonts w:hint="eastAsia" w:ascii="宋体" w:hAnsi="宋体" w:eastAsia="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查看活动记录</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838" w:type="dxa"/>
            <w:vAlign w:val="center"/>
            <w:textDirection w:val="lrTb"/>
            <w:noWrap w:val="false"/>
          </w:tcPr>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因场地受限等客观原因无法提供用餐服务的本项得8分</w:t>
            </w:r>
            <w:r>
              <w:rPr>
                <w:rFonts w:hint="eastAsia" w:ascii="宋体" w:hAnsi="宋体" w:eastAsia="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16.生活照料服务（5分）</w:t>
            </w:r>
            <w:r>
              <w:rPr>
                <w:rFonts w:ascii="宋体" w:hAnsi="宋体" w:cs="宋体"/>
                <w:color w:val="000000"/>
                <w:szCs w:val="21"/>
                <w:highlight w:val="none"/>
              </w:rPr>
            </w:r>
            <w:r/>
          </w:p>
        </w:tc>
        <w:tc>
          <w:tcPr>
            <w:tcW w:w="2838" w:type="dxa"/>
            <w:vAlign w:val="center"/>
            <w:textDirection w:val="lrTb"/>
            <w:noWrap w:val="false"/>
          </w:tcPr>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能提供洗涤、日间休息、个人生活护理三类服务    3分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以上每少一项服务类型扣1分，扣完为止</w:t>
            </w:r>
            <w:r>
              <w:rPr>
                <w:rFonts w:hint="eastAsia" w:ascii="宋体" w:hAnsi="宋体" w:eastAsia="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查看服务记录</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2838" w:type="dxa"/>
            <w:vAlign w:val="center"/>
            <w:textDirection w:val="lrTb"/>
            <w:noWrap w:val="false"/>
          </w:tcPr>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1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月均服务人次≥10人        2分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②1人≤月均服务人次＜10     1分</w:t>
            </w:r>
            <w:r>
              <w:rPr>
                <w:rFonts w:hint="eastAsia" w:ascii="宋体" w:hAnsi="宋体" w:eastAsia="宋体" w:cs="宋体"/>
                <w:color w:val="000000"/>
                <w:szCs w:val="21"/>
                <w:highlight w:val="none"/>
              </w:rPr>
            </w:r>
            <w:r/>
          </w:p>
          <w:p>
            <w:pPr>
              <w:pStyle w:val="10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③月均服务人次0次           0分</w:t>
            </w:r>
            <w:r>
              <w:rPr>
                <w:rFonts w:hint="eastAsia" w:ascii="宋体" w:hAnsi="宋体" w:eastAsia="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查看活动记录</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17.教育咨询服务（4分）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月均举办老年课堂或各类知识讲座次数≥4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4分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②1≤月均举办老年课堂或各类知识讲座次数＜4  2分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③月均举办老年课堂或各类知识讲座次数＜1     0分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查看活动记录</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18.其他服务</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主要有居家上门服务、委托代办服务或其他上述没有提到的特色服务（如老年人辅助器材租赁服务）等    3分   </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每增加一类服务可增加1分，直至达到满分3分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查看服务记录</w:t>
            </w:r>
            <w:r>
              <w:rPr>
                <w:rFonts w:ascii="宋体" w:hAnsi="宋体" w:cs="宋体"/>
                <w:color w:val="000000"/>
                <w:szCs w:val="21"/>
                <w:highlight w:val="none"/>
              </w:rPr>
            </w:r>
            <w:r/>
          </w:p>
        </w:tc>
      </w:tr>
      <w:tr>
        <w:trPr>
          <w:cantSplit/>
          <w:trHeight w:val="936"/>
        </w:trPr>
        <w:tc>
          <w:tcPr>
            <w:tcW w:w="460"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安全保障状况</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19.消防安全</w:t>
            </w:r>
            <w:r>
              <w:rPr>
                <w:rFonts w:ascii="宋体" w:hAnsi="宋体" w:cs="宋体"/>
                <w:color w:val="000000"/>
                <w:szCs w:val="21"/>
                <w:highlight w:val="none"/>
              </w:rPr>
            </w:r>
            <w:r/>
          </w:p>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①有符合规定的消防器材，如消防栓或其他灭火器材；</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②有消防演练、应急疏散和灭火预案，并上墙公示；</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③每年至少开展1次演练。 以上每符合一项得1分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restart"/>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vMerge w:val="restart"/>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现场查看及询问相关人员</w:t>
            </w:r>
            <w:r>
              <w:rPr>
                <w:rFonts w:ascii="宋体" w:hAnsi="宋体" w:cs="宋体"/>
                <w:color w:val="000000"/>
                <w:szCs w:val="21"/>
                <w:highlight w:val="none"/>
              </w:rPr>
            </w:r>
            <w:r/>
          </w:p>
        </w:tc>
      </w:tr>
      <w:tr>
        <w:trPr>
          <w:cantSplit/>
        </w:trPr>
        <w:tc>
          <w:tcPr>
            <w:tcW w:w="460"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20.突发事件应对（2分）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有自然灾害、事故灾难、公共卫生、火灾等事件的应急预案，并上墙公示；②每年至少开展1次演练；</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以上每符合一项得1分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vMerge w:val="continue"/>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vMerge w:val="continue"/>
            <w:textDirection w:val="lrTb"/>
            <w:noWrap w:val="false"/>
          </w:tcPr>
          <w:p>
            <w:pPr>
              <w:pStyle w:val="1045"/>
              <w:jc w:val="center"/>
              <w:rPr>
                <w:rFonts w:ascii="宋体" w:hAnsi="宋体" w:cs="宋体"/>
                <w:color w:val="000000"/>
                <w:szCs w:val="21"/>
                <w:highlight w:val="none"/>
              </w:rPr>
            </w:pPr>
            <w:r>
              <w:rPr>
                <w:rFonts w:ascii="宋体" w:hAnsi="宋体" w:cs="宋体"/>
                <w:color w:val="000000"/>
                <w:szCs w:val="21"/>
                <w:highlight w:val="none"/>
              </w:rPr>
            </w:r>
            <w:r/>
          </w:p>
        </w:tc>
      </w:tr>
      <w:tr>
        <w:trPr>
          <w:cantSplit/>
        </w:trPr>
        <w:tc>
          <w:tcPr>
            <w:tcW w:w="46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整合社会资源能力（5分）</w:t>
            </w:r>
            <w:r>
              <w:rPr>
                <w:rFonts w:ascii="宋体" w:hAnsi="宋体" w:cs="宋体"/>
                <w:color w:val="000000"/>
                <w:szCs w:val="21"/>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21.志愿者或公益团队参与情况（5分）</w:t>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①每年有3个以上志愿团队或公益团队参与，且每个团队每年至少参加1次               5分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②每年有2个以上志愿团队或公益团队参与，且每个团队每年至少参加1次               2分</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③无志愿团队或公益团队参与     0 分</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查看参与记录</w:t>
            </w:r>
            <w:r>
              <w:rPr>
                <w:rFonts w:ascii="宋体" w:hAnsi="宋体" w:cs="宋体"/>
                <w:color w:val="000000"/>
                <w:szCs w:val="21"/>
                <w:highlight w:val="none"/>
              </w:rPr>
            </w:r>
            <w:r/>
          </w:p>
        </w:tc>
      </w:tr>
      <w:tr>
        <w:trPr>
          <w:trHeight w:val="600"/>
        </w:trPr>
        <w:tc>
          <w:tcPr>
            <w:tcW w:w="46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一票否决及扣</w:t>
            </w:r>
            <w:r>
              <w:rPr>
                <w:rFonts w:ascii="宋体" w:hAnsi="宋体" w:cs="宋体"/>
                <w:color w:val="000000"/>
                <w:szCs w:val="21"/>
                <w:highlight w:val="none"/>
              </w:rPr>
            </w:r>
            <w:r/>
          </w:p>
          <w:p>
            <w:pPr>
              <w:pStyle w:val="1045"/>
              <w:jc w:val="center"/>
              <w:rPr>
                <w:color w:val="000000"/>
                <w:highlight w:val="none"/>
              </w:rPr>
            </w:pPr>
            <w:r>
              <w:rPr>
                <w:rFonts w:hint="eastAsia"/>
                <w:color w:val="000000"/>
                <w:highlight w:val="none"/>
              </w:rPr>
              <w:t xml:space="preserve">分项</w:t>
            </w:r>
            <w:r>
              <w:rPr>
                <w:color w:val="000000"/>
                <w:highlight w:val="none"/>
              </w:rPr>
            </w:r>
            <w:r/>
          </w:p>
        </w:tc>
        <w:tc>
          <w:tcPr>
            <w:tcW w:w="530" w:type="dxa"/>
            <w:vAlign w:val="center"/>
            <w:textDirection w:val="lrTb"/>
            <w:noWrap w:val="false"/>
          </w:tcPr>
          <w:p>
            <w:pPr>
              <w:pStyle w:val="1045"/>
              <w:jc w:val="center"/>
              <w:rPr>
                <w:rFonts w:ascii="宋体" w:hAnsi="宋体" w:cs="宋体"/>
                <w:color w:val="000000"/>
                <w:szCs w:val="21"/>
                <w:highlight w:val="none"/>
              </w:rPr>
            </w:pPr>
            <w:r>
              <w:rPr>
                <w:rFonts w:hint="eastAsia" w:ascii="宋体" w:hAnsi="宋体" w:cs="宋体"/>
                <w:color w:val="000000"/>
                <w:szCs w:val="21"/>
                <w:highlight w:val="none"/>
              </w:rPr>
              <w:t xml:space="preserve">22.一票否决事项</w:t>
            </w:r>
            <w:r>
              <w:rPr>
                <w:rFonts w:hint="eastAsia" w:ascii="宋体" w:hAnsi="宋体" w:cs="宋体"/>
                <w:color w:val="000000"/>
                <w:szCs w:val="21"/>
                <w:highlight w:val="none"/>
                <w:vertAlign w:val="superscript"/>
              </w:rPr>
              <w:footnoteReference w:id="10"/>
            </w:r>
            <w:r>
              <w:rPr>
                <w:rFonts w:ascii="宋体" w:hAnsi="宋体" w:cs="宋体"/>
                <w:color w:val="000000"/>
                <w:szCs w:val="21"/>
                <w:highlight w:val="none"/>
              </w:rPr>
            </w:r>
            <w:r/>
          </w:p>
        </w:tc>
        <w:tc>
          <w:tcPr>
            <w:tcW w:w="2838"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1 \* GB3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①</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发生火灾、食物中毒等安全责任事故</w:t>
            </w:r>
            <w:r>
              <w:rPr>
                <w:rFonts w:ascii="宋体" w:hAnsi="宋体" w:cs="宋体"/>
                <w:color w:val="000000"/>
                <w:szCs w:val="21"/>
                <w:highlight w:val="none"/>
              </w:rPr>
            </w:r>
            <w:r/>
          </w:p>
          <w:p>
            <w:pPr>
              <w:pStyle w:val="1045"/>
              <w:rPr>
                <w:rFonts w:ascii="宋体" w:hAnsi="宋体" w:cs="宋体"/>
                <w:color w:val="000000"/>
                <w:szCs w:val="21"/>
                <w:highlight w:val="none"/>
              </w:rPr>
            </w:pPr>
            <w:r>
              <w:rPr>
                <w:rFonts w:hint="eastAsia" w:ascii="宋体" w:hAnsi="宋体" w:cs="宋体"/>
                <w:color w:val="000000"/>
                <w:szCs w:val="21"/>
                <w:highlight w:val="none"/>
              </w:rPr>
              <w:t xml:space="preserve">②发生服务人员虐待老人事项</w:t>
            </w:r>
            <w:r>
              <w:rPr>
                <w:rFonts w:ascii="宋体" w:hAnsi="宋体" w:cs="宋体"/>
                <w:color w:val="000000"/>
                <w:szCs w:val="21"/>
                <w:highlight w:val="none"/>
              </w:rPr>
            </w:r>
            <w:r/>
          </w:p>
        </w:tc>
        <w:tc>
          <w:tcPr>
            <w:tcW w:w="26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307" w:type="dxa"/>
            <w:vAlign w:val="center"/>
            <w:textDirection w:val="lrTb"/>
            <w:noWrap w:val="false"/>
          </w:tcPr>
          <w:p>
            <w:pPr>
              <w:pStyle w:val="1045"/>
              <w:rPr>
                <w:rFonts w:ascii="宋体" w:hAnsi="宋体" w:cs="宋体"/>
                <w:color w:val="000000"/>
                <w:szCs w:val="21"/>
                <w:highlight w:val="none"/>
              </w:rPr>
            </w:pPr>
            <w:r>
              <w:rPr>
                <w:rFonts w:ascii="宋体" w:hAnsi="宋体" w:cs="宋体"/>
                <w:color w:val="000000"/>
                <w:szCs w:val="21"/>
                <w:highlight w:val="none"/>
              </w:rPr>
            </w:r>
            <w:r/>
          </w:p>
        </w:tc>
        <w:tc>
          <w:tcPr>
            <w:tcW w:w="595" w:type="dxa"/>
            <w:vAlign w:val="center"/>
            <w:textDirection w:val="lrTb"/>
            <w:noWrap w:val="false"/>
          </w:tcPr>
          <w:p>
            <w:pPr>
              <w:pStyle w:val="1045"/>
              <w:rPr>
                <w:rFonts w:ascii="宋体" w:hAnsi="宋体" w:cs="宋体"/>
                <w:color w:val="000000"/>
                <w:szCs w:val="21"/>
                <w:highlight w:val="none"/>
              </w:rPr>
            </w:pPr>
            <w:r>
              <w:rPr>
                <w:rFonts w:hint="eastAsia" w:ascii="宋体" w:hAnsi="宋体" w:cs="宋体"/>
                <w:color w:val="000000"/>
                <w:szCs w:val="21"/>
                <w:highlight w:val="none"/>
              </w:rPr>
              <w:t xml:space="preserve">相关部门事故记录</w:t>
            </w:r>
            <w:r>
              <w:rPr>
                <w:rFonts w:ascii="宋体" w:hAnsi="宋体" w:cs="宋体"/>
                <w:color w:val="000000"/>
                <w:szCs w:val="21"/>
                <w:highlight w:val="none"/>
              </w:rPr>
            </w:r>
            <w:r/>
          </w:p>
        </w:tc>
      </w:tr>
    </w:tbl>
    <w:p>
      <w:pPr>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1045"/>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1045"/>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104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1045"/>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JSZC-320509-ZZHL-C2026-0033</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en-US" w:eastAsia="zh-CN"/>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1045"/>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1045"/>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1056"/>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105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5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5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10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10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1045"/>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1071"/>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7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107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104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rPr>
          <w:rFonts w:hint="eastAsia"/>
          <w:color w:val="000000"/>
          <w:highlight w:val="none"/>
        </w:rPr>
      </w:pPr>
      <w:r>
        <w:rPr>
          <w:rFonts w:hint="eastAsia"/>
          <w:color w:val="000000"/>
          <w:highlight w:val="none"/>
        </w:rPr>
      </w:r>
      <w:r/>
    </w:p>
    <w:p>
      <w:pPr>
        <w:pStyle w:val="1045"/>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1045"/>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104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磋商编号：JSZC-320509-ZZHL-C2026-0033号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104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104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1045"/>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响应报价</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104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104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104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104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104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hint="eastAsia" w:ascii="宋体" w:hAnsi="宋体" w:eastAsia="宋体" w:cs="宋体"/>
          <w:color w:val="000000"/>
          <w:spacing w:val="20"/>
          <w:sz w:val="24"/>
          <w:highlight w:val="none"/>
          <w:lang w:val="en-US" w:eastAsia="zh-CN"/>
        </w:rPr>
      </w:r>
      <w:r/>
    </w:p>
    <w:p>
      <w:pPr>
        <w:pStyle w:val="1056"/>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5"/>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1045"/>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104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46"/>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1045"/>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104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055"/>
        <w:gridCol w:w="1493"/>
        <w:gridCol w:w="1042"/>
        <w:gridCol w:w="1354"/>
        <w:gridCol w:w="1404"/>
      </w:tblGrid>
      <w:tr>
        <w:trPr>
          <w:cantSplit/>
          <w:trHeight w:val="503"/>
        </w:trPr>
        <w:tc>
          <w:tcPr>
            <w:tcW w:w="940"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055"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费用项目</w:t>
            </w:r>
            <w:r>
              <w:rPr>
                <w:rFonts w:hint="eastAsia" w:ascii="宋体" w:hAnsi="宋体" w:cs="宋体"/>
                <w:color w:val="000000"/>
                <w:sz w:val="24"/>
                <w:highlight w:val="none"/>
              </w:rPr>
            </w:r>
            <w:r/>
          </w:p>
        </w:tc>
        <w:tc>
          <w:tcPr>
            <w:tcW w:w="1493" w:type="dxa"/>
            <w:vAlign w:val="center"/>
            <w:textDirection w:val="lrTb"/>
            <w:noWrap/>
          </w:tcPr>
          <w:p>
            <w:pPr>
              <w:pStyle w:val="1045"/>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单价（元）</w:t>
            </w:r>
            <w:r>
              <w:rPr>
                <w:rFonts w:ascii="宋体" w:hAnsi="宋体" w:eastAsia="宋体" w:cs="宋体"/>
                <w:color w:val="000000"/>
                <w:sz w:val="24"/>
                <w:highlight w:val="none"/>
                <w:lang w:val="en-US" w:eastAsia="zh-CN"/>
              </w:rPr>
            </w:r>
            <w:r/>
          </w:p>
        </w:tc>
        <w:tc>
          <w:tcPr>
            <w:tcW w:w="1042" w:type="dxa"/>
            <w:vAlign w:val="center"/>
            <w:textDirection w:val="lrTb"/>
            <w:noWrap/>
          </w:tcPr>
          <w:p>
            <w:pPr>
              <w:pStyle w:val="1045"/>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数量</w:t>
            </w: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总价（元）</w:t>
            </w:r>
            <w:r>
              <w:rPr>
                <w:rFonts w:hint="eastAsia" w:ascii="宋体" w:hAnsi="宋体" w:cs="宋体"/>
                <w:color w:val="000000"/>
                <w:sz w:val="24"/>
                <w:highlight w:val="none"/>
              </w:rPr>
            </w:r>
            <w:r/>
          </w:p>
        </w:tc>
        <w:tc>
          <w:tcPr>
            <w:tcW w:w="140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427"/>
        </w:trPr>
        <w:tc>
          <w:tcPr>
            <w:tcW w:w="940"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055" w:type="dxa"/>
            <w:vAlign w:val="center"/>
            <w:textDirection w:val="lrTb"/>
            <w:noWrap/>
          </w:tcPr>
          <w:p>
            <w:pPr>
              <w:pStyle w:val="1045"/>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pStyle w:val="1045"/>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pStyle w:val="1045"/>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1045"/>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93"/>
        </w:trPr>
        <w:tc>
          <w:tcPr>
            <w:tcW w:w="940"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055" w:type="dxa"/>
            <w:vAlign w:val="center"/>
            <w:textDirection w:val="lrTb"/>
            <w:noWrap/>
          </w:tcPr>
          <w:p>
            <w:pPr>
              <w:pStyle w:val="1045"/>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pStyle w:val="1045"/>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pStyle w:val="1045"/>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1045"/>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055" w:type="dxa"/>
            <w:vAlign w:val="center"/>
            <w:textDirection w:val="lrTb"/>
            <w:noWrap/>
          </w:tcPr>
          <w:p>
            <w:pPr>
              <w:pStyle w:val="1045"/>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pStyle w:val="1045"/>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pStyle w:val="1045"/>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1045"/>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055" w:type="dxa"/>
            <w:vAlign w:val="center"/>
            <w:textDirection w:val="lrTb"/>
            <w:noWrap/>
          </w:tcPr>
          <w:p>
            <w:pPr>
              <w:pStyle w:val="1045"/>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93" w:type="dxa"/>
            <w:vAlign w:val="center"/>
            <w:textDirection w:val="lrTb"/>
            <w:noWrap/>
          </w:tcPr>
          <w:p>
            <w:pPr>
              <w:pStyle w:val="1045"/>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055" w:type="dxa"/>
            <w:vAlign w:val="center"/>
            <w:textDirection w:val="lrTb"/>
            <w:noWrap/>
          </w:tcPr>
          <w:p>
            <w:pPr>
              <w:pStyle w:val="1045"/>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93" w:type="dxa"/>
            <w:vAlign w:val="center"/>
            <w:textDirection w:val="lrTb"/>
            <w:noWrap/>
          </w:tcPr>
          <w:p>
            <w:pPr>
              <w:pStyle w:val="1045"/>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8"/>
        </w:trPr>
        <w:tc>
          <w:tcPr>
            <w:gridSpan w:val="2"/>
            <w:tcW w:w="3995" w:type="dxa"/>
            <w:vAlign w:val="center"/>
            <w:textDirection w:val="lrTb"/>
            <w:noWrap/>
          </w:tcPr>
          <w:p>
            <w:pPr>
              <w:pStyle w:val="1045"/>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rPr>
                <w:rFonts w:hint="eastAsia" w:ascii="宋体" w:hAnsi="宋体" w:cs="宋体"/>
                <w:color w:val="000000"/>
                <w:sz w:val="24"/>
                <w:highlight w:val="none"/>
              </w:rPr>
            </w:r>
            <w:r/>
          </w:p>
        </w:tc>
        <w:tc>
          <w:tcPr>
            <w:gridSpan w:val="4"/>
            <w:tcW w:w="5293" w:type="dxa"/>
            <w:vAlign w:val="center"/>
            <w:textDirection w:val="lrTb"/>
            <w:noWrap/>
          </w:tcPr>
          <w:p>
            <w:pPr>
              <w:pStyle w:val="1045"/>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rPr>
                <w:rFonts w:hint="eastAsia" w:ascii="宋体" w:hAnsi="宋体" w:cs="宋体"/>
                <w:color w:val="000000"/>
                <w:sz w:val="24"/>
                <w:highlight w:val="none"/>
              </w:rPr>
            </w:r>
            <w:r/>
          </w:p>
        </w:tc>
      </w:tr>
    </w:tbl>
    <w:p>
      <w:pPr>
        <w:pStyle w:val="1059"/>
        <w:ind w:firstLine="560"/>
        <w:keepLines w:val="0"/>
        <w:keepNext w:val="0"/>
        <w:pageBreakBefore w:val="0"/>
        <w:spacing w:line="360" w:lineRule="auto"/>
        <w:widowControl w:val="off"/>
        <w:tabs>
          <w:tab w:val="left" w:pos="5250" w:leader="none"/>
        </w:tabs>
        <w:rPr>
          <w:rFonts w:hint="eastAsia"/>
          <w:color w:val="000000"/>
          <w:highlight w:val="none"/>
        </w:rPr>
      </w:pPr>
      <w:r>
        <w:rPr>
          <w:rFonts w:hint="eastAsia"/>
          <w:color w:val="000000"/>
          <w:highlight w:val="none"/>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szCs w:val="24"/>
          <w:highlight w:val="none"/>
        </w:rPr>
      </w:pPr>
      <w:r>
        <w:rPr>
          <w:rFonts w:hint="eastAsia" w:hAnsi="宋体" w:eastAsia="宋体" w:cs="宋体"/>
          <w:color w:val="000000"/>
          <w:sz w:val="24"/>
          <w:highlight w:val="none"/>
        </w:rPr>
      </w: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szCs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104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1045"/>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注：1.磋商响应单位应对照采购文件服务要求等要求，所响应标的物（服务）与采购文件的规定有偏离的，应在此表中申明与服务要求条文的偏差和例外。</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105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4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4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4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104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1045"/>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104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JSZC-320509-ZZHL-C2026-0033</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106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105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45"/>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1045"/>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104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w:t>
      </w:r>
      <w:r>
        <w:rPr>
          <w:rFonts w:hint="eastAsia" w:ascii="宋体" w:hAnsi="宋体" w:eastAsia="宋体" w:cs="宋体"/>
          <w:color w:val="000000"/>
          <w:spacing w:val="20"/>
          <w:sz w:val="24"/>
          <w:highlight w:val="none"/>
          <w:lang w:val="en-US" w:eastAsia="zh-CN"/>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6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1045"/>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5"/>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5"/>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5"/>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1045"/>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1045"/>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JSZC-320509-ZZHL-C2026-0033</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45"/>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1045"/>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1045"/>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7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7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1045"/>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1045"/>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1045"/>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JSZC-320509-ZZHL-C2026-0033</w:t>
      </w:r>
      <w:r>
        <w:rPr>
          <w:rFonts w:hint="eastAsia" w:ascii="宋体" w:hAnsi="宋体" w:cs="宋体"/>
          <w:bCs/>
          <w:color w:val="000000"/>
          <w:sz w:val="24"/>
          <w:highlight w:val="none"/>
        </w:rPr>
        <w:t xml:space="preserve">号</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5"/>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45"/>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1045"/>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1045"/>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104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45"/>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1045"/>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5"/>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56"/>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1056"/>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1045"/>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1045"/>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1045"/>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1045"/>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104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1056"/>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105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105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105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1056"/>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105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105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45"/>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104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104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103"/>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1103"/>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104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104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1099"/>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104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5"/>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5"/>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right="-4"/>
        <w:pageBreakBefore/>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附件13：</w:t>
      </w:r>
      <w:r>
        <w:rPr>
          <w:rFonts w:hint="eastAsia" w:ascii="宋体" w:hAnsi="宋体" w:eastAsia="宋体" w:cs="宋体"/>
          <w:b/>
          <w:color w:val="000000"/>
          <w:sz w:val="24"/>
          <w:highlight w:val="none"/>
        </w:rPr>
        <w:t xml:space="preserve">关于符合本国产品标准的声明函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如涉及</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1045"/>
        <w:rPr>
          <w:rFonts w:hint="eastAsia"/>
          <w:color w:val="000000"/>
          <w:highlight w:val="none"/>
        </w:rPr>
      </w:pPr>
      <w:r>
        <w:rPr>
          <w:rFonts w:hint="eastAsia"/>
          <w:color w:val="000000"/>
          <w:highlight w:val="none"/>
        </w:rPr>
      </w:r>
      <w:r/>
    </w:p>
    <w:p>
      <w:pPr>
        <w:pStyle w:val="1045"/>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t xml:space="preserve">关于符合本国产品标准的声明函</w:t>
      </w:r>
      <w:r>
        <w:rPr>
          <w:rFonts w:hint="eastAsia" w:ascii="宋体" w:hAnsi="宋体" w:eastAsia="宋体" w:cs="宋体"/>
          <w:b/>
          <w:color w:val="000000"/>
          <w:spacing w:val="6"/>
          <w:sz w:val="24"/>
          <w:highlight w:val="none"/>
        </w:rPr>
      </w:r>
      <w:r/>
    </w:p>
    <w:p>
      <w:pPr>
        <w:pStyle w:val="1045"/>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1079"/>
          <w:rFonts w:hint="eastAsia" w:ascii="宋体" w:hAnsi="宋体" w:eastAsia="宋体" w:cs="宋体"/>
          <w:i w:val="0"/>
          <w:iCs w:val="0"/>
          <w:caps w:val="0"/>
          <w:color w:val="000000"/>
          <w:spacing w:val="0"/>
          <w:sz w:val="24"/>
          <w:szCs w:val="24"/>
          <w:highlight w:val="none"/>
          <w:shd w:val="clear" w:color="auto" w:fill="ffffff"/>
        </w:rPr>
        <w:t xml:space="preserve">（产品名称1）</w:t>
      </w:r>
      <w:r>
        <w:rPr>
          <w:rStyle w:val="1079"/>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079"/>
          <w:rFonts w:hint="eastAsia" w:ascii="宋体" w:hAnsi="宋体" w:eastAsia="宋体" w:cs="宋体"/>
          <w:i w:val="0"/>
          <w:iCs w:val="0"/>
          <w:caps w:val="0"/>
          <w:color w:val="000000"/>
          <w:spacing w:val="0"/>
          <w:sz w:val="24"/>
          <w:szCs w:val="24"/>
          <w:highlight w:val="none"/>
          <w:shd w:val="clear" w:color="auto" w:fill="ffffff"/>
        </w:rPr>
        <w:t xml:space="preserve">（厂名）</w:t>
      </w:r>
      <w:r>
        <w:rPr>
          <w:rStyle w:val="1079"/>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07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079"/>
          <w:rFonts w:hint="eastAsia" w:ascii="宋体" w:hAnsi="宋体" w:eastAsia="宋体" w:cs="宋体"/>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Style w:val="1079"/>
          <w:rFonts w:hint="eastAsia" w:ascii="宋体" w:hAnsi="宋体" w:eastAsia="宋体" w:cs="宋体"/>
          <w:i w:val="0"/>
          <w:iCs w:val="0"/>
          <w:caps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Style w:val="1079"/>
          <w:rFonts w:hint="eastAsia" w:ascii="宋体" w:hAnsi="宋体" w:eastAsia="宋体" w:cs="宋体"/>
          <w:i w:val="0"/>
          <w:iCs w:val="0"/>
          <w:caps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Style w:val="1079"/>
          <w:rFonts w:hint="eastAsia" w:ascii="宋体" w:hAnsi="宋体" w:eastAsia="宋体" w:cs="宋体"/>
          <w:i w:val="0"/>
          <w:iCs w:val="0"/>
          <w:caps w:val="0"/>
          <w:color w:val="000000"/>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1079"/>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079"/>
          <w:rFonts w:hint="eastAsia" w:ascii="宋体" w:hAnsi="宋体" w:eastAsia="宋体" w:cs="宋体"/>
          <w:i w:val="0"/>
          <w:iCs w:val="0"/>
          <w:caps w:val="0"/>
          <w:color w:val="000000"/>
          <w:spacing w:val="0"/>
          <w:sz w:val="24"/>
          <w:szCs w:val="24"/>
          <w:highlight w:val="non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07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107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shd w:val="clear" w:color="auto" w:fill="ffffff"/>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shd w:val="clear" w:color="auto" w:fill="ffffff"/>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10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1071"/>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6.供应商应当对所有所投产品一一进行声明。</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1071"/>
        <w:ind w:left="0" w:right="0" w:firstLine="482"/>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7.划线部分</w:t>
      </w:r>
      <w:r>
        <w:rPr>
          <w:rFonts w:hint="eastAsia" w:ascii="宋体" w:hAnsi="宋体" w:eastAsia="宋体" w:cs="宋体"/>
          <w:b/>
          <w:color w:val="000000"/>
          <w:sz w:val="24"/>
          <w:szCs w:val="24"/>
          <w:highlight w:val="none"/>
        </w:rPr>
        <w:t xml:space="preserve">无需填写。</w:t>
      </w:r>
      <w:r>
        <w:rPr>
          <w:rFonts w:hint="eastAsia" w:ascii="宋体" w:hAnsi="宋体" w:eastAsia="宋体" w:cs="宋体"/>
          <w:b/>
          <w:color w:val="000000"/>
          <w:sz w:val="24"/>
          <w:szCs w:val="24"/>
          <w:highlight w:val="none"/>
        </w:rPr>
      </w:r>
      <w:r/>
    </w:p>
    <w:p>
      <w:pPr>
        <w:pStyle w:val="1071"/>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8.若本采购包中不涉及，则无需提供该声明函。</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1045"/>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bookmarkStart w:id="141" w:name="OLE_LINK14"/>
      <w:r/>
      <w:bookmarkStart w:id="142" w:name="OLE_LINK13"/>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1045"/>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1"/>
      <w:r/>
      <w:bookmarkEnd w:id="142"/>
      <w:r>
        <w:rPr>
          <w:rFonts w:hint="eastAsia" w:ascii="宋体" w:hAnsi="宋体" w:cs="宋体"/>
          <w:b/>
          <w:color w:val="000000"/>
          <w:spacing w:val="6"/>
          <w:sz w:val="24"/>
          <w:highlight w:val="none"/>
        </w:rPr>
      </w:r>
      <w:r/>
    </w:p>
    <w:p>
      <w:pPr>
        <w:pStyle w:val="1045"/>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104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104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104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4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45"/>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1045"/>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1045"/>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1045"/>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5"/>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45"/>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45"/>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4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60"/>
        <w:rPr>
          <w:rFonts w:hint="eastAsia"/>
          <w:color w:val="000000"/>
          <w:highlight w:val="none"/>
          <w:lang w:val="zh-CN"/>
        </w:rPr>
      </w:pPr>
      <w:r>
        <w:rPr>
          <w:rFonts w:hint="eastAsia"/>
          <w:color w:val="000000"/>
          <w:highlight w:val="none"/>
          <w:lang w:val="zh-CN"/>
        </w:rPr>
      </w:r>
      <w:r/>
    </w:p>
    <w:p>
      <w:pPr>
        <w:pStyle w:val="1045"/>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5"/>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5"/>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5"/>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1059"/>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104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1045"/>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104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104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5"/>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fldSimple w:instr="PAGE \* MERGEFORMAT">
      <w:r>
        <w:t xml:space="preserve">1</w:t>
      </w:r>
    </w:fldSimple>
    <w:r/>
    <w:r/>
  </w:p>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45"/>
      </w:pPr>
      <w:r>
        <w:footnoteRef/>
      </w:r>
      <w:r>
        <w:t xml:space="preserve"> 这里的服务大类主要包括主要指前文功能定位中划分的文体娱乐与教育咨询类</w:t>
      </w:r>
      <w:r>
        <w:rPr>
          <w:rFonts w:hint="eastAsia"/>
        </w:rPr>
        <w:t xml:space="preserve">、</w:t>
      </w:r>
      <w:r>
        <w:t xml:space="preserve">生活照料与照护类</w:t>
      </w:r>
      <w:r>
        <w:rPr>
          <w:rFonts w:hint="eastAsia"/>
        </w:rPr>
        <w:t xml:space="preserve">、</w:t>
      </w:r>
      <w:r>
        <w:t xml:space="preserve">康复保健类</w:t>
      </w:r>
      <w:r>
        <w:rPr>
          <w:rFonts w:hint="eastAsia"/>
        </w:rPr>
        <w:t xml:space="preserve">、</w:t>
      </w:r>
      <w:r>
        <w:t xml:space="preserve">膳食餐饮类</w:t>
      </w:r>
      <w:r>
        <w:rPr>
          <w:rFonts w:hint="eastAsia"/>
        </w:rPr>
        <w:t xml:space="preserve">、</w:t>
      </w:r>
      <w:r>
        <w:t xml:space="preserve">代办类</w:t>
      </w:r>
      <w:r>
        <w:rPr>
          <w:rFonts w:hint="eastAsia"/>
        </w:rPr>
        <w:t xml:space="preserve">、</w:t>
      </w:r>
      <w:r>
        <w:t xml:space="preserve">上门服务类等六大类服务</w:t>
      </w:r>
      <w:r>
        <w:rPr>
          <w:rFonts w:hint="eastAsia"/>
        </w:rPr>
        <w:t xml:space="preserve">。</w:t>
      </w:r>
      <w:r/>
    </w:p>
  </w:footnote>
  <w:footnote w:id="3">
    <w:p>
      <w:pPr>
        <w:pStyle w:val="1045"/>
      </w:pPr>
      <w:r>
        <w:footnoteRef/>
      </w:r>
      <w:r>
        <w:rPr>
          <w:rFonts w:hint="eastAsia"/>
        </w:rPr>
        <w:t xml:space="preserve"> </w:t>
      </w:r>
      <w:r>
        <w:t xml:space="preserve">这里的人员配置达标是指根据相应中心等级功能配置要求确定的最低工作人员数以及人员任职资格的要求</w:t>
      </w:r>
      <w:r>
        <w:rPr>
          <w:rFonts w:hint="eastAsia"/>
        </w:rPr>
        <w:t xml:space="preserve">。</w:t>
      </w:r>
      <w:r/>
    </w:p>
  </w:footnote>
  <w:footnote w:id="4">
    <w:p>
      <w:pPr>
        <w:pStyle w:val="1045"/>
      </w:pPr>
      <w:r>
        <w:footnoteRef/>
      </w:r>
      <w:r>
        <w:rPr>
          <w:rFonts w:hint="eastAsia"/>
        </w:rPr>
        <w:t xml:space="preserve"> </w:t>
      </w:r>
      <w:r>
        <w:t xml:space="preserve">安全管理制度指前面提及的涉及安全责任</w:t>
      </w:r>
      <w:r>
        <w:rPr>
          <w:rFonts w:hint="eastAsia"/>
        </w:rPr>
        <w:t xml:space="preserve">、</w:t>
      </w:r>
      <w:r>
        <w:t xml:space="preserve">安全宣传教育</w:t>
      </w:r>
      <w:r>
        <w:rPr>
          <w:rFonts w:hint="eastAsia"/>
        </w:rPr>
        <w:t xml:space="preserve">与</w:t>
      </w:r>
      <w:r>
        <w:t xml:space="preserve">培训</w:t>
      </w:r>
      <w:r>
        <w:rPr>
          <w:rFonts w:hint="eastAsia"/>
        </w:rPr>
        <w:t xml:space="preserve">、</w:t>
      </w:r>
      <w:r>
        <w:t xml:space="preserve">安全事故处理与上报</w:t>
      </w:r>
      <w:r>
        <w:rPr>
          <w:rFonts w:hint="eastAsia"/>
        </w:rPr>
        <w:t xml:space="preserve">、</w:t>
      </w:r>
      <w:r>
        <w:t xml:space="preserve">安全检查等</w:t>
      </w:r>
      <w:r>
        <w:rPr>
          <w:rFonts w:hint="eastAsia"/>
        </w:rPr>
        <w:t xml:space="preserve">，</w:t>
      </w:r>
      <w:r>
        <w:t xml:space="preserve">是否落实主要通过询问工作人员以及服务对象对安全管理制度的知晓情况认定</w:t>
      </w:r>
      <w:r>
        <w:rPr>
          <w:rFonts w:hint="eastAsia"/>
        </w:rPr>
        <w:t xml:space="preserve">。</w:t>
      </w:r>
      <w:r/>
    </w:p>
  </w:footnote>
  <w:footnote w:id="5">
    <w:p>
      <w:pPr>
        <w:pStyle w:val="1045"/>
      </w:pPr>
      <w:r>
        <w:footnoteRef/>
      </w:r>
      <w:r>
        <w:t xml:space="preserve"> </w:t>
      </w:r>
      <w:r>
        <w:rPr>
          <w:rFonts w:hint="eastAsia"/>
        </w:rPr>
        <w:t xml:space="preserve">本表中的服务对象都是指具有本地户籍的6</w:t>
      </w:r>
      <w:r>
        <w:t xml:space="preserve">0周岁以上的老人</w:t>
      </w:r>
      <w:r>
        <w:rPr>
          <w:rFonts w:hint="eastAsia"/>
        </w:rPr>
        <w:t xml:space="preserve">。</w:t>
      </w:r>
      <w:r/>
    </w:p>
  </w:footnote>
  <w:footnote w:id="6">
    <w:p>
      <w:pPr>
        <w:pStyle w:val="1045"/>
      </w:pPr>
      <w:r>
        <w:footnoteRef/>
      </w:r>
      <w:r>
        <w:t xml:space="preserve"> </w:t>
      </w:r>
      <w:r>
        <w:rPr>
          <w:rFonts w:hint="eastAsia"/>
        </w:rPr>
        <w:t xml:space="preserve">档案可以是纸板或电子版，内容一般包括服务申请表、个人信息、健康状况、服务需求和服务方案、服务协议、服务情况、家庭居住情况及子女或其他监护人联系方式等。</w:t>
      </w:r>
      <w:r/>
    </w:p>
  </w:footnote>
  <w:footnote w:id="7">
    <w:p>
      <w:pPr>
        <w:pStyle w:val="1045"/>
      </w:pPr>
      <w:r>
        <w:footnoteRef/>
      </w:r>
      <w:r>
        <w:rPr>
          <w:rFonts w:hint="eastAsia"/>
        </w:rPr>
        <w:t xml:space="preserve"> </w:t>
      </w:r>
      <w:r>
        <w:t xml:space="preserve">日均服务人次</w:t>
      </w:r>
      <w:r>
        <w:rPr>
          <w:rFonts w:hint="eastAsia"/>
        </w:rPr>
        <w:t xml:space="preserve">=评估期间服务总人次/评估期间正常</w:t>
      </w:r>
      <w:r>
        <w:t xml:space="preserve">开放日数</w:t>
      </w:r>
      <w:r>
        <w:rPr>
          <w:rFonts w:hint="eastAsia"/>
        </w:rPr>
        <w:t xml:space="preserve">，服务总人次是指接受日照中心各类服务的总人次。</w:t>
      </w:r>
      <w:r>
        <w:t xml:space="preserve">农村地区</w:t>
      </w:r>
      <w:r>
        <w:rPr>
          <w:rFonts w:hint="eastAsia"/>
        </w:rPr>
        <w:t xml:space="preserve">（</w:t>
      </w:r>
      <w:r>
        <w:t xml:space="preserve">含涉农社区</w:t>
      </w:r>
      <w:r>
        <w:rPr>
          <w:rFonts w:hint="eastAsia"/>
        </w:rPr>
        <w:t xml:space="preserve">）</w:t>
      </w:r>
      <w:r>
        <w:t xml:space="preserve">的日照中心服务人次可适当降低</w:t>
      </w:r>
      <w:r>
        <w:rPr>
          <w:rFonts w:hint="eastAsia"/>
        </w:rPr>
        <w:t xml:space="preserve">。</w:t>
      </w:r>
      <w:r/>
    </w:p>
  </w:footnote>
  <w:footnote w:id="8">
    <w:p>
      <w:pPr>
        <w:pStyle w:val="1045"/>
      </w:pPr>
      <w:r>
        <w:footnoteRef/>
      </w:r>
      <w:r>
        <w:rPr>
          <w:rFonts w:hint="eastAsia"/>
        </w:rPr>
        <w:t xml:space="preserve"> </w:t>
      </w:r>
      <w:r>
        <w:t xml:space="preserve">这里的服务种类是服务清单里康复保健大类所包含的细类</w:t>
      </w:r>
      <w:r>
        <w:rPr>
          <w:rFonts w:hint="eastAsia"/>
        </w:rPr>
        <w:t xml:space="preserve">，</w:t>
      </w:r>
      <w:r>
        <w:t xml:space="preserve">具体包括健康档案</w:t>
      </w:r>
      <w:r>
        <w:rPr>
          <w:rFonts w:hint="eastAsia"/>
        </w:rPr>
        <w:t xml:space="preserve">、</w:t>
      </w:r>
      <w:r>
        <w:t xml:space="preserve">健康监测与体检</w:t>
      </w:r>
      <w:r>
        <w:rPr>
          <w:rFonts w:hint="eastAsia"/>
        </w:rPr>
        <w:t xml:space="preserve">、健康咨询、</w:t>
      </w:r>
      <w:r>
        <w:t xml:space="preserve">康复辅助</w:t>
      </w:r>
      <w:r>
        <w:rPr>
          <w:rFonts w:hint="eastAsia"/>
        </w:rPr>
        <w:t xml:space="preserve">、保健、助医、心理慰藉</w:t>
      </w:r>
      <w:r>
        <w:t xml:space="preserve">等</w:t>
      </w:r>
      <w:r>
        <w:rPr>
          <w:rFonts w:hint="eastAsia"/>
        </w:rPr>
        <w:t xml:space="preserve">7</w:t>
      </w:r>
      <w:r>
        <w:t xml:space="preserve">类服务</w:t>
      </w:r>
      <w:r>
        <w:rPr>
          <w:rFonts w:hint="eastAsia"/>
        </w:rPr>
        <w:t xml:space="preserve">。</w:t>
      </w:r>
      <w:r/>
    </w:p>
  </w:footnote>
  <w:footnote w:id="9">
    <w:p>
      <w:pPr>
        <w:pStyle w:val="1045"/>
      </w:pPr>
      <w:r>
        <w:footnoteRef/>
      </w:r>
      <w:r>
        <w:rPr>
          <w:rFonts w:hint="eastAsia"/>
        </w:rPr>
        <w:t xml:space="preserve"> 没有助餐服务的日照中心此项目一律得零分。</w:t>
      </w:r>
      <w:r/>
    </w:p>
  </w:footnote>
  <w:footnote w:id="10">
    <w:p>
      <w:pPr>
        <w:pStyle w:val="1045"/>
      </w:pPr>
      <w:r>
        <w:footnoteRef/>
      </w:r>
      <w:r>
        <w:t xml:space="preserve"> </w:t>
      </w:r>
      <w:r>
        <w:rPr>
          <w:rFonts w:hint="eastAsia"/>
        </w:rPr>
        <w:t xml:space="preserve">一票否决事项是指一旦当年日照中心发生这类事项1次，则中心无参加星级评级的资格。如果一票否决事项发生在星级评价确定且奖励资金发放之后，则无下一年的参评资格或者由区民政部门认定星级评价结果失效。</w:t>
      </w:r>
      <w:r/>
    </w:p>
    <w:p>
      <w:pPr>
        <w:pStyle w:val="1045"/>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JSZC-320509-ZZHL-C2026-0033</w:t>
    </w:r>
    <w:r>
      <w:rPr>
        <w:rFonts w:hint="eastAsia" w:eastAsia="宋体"/>
        <w:lang w:eastAsia="zh-CN"/>
      </w:rPr>
    </w:r>
    <w:r/>
  </w:p>
  <w:p>
    <w:pPr>
      <w:pStyle w:val="1066"/>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1045"/>
        <w:ind w:left="432" w:hanging="432"/>
        <w:tabs>
          <w:tab w:val="num" w:pos="432" w:leader="none"/>
        </w:tabs>
      </w:pPr>
      <w:rPr>
        <w:rFonts w:hint="eastAsia" w:ascii="宋体" w:hAnsi="宋体" w:eastAsia="宋体"/>
        <w:b/>
        <w:i w:val="0"/>
        <w:sz w:val="28"/>
        <w:szCs w:val="28"/>
      </w:rPr>
    </w:lvl>
    <w:lvl w:ilvl="1">
      <w:start w:val="1"/>
      <w:numFmt w:val="decimal"/>
      <w:pStyle w:val="1047"/>
      <w:isLgl w:val="false"/>
      <w:suff w:val="tab"/>
      <w:lvlText w:val="%1.%2"/>
      <w:lvlJc w:val="left"/>
      <w:pPr>
        <w:pStyle w:val="1045"/>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1045"/>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1045"/>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1045"/>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1045"/>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1045"/>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1045"/>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1045"/>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Heading 1"/>
    <w:basedOn w:val="1045"/>
    <w:next w:val="1045"/>
    <w:link w:val="868"/>
    <w:uiPriority w:val="9"/>
    <w:qFormat/>
    <w:pPr>
      <w:keepLines/>
      <w:keepNext/>
      <w:spacing w:before="480" w:after="200"/>
      <w:outlineLvl w:val="0"/>
    </w:pPr>
    <w:rPr>
      <w:rFonts w:ascii="Arial" w:hAnsi="Arial" w:eastAsia="Arial" w:cs="Arial"/>
      <w:sz w:val="40"/>
      <w:szCs w:val="40"/>
    </w:rPr>
  </w:style>
  <w:style w:type="character" w:styleId="868">
    <w:name w:val="Heading 1 Char"/>
    <w:link w:val="867"/>
    <w:uiPriority w:val="9"/>
    <w:rPr>
      <w:rFonts w:ascii="Arial" w:hAnsi="Arial" w:eastAsia="Arial" w:cs="Arial"/>
      <w:sz w:val="40"/>
      <w:szCs w:val="40"/>
    </w:rPr>
  </w:style>
  <w:style w:type="paragraph" w:styleId="869">
    <w:name w:val="Heading 2"/>
    <w:basedOn w:val="1045"/>
    <w:next w:val="1045"/>
    <w:link w:val="870"/>
    <w:uiPriority w:val="9"/>
    <w:unhideWhenUsed/>
    <w:qFormat/>
    <w:pPr>
      <w:keepLines/>
      <w:keepNext/>
      <w:spacing w:before="360" w:after="200"/>
      <w:outlineLvl w:val="1"/>
    </w:pPr>
    <w:rPr>
      <w:rFonts w:ascii="Arial" w:hAnsi="Arial" w:eastAsia="Arial" w:cs="Arial"/>
      <w:sz w:val="34"/>
    </w:rPr>
  </w:style>
  <w:style w:type="character" w:styleId="870">
    <w:name w:val="Heading 2 Char"/>
    <w:link w:val="869"/>
    <w:uiPriority w:val="9"/>
    <w:rPr>
      <w:rFonts w:ascii="Arial" w:hAnsi="Arial" w:eastAsia="Arial" w:cs="Arial"/>
      <w:sz w:val="34"/>
    </w:rPr>
  </w:style>
  <w:style w:type="paragraph" w:styleId="871">
    <w:name w:val="Heading 3"/>
    <w:basedOn w:val="1045"/>
    <w:next w:val="1045"/>
    <w:link w:val="872"/>
    <w:uiPriority w:val="9"/>
    <w:unhideWhenUsed/>
    <w:qFormat/>
    <w:pPr>
      <w:keepLines/>
      <w:keepNext/>
      <w:spacing w:before="320" w:after="200"/>
      <w:outlineLvl w:val="2"/>
    </w:pPr>
    <w:rPr>
      <w:rFonts w:ascii="Arial" w:hAnsi="Arial" w:eastAsia="Arial" w:cs="Arial"/>
      <w:sz w:val="30"/>
      <w:szCs w:val="30"/>
    </w:rPr>
  </w:style>
  <w:style w:type="character" w:styleId="872">
    <w:name w:val="Heading 3 Char"/>
    <w:link w:val="871"/>
    <w:uiPriority w:val="9"/>
    <w:rPr>
      <w:rFonts w:ascii="Arial" w:hAnsi="Arial" w:eastAsia="Arial" w:cs="Arial"/>
      <w:sz w:val="30"/>
      <w:szCs w:val="30"/>
    </w:rPr>
  </w:style>
  <w:style w:type="paragraph" w:styleId="873">
    <w:name w:val="Heading 4"/>
    <w:basedOn w:val="1045"/>
    <w:next w:val="1045"/>
    <w:link w:val="874"/>
    <w:uiPriority w:val="9"/>
    <w:unhideWhenUsed/>
    <w:qFormat/>
    <w:pPr>
      <w:keepLines/>
      <w:keepNext/>
      <w:spacing w:before="320" w:after="200"/>
      <w:outlineLvl w:val="3"/>
    </w:pPr>
    <w:rPr>
      <w:rFonts w:ascii="Arial" w:hAnsi="Arial" w:eastAsia="Arial" w:cs="Arial"/>
      <w:b/>
      <w:bCs/>
      <w:sz w:val="26"/>
      <w:szCs w:val="26"/>
    </w:rPr>
  </w:style>
  <w:style w:type="character" w:styleId="874">
    <w:name w:val="Heading 4 Char"/>
    <w:link w:val="873"/>
    <w:uiPriority w:val="9"/>
    <w:rPr>
      <w:rFonts w:ascii="Arial" w:hAnsi="Arial" w:eastAsia="Arial" w:cs="Arial"/>
      <w:b/>
      <w:bCs/>
      <w:sz w:val="26"/>
      <w:szCs w:val="26"/>
    </w:rPr>
  </w:style>
  <w:style w:type="paragraph" w:styleId="875">
    <w:name w:val="Heading 5"/>
    <w:basedOn w:val="1045"/>
    <w:next w:val="1045"/>
    <w:link w:val="876"/>
    <w:uiPriority w:val="9"/>
    <w:unhideWhenUsed/>
    <w:qFormat/>
    <w:pPr>
      <w:keepLines/>
      <w:keepNext/>
      <w:spacing w:before="320" w:after="200"/>
      <w:outlineLvl w:val="4"/>
    </w:pPr>
    <w:rPr>
      <w:rFonts w:ascii="Arial" w:hAnsi="Arial" w:eastAsia="Arial" w:cs="Arial"/>
      <w:b/>
      <w:bCs/>
      <w:sz w:val="24"/>
      <w:szCs w:val="24"/>
    </w:rPr>
  </w:style>
  <w:style w:type="character" w:styleId="876">
    <w:name w:val="Heading 5 Char"/>
    <w:link w:val="875"/>
    <w:uiPriority w:val="9"/>
    <w:rPr>
      <w:rFonts w:ascii="Arial" w:hAnsi="Arial" w:eastAsia="Arial" w:cs="Arial"/>
      <w:b/>
      <w:bCs/>
      <w:sz w:val="24"/>
      <w:szCs w:val="24"/>
    </w:rPr>
  </w:style>
  <w:style w:type="paragraph" w:styleId="877">
    <w:name w:val="Heading 6"/>
    <w:basedOn w:val="1045"/>
    <w:next w:val="1045"/>
    <w:link w:val="878"/>
    <w:uiPriority w:val="9"/>
    <w:unhideWhenUsed/>
    <w:qFormat/>
    <w:pPr>
      <w:keepLines/>
      <w:keepNext/>
      <w:spacing w:before="320" w:after="200"/>
      <w:outlineLvl w:val="5"/>
    </w:pPr>
    <w:rPr>
      <w:rFonts w:ascii="Arial" w:hAnsi="Arial" w:eastAsia="Arial" w:cs="Arial"/>
      <w:b/>
      <w:bCs/>
      <w:sz w:val="22"/>
      <w:szCs w:val="22"/>
    </w:rPr>
  </w:style>
  <w:style w:type="character" w:styleId="878">
    <w:name w:val="Heading 6 Char"/>
    <w:link w:val="877"/>
    <w:uiPriority w:val="9"/>
    <w:rPr>
      <w:rFonts w:ascii="Arial" w:hAnsi="Arial" w:eastAsia="Arial" w:cs="Arial"/>
      <w:b/>
      <w:bCs/>
      <w:sz w:val="22"/>
      <w:szCs w:val="22"/>
    </w:rPr>
  </w:style>
  <w:style w:type="paragraph" w:styleId="879">
    <w:name w:val="Heading 7"/>
    <w:basedOn w:val="1045"/>
    <w:next w:val="1045"/>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link w:val="879"/>
    <w:uiPriority w:val="9"/>
    <w:rPr>
      <w:rFonts w:ascii="Arial" w:hAnsi="Arial" w:eastAsia="Arial" w:cs="Arial"/>
      <w:b/>
      <w:bCs/>
      <w:i/>
      <w:iCs/>
      <w:sz w:val="22"/>
      <w:szCs w:val="22"/>
    </w:rPr>
  </w:style>
  <w:style w:type="paragraph" w:styleId="881">
    <w:name w:val="Heading 8"/>
    <w:basedOn w:val="1045"/>
    <w:next w:val="1045"/>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link w:val="881"/>
    <w:uiPriority w:val="9"/>
    <w:rPr>
      <w:rFonts w:ascii="Arial" w:hAnsi="Arial" w:eastAsia="Arial" w:cs="Arial"/>
      <w:i/>
      <w:iCs/>
      <w:sz w:val="22"/>
      <w:szCs w:val="22"/>
    </w:rPr>
  </w:style>
  <w:style w:type="paragraph" w:styleId="883">
    <w:name w:val="Heading 9"/>
    <w:basedOn w:val="1045"/>
    <w:next w:val="1045"/>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link w:val="883"/>
    <w:uiPriority w:val="9"/>
    <w:rPr>
      <w:rFonts w:ascii="Arial" w:hAnsi="Arial" w:eastAsia="Arial" w:cs="Arial"/>
      <w:i/>
      <w:iCs/>
      <w:sz w:val="21"/>
      <w:szCs w:val="21"/>
    </w:rPr>
  </w:style>
  <w:style w:type="paragraph" w:styleId="885">
    <w:name w:val="List Paragraph"/>
    <w:basedOn w:val="1045"/>
    <w:uiPriority w:val="34"/>
    <w:qFormat/>
    <w:pPr>
      <w:contextualSpacing/>
      <w:ind w:left="720"/>
    </w:pPr>
  </w:style>
  <w:style w:type="paragraph" w:styleId="886">
    <w:name w:val="No Spacing"/>
    <w:uiPriority w:val="1"/>
    <w:qFormat/>
    <w:pPr>
      <w:spacing w:before="0" w:after="0" w:line="240" w:lineRule="auto"/>
    </w:pPr>
  </w:style>
  <w:style w:type="paragraph" w:styleId="887">
    <w:name w:val="Title"/>
    <w:basedOn w:val="1045"/>
    <w:next w:val="1045"/>
    <w:link w:val="888"/>
    <w:uiPriority w:val="10"/>
    <w:qFormat/>
    <w:pPr>
      <w:contextualSpacing/>
      <w:spacing w:before="300" w:after="200"/>
    </w:pPr>
    <w:rPr>
      <w:sz w:val="48"/>
      <w:szCs w:val="48"/>
    </w:rPr>
  </w:style>
  <w:style w:type="character" w:styleId="888">
    <w:name w:val="Title Char"/>
    <w:link w:val="887"/>
    <w:uiPriority w:val="10"/>
    <w:rPr>
      <w:sz w:val="48"/>
      <w:szCs w:val="48"/>
    </w:rPr>
  </w:style>
  <w:style w:type="paragraph" w:styleId="889">
    <w:name w:val="Subtitle"/>
    <w:basedOn w:val="1045"/>
    <w:next w:val="1045"/>
    <w:link w:val="890"/>
    <w:uiPriority w:val="11"/>
    <w:qFormat/>
    <w:pPr>
      <w:spacing w:before="200" w:after="200"/>
    </w:pPr>
    <w:rPr>
      <w:sz w:val="24"/>
      <w:szCs w:val="24"/>
    </w:rPr>
  </w:style>
  <w:style w:type="character" w:styleId="890">
    <w:name w:val="Subtitle Char"/>
    <w:link w:val="889"/>
    <w:uiPriority w:val="11"/>
    <w:rPr>
      <w:sz w:val="24"/>
      <w:szCs w:val="24"/>
    </w:rPr>
  </w:style>
  <w:style w:type="paragraph" w:styleId="891">
    <w:name w:val="Quote"/>
    <w:basedOn w:val="1045"/>
    <w:next w:val="1045"/>
    <w:link w:val="892"/>
    <w:uiPriority w:val="29"/>
    <w:qFormat/>
    <w:pPr>
      <w:ind w:left="720" w:right="720"/>
    </w:pPr>
    <w:rPr>
      <w:i/>
    </w:rPr>
  </w:style>
  <w:style w:type="character" w:styleId="892">
    <w:name w:val="Quote Char"/>
    <w:link w:val="891"/>
    <w:uiPriority w:val="29"/>
    <w:rPr>
      <w:i/>
    </w:rPr>
  </w:style>
  <w:style w:type="paragraph" w:styleId="893">
    <w:name w:val="Intense Quote"/>
    <w:basedOn w:val="1045"/>
    <w:next w:val="1045"/>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paragraph" w:styleId="895">
    <w:name w:val="Header"/>
    <w:basedOn w:val="1045"/>
    <w:link w:val="896"/>
    <w:uiPriority w:val="99"/>
    <w:unhideWhenUsed/>
    <w:pPr>
      <w:spacing w:after="0" w:line="240" w:lineRule="auto"/>
      <w:tabs>
        <w:tab w:val="center" w:pos="7143" w:leader="none"/>
        <w:tab w:val="right" w:pos="14287" w:leader="none"/>
      </w:tabs>
    </w:pPr>
  </w:style>
  <w:style w:type="character" w:styleId="896">
    <w:name w:val="Header Char"/>
    <w:link w:val="895"/>
    <w:uiPriority w:val="99"/>
  </w:style>
  <w:style w:type="paragraph" w:styleId="897">
    <w:name w:val="Footer"/>
    <w:basedOn w:val="1045"/>
    <w:link w:val="900"/>
    <w:uiPriority w:val="99"/>
    <w:unhideWhenUsed/>
    <w:pPr>
      <w:spacing w:after="0" w:line="240" w:lineRule="auto"/>
      <w:tabs>
        <w:tab w:val="center" w:pos="7143" w:leader="none"/>
        <w:tab w:val="right" w:pos="14287" w:leader="none"/>
      </w:tabs>
    </w:pPr>
  </w:style>
  <w:style w:type="character" w:styleId="898">
    <w:name w:val="Footer Char"/>
    <w:link w:val="897"/>
    <w:uiPriority w:val="99"/>
  </w:style>
  <w:style w:type="paragraph" w:styleId="899">
    <w:name w:val="Caption"/>
    <w:basedOn w:val="1045"/>
    <w:next w:val="1045"/>
    <w:uiPriority w:val="35"/>
    <w:semiHidden/>
    <w:unhideWhenUsed/>
    <w:qFormat/>
    <w:pPr>
      <w:spacing w:line="276" w:lineRule="auto"/>
    </w:pPr>
    <w:rPr>
      <w:b/>
      <w:bCs/>
      <w:color w:val="4f81bd" w:themeColor="accent1"/>
      <w:sz w:val="18"/>
      <w:szCs w:val="18"/>
    </w:rPr>
  </w:style>
  <w:style w:type="character" w:styleId="900">
    <w:name w:val="Caption Char"/>
    <w:basedOn w:val="899"/>
    <w:link w:val="897"/>
    <w:uiPriority w:val="99"/>
  </w:style>
  <w:style w:type="table" w:styleId="9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7">
    <w:name w:val="Hyperlink"/>
    <w:uiPriority w:val="99"/>
    <w:unhideWhenUsed/>
    <w:rPr>
      <w:color w:val="0000ff" w:themeColor="hyperlink"/>
      <w:u w:val="single"/>
    </w:rPr>
  </w:style>
  <w:style w:type="paragraph" w:styleId="1028">
    <w:name w:val="footnote text"/>
    <w:basedOn w:val="1045"/>
    <w:link w:val="1029"/>
    <w:uiPriority w:val="99"/>
    <w:semiHidden/>
    <w:unhideWhenUsed/>
    <w:pPr>
      <w:spacing w:after="40" w:line="240" w:lineRule="auto"/>
    </w:pPr>
    <w:rPr>
      <w:sz w:val="18"/>
    </w:rPr>
  </w:style>
  <w:style w:type="character" w:styleId="1029">
    <w:name w:val="Footnote Text Char"/>
    <w:link w:val="1028"/>
    <w:uiPriority w:val="99"/>
    <w:rPr>
      <w:sz w:val="18"/>
    </w:rPr>
  </w:style>
  <w:style w:type="character" w:styleId="1030">
    <w:name w:val="footnote reference"/>
    <w:uiPriority w:val="99"/>
    <w:unhideWhenUsed/>
    <w:rPr>
      <w:vertAlign w:val="superscript"/>
    </w:rPr>
  </w:style>
  <w:style w:type="paragraph" w:styleId="1031">
    <w:name w:val="endnote text"/>
    <w:basedOn w:val="1045"/>
    <w:link w:val="1032"/>
    <w:uiPriority w:val="99"/>
    <w:semiHidden/>
    <w:unhideWhenUsed/>
    <w:pPr>
      <w:spacing w:after="0" w:line="240" w:lineRule="auto"/>
    </w:pPr>
    <w:rPr>
      <w:sz w:val="20"/>
    </w:rPr>
  </w:style>
  <w:style w:type="character" w:styleId="1032">
    <w:name w:val="Endnote Text Char"/>
    <w:link w:val="1031"/>
    <w:uiPriority w:val="99"/>
    <w:rPr>
      <w:sz w:val="20"/>
    </w:rPr>
  </w:style>
  <w:style w:type="character" w:styleId="1033">
    <w:name w:val="endnote reference"/>
    <w:uiPriority w:val="99"/>
    <w:semiHidden/>
    <w:unhideWhenUsed/>
    <w:rPr>
      <w:vertAlign w:val="superscript"/>
    </w:rPr>
  </w:style>
  <w:style w:type="paragraph" w:styleId="1034">
    <w:name w:val="toc 1"/>
    <w:basedOn w:val="1045"/>
    <w:next w:val="1045"/>
    <w:uiPriority w:val="39"/>
    <w:unhideWhenUsed/>
    <w:pPr>
      <w:ind w:left="0" w:right="0" w:firstLine="0"/>
      <w:spacing w:after="57"/>
    </w:pPr>
  </w:style>
  <w:style w:type="paragraph" w:styleId="1035">
    <w:name w:val="toc 2"/>
    <w:basedOn w:val="1045"/>
    <w:next w:val="1045"/>
    <w:uiPriority w:val="39"/>
    <w:unhideWhenUsed/>
    <w:pPr>
      <w:ind w:left="283" w:right="0" w:firstLine="0"/>
      <w:spacing w:after="57"/>
    </w:pPr>
  </w:style>
  <w:style w:type="paragraph" w:styleId="1036">
    <w:name w:val="toc 3"/>
    <w:basedOn w:val="1045"/>
    <w:next w:val="1045"/>
    <w:uiPriority w:val="39"/>
    <w:unhideWhenUsed/>
    <w:pPr>
      <w:ind w:left="567" w:right="0" w:firstLine="0"/>
      <w:spacing w:after="57"/>
    </w:pPr>
  </w:style>
  <w:style w:type="paragraph" w:styleId="1037">
    <w:name w:val="toc 4"/>
    <w:basedOn w:val="1045"/>
    <w:next w:val="1045"/>
    <w:uiPriority w:val="39"/>
    <w:unhideWhenUsed/>
    <w:pPr>
      <w:ind w:left="850" w:right="0" w:firstLine="0"/>
      <w:spacing w:after="57"/>
    </w:pPr>
  </w:style>
  <w:style w:type="paragraph" w:styleId="1038">
    <w:name w:val="toc 5"/>
    <w:basedOn w:val="1045"/>
    <w:next w:val="1045"/>
    <w:uiPriority w:val="39"/>
    <w:unhideWhenUsed/>
    <w:pPr>
      <w:ind w:left="1134" w:right="0" w:firstLine="0"/>
      <w:spacing w:after="57"/>
    </w:pPr>
  </w:style>
  <w:style w:type="paragraph" w:styleId="1039">
    <w:name w:val="toc 6"/>
    <w:basedOn w:val="1045"/>
    <w:next w:val="1045"/>
    <w:uiPriority w:val="39"/>
    <w:unhideWhenUsed/>
    <w:pPr>
      <w:ind w:left="1417" w:right="0" w:firstLine="0"/>
      <w:spacing w:after="57"/>
    </w:pPr>
  </w:style>
  <w:style w:type="paragraph" w:styleId="1040">
    <w:name w:val="toc 7"/>
    <w:basedOn w:val="1045"/>
    <w:next w:val="1045"/>
    <w:uiPriority w:val="39"/>
    <w:unhideWhenUsed/>
    <w:pPr>
      <w:ind w:left="1701" w:right="0" w:firstLine="0"/>
      <w:spacing w:after="57"/>
    </w:pPr>
  </w:style>
  <w:style w:type="paragraph" w:styleId="1041">
    <w:name w:val="toc 8"/>
    <w:basedOn w:val="1045"/>
    <w:next w:val="1045"/>
    <w:uiPriority w:val="39"/>
    <w:unhideWhenUsed/>
    <w:pPr>
      <w:ind w:left="1984" w:right="0" w:firstLine="0"/>
      <w:spacing w:after="57"/>
    </w:pPr>
  </w:style>
  <w:style w:type="paragraph" w:styleId="1042">
    <w:name w:val="toc 9"/>
    <w:basedOn w:val="1045"/>
    <w:next w:val="1045"/>
    <w:uiPriority w:val="39"/>
    <w:unhideWhenUsed/>
    <w:pPr>
      <w:ind w:left="2268" w:right="0" w:firstLine="0"/>
      <w:spacing w:after="57"/>
    </w:p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next w:val="1051"/>
    <w:link w:val="1045"/>
    <w:qFormat/>
    <w:pPr>
      <w:jc w:val="both"/>
      <w:widowControl w:val="off"/>
    </w:pPr>
    <w:rPr>
      <w:rFonts w:ascii="Calibri" w:hAnsi="Calibri" w:cs="Calibri"/>
      <w:sz w:val="21"/>
      <w:szCs w:val="24"/>
      <w:lang w:val="en-US" w:eastAsia="zh-CN" w:bidi="ar-SA"/>
    </w:rPr>
  </w:style>
  <w:style w:type="paragraph" w:styleId="1046">
    <w:name w:val="标题 1"/>
    <w:basedOn w:val="1045"/>
    <w:next w:val="1045"/>
    <w:link w:val="1045"/>
    <w:qFormat/>
    <w:pPr>
      <w:ind w:left="405" w:hanging="405"/>
      <w:jc w:val="left"/>
      <w:keepNext/>
      <w:spacing w:line="300" w:lineRule="auto"/>
      <w:tabs>
        <w:tab w:val="left" w:pos="405" w:leader="none"/>
      </w:tabs>
      <w:outlineLvl w:val="0"/>
    </w:pPr>
    <w:rPr>
      <w:sz w:val="28"/>
    </w:rPr>
  </w:style>
  <w:style w:type="paragraph" w:styleId="1047">
    <w:name w:val="标题 2"/>
    <w:basedOn w:val="1045"/>
    <w:next w:val="1045"/>
    <w:link w:val="1045"/>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1048">
    <w:name w:val="标题 3"/>
    <w:basedOn w:val="1045"/>
    <w:next w:val="1045"/>
    <w:link w:val="1045"/>
    <w:qFormat/>
    <w:pPr>
      <w:keepLines/>
      <w:keepNext/>
      <w:spacing w:before="260" w:after="260" w:line="413" w:lineRule="auto"/>
      <w:outlineLvl w:val="2"/>
    </w:pPr>
    <w:rPr>
      <w:b/>
      <w:sz w:val="32"/>
    </w:rPr>
  </w:style>
  <w:style w:type="character" w:styleId="1049">
    <w:name w:val="默认段落字体"/>
    <w:next w:val="1049"/>
    <w:link w:val="1045"/>
    <w:semiHidden/>
    <w:qFormat/>
  </w:style>
  <w:style w:type="table" w:styleId="1050">
    <w:name w:val="普通表格"/>
    <w:next w:val="1050"/>
    <w:link w:val="1045"/>
    <w:semiHidden/>
    <w:tblPr/>
  </w:style>
  <w:style w:type="paragraph" w:styleId="1051">
    <w:name w:val="段"/>
    <w:basedOn w:val="1052"/>
    <w:next w:val="1045"/>
    <w:link w:val="1045"/>
    <w:qFormat/>
    <w:pPr>
      <w:ind w:firstLine="200"/>
      <w:jc w:val="both"/>
    </w:pPr>
    <w:rPr>
      <w:rFonts w:ascii="宋体" w:hAnsi="Calibri"/>
      <w:sz w:val="21"/>
      <w:lang w:val="en-US" w:eastAsia="zh-CN" w:bidi="ar-SA"/>
    </w:rPr>
  </w:style>
  <w:style w:type="paragraph" w:styleId="1052">
    <w:name w:val="正文1"/>
    <w:basedOn w:val="1053"/>
    <w:next w:val="1045"/>
    <w:link w:val="1045"/>
    <w:qFormat/>
    <w:pPr>
      <w:ind w:left="420" w:firstLine="527"/>
      <w:spacing w:before="120" w:line="360" w:lineRule="auto"/>
    </w:pPr>
    <w:rPr>
      <w:rFonts w:ascii="宋体" w:hAnsi="宋体"/>
    </w:rPr>
  </w:style>
  <w:style w:type="paragraph" w:styleId="1053">
    <w:name w:val="正文12"/>
    <w:next w:val="1054"/>
    <w:link w:val="1045"/>
    <w:qFormat/>
    <w:pPr>
      <w:jc w:val="both"/>
      <w:widowControl w:val="off"/>
    </w:pPr>
    <w:rPr>
      <w:rFonts w:ascii="Times New Roman" w:hAnsi="Times New Roman" w:eastAsia="宋体" w:cs="Times New Roman"/>
      <w:sz w:val="21"/>
      <w:szCs w:val="24"/>
      <w:lang w:val="en-US" w:eastAsia="zh-CN" w:bidi="ar-SA"/>
    </w:rPr>
  </w:style>
  <w:style w:type="paragraph" w:styleId="1054">
    <w:name w:val="Default"/>
    <w:next w:val="1054"/>
    <w:link w:val="1045"/>
    <w:qFormat/>
    <w:pPr>
      <w:widowControl w:val="off"/>
    </w:pPr>
    <w:rPr>
      <w:rFonts w:ascii="宋体" w:hAnsi="Times New Roman" w:eastAsia="宋体" w:cs="宋体"/>
      <w:color w:val="000000"/>
      <w:sz w:val="24"/>
      <w:szCs w:val="24"/>
      <w:lang w:val="en-US" w:eastAsia="zh-CN" w:bidi="ar-SA"/>
    </w:rPr>
  </w:style>
  <w:style w:type="paragraph" w:styleId="1055">
    <w:name w:val="目录 7"/>
    <w:basedOn w:val="1045"/>
    <w:next w:val="1045"/>
    <w:link w:val="1045"/>
    <w:uiPriority w:val="39"/>
    <w:unhideWhenUsed/>
    <w:qFormat/>
    <w:pPr>
      <w:ind w:left="1260"/>
      <w:jc w:val="left"/>
    </w:pPr>
    <w:rPr>
      <w:sz w:val="18"/>
      <w:szCs w:val="18"/>
    </w:rPr>
  </w:style>
  <w:style w:type="paragraph" w:styleId="1056">
    <w:name w:val="正文缩进"/>
    <w:basedOn w:val="1045"/>
    <w:next w:val="1045"/>
    <w:link w:val="1045"/>
    <w:qFormat/>
    <w:pPr>
      <w:ind w:firstLine="420"/>
    </w:pPr>
    <w:rPr>
      <w:szCs w:val="20"/>
    </w:rPr>
  </w:style>
  <w:style w:type="paragraph" w:styleId="1057">
    <w:name w:val="批注文字"/>
    <w:basedOn w:val="1045"/>
    <w:next w:val="1057"/>
    <w:link w:val="1058"/>
    <w:qFormat/>
    <w:pPr>
      <w:jc w:val="left"/>
    </w:pPr>
  </w:style>
  <w:style w:type="character" w:styleId="1058">
    <w:name w:val="批注文字 字符"/>
    <w:next w:val="1058"/>
    <w:link w:val="1057"/>
    <w:rPr>
      <w:rFonts w:ascii="Calibri" w:hAnsi="Calibri" w:cs="Calibri"/>
      <w:sz w:val="21"/>
      <w:szCs w:val="24"/>
    </w:rPr>
  </w:style>
  <w:style w:type="paragraph" w:styleId="1059">
    <w:name w:val="正文文本"/>
    <w:basedOn w:val="1045"/>
    <w:next w:val="1056"/>
    <w:link w:val="1045"/>
    <w:qFormat/>
    <w:pPr>
      <w:tabs>
        <w:tab w:val="left" w:pos="5250" w:leader="none"/>
      </w:tabs>
    </w:pPr>
    <w:rPr>
      <w:sz w:val="28"/>
    </w:rPr>
  </w:style>
  <w:style w:type="paragraph" w:styleId="1060">
    <w:name w:val="正文文本缩进"/>
    <w:basedOn w:val="1045"/>
    <w:next w:val="1061"/>
    <w:link w:val="1045"/>
    <w:qFormat/>
    <w:pPr>
      <w:ind w:left="420"/>
      <w:spacing w:after="120"/>
    </w:pPr>
  </w:style>
  <w:style w:type="paragraph" w:styleId="1061">
    <w:name w:val="寄信人地址"/>
    <w:basedOn w:val="1045"/>
    <w:next w:val="1061"/>
    <w:link w:val="1045"/>
    <w:qFormat/>
    <w:rPr>
      <w:rFonts w:ascii="Arial" w:hAnsi="Arial" w:eastAsia="楷体_GB2312"/>
      <w:sz w:val="26"/>
      <w:szCs w:val="20"/>
    </w:rPr>
  </w:style>
  <w:style w:type="paragraph" w:styleId="1062">
    <w:name w:val="文本块"/>
    <w:basedOn w:val="1046"/>
    <w:next w:val="1045"/>
    <w:link w:val="1045"/>
    <w:qFormat/>
    <w:pPr>
      <w:ind w:left="420" w:right="-294"/>
      <w:spacing w:line="320" w:lineRule="exact"/>
      <w:tabs>
        <w:tab w:val="left" w:pos="405" w:leader="none"/>
      </w:tabs>
    </w:pPr>
    <w:rPr>
      <w:rFonts w:ascii="宋体"/>
      <w:sz w:val="24"/>
    </w:rPr>
  </w:style>
  <w:style w:type="paragraph" w:styleId="1063">
    <w:name w:val="纯文本"/>
    <w:basedOn w:val="1045"/>
    <w:next w:val="1063"/>
    <w:link w:val="1045"/>
    <w:qFormat/>
    <w:rPr>
      <w:rFonts w:ascii="宋体" w:hAnsi="Courier New" w:eastAsia="楷体_GB2312"/>
      <w:sz w:val="28"/>
    </w:rPr>
  </w:style>
  <w:style w:type="paragraph" w:styleId="1064">
    <w:name w:val="批注框文本"/>
    <w:basedOn w:val="1045"/>
    <w:next w:val="1064"/>
    <w:link w:val="1045"/>
    <w:qFormat/>
    <w:rPr>
      <w:sz w:val="18"/>
      <w:szCs w:val="18"/>
    </w:rPr>
  </w:style>
  <w:style w:type="paragraph" w:styleId="1065">
    <w:name w:val="页脚"/>
    <w:basedOn w:val="1045"/>
    <w:next w:val="1065"/>
    <w:link w:val="1045"/>
    <w:uiPriority w:val="99"/>
    <w:qFormat/>
    <w:pPr>
      <w:jc w:val="left"/>
      <w:tabs>
        <w:tab w:val="center" w:pos="4153" w:leader="none"/>
        <w:tab w:val="right" w:pos="8306" w:leader="none"/>
      </w:tabs>
    </w:pPr>
    <w:rPr>
      <w:sz w:val="18"/>
      <w:szCs w:val="18"/>
    </w:rPr>
  </w:style>
  <w:style w:type="paragraph" w:styleId="1066">
    <w:name w:val="页眉"/>
    <w:basedOn w:val="1045"/>
    <w:next w:val="1066"/>
    <w:link w:val="1045"/>
    <w:uiPriority w:val="99"/>
    <w:qFormat/>
    <w:pPr>
      <w:jc w:val="center"/>
      <w:tabs>
        <w:tab w:val="center" w:pos="4153" w:leader="none"/>
        <w:tab w:val="right" w:pos="8306" w:leader="none"/>
      </w:tabs>
      <w:pBdr>
        <w:bottom w:val="none" w:color="000000" w:sz="0" w:space="1"/>
      </w:pBdr>
    </w:pPr>
    <w:rPr>
      <w:sz w:val="18"/>
      <w:szCs w:val="18"/>
    </w:rPr>
  </w:style>
  <w:style w:type="paragraph" w:styleId="1067">
    <w:name w:val="目录 4"/>
    <w:basedOn w:val="1045"/>
    <w:next w:val="1045"/>
    <w:link w:val="1045"/>
    <w:qFormat/>
    <w:pPr>
      <w:ind w:left="630"/>
      <w:jc w:val="left"/>
    </w:pPr>
    <w:rPr>
      <w:szCs w:val="21"/>
    </w:rPr>
  </w:style>
  <w:style w:type="paragraph" w:styleId="1068">
    <w:name w:val="副标题"/>
    <w:basedOn w:val="1045"/>
    <w:next w:val="1045"/>
    <w:link w:val="1045"/>
    <w:qFormat/>
    <w:pPr>
      <w:jc w:val="center"/>
      <w:spacing w:before="240" w:after="60" w:line="312" w:lineRule="auto"/>
      <w:outlineLvl w:val="1"/>
    </w:pPr>
    <w:rPr>
      <w:rFonts w:ascii="宋体" w:hAnsi="Courier New" w:eastAsia="楷体_GB2312"/>
      <w:sz w:val="26"/>
    </w:rPr>
  </w:style>
  <w:style w:type="paragraph" w:styleId="1069">
    <w:name w:val="脚注文本"/>
    <w:basedOn w:val="1045"/>
    <w:next w:val="1069"/>
    <w:link w:val="1045"/>
    <w:qFormat/>
    <w:pPr>
      <w:ind w:firstLine="3584"/>
      <w:spacing w:line="360" w:lineRule="auto"/>
      <w:tabs>
        <w:tab w:val="left" w:pos="405" w:leader="none"/>
      </w:tabs>
    </w:pPr>
  </w:style>
  <w:style w:type="paragraph" w:styleId="1070">
    <w:name w:val="正文文本 2"/>
    <w:basedOn w:val="1045"/>
    <w:next w:val="1070"/>
    <w:link w:val="1045"/>
    <w:qFormat/>
    <w:pPr>
      <w:spacing w:line="360" w:lineRule="auto"/>
    </w:pPr>
    <w:rPr>
      <w:color w:val="ff0000"/>
    </w:rPr>
  </w:style>
  <w:style w:type="paragraph" w:styleId="1071">
    <w:name w:val="普通(网站)"/>
    <w:basedOn w:val="1045"/>
    <w:next w:val="1071"/>
    <w:link w:val="1045"/>
    <w:uiPriority w:val="99"/>
    <w:qFormat/>
    <w:pPr>
      <w:jc w:val="left"/>
      <w:spacing w:beforeAutospacing="1" w:afterAutospacing="1"/>
    </w:pPr>
    <w:rPr>
      <w:rFonts w:cs="Times New Roman"/>
      <w:sz w:val="24"/>
    </w:rPr>
  </w:style>
  <w:style w:type="paragraph" w:styleId="1072">
    <w:name w:val="标题"/>
    <w:basedOn w:val="1045"/>
    <w:next w:val="1045"/>
    <w:link w:val="1045"/>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1073">
    <w:name w:val="批注主题"/>
    <w:basedOn w:val="1057"/>
    <w:next w:val="1057"/>
    <w:link w:val="1074"/>
    <w:rPr>
      <w:b/>
      <w:bCs/>
    </w:rPr>
  </w:style>
  <w:style w:type="character" w:styleId="1074">
    <w:name w:val="批注主题 字符"/>
    <w:next w:val="1074"/>
    <w:link w:val="1073"/>
    <w:rPr>
      <w:rFonts w:ascii="Calibri" w:hAnsi="Calibri" w:cs="Calibri"/>
      <w:b/>
      <w:bCs/>
      <w:sz w:val="21"/>
      <w:szCs w:val="24"/>
    </w:rPr>
  </w:style>
  <w:style w:type="paragraph" w:styleId="1075">
    <w:name w:val="正文首行缩进 2"/>
    <w:basedOn w:val="1060"/>
    <w:next w:val="1075"/>
    <w:link w:val="1045"/>
    <w:uiPriority w:val="99"/>
    <w:unhideWhenUsed/>
    <w:qFormat/>
    <w:pPr>
      <w:ind w:firstLine="420"/>
    </w:pPr>
  </w:style>
  <w:style w:type="table" w:styleId="1076">
    <w:name w:val="网格型"/>
    <w:basedOn w:val="1050"/>
    <w:next w:val="1076"/>
    <w:link w:val="1045"/>
    <w:qFormat/>
    <w:tblPr/>
  </w:style>
  <w:style w:type="character" w:styleId="1077">
    <w:name w:val="要点"/>
    <w:basedOn w:val="1049"/>
    <w:next w:val="1077"/>
    <w:link w:val="1045"/>
    <w:qFormat/>
    <w:rPr>
      <w:b/>
    </w:rPr>
  </w:style>
  <w:style w:type="character" w:styleId="1078">
    <w:name w:val="页码"/>
    <w:next w:val="1078"/>
    <w:link w:val="1045"/>
    <w:qFormat/>
  </w:style>
  <w:style w:type="character" w:styleId="1079">
    <w:name w:val="强调"/>
    <w:next w:val="1079"/>
    <w:link w:val="1045"/>
    <w:uiPriority w:val="20"/>
    <w:qFormat/>
    <w:rPr>
      <w:rFonts w:ascii="Times New Roman" w:hAnsi="Times New Roman" w:eastAsia="宋体" w:cs="Times New Roman"/>
      <w:i/>
      <w:sz w:val="21"/>
    </w:rPr>
  </w:style>
  <w:style w:type="character" w:styleId="1080">
    <w:name w:val="批注引用"/>
    <w:next w:val="1080"/>
    <w:link w:val="1045"/>
    <w:rPr>
      <w:sz w:val="21"/>
      <w:szCs w:val="21"/>
    </w:rPr>
  </w:style>
  <w:style w:type="character" w:styleId="1081">
    <w:name w:val="脚注引用"/>
    <w:basedOn w:val="1049"/>
    <w:next w:val="1081"/>
    <w:link w:val="1045"/>
    <w:uiPriority w:val="99"/>
    <w:unhideWhenUsed/>
    <w:qFormat/>
    <w:rPr>
      <w:vertAlign w:val="superscript"/>
    </w:rPr>
  </w:style>
  <w:style w:type="paragraph" w:styleId="1082">
    <w:name w:val="正文首行缩进1"/>
    <w:basedOn w:val="1083"/>
    <w:next w:val="1087"/>
    <w:link w:val="1045"/>
    <w:qFormat/>
    <w:pPr>
      <w:ind w:firstLine="420"/>
    </w:pPr>
    <w:rPr>
      <w:szCs w:val="22"/>
    </w:rPr>
  </w:style>
  <w:style w:type="paragraph" w:styleId="1083">
    <w:name w:val="正文文本1"/>
    <w:basedOn w:val="1084"/>
    <w:next w:val="1085"/>
    <w:link w:val="1045"/>
    <w:qFormat/>
    <w:pPr>
      <w:spacing w:after="120"/>
    </w:pPr>
  </w:style>
  <w:style w:type="paragraph" w:styleId="1084">
    <w:name w:val="正文11"/>
    <w:next w:val="1045"/>
    <w:link w:val="1045"/>
    <w:qFormat/>
    <w:pPr>
      <w:jc w:val="both"/>
      <w:widowControl w:val="off"/>
    </w:pPr>
    <w:rPr>
      <w:rFonts w:ascii="Times New Roman" w:hAnsi="Times New Roman" w:eastAsia="宋体" w:cs="Times New Roman"/>
      <w:sz w:val="21"/>
      <w:szCs w:val="24"/>
      <w:lang w:val="en-US" w:eastAsia="zh-CN" w:bidi="ar-SA"/>
    </w:rPr>
  </w:style>
  <w:style w:type="paragraph" w:styleId="1085">
    <w:name w:val="一级条标题"/>
    <w:basedOn w:val="1086"/>
    <w:next w:val="1051"/>
    <w:link w:val="10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6">
    <w:name w:val="章标题"/>
    <w:next w:val="1045"/>
    <w:link w:val="104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87">
    <w:name w:val="正文首行缩进 21"/>
    <w:basedOn w:val="1088"/>
    <w:next w:val="1052"/>
    <w:link w:val="1045"/>
    <w:qFormat/>
    <w:pPr>
      <w:ind w:firstLine="420"/>
      <w:widowControl/>
    </w:pPr>
    <w:rPr>
      <w:rFonts w:ascii="仿宋_GB2312"/>
      <w:color w:val="ff6600"/>
      <w:sz w:val="21"/>
    </w:rPr>
  </w:style>
  <w:style w:type="paragraph" w:styleId="1088">
    <w:name w:val="正文文本缩进1"/>
    <w:basedOn w:val="1045"/>
    <w:next w:val="1089"/>
    <w:link w:val="1045"/>
    <w:qFormat/>
    <w:pPr>
      <w:ind w:firstLine="560"/>
      <w:spacing w:line="300" w:lineRule="auto"/>
    </w:pPr>
    <w:rPr>
      <w:sz w:val="28"/>
    </w:rPr>
  </w:style>
  <w:style w:type="paragraph" w:styleId="1089">
    <w:name w:val="寄信人地址1"/>
    <w:basedOn w:val="1045"/>
    <w:next w:val="1089"/>
    <w:link w:val="1045"/>
    <w:qFormat/>
    <w:rPr>
      <w:rFonts w:ascii="Arial" w:hAnsi="Arial"/>
    </w:rPr>
  </w:style>
  <w:style w:type="paragraph" w:styleId="1090">
    <w:name w:val="正文首行缩进 211"/>
    <w:basedOn w:val="1091"/>
    <w:next w:val="1093"/>
    <w:link w:val="1045"/>
    <w:qFormat/>
    <w:pPr>
      <w:ind w:left="420" w:firstLine="420"/>
      <w:spacing w:after="120" w:line="240" w:lineRule="auto"/>
    </w:pPr>
    <w:rPr>
      <w:b w:val="0"/>
      <w:szCs w:val="24"/>
    </w:rPr>
  </w:style>
  <w:style w:type="paragraph" w:styleId="1091">
    <w:name w:val="正文文本缩进11"/>
    <w:basedOn w:val="1045"/>
    <w:next w:val="1092"/>
    <w:link w:val="1045"/>
    <w:qFormat/>
    <w:pPr>
      <w:ind w:left="315" w:firstLine="632"/>
      <w:spacing w:line="360" w:lineRule="auto"/>
    </w:pPr>
    <w:rPr>
      <w:b/>
    </w:rPr>
  </w:style>
  <w:style w:type="paragraph" w:styleId="1092">
    <w:name w:val="寄信人地址111"/>
    <w:basedOn w:val="1045"/>
    <w:next w:val="1092"/>
    <w:link w:val="1045"/>
    <w:qFormat/>
    <w:rPr>
      <w:rFonts w:ascii="Arial" w:hAnsi="Arial" w:eastAsia="楷体_GB2312"/>
      <w:sz w:val="26"/>
    </w:rPr>
  </w:style>
  <w:style w:type="paragraph" w:styleId="1093">
    <w:name w:val="正文文本缩进 21"/>
    <w:basedOn w:val="1045"/>
    <w:next w:val="1094"/>
    <w:link w:val="1045"/>
    <w:qFormat/>
    <w:pPr>
      <w:ind w:firstLine="420"/>
      <w:spacing w:line="360" w:lineRule="auto"/>
    </w:pPr>
    <w:rPr>
      <w:rFonts w:ascii="宋体" w:hAnsi="宋体"/>
    </w:rPr>
  </w:style>
  <w:style w:type="paragraph" w:styleId="1094">
    <w:name w:val="索引 91"/>
    <w:basedOn w:val="1045"/>
    <w:next w:val="1045"/>
    <w:link w:val="1045"/>
    <w:qFormat/>
    <w:pPr>
      <w:ind w:left="1600"/>
    </w:pPr>
    <w:rPr>
      <w:szCs w:val="24"/>
    </w:rPr>
  </w:style>
  <w:style w:type="paragraph" w:styleId="1095">
    <w:name w:val="PlainText1"/>
    <w:basedOn w:val="1045"/>
    <w:next w:val="1095"/>
    <w:link w:val="1045"/>
    <w:uiPriority w:val="99"/>
    <w:qFormat/>
    <w:rPr>
      <w:rFonts w:ascii="宋体" w:hAnsi="Courier New" w:eastAsia="楷体_GB2312"/>
      <w:sz w:val="28"/>
      <w:szCs w:val="20"/>
    </w:rPr>
  </w:style>
  <w:style w:type="paragraph" w:styleId="1096">
    <w:name w:val="目录 51"/>
    <w:next w:val="1045"/>
    <w:link w:val="1045"/>
    <w:qFormat/>
    <w:pPr>
      <w:ind w:left="1275"/>
      <w:jc w:val="both"/>
    </w:pPr>
    <w:rPr>
      <w:rFonts w:ascii="Calibri" w:hAnsi="Calibri" w:eastAsia="宋体" w:cs="Times New Roman"/>
      <w:sz w:val="21"/>
      <w:lang w:val="en-US" w:eastAsia="zh-CN" w:bidi="ar-SA"/>
    </w:rPr>
  </w:style>
  <w:style w:type="paragraph" w:styleId="1097">
    <w:name w:val="列表段落"/>
    <w:basedOn w:val="1045"/>
    <w:next w:val="1097"/>
    <w:link w:val="1045"/>
    <w:uiPriority w:val="34"/>
    <w:qFormat/>
    <w:pPr>
      <w:ind w:firstLine="420"/>
    </w:pPr>
  </w:style>
  <w:style w:type="paragraph" w:styleId="1098">
    <w:name w:val="正文缩进1"/>
    <w:basedOn w:val="1045"/>
    <w:next w:val="1045"/>
    <w:link w:val="1045"/>
    <w:qFormat/>
    <w:pPr>
      <w:ind w:firstLine="420"/>
      <w:jc w:val="left"/>
    </w:pPr>
    <w:rPr>
      <w:rFonts w:eastAsia="楷体_GB2312"/>
      <w:sz w:val="24"/>
      <w:szCs w:val="20"/>
    </w:rPr>
  </w:style>
  <w:style w:type="paragraph" w:styleId="1099">
    <w:name w:val="首行缩进"/>
    <w:basedOn w:val="1045"/>
    <w:next w:val="1099"/>
    <w:link w:val="1045"/>
    <w:qFormat/>
    <w:pPr>
      <w:ind w:firstLine="480"/>
      <w:jc w:val="left"/>
      <w:spacing w:line="360" w:lineRule="auto"/>
    </w:pPr>
    <w:rPr>
      <w:rFonts w:ascii="宋体" w:hAnsi="宋体"/>
      <w:sz w:val="24"/>
    </w:rPr>
  </w:style>
  <w:style w:type="character" w:styleId="1100">
    <w:name w:val="NormalCharacter1"/>
    <w:next w:val="1100"/>
    <w:link w:val="1045"/>
    <w:qFormat/>
  </w:style>
  <w:style w:type="paragraph" w:styleId="1101">
    <w:name w:val="+标题1"/>
    <w:basedOn w:val="1046"/>
    <w:next w:val="1101"/>
    <w:link w:val="1045"/>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102">
    <w:name w:val="纯文本13"/>
    <w:basedOn w:val="1045"/>
    <w:next w:val="1102"/>
    <w:link w:val="1045"/>
    <w:qFormat/>
    <w:pPr>
      <w:jc w:val="left"/>
      <w:widowControl/>
    </w:pPr>
    <w:rPr>
      <w:rFonts w:ascii="宋体" w:hAnsi="Courier New" w:eastAsia="楷体_GB2312"/>
      <w:sz w:val="26"/>
      <w:lang w:eastAsia="en-US"/>
    </w:rPr>
  </w:style>
  <w:style w:type="paragraph" w:styleId="1103">
    <w:name w:val="纯文本1"/>
    <w:basedOn w:val="1045"/>
    <w:next w:val="1103"/>
    <w:link w:val="1045"/>
    <w:qFormat/>
    <w:rPr>
      <w:rFonts w:ascii="宋体" w:hAnsi="Courier New" w:eastAsia="楷体_GB2312"/>
      <w:sz w:val="26"/>
    </w:rPr>
  </w:style>
  <w:style w:type="character" w:styleId="1104">
    <w:name w:val="font11"/>
    <w:basedOn w:val="1049"/>
    <w:next w:val="1104"/>
    <w:link w:val="1045"/>
    <w:rPr>
      <w:rFonts w:hint="eastAsia" w:ascii="宋体" w:hAnsi="宋体" w:eastAsia="宋体" w:cs="宋体"/>
      <w:i w:val="0"/>
      <w:iCs w:val="0"/>
      <w:color w:val="000000"/>
      <w:sz w:val="22"/>
      <w:szCs w:val="22"/>
      <w:u w:val="none"/>
    </w:rPr>
  </w:style>
  <w:style w:type="character" w:styleId="1105">
    <w:name w:val="font61"/>
    <w:basedOn w:val="1049"/>
    <w:next w:val="1105"/>
    <w:link w:val="1045"/>
    <w:rPr>
      <w:rFonts w:ascii="Arial" w:hAnsi="Arial" w:cs="Arial"/>
      <w:i w:val="0"/>
      <w:iCs w:val="0"/>
      <w:color w:val="000000"/>
      <w:sz w:val="22"/>
      <w:szCs w:val="22"/>
      <w:u w:val="none"/>
    </w:rPr>
  </w:style>
  <w:style w:type="character" w:styleId="1106">
    <w:name w:val="font71"/>
    <w:basedOn w:val="1049"/>
    <w:next w:val="1106"/>
    <w:link w:val="1045"/>
    <w:rPr>
      <w:rFonts w:hint="eastAsia" w:ascii="宋体" w:hAnsi="宋体" w:eastAsia="宋体" w:cs="宋体"/>
      <w:i w:val="0"/>
      <w:iCs w:val="0"/>
      <w:color w:val="ff0000"/>
      <w:sz w:val="22"/>
      <w:szCs w:val="22"/>
      <w:u w:val="none"/>
    </w:rPr>
  </w:style>
  <w:style w:type="character" w:styleId="1107">
    <w:name w:val="font81"/>
    <w:basedOn w:val="1049"/>
    <w:next w:val="1107"/>
    <w:link w:val="1045"/>
    <w:rPr>
      <w:rFonts w:ascii="Calibri" w:hAnsi="Calibri" w:cs="Calibri"/>
      <w:i w:val="0"/>
      <w:iCs w:val="0"/>
      <w:color w:val="000000"/>
      <w:sz w:val="22"/>
      <w:szCs w:val="22"/>
      <w:u w:val="none"/>
    </w:rPr>
  </w:style>
  <w:style w:type="paragraph" w:styleId="1108">
    <w:name w:val="p0"/>
    <w:basedOn w:val="1045"/>
    <w:next w:val="1108"/>
    <w:link w:val="1045"/>
    <w:qFormat/>
    <w:rPr>
      <w:rFonts w:ascii="Times New Roman" w:hAnsi="Times New Roman"/>
      <w:szCs w:val="24"/>
    </w:rPr>
  </w:style>
  <w:style w:type="paragraph" w:styleId="1109">
    <w:name w:val="纯文本3"/>
    <w:basedOn w:val="1045"/>
    <w:next w:val="1109"/>
    <w:link w:val="1045"/>
    <w:qFormat/>
    <w:rPr>
      <w:rFonts w:ascii="宋体" w:hAnsi="Courier New" w:eastAsia="KaiTi_GB2312"/>
      <w:sz w:val="28"/>
      <w:szCs w:val="20"/>
    </w:rPr>
  </w:style>
  <w:style w:type="paragraph" w:styleId="1110">
    <w:name w:val="纯文本11"/>
    <w:basedOn w:val="1045"/>
    <w:next w:val="1067"/>
    <w:link w:val="1045"/>
    <w:qFormat/>
    <w:rPr>
      <w:rFonts w:ascii="宋体" w:hAnsi="Courier New" w:eastAsia="楷体_GB2312"/>
      <w:sz w:val="28"/>
      <w:szCs w:val="20"/>
    </w:rPr>
  </w:style>
  <w:style w:type="paragraph" w:styleId="1111">
    <w:name w:val="正文文本缩进 311"/>
    <w:basedOn w:val="1045"/>
    <w:next w:val="1111"/>
    <w:link w:val="1045"/>
    <w:uiPriority w:val="99"/>
    <w:qFormat/>
    <w:pPr>
      <w:ind w:firstLine="480"/>
      <w:spacing w:line="360" w:lineRule="auto"/>
      <w:widowControl/>
    </w:pPr>
    <w:rPr>
      <w:sz w:val="24"/>
    </w:rPr>
  </w:style>
  <w:style w:type="paragraph" w:styleId="1112">
    <w:name w:val="标题 21"/>
    <w:basedOn w:val="1045"/>
    <w:next w:val="1045"/>
    <w:link w:val="1045"/>
    <w:qFormat/>
    <w:pPr>
      <w:keepLines/>
      <w:keepNext/>
      <w:spacing w:before="260" w:after="260" w:line="413" w:lineRule="auto"/>
      <w:outlineLvl w:val="1"/>
    </w:pPr>
    <w:rPr>
      <w:rFonts w:ascii="Arial" w:hAnsi="Arial" w:eastAsia="黑体"/>
      <w:b/>
      <w:bCs/>
      <w:sz w:val="32"/>
      <w:szCs w:val="32"/>
    </w:rPr>
  </w:style>
  <w:style w:type="table" w:styleId="1113">
    <w:name w:val="网格型2"/>
    <w:basedOn w:val="1050"/>
    <w:next w:val="1113"/>
    <w:link w:val="1045"/>
    <w:uiPriority w:val="99"/>
    <w:qFormat/>
    <w:pPr>
      <w:jc w:val="both"/>
      <w:widowControl w:val="off"/>
    </w:pPr>
    <w:tblPr/>
  </w:style>
  <w:style w:type="paragraph" w:styleId="1114">
    <w:name w:val="正文-标"/>
    <w:basedOn w:val="1045"/>
    <w:next w:val="1114"/>
    <w:link w:val="1045"/>
    <w:qFormat/>
    <w:pPr>
      <w:ind w:firstLine="200"/>
      <w:spacing w:line="360" w:lineRule="auto"/>
    </w:pPr>
  </w:style>
  <w:style w:type="paragraph" w:styleId="1115">
    <w:name w:val="Table Text"/>
    <w:basedOn w:val="1045"/>
    <w:next w:val="1115"/>
    <w:link w:val="1045"/>
    <w:semiHidden/>
    <w:qFormat/>
    <w:rPr>
      <w:rFonts w:ascii="宋体" w:hAnsi="宋体" w:eastAsia="宋体" w:cs="宋体"/>
      <w:sz w:val="15"/>
      <w:szCs w:val="15"/>
      <w:lang w:val="en-US" w:eastAsia="en-US" w:bidi="ar-SA"/>
    </w:rPr>
  </w:style>
  <w:style w:type="table" w:styleId="1116">
    <w:name w:val="Table Normal"/>
    <w:next w:val="1116"/>
    <w:link w:val="1045"/>
    <w:unhideWhenUsed/>
    <w:qFormat/>
    <w:tblPr/>
  </w:style>
  <w:style w:type="paragraph" w:styleId="1117">
    <w:name w:val="正文文本 21"/>
    <w:basedOn w:val="1045"/>
    <w:next w:val="1117"/>
    <w:link w:val="1045"/>
    <w:qFormat/>
    <w:pPr>
      <w:spacing w:after="120" w:line="480" w:lineRule="auto"/>
    </w:pPr>
  </w:style>
  <w:style w:type="paragraph" w:styleId="1118">
    <w:name w:val="页脚1"/>
    <w:basedOn w:val="1045"/>
    <w:next w:val="1118"/>
    <w:link w:val="1045"/>
    <w:qFormat/>
    <w:pPr>
      <w:jc w:val="left"/>
      <w:tabs>
        <w:tab w:val="center" w:pos="4153" w:leader="none"/>
        <w:tab w:val="right" w:pos="8306" w:leader="none"/>
      </w:tabs>
    </w:pPr>
    <w:rPr>
      <w:sz w:val="18"/>
      <w:szCs w:val="18"/>
    </w:rPr>
  </w:style>
  <w:style w:type="character" w:styleId="1119">
    <w:name w:val="font31"/>
    <w:basedOn w:val="1049"/>
    <w:next w:val="1119"/>
    <w:link w:val="1045"/>
    <w:qFormat/>
    <w:rPr>
      <w:rFonts w:ascii="等线" w:hAnsi="等线" w:eastAsia="等线" w:cs="等线"/>
      <w:color w:val="000000"/>
      <w:sz w:val="21"/>
      <w:szCs w:val="21"/>
      <w:u w:val="none"/>
    </w:rPr>
  </w:style>
  <w:style w:type="paragraph" w:styleId="1120">
    <w:name w:val="正文文本11"/>
    <w:basedOn w:val="1045"/>
    <w:next w:val="1121"/>
    <w:link w:val="1045"/>
    <w:uiPriority w:val="99"/>
    <w:qFormat/>
    <w:pPr>
      <w:spacing w:after="120"/>
    </w:pPr>
    <w:rPr>
      <w:rFonts w:ascii="Times New Roman" w:hAnsi="Times New Roman"/>
      <w:sz w:val="20"/>
      <w:szCs w:val="20"/>
    </w:rPr>
  </w:style>
  <w:style w:type="paragraph" w:styleId="1121">
    <w:name w:val="正文缩进111"/>
    <w:basedOn w:val="1045"/>
    <w:next w:val="1045"/>
    <w:link w:val="1045"/>
    <w:qFormat/>
    <w:pPr>
      <w:ind w:firstLine="420"/>
      <w:jc w:val="left"/>
    </w:pPr>
    <w:rPr>
      <w:rFonts w:ascii="Times New Roman" w:hAnsi="Times New Roman" w:eastAsia="楷体_GB2312"/>
      <w:sz w:val="24"/>
      <w:szCs w:val="20"/>
    </w:rPr>
  </w:style>
  <w:style w:type="character" w:styleId="1122">
    <w:name w:val="font41"/>
    <w:basedOn w:val="1049"/>
    <w:next w:val="1122"/>
    <w:link w:val="1045"/>
    <w:rPr>
      <w:rFonts w:hint="eastAsia" w:ascii="宋体" w:hAnsi="宋体" w:eastAsia="宋体" w:cs="宋体"/>
      <w:b/>
      <w:bCs/>
      <w:i w:val="0"/>
      <w:iCs w:val="0"/>
      <w:color w:val="ff0000"/>
      <w:sz w:val="32"/>
      <w:szCs w:val="32"/>
      <w:u w:val="none"/>
    </w:rPr>
  </w:style>
  <w:style w:type="paragraph" w:styleId="1123">
    <w:name w:val="Plain Text"/>
    <w:next w:val="1123"/>
    <w:link w:val="1045"/>
    <w:qFormat/>
    <w:pPr>
      <w:jc w:val="both"/>
      <w:widowControl w:val="off"/>
    </w:pPr>
    <w:rPr>
      <w:rFonts w:ascii="宋体" w:hAnsi="Courier New" w:eastAsia="楷体_GB2312" w:cs="Times New Roman"/>
      <w:sz w:val="28"/>
      <w:szCs w:val="20"/>
      <w:lang w:val="en-US" w:eastAsia="zh-CN" w:bidi="ar-SA"/>
    </w:rPr>
  </w:style>
  <w:style w:type="paragraph" w:styleId="1124">
    <w:name w:val="p1"/>
    <w:basedOn w:val="1045"/>
    <w:next w:val="1124"/>
    <w:link w:val="1045"/>
    <w:qFormat/>
    <w:pPr>
      <w:jc w:val="left"/>
      <w:spacing w:before="100" w:beforeAutospacing="1" w:after="100" w:afterAutospacing="1"/>
      <w:widowControl/>
    </w:pPr>
    <w:rPr>
      <w:rFonts w:ascii="宋体" w:hAnsi="宋体" w:cs="宋体"/>
      <w:sz w:val="24"/>
      <w:szCs w:val="24"/>
    </w:rPr>
  </w:style>
  <w:style w:type="paragraph" w:styleId="1125">
    <w:name w:val="纯文本7"/>
    <w:basedOn w:val="1045"/>
    <w:next w:val="1125"/>
    <w:link w:val="1045"/>
    <w:qFormat/>
    <w:rPr>
      <w:rFonts w:ascii="宋体" w:hAnsi="Courier New" w:eastAsia="楷体_GB2312"/>
      <w:sz w:val="28"/>
    </w:rPr>
  </w:style>
  <w:style w:type="paragraph" w:styleId="1126">
    <w:name w:val="列出段落1"/>
    <w:basedOn w:val="1045"/>
    <w:next w:val="1126"/>
    <w:link w:val="1045"/>
    <w:qFormat/>
    <w:pPr>
      <w:ind w:firstLine="420"/>
      <w:jc w:val="left"/>
      <w:spacing w:line="360" w:lineRule="auto"/>
    </w:pPr>
    <w:rPr>
      <w:sz w:val="24"/>
      <w:szCs w:val="22"/>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2025-05-19T08:19:00Z</dcterms:created>
  <dcterms:modified xsi:type="dcterms:W3CDTF">2026-08-26T09:40:16Z</dcterms:modified>
</cp:coreProperties>
</file>