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4BD1B">
      <w:pPr>
        <w:jc w:val="right"/>
        <w:rPr>
          <w:rFonts w:ascii="宋体" w:hAnsi="宋体" w:cs="宋体"/>
          <w:caps/>
          <w:color w:val="auto"/>
          <w:sz w:val="44"/>
          <w:szCs w:val="44"/>
          <w:highlight w:val="none"/>
          <w:lang w:val="zh-CN"/>
        </w:rPr>
      </w:pPr>
    </w:p>
    <w:p w14:paraId="552757F4">
      <w:pPr>
        <w:rPr>
          <w:rFonts w:ascii="宋体" w:hAnsi="宋体" w:cs="宋体"/>
          <w:caps/>
          <w:color w:val="auto"/>
          <w:sz w:val="44"/>
          <w:szCs w:val="44"/>
          <w:highlight w:val="none"/>
          <w:lang w:val="zh-CN"/>
        </w:rPr>
      </w:pPr>
    </w:p>
    <w:p w14:paraId="006687C7">
      <w:pPr>
        <w:jc w:val="center"/>
        <w:rPr>
          <w:rFonts w:ascii="宋体" w:hAnsi="宋体" w:cs="宋体"/>
          <w:b/>
          <w:color w:val="auto"/>
          <w:sz w:val="20"/>
          <w:highlight w:val="none"/>
        </w:rPr>
      </w:pPr>
      <w:bookmarkStart w:id="0" w:name="_Toc503948053"/>
      <w:bookmarkStart w:id="1" w:name="_Toc503948559"/>
      <w:r>
        <w:rPr>
          <w:rFonts w:hint="eastAsia" w:ascii="宋体" w:hAnsi="宋体" w:cs="宋体"/>
          <w:b/>
          <w:color w:val="auto"/>
          <w:sz w:val="72"/>
          <w:highlight w:val="none"/>
        </w:rPr>
        <w:t>竞争性磋商文件</w:t>
      </w:r>
      <w:bookmarkEnd w:id="0"/>
      <w:bookmarkEnd w:id="1"/>
    </w:p>
    <w:p w14:paraId="2AA60A25">
      <w:pPr>
        <w:rPr>
          <w:rFonts w:ascii="宋体" w:hAnsi="宋体" w:cs="宋体"/>
          <w:color w:val="auto"/>
          <w:sz w:val="32"/>
          <w:szCs w:val="32"/>
          <w:highlight w:val="none"/>
          <w:lang w:val="zh-CN"/>
        </w:rPr>
      </w:pPr>
    </w:p>
    <w:p w14:paraId="2218BF2E">
      <w:pPr>
        <w:rPr>
          <w:rFonts w:ascii="宋体" w:hAnsi="宋体" w:cs="宋体"/>
          <w:color w:val="auto"/>
          <w:sz w:val="32"/>
          <w:szCs w:val="32"/>
          <w:highlight w:val="none"/>
          <w:lang w:val="zh-CN"/>
        </w:rPr>
      </w:pPr>
    </w:p>
    <w:p w14:paraId="6DBD9250">
      <w:pPr>
        <w:rPr>
          <w:rFonts w:ascii="宋体" w:hAnsi="宋体" w:cs="宋体"/>
          <w:color w:val="auto"/>
          <w:sz w:val="32"/>
          <w:szCs w:val="32"/>
          <w:highlight w:val="none"/>
          <w:lang w:val="zh-CN"/>
        </w:rPr>
      </w:pPr>
    </w:p>
    <w:p w14:paraId="180CD670">
      <w:pPr>
        <w:pStyle w:val="40"/>
        <w:rPr>
          <w:color w:val="auto"/>
          <w:highlight w:val="none"/>
          <w:lang w:val="zh-CN"/>
        </w:rPr>
      </w:pPr>
    </w:p>
    <w:p w14:paraId="2CB51E7E">
      <w:pPr>
        <w:rPr>
          <w:rFonts w:ascii="宋体" w:hAnsi="宋体" w:cs="宋体"/>
          <w:color w:val="auto"/>
          <w:sz w:val="44"/>
          <w:szCs w:val="44"/>
          <w:highlight w:val="none"/>
          <w:lang w:val="zh-CN"/>
        </w:rPr>
      </w:pPr>
    </w:p>
    <w:p w14:paraId="5F667F44">
      <w:pPr>
        <w:spacing w:line="360" w:lineRule="auto"/>
        <w:ind w:left="420" w:firstLine="720" w:firstLineChars="200"/>
        <w:rPr>
          <w:rFonts w:ascii="宋体" w:hAnsi="宋体" w:cs="宋体"/>
          <w:color w:val="auto"/>
          <w:sz w:val="36"/>
          <w:szCs w:val="36"/>
          <w:highlight w:val="none"/>
        </w:rPr>
      </w:pPr>
      <w:r>
        <w:rPr>
          <w:rFonts w:hint="eastAsia" w:ascii="宋体" w:hAnsi="宋体" w:cs="宋体"/>
          <w:color w:val="auto"/>
          <w:sz w:val="36"/>
          <w:szCs w:val="36"/>
          <w:highlight w:val="none"/>
          <w:lang w:val="zh-CN"/>
        </w:rPr>
        <w:t>项目编号：JSZC-320115-NJRD-C2026-0009</w:t>
      </w:r>
    </w:p>
    <w:p w14:paraId="411A9ED0">
      <w:pPr>
        <w:spacing w:line="360" w:lineRule="auto"/>
        <w:ind w:left="420" w:firstLine="720" w:firstLineChars="200"/>
        <w:rPr>
          <w:rFonts w:ascii="宋体" w:hAnsi="宋体" w:cs="宋体"/>
          <w:color w:val="auto"/>
          <w:sz w:val="32"/>
          <w:szCs w:val="32"/>
          <w:highlight w:val="none"/>
        </w:rPr>
      </w:pPr>
      <w:r>
        <w:rPr>
          <w:rFonts w:hint="eastAsia" w:ascii="宋体" w:hAnsi="宋体" w:cs="宋体"/>
          <w:color w:val="auto"/>
          <w:sz w:val="36"/>
          <w:szCs w:val="36"/>
          <w:highlight w:val="none"/>
          <w:lang w:val="zh-CN"/>
        </w:rPr>
        <w:t>项目名称：汤山街道上窑湾引水上山工程</w:t>
      </w:r>
    </w:p>
    <w:p w14:paraId="508DA06B">
      <w:pPr>
        <w:ind w:left="420"/>
        <w:rPr>
          <w:rFonts w:ascii="宋体" w:hAnsi="宋体" w:cs="宋体"/>
          <w:color w:val="auto"/>
          <w:sz w:val="36"/>
          <w:szCs w:val="36"/>
          <w:highlight w:val="none"/>
          <w:lang w:val="zh-CN"/>
        </w:rPr>
      </w:pPr>
    </w:p>
    <w:p w14:paraId="521E6F3F">
      <w:pPr>
        <w:ind w:left="420"/>
        <w:rPr>
          <w:rFonts w:ascii="宋体" w:hAnsi="宋体" w:cs="宋体"/>
          <w:color w:val="auto"/>
          <w:sz w:val="36"/>
          <w:szCs w:val="36"/>
          <w:highlight w:val="none"/>
          <w:lang w:val="zh-CN"/>
        </w:rPr>
      </w:pPr>
    </w:p>
    <w:p w14:paraId="06F66553">
      <w:pPr>
        <w:pStyle w:val="40"/>
        <w:rPr>
          <w:rFonts w:ascii="宋体" w:hAnsi="宋体" w:cs="宋体"/>
          <w:color w:val="auto"/>
          <w:sz w:val="36"/>
          <w:szCs w:val="36"/>
          <w:highlight w:val="none"/>
          <w:lang w:val="zh-CN"/>
        </w:rPr>
      </w:pPr>
    </w:p>
    <w:p w14:paraId="468F726D">
      <w:pPr>
        <w:pStyle w:val="40"/>
        <w:rPr>
          <w:rFonts w:ascii="宋体" w:hAnsi="宋体" w:cs="宋体"/>
          <w:color w:val="auto"/>
          <w:sz w:val="36"/>
          <w:szCs w:val="36"/>
          <w:highlight w:val="none"/>
          <w:lang w:val="zh-CN"/>
        </w:rPr>
      </w:pPr>
    </w:p>
    <w:p w14:paraId="45E7C1BA">
      <w:pPr>
        <w:pStyle w:val="40"/>
        <w:rPr>
          <w:rFonts w:ascii="宋体" w:hAnsi="宋体" w:cs="宋体"/>
          <w:color w:val="auto"/>
          <w:sz w:val="36"/>
          <w:szCs w:val="36"/>
          <w:highlight w:val="none"/>
          <w:lang w:val="zh-CN"/>
        </w:rPr>
      </w:pPr>
    </w:p>
    <w:p w14:paraId="614293ED">
      <w:pPr>
        <w:ind w:left="420"/>
        <w:rPr>
          <w:rFonts w:ascii="宋体" w:hAnsi="宋体" w:cs="宋体"/>
          <w:color w:val="auto"/>
          <w:sz w:val="36"/>
          <w:szCs w:val="36"/>
          <w:highlight w:val="none"/>
          <w:lang w:val="zh-CN"/>
        </w:rPr>
      </w:pPr>
    </w:p>
    <w:p w14:paraId="186312EA">
      <w:pPr>
        <w:pStyle w:val="40"/>
        <w:rPr>
          <w:color w:val="auto"/>
          <w:highlight w:val="none"/>
          <w:lang w:val="zh-CN"/>
        </w:rPr>
      </w:pPr>
    </w:p>
    <w:p w14:paraId="746B13B2">
      <w:pPr>
        <w:spacing w:line="360" w:lineRule="auto"/>
        <w:ind w:left="420"/>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采购人：</w:t>
      </w:r>
      <w:bookmarkStart w:id="2" w:name="_Toc503948560"/>
      <w:bookmarkStart w:id="3" w:name="_Toc503948054"/>
      <w:r>
        <w:rPr>
          <w:rFonts w:hint="eastAsia" w:ascii="宋体" w:hAnsi="宋体" w:cs="宋体"/>
          <w:color w:val="auto"/>
          <w:sz w:val="36"/>
          <w:szCs w:val="36"/>
          <w:highlight w:val="none"/>
          <w:lang w:val="zh-CN"/>
        </w:rPr>
        <w:t>南京市江宁区人民政府汤山街道办事处</w:t>
      </w:r>
    </w:p>
    <w:bookmarkEnd w:id="2"/>
    <w:bookmarkEnd w:id="3"/>
    <w:p w14:paraId="3C9D45DA">
      <w:pPr>
        <w:spacing w:line="360" w:lineRule="auto"/>
        <w:ind w:left="420" w:firstLine="360" w:firstLineChars="100"/>
        <w:rPr>
          <w:rFonts w:ascii="宋体" w:hAnsi="宋体" w:cs="宋体"/>
          <w:color w:val="auto"/>
          <w:sz w:val="36"/>
          <w:szCs w:val="36"/>
          <w:highlight w:val="none"/>
          <w:lang w:val="zh-CN"/>
        </w:rPr>
      </w:pPr>
      <w:r>
        <w:rPr>
          <w:rFonts w:hint="eastAsia" w:ascii="宋体" w:hAnsi="宋体" w:cs="宋体"/>
          <w:color w:val="auto"/>
          <w:sz w:val="36"/>
          <w:szCs w:val="36"/>
          <w:highlight w:val="none"/>
        </w:rPr>
        <w:t>招标代理：</w:t>
      </w:r>
      <w:r>
        <w:rPr>
          <w:rFonts w:hint="eastAsia" w:ascii="宋体" w:hAnsi="宋体" w:cs="宋体"/>
          <w:color w:val="auto"/>
          <w:sz w:val="36"/>
          <w:szCs w:val="36"/>
          <w:highlight w:val="none"/>
          <w:lang w:val="zh-CN"/>
        </w:rPr>
        <w:t>南京荣大工程项目管理有限公司</w:t>
      </w:r>
    </w:p>
    <w:p w14:paraId="4313C8E0">
      <w:pPr>
        <w:jc w:val="center"/>
        <w:rPr>
          <w:rFonts w:ascii="宋体" w:hAnsi="宋体" w:cs="宋体"/>
          <w:color w:val="auto"/>
          <w:sz w:val="44"/>
          <w:szCs w:val="44"/>
          <w:highlight w:val="none"/>
          <w:lang w:val="zh-CN"/>
        </w:rPr>
      </w:pPr>
    </w:p>
    <w:p w14:paraId="61F65B2F">
      <w:pPr>
        <w:jc w:val="center"/>
        <w:rPr>
          <w:rFonts w:ascii="宋体" w:hAnsi="宋体" w:cs="宋体"/>
          <w:color w:val="auto"/>
          <w:sz w:val="44"/>
          <w:szCs w:val="44"/>
          <w:highlight w:val="none"/>
        </w:rPr>
      </w:pPr>
      <w:r>
        <w:rPr>
          <w:rFonts w:hint="eastAsia" w:ascii="宋体" w:hAnsi="宋体" w:cs="宋体"/>
          <w:color w:val="auto"/>
          <w:sz w:val="44"/>
          <w:szCs w:val="44"/>
          <w:highlight w:val="none"/>
          <w:lang w:val="zh-CN"/>
        </w:rPr>
        <w:t>二</w:t>
      </w:r>
      <w:r>
        <w:rPr>
          <w:rFonts w:hint="eastAsia" w:ascii="宋体" w:hAnsi="宋体" w:cs="宋体"/>
          <w:color w:val="auto"/>
          <w:sz w:val="44"/>
          <w:szCs w:val="44"/>
          <w:highlight w:val="none"/>
        </w:rPr>
        <w:t>○</w:t>
      </w:r>
      <w:r>
        <w:rPr>
          <w:rFonts w:hint="eastAsia" w:ascii="宋体" w:hAnsi="宋体" w:cs="宋体"/>
          <w:color w:val="auto"/>
          <w:sz w:val="44"/>
          <w:szCs w:val="44"/>
          <w:highlight w:val="none"/>
          <w:lang w:val="zh-CN"/>
        </w:rPr>
        <w:t>二</w:t>
      </w:r>
      <w:r>
        <w:rPr>
          <w:rFonts w:hint="eastAsia" w:ascii="宋体" w:hAnsi="宋体" w:cs="宋体"/>
          <w:color w:val="auto"/>
          <w:sz w:val="44"/>
          <w:szCs w:val="44"/>
          <w:highlight w:val="none"/>
        </w:rPr>
        <w:t>六</w:t>
      </w:r>
      <w:r>
        <w:rPr>
          <w:rFonts w:hint="eastAsia" w:ascii="宋体" w:hAnsi="宋体" w:cs="宋体"/>
          <w:color w:val="auto"/>
          <w:sz w:val="44"/>
          <w:szCs w:val="44"/>
          <w:highlight w:val="none"/>
          <w:lang w:val="zh-CN"/>
        </w:rPr>
        <w:t>年</w:t>
      </w:r>
      <w:r>
        <w:rPr>
          <w:rFonts w:hint="eastAsia" w:ascii="宋体" w:hAnsi="宋体" w:cs="宋体"/>
          <w:color w:val="auto"/>
          <w:sz w:val="44"/>
          <w:szCs w:val="44"/>
          <w:highlight w:val="none"/>
        </w:rPr>
        <w:t>八</w:t>
      </w:r>
      <w:r>
        <w:rPr>
          <w:rFonts w:hint="eastAsia" w:ascii="宋体" w:hAnsi="宋体" w:cs="宋体"/>
          <w:color w:val="auto"/>
          <w:sz w:val="44"/>
          <w:szCs w:val="44"/>
          <w:highlight w:val="none"/>
          <w:lang w:val="zh-CN"/>
        </w:rPr>
        <w:t>月</w:t>
      </w:r>
    </w:p>
    <w:p w14:paraId="361E0F03">
      <w:pPr>
        <w:jc w:val="center"/>
        <w:rPr>
          <w:rFonts w:ascii="宋体" w:hAnsi="宋体" w:cs="宋体"/>
          <w:color w:val="auto"/>
          <w:sz w:val="44"/>
          <w:szCs w:val="44"/>
          <w:highlight w:val="none"/>
        </w:rPr>
      </w:pPr>
    </w:p>
    <w:p w14:paraId="36B2F041">
      <w:pPr>
        <w:pStyle w:val="333"/>
        <w:spacing w:line="240" w:lineRule="auto"/>
        <w:ind w:left="187" w:hanging="187"/>
        <w:outlineLvl w:val="9"/>
        <w:rPr>
          <w:rFonts w:eastAsia="宋体" w:cs="宋体"/>
          <w:color w:val="auto"/>
          <w:sz w:val="22"/>
          <w:highlight w:val="none"/>
          <w:lang w:val="en-US"/>
        </w:rPr>
        <w:sectPr>
          <w:pgSz w:w="11906" w:h="16838"/>
          <w:pgMar w:top="1440" w:right="1440" w:bottom="1440" w:left="1440" w:header="851" w:footer="992" w:gutter="0"/>
          <w:cols w:space="1701" w:num="1"/>
          <w:titlePg/>
          <w:docGrid w:linePitch="360" w:charSpace="0"/>
        </w:sectPr>
      </w:pPr>
      <w:bookmarkStart w:id="4" w:name="_Toc503948561"/>
      <w:bookmarkStart w:id="5" w:name="_Toc503948055"/>
      <w:r>
        <w:rPr>
          <w:rFonts w:hint="eastAsia" w:eastAsia="宋体" w:cs="宋体"/>
          <w:color w:val="auto"/>
          <w:sz w:val="22"/>
          <w:highlight w:val="none"/>
          <w:lang w:val="en-US"/>
        </w:rPr>
        <w:t xml:space="preserve"> </w:t>
      </w:r>
    </w:p>
    <w:p w14:paraId="09C26B50">
      <w:pPr>
        <w:pStyle w:val="447"/>
        <w:spacing w:before="0" w:line="240" w:lineRule="auto"/>
        <w:jc w:val="center"/>
        <w:rPr>
          <w:rFonts w:ascii="宋体" w:hAnsi="宋体" w:cs="宋体"/>
          <w:color w:val="auto"/>
          <w:sz w:val="40"/>
          <w:highlight w:val="none"/>
          <w:lang w:val="zh-CN"/>
        </w:rPr>
      </w:pPr>
      <w:bookmarkStart w:id="6" w:name="_Toc22540"/>
      <w:bookmarkStart w:id="7" w:name="_Toc17325"/>
      <w:bookmarkStart w:id="8" w:name="_Toc26356"/>
      <w:bookmarkStart w:id="9" w:name="_Toc7505"/>
      <w:bookmarkStart w:id="10" w:name="_Toc16154"/>
      <w:bookmarkStart w:id="11" w:name="_Toc10604"/>
      <w:r>
        <w:rPr>
          <w:rFonts w:hint="eastAsia" w:ascii="宋体" w:hAnsi="宋体" w:cs="宋体"/>
          <w:color w:val="auto"/>
          <w:sz w:val="40"/>
          <w:highlight w:val="none"/>
          <w:lang w:val="zh-CN"/>
        </w:rPr>
        <w:t>目录</w:t>
      </w:r>
      <w:bookmarkEnd w:id="6"/>
      <w:bookmarkEnd w:id="7"/>
      <w:bookmarkEnd w:id="8"/>
      <w:bookmarkEnd w:id="9"/>
      <w:bookmarkEnd w:id="10"/>
      <w:bookmarkEnd w:id="11"/>
    </w:p>
    <w:p w14:paraId="41B6F4C9">
      <w:pPr>
        <w:pStyle w:val="22"/>
        <w:tabs>
          <w:tab w:val="right" w:leader="dot" w:pos="9026"/>
        </w:tabs>
        <w:rPr>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rPr>
          <w:rFonts w:hint="eastAsia" w:ascii="宋体" w:hAnsi="宋体" w:cs="宋体"/>
          <w:color w:val="auto"/>
          <w:highlight w:val="none"/>
        </w:rPr>
        <w:fldChar w:fldCharType="begin"/>
      </w:r>
      <w:r>
        <w:rPr>
          <w:rFonts w:hint="eastAsia" w:ascii="宋体" w:hAnsi="宋体" w:cs="宋体"/>
          <w:highlight w:val="none"/>
        </w:rPr>
        <w:instrText xml:space="preserve"> HYPERLINK \l _Toc32486 </w:instrText>
      </w:r>
      <w:r>
        <w:rPr>
          <w:rFonts w:hint="eastAsia" w:ascii="宋体" w:hAnsi="宋体" w:cs="宋体"/>
          <w:highlight w:val="none"/>
        </w:rPr>
        <w:fldChar w:fldCharType="separate"/>
      </w:r>
      <w:r>
        <w:rPr>
          <w:rFonts w:hint="eastAsia" w:eastAsia="宋体" w:cs="宋体"/>
          <w:bCs w:val="0"/>
          <w:highlight w:val="none"/>
        </w:rPr>
        <w:t>第一章</w:t>
      </w:r>
      <w:r>
        <w:rPr>
          <w:rFonts w:hint="eastAsia" w:eastAsia="宋体" w:cs="宋体"/>
          <w:bCs w:val="0"/>
          <w:highlight w:val="none"/>
          <w:lang w:val="en-US"/>
        </w:rPr>
        <w:t xml:space="preserve"> 竞争性</w:t>
      </w:r>
      <w:r>
        <w:rPr>
          <w:rFonts w:hint="eastAsia" w:eastAsia="宋体" w:cs="宋体"/>
          <w:bCs w:val="0"/>
          <w:highlight w:val="none"/>
        </w:rPr>
        <w:t>磋商</w:t>
      </w:r>
      <w:r>
        <w:rPr>
          <w:rFonts w:hint="eastAsia" w:eastAsia="宋体" w:cs="宋体"/>
          <w:bCs w:val="0"/>
          <w:highlight w:val="none"/>
          <w:lang w:val="en-US"/>
        </w:rPr>
        <w:t>公告</w:t>
      </w:r>
      <w:r>
        <w:rPr>
          <w:highlight w:val="none"/>
        </w:rPr>
        <w:tab/>
      </w:r>
      <w:r>
        <w:rPr>
          <w:highlight w:val="none"/>
        </w:rPr>
        <w:fldChar w:fldCharType="begin"/>
      </w:r>
      <w:r>
        <w:rPr>
          <w:highlight w:val="none"/>
        </w:rPr>
        <w:instrText xml:space="preserve"> PAGEREF _Toc32486 \h </w:instrText>
      </w:r>
      <w:r>
        <w:rPr>
          <w:highlight w:val="none"/>
        </w:rPr>
        <w:fldChar w:fldCharType="separate"/>
      </w:r>
      <w:r>
        <w:rPr>
          <w:highlight w:val="none"/>
        </w:rPr>
        <w:t>3</w:t>
      </w:r>
      <w:r>
        <w:rPr>
          <w:highlight w:val="none"/>
        </w:rPr>
        <w:fldChar w:fldCharType="end"/>
      </w:r>
      <w:r>
        <w:rPr>
          <w:rFonts w:hint="eastAsia" w:ascii="宋体" w:hAnsi="宋体" w:cs="宋体"/>
          <w:color w:val="auto"/>
          <w:highlight w:val="none"/>
        </w:rPr>
        <w:fldChar w:fldCharType="end"/>
      </w:r>
    </w:p>
    <w:p w14:paraId="173B1E5A">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_Toc19971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一、项目基本情况</w:t>
      </w:r>
      <w:r>
        <w:rPr>
          <w:highlight w:val="none"/>
        </w:rPr>
        <w:tab/>
      </w:r>
      <w:r>
        <w:rPr>
          <w:highlight w:val="none"/>
        </w:rPr>
        <w:fldChar w:fldCharType="begin"/>
      </w:r>
      <w:r>
        <w:rPr>
          <w:highlight w:val="none"/>
        </w:rPr>
        <w:instrText xml:space="preserve"> PAGEREF _Toc19971 \h </w:instrText>
      </w:r>
      <w:r>
        <w:rPr>
          <w:highlight w:val="none"/>
        </w:rPr>
        <w:fldChar w:fldCharType="separate"/>
      </w:r>
      <w:r>
        <w:rPr>
          <w:highlight w:val="none"/>
        </w:rPr>
        <w:t>3</w:t>
      </w:r>
      <w:r>
        <w:rPr>
          <w:highlight w:val="none"/>
        </w:rPr>
        <w:fldChar w:fldCharType="end"/>
      </w:r>
      <w:r>
        <w:rPr>
          <w:rFonts w:hint="eastAsia" w:eastAsia="宋体" w:cs="宋体"/>
          <w:color w:val="auto"/>
          <w:highlight w:val="none"/>
        </w:rPr>
        <w:fldChar w:fldCharType="end"/>
      </w:r>
    </w:p>
    <w:p w14:paraId="5F0D4ED8">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_Toc27435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二、申请人的资格要求</w:t>
      </w:r>
      <w:r>
        <w:rPr>
          <w:highlight w:val="none"/>
        </w:rPr>
        <w:tab/>
      </w:r>
      <w:r>
        <w:rPr>
          <w:highlight w:val="none"/>
        </w:rPr>
        <w:fldChar w:fldCharType="begin"/>
      </w:r>
      <w:r>
        <w:rPr>
          <w:highlight w:val="none"/>
        </w:rPr>
        <w:instrText xml:space="preserve"> PAGEREF _Toc27435 \h </w:instrText>
      </w:r>
      <w:r>
        <w:rPr>
          <w:highlight w:val="none"/>
        </w:rPr>
        <w:fldChar w:fldCharType="separate"/>
      </w:r>
      <w:r>
        <w:rPr>
          <w:highlight w:val="none"/>
        </w:rPr>
        <w:t>3</w:t>
      </w:r>
      <w:r>
        <w:rPr>
          <w:highlight w:val="none"/>
        </w:rPr>
        <w:fldChar w:fldCharType="end"/>
      </w:r>
      <w:r>
        <w:rPr>
          <w:rFonts w:hint="eastAsia" w:eastAsia="宋体" w:cs="宋体"/>
          <w:color w:val="auto"/>
          <w:highlight w:val="none"/>
        </w:rPr>
        <w:fldChar w:fldCharType="end"/>
      </w:r>
    </w:p>
    <w:p w14:paraId="2FFAEE14">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_Toc17702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三、获取采购文件</w:t>
      </w:r>
      <w:r>
        <w:rPr>
          <w:highlight w:val="none"/>
        </w:rPr>
        <w:tab/>
      </w:r>
      <w:r>
        <w:rPr>
          <w:highlight w:val="none"/>
        </w:rPr>
        <w:fldChar w:fldCharType="begin"/>
      </w:r>
      <w:r>
        <w:rPr>
          <w:highlight w:val="none"/>
        </w:rPr>
        <w:instrText xml:space="preserve"> PAGEREF _Toc17702 \h </w:instrText>
      </w:r>
      <w:r>
        <w:rPr>
          <w:highlight w:val="none"/>
        </w:rPr>
        <w:fldChar w:fldCharType="separate"/>
      </w:r>
      <w:r>
        <w:rPr>
          <w:highlight w:val="none"/>
        </w:rPr>
        <w:t>4</w:t>
      </w:r>
      <w:r>
        <w:rPr>
          <w:highlight w:val="none"/>
        </w:rPr>
        <w:fldChar w:fldCharType="end"/>
      </w:r>
      <w:r>
        <w:rPr>
          <w:rFonts w:hint="eastAsia" w:eastAsia="宋体" w:cs="宋体"/>
          <w:color w:val="auto"/>
          <w:highlight w:val="none"/>
        </w:rPr>
        <w:fldChar w:fldCharType="end"/>
      </w:r>
    </w:p>
    <w:p w14:paraId="1149145E">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_Toc28690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四、响应文件提交</w:t>
      </w:r>
      <w:r>
        <w:rPr>
          <w:highlight w:val="none"/>
        </w:rPr>
        <w:tab/>
      </w:r>
      <w:r>
        <w:rPr>
          <w:highlight w:val="none"/>
        </w:rPr>
        <w:fldChar w:fldCharType="begin"/>
      </w:r>
      <w:r>
        <w:rPr>
          <w:highlight w:val="none"/>
        </w:rPr>
        <w:instrText xml:space="preserve"> PAGEREF _Toc28690 \h </w:instrText>
      </w:r>
      <w:r>
        <w:rPr>
          <w:highlight w:val="none"/>
        </w:rPr>
        <w:fldChar w:fldCharType="separate"/>
      </w:r>
      <w:r>
        <w:rPr>
          <w:highlight w:val="none"/>
        </w:rPr>
        <w:t>4</w:t>
      </w:r>
      <w:r>
        <w:rPr>
          <w:highlight w:val="none"/>
        </w:rPr>
        <w:fldChar w:fldCharType="end"/>
      </w:r>
      <w:r>
        <w:rPr>
          <w:rFonts w:hint="eastAsia" w:eastAsia="宋体" w:cs="宋体"/>
          <w:color w:val="auto"/>
          <w:highlight w:val="none"/>
        </w:rPr>
        <w:fldChar w:fldCharType="end"/>
      </w:r>
    </w:p>
    <w:p w14:paraId="084CDCE9">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_Toc7467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五、开启</w:t>
      </w:r>
      <w:r>
        <w:rPr>
          <w:highlight w:val="none"/>
        </w:rPr>
        <w:tab/>
      </w:r>
      <w:r>
        <w:rPr>
          <w:highlight w:val="none"/>
        </w:rPr>
        <w:fldChar w:fldCharType="begin"/>
      </w:r>
      <w:r>
        <w:rPr>
          <w:highlight w:val="none"/>
        </w:rPr>
        <w:instrText xml:space="preserve"> PAGEREF _Toc7467 \h </w:instrText>
      </w:r>
      <w:r>
        <w:rPr>
          <w:highlight w:val="none"/>
        </w:rPr>
        <w:fldChar w:fldCharType="separate"/>
      </w:r>
      <w:r>
        <w:rPr>
          <w:highlight w:val="none"/>
        </w:rPr>
        <w:t>4</w:t>
      </w:r>
      <w:r>
        <w:rPr>
          <w:highlight w:val="none"/>
        </w:rPr>
        <w:fldChar w:fldCharType="end"/>
      </w:r>
      <w:r>
        <w:rPr>
          <w:rFonts w:hint="eastAsia" w:eastAsia="宋体" w:cs="宋体"/>
          <w:color w:val="auto"/>
          <w:highlight w:val="none"/>
        </w:rPr>
        <w:fldChar w:fldCharType="end"/>
      </w:r>
    </w:p>
    <w:p w14:paraId="48728B7B">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_Toc17141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六、公告期限</w:t>
      </w:r>
      <w:r>
        <w:rPr>
          <w:highlight w:val="none"/>
        </w:rPr>
        <w:tab/>
      </w:r>
      <w:r>
        <w:rPr>
          <w:highlight w:val="none"/>
        </w:rPr>
        <w:fldChar w:fldCharType="begin"/>
      </w:r>
      <w:r>
        <w:rPr>
          <w:highlight w:val="none"/>
        </w:rPr>
        <w:instrText xml:space="preserve"> PAGEREF _Toc17141 \h </w:instrText>
      </w:r>
      <w:r>
        <w:rPr>
          <w:highlight w:val="none"/>
        </w:rPr>
        <w:fldChar w:fldCharType="separate"/>
      </w:r>
      <w:r>
        <w:rPr>
          <w:highlight w:val="none"/>
        </w:rPr>
        <w:t>4</w:t>
      </w:r>
      <w:r>
        <w:rPr>
          <w:highlight w:val="none"/>
        </w:rPr>
        <w:fldChar w:fldCharType="end"/>
      </w:r>
      <w:r>
        <w:rPr>
          <w:rFonts w:hint="eastAsia" w:eastAsia="宋体" w:cs="宋体"/>
          <w:color w:val="auto"/>
          <w:highlight w:val="none"/>
        </w:rPr>
        <w:fldChar w:fldCharType="end"/>
      </w:r>
    </w:p>
    <w:p w14:paraId="7B880341">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_Toc26181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七、其他补充事宜</w:t>
      </w:r>
      <w:r>
        <w:rPr>
          <w:highlight w:val="none"/>
        </w:rPr>
        <w:tab/>
      </w:r>
      <w:r>
        <w:rPr>
          <w:highlight w:val="none"/>
        </w:rPr>
        <w:fldChar w:fldCharType="begin"/>
      </w:r>
      <w:r>
        <w:rPr>
          <w:highlight w:val="none"/>
        </w:rPr>
        <w:instrText xml:space="preserve"> PAGEREF _Toc26181 \h </w:instrText>
      </w:r>
      <w:r>
        <w:rPr>
          <w:highlight w:val="none"/>
        </w:rPr>
        <w:fldChar w:fldCharType="separate"/>
      </w:r>
      <w:r>
        <w:rPr>
          <w:highlight w:val="none"/>
        </w:rPr>
        <w:t>4</w:t>
      </w:r>
      <w:r>
        <w:rPr>
          <w:highlight w:val="none"/>
        </w:rPr>
        <w:fldChar w:fldCharType="end"/>
      </w:r>
      <w:r>
        <w:rPr>
          <w:rFonts w:hint="eastAsia" w:eastAsia="宋体" w:cs="宋体"/>
          <w:color w:val="auto"/>
          <w:highlight w:val="none"/>
        </w:rPr>
        <w:fldChar w:fldCharType="end"/>
      </w:r>
    </w:p>
    <w:p w14:paraId="6ABD83C6">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_Toc10877 </w:instrText>
      </w:r>
      <w:r>
        <w:rPr>
          <w:rFonts w:hint="eastAsia" w:eastAsia="宋体" w:cs="宋体"/>
          <w:highlight w:val="none"/>
        </w:rPr>
        <w:fldChar w:fldCharType="separate"/>
      </w:r>
      <w:r>
        <w:rPr>
          <w:rFonts w:hint="eastAsia" w:ascii="宋体" w:hAnsi="宋体" w:eastAsia="宋体" w:cs="宋体"/>
          <w:bCs/>
          <w:szCs w:val="22"/>
          <w:highlight w:val="none"/>
          <w:shd w:val="clear" w:color="auto" w:fill="FFFFFF"/>
        </w:rPr>
        <w:t>八、凡对本次采购提出询问，请按以下方式联系。</w:t>
      </w:r>
      <w:r>
        <w:rPr>
          <w:highlight w:val="none"/>
        </w:rPr>
        <w:tab/>
      </w:r>
      <w:r>
        <w:rPr>
          <w:highlight w:val="none"/>
        </w:rPr>
        <w:fldChar w:fldCharType="begin"/>
      </w:r>
      <w:r>
        <w:rPr>
          <w:highlight w:val="none"/>
        </w:rPr>
        <w:instrText xml:space="preserve"> PAGEREF _Toc10877 \h </w:instrText>
      </w:r>
      <w:r>
        <w:rPr>
          <w:highlight w:val="none"/>
        </w:rPr>
        <w:fldChar w:fldCharType="separate"/>
      </w:r>
      <w:r>
        <w:rPr>
          <w:highlight w:val="none"/>
        </w:rPr>
        <w:t>6</w:t>
      </w:r>
      <w:r>
        <w:rPr>
          <w:highlight w:val="none"/>
        </w:rPr>
        <w:fldChar w:fldCharType="end"/>
      </w:r>
      <w:r>
        <w:rPr>
          <w:rFonts w:hint="eastAsia" w:eastAsia="宋体" w:cs="宋体"/>
          <w:color w:val="auto"/>
          <w:highlight w:val="none"/>
        </w:rPr>
        <w:fldChar w:fldCharType="end"/>
      </w:r>
    </w:p>
    <w:p w14:paraId="7785010D">
      <w:pPr>
        <w:pStyle w:val="22"/>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_Toc20171 </w:instrText>
      </w:r>
      <w:r>
        <w:rPr>
          <w:rFonts w:hint="eastAsia" w:eastAsia="宋体" w:cs="宋体"/>
          <w:highlight w:val="none"/>
        </w:rPr>
        <w:fldChar w:fldCharType="separate"/>
      </w:r>
      <w:r>
        <w:rPr>
          <w:rFonts w:hint="eastAsia" w:eastAsia="宋体" w:cs="宋体"/>
          <w:bCs w:val="0"/>
          <w:highlight w:val="none"/>
        </w:rPr>
        <w:t>第二章</w:t>
      </w:r>
      <w:r>
        <w:rPr>
          <w:rFonts w:hint="eastAsia" w:eastAsia="宋体" w:cs="宋体"/>
          <w:bCs w:val="0"/>
          <w:highlight w:val="none"/>
          <w:lang w:val="en-US"/>
        </w:rPr>
        <w:t xml:space="preserve"> </w:t>
      </w:r>
      <w:r>
        <w:rPr>
          <w:rFonts w:hint="eastAsia" w:eastAsia="宋体" w:cs="宋体"/>
          <w:bCs w:val="0"/>
          <w:highlight w:val="none"/>
        </w:rPr>
        <w:t>磋商供应商须知</w:t>
      </w:r>
      <w:r>
        <w:rPr>
          <w:rFonts w:hint="eastAsia" w:eastAsia="宋体" w:cs="宋体"/>
          <w:szCs w:val="36"/>
          <w:highlight w:val="none"/>
        </w:rPr>
        <w:t>前附表</w:t>
      </w:r>
      <w:r>
        <w:rPr>
          <w:highlight w:val="none"/>
        </w:rPr>
        <w:tab/>
      </w:r>
      <w:r>
        <w:rPr>
          <w:highlight w:val="none"/>
        </w:rPr>
        <w:fldChar w:fldCharType="begin"/>
      </w:r>
      <w:r>
        <w:rPr>
          <w:highlight w:val="none"/>
        </w:rPr>
        <w:instrText xml:space="preserve"> PAGEREF _Toc20171 \h </w:instrText>
      </w:r>
      <w:r>
        <w:rPr>
          <w:highlight w:val="none"/>
        </w:rPr>
        <w:fldChar w:fldCharType="separate"/>
      </w:r>
      <w:r>
        <w:rPr>
          <w:highlight w:val="none"/>
        </w:rPr>
        <w:t>7</w:t>
      </w:r>
      <w:r>
        <w:rPr>
          <w:highlight w:val="none"/>
        </w:rPr>
        <w:fldChar w:fldCharType="end"/>
      </w:r>
      <w:r>
        <w:rPr>
          <w:rFonts w:hint="eastAsia" w:eastAsia="宋体" w:cs="宋体"/>
          <w:color w:val="auto"/>
          <w:highlight w:val="none"/>
        </w:rPr>
        <w:fldChar w:fldCharType="end"/>
      </w:r>
    </w:p>
    <w:p w14:paraId="201691A1">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_Toc23723 </w:instrText>
      </w:r>
      <w:r>
        <w:rPr>
          <w:rFonts w:hint="eastAsia" w:eastAsia="宋体" w:cs="宋体"/>
          <w:highlight w:val="none"/>
        </w:rPr>
        <w:fldChar w:fldCharType="separate"/>
      </w:r>
      <w:r>
        <w:rPr>
          <w:rFonts w:hint="eastAsia" w:ascii="宋体" w:hAnsi="宋体" w:eastAsia="宋体" w:cs="宋体"/>
          <w:bCs/>
          <w:szCs w:val="21"/>
          <w:highlight w:val="none"/>
        </w:rPr>
        <w:t>一、总则</w:t>
      </w:r>
      <w:r>
        <w:rPr>
          <w:highlight w:val="none"/>
        </w:rPr>
        <w:tab/>
      </w:r>
      <w:r>
        <w:rPr>
          <w:highlight w:val="none"/>
        </w:rPr>
        <w:fldChar w:fldCharType="begin"/>
      </w:r>
      <w:r>
        <w:rPr>
          <w:highlight w:val="none"/>
        </w:rPr>
        <w:instrText xml:space="preserve"> PAGEREF _Toc23723 \h </w:instrText>
      </w:r>
      <w:r>
        <w:rPr>
          <w:highlight w:val="none"/>
        </w:rPr>
        <w:fldChar w:fldCharType="separate"/>
      </w:r>
      <w:r>
        <w:rPr>
          <w:highlight w:val="none"/>
        </w:rPr>
        <w:t>8</w:t>
      </w:r>
      <w:r>
        <w:rPr>
          <w:highlight w:val="none"/>
        </w:rPr>
        <w:fldChar w:fldCharType="end"/>
      </w:r>
      <w:r>
        <w:rPr>
          <w:rFonts w:hint="eastAsia" w:eastAsia="宋体" w:cs="宋体"/>
          <w:color w:val="auto"/>
          <w:highlight w:val="none"/>
        </w:rPr>
        <w:fldChar w:fldCharType="end"/>
      </w:r>
    </w:p>
    <w:p w14:paraId="5BA35BDD">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_Toc6561 </w:instrText>
      </w:r>
      <w:r>
        <w:rPr>
          <w:rFonts w:hint="eastAsia" w:eastAsia="宋体" w:cs="宋体"/>
          <w:highlight w:val="none"/>
        </w:rPr>
        <w:fldChar w:fldCharType="separate"/>
      </w:r>
      <w:r>
        <w:rPr>
          <w:rFonts w:hint="eastAsia" w:ascii="宋体" w:hAnsi="宋体" w:eastAsia="宋体" w:cs="宋体"/>
          <w:bCs/>
          <w:szCs w:val="21"/>
          <w:highlight w:val="none"/>
        </w:rPr>
        <w:t>二、</w:t>
      </w:r>
      <w:r>
        <w:rPr>
          <w:rFonts w:hint="eastAsia" w:ascii="宋体" w:hAnsi="宋体" w:eastAsia="宋体" w:cs="宋体"/>
          <w:bCs/>
          <w:szCs w:val="21"/>
          <w:highlight w:val="none"/>
          <w:lang w:val="en-US"/>
        </w:rPr>
        <w:t>竞争性磋商文件</w:t>
      </w:r>
      <w:r>
        <w:rPr>
          <w:highlight w:val="none"/>
        </w:rPr>
        <w:tab/>
      </w:r>
      <w:r>
        <w:rPr>
          <w:highlight w:val="none"/>
        </w:rPr>
        <w:fldChar w:fldCharType="begin"/>
      </w:r>
      <w:r>
        <w:rPr>
          <w:highlight w:val="none"/>
        </w:rPr>
        <w:instrText xml:space="preserve"> PAGEREF _Toc6561 \h </w:instrText>
      </w:r>
      <w:r>
        <w:rPr>
          <w:highlight w:val="none"/>
        </w:rPr>
        <w:fldChar w:fldCharType="separate"/>
      </w:r>
      <w:r>
        <w:rPr>
          <w:highlight w:val="none"/>
        </w:rPr>
        <w:t>10</w:t>
      </w:r>
      <w:r>
        <w:rPr>
          <w:highlight w:val="none"/>
        </w:rPr>
        <w:fldChar w:fldCharType="end"/>
      </w:r>
      <w:r>
        <w:rPr>
          <w:rFonts w:hint="eastAsia" w:eastAsia="宋体" w:cs="宋体"/>
          <w:color w:val="auto"/>
          <w:highlight w:val="none"/>
        </w:rPr>
        <w:fldChar w:fldCharType="end"/>
      </w:r>
    </w:p>
    <w:p w14:paraId="10658B3C">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_Toc27184 </w:instrText>
      </w:r>
      <w:r>
        <w:rPr>
          <w:rFonts w:hint="eastAsia" w:eastAsia="宋体" w:cs="宋体"/>
          <w:highlight w:val="none"/>
        </w:rPr>
        <w:fldChar w:fldCharType="separate"/>
      </w:r>
      <w:r>
        <w:rPr>
          <w:rFonts w:hint="eastAsia" w:ascii="宋体" w:hAnsi="宋体" w:eastAsia="宋体" w:cs="宋体"/>
          <w:bCs/>
          <w:szCs w:val="21"/>
          <w:highlight w:val="none"/>
          <w:lang w:val="en-US"/>
        </w:rPr>
        <w:t>三</w:t>
      </w:r>
      <w:r>
        <w:rPr>
          <w:rFonts w:hint="eastAsia" w:ascii="宋体" w:hAnsi="宋体" w:eastAsia="宋体" w:cs="宋体"/>
          <w:bCs/>
          <w:szCs w:val="21"/>
          <w:highlight w:val="none"/>
        </w:rPr>
        <w:t>、磋商响应文件编制</w:t>
      </w:r>
      <w:r>
        <w:rPr>
          <w:highlight w:val="none"/>
        </w:rPr>
        <w:tab/>
      </w:r>
      <w:r>
        <w:rPr>
          <w:highlight w:val="none"/>
        </w:rPr>
        <w:fldChar w:fldCharType="begin"/>
      </w:r>
      <w:r>
        <w:rPr>
          <w:highlight w:val="none"/>
        </w:rPr>
        <w:instrText xml:space="preserve"> PAGEREF _Toc27184 \h </w:instrText>
      </w:r>
      <w:r>
        <w:rPr>
          <w:highlight w:val="none"/>
        </w:rPr>
        <w:fldChar w:fldCharType="separate"/>
      </w:r>
      <w:r>
        <w:rPr>
          <w:highlight w:val="none"/>
        </w:rPr>
        <w:t>11</w:t>
      </w:r>
      <w:r>
        <w:rPr>
          <w:highlight w:val="none"/>
        </w:rPr>
        <w:fldChar w:fldCharType="end"/>
      </w:r>
      <w:r>
        <w:rPr>
          <w:rFonts w:hint="eastAsia" w:eastAsia="宋体" w:cs="宋体"/>
          <w:color w:val="auto"/>
          <w:highlight w:val="none"/>
        </w:rPr>
        <w:fldChar w:fldCharType="end"/>
      </w:r>
    </w:p>
    <w:p w14:paraId="0ED88A9F">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_Toc28833 </w:instrText>
      </w:r>
      <w:r>
        <w:rPr>
          <w:rFonts w:hint="eastAsia" w:eastAsia="宋体" w:cs="宋体"/>
          <w:highlight w:val="none"/>
        </w:rPr>
        <w:fldChar w:fldCharType="separate"/>
      </w:r>
      <w:r>
        <w:rPr>
          <w:rFonts w:hint="eastAsia" w:ascii="宋体" w:hAnsi="宋体" w:eastAsia="宋体" w:cs="宋体"/>
          <w:bCs/>
          <w:szCs w:val="21"/>
          <w:highlight w:val="none"/>
          <w:lang w:val="en-US"/>
        </w:rPr>
        <w:t>四</w:t>
      </w:r>
      <w:r>
        <w:rPr>
          <w:rFonts w:hint="eastAsia" w:ascii="宋体" w:hAnsi="宋体" w:eastAsia="宋体" w:cs="宋体"/>
          <w:bCs/>
          <w:szCs w:val="21"/>
          <w:highlight w:val="none"/>
        </w:rPr>
        <w:t>、磋商响应文件的递交</w:t>
      </w:r>
      <w:r>
        <w:rPr>
          <w:highlight w:val="none"/>
        </w:rPr>
        <w:tab/>
      </w:r>
      <w:r>
        <w:rPr>
          <w:highlight w:val="none"/>
        </w:rPr>
        <w:fldChar w:fldCharType="begin"/>
      </w:r>
      <w:r>
        <w:rPr>
          <w:highlight w:val="none"/>
        </w:rPr>
        <w:instrText xml:space="preserve"> PAGEREF _Toc28833 \h </w:instrText>
      </w:r>
      <w:r>
        <w:rPr>
          <w:highlight w:val="none"/>
        </w:rPr>
        <w:fldChar w:fldCharType="separate"/>
      </w:r>
      <w:r>
        <w:rPr>
          <w:highlight w:val="none"/>
        </w:rPr>
        <w:t>13</w:t>
      </w:r>
      <w:r>
        <w:rPr>
          <w:highlight w:val="none"/>
        </w:rPr>
        <w:fldChar w:fldCharType="end"/>
      </w:r>
      <w:r>
        <w:rPr>
          <w:rFonts w:hint="eastAsia" w:eastAsia="宋体" w:cs="宋体"/>
          <w:color w:val="auto"/>
          <w:highlight w:val="none"/>
        </w:rPr>
        <w:fldChar w:fldCharType="end"/>
      </w:r>
    </w:p>
    <w:p w14:paraId="4C9A8060">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_Toc2469 </w:instrText>
      </w:r>
      <w:r>
        <w:rPr>
          <w:rFonts w:hint="eastAsia" w:eastAsia="宋体" w:cs="宋体"/>
          <w:highlight w:val="none"/>
        </w:rPr>
        <w:fldChar w:fldCharType="separate"/>
      </w:r>
      <w:r>
        <w:rPr>
          <w:rFonts w:hint="eastAsia" w:ascii="宋体" w:hAnsi="宋体" w:eastAsia="宋体" w:cs="宋体"/>
          <w:bCs/>
          <w:szCs w:val="21"/>
          <w:highlight w:val="none"/>
          <w:lang w:val="en-US"/>
        </w:rPr>
        <w:t>五</w:t>
      </w:r>
      <w:r>
        <w:rPr>
          <w:rFonts w:hint="eastAsia" w:ascii="宋体" w:hAnsi="宋体" w:eastAsia="宋体" w:cs="宋体"/>
          <w:bCs/>
          <w:szCs w:val="21"/>
          <w:highlight w:val="none"/>
        </w:rPr>
        <w:t>、磋商</w:t>
      </w:r>
      <w:r>
        <w:rPr>
          <w:highlight w:val="none"/>
        </w:rPr>
        <w:tab/>
      </w:r>
      <w:r>
        <w:rPr>
          <w:highlight w:val="none"/>
        </w:rPr>
        <w:fldChar w:fldCharType="begin"/>
      </w:r>
      <w:r>
        <w:rPr>
          <w:highlight w:val="none"/>
        </w:rPr>
        <w:instrText xml:space="preserve"> PAGEREF _Toc2469 \h </w:instrText>
      </w:r>
      <w:r>
        <w:rPr>
          <w:highlight w:val="none"/>
        </w:rPr>
        <w:fldChar w:fldCharType="separate"/>
      </w:r>
      <w:r>
        <w:rPr>
          <w:highlight w:val="none"/>
        </w:rPr>
        <w:t>14</w:t>
      </w:r>
      <w:r>
        <w:rPr>
          <w:highlight w:val="none"/>
        </w:rPr>
        <w:fldChar w:fldCharType="end"/>
      </w:r>
      <w:r>
        <w:rPr>
          <w:rFonts w:hint="eastAsia" w:eastAsia="宋体" w:cs="宋体"/>
          <w:color w:val="auto"/>
          <w:highlight w:val="none"/>
        </w:rPr>
        <w:fldChar w:fldCharType="end"/>
      </w:r>
    </w:p>
    <w:p w14:paraId="37D85039">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_Toc15234 </w:instrText>
      </w:r>
      <w:r>
        <w:rPr>
          <w:rFonts w:hint="eastAsia" w:eastAsia="宋体" w:cs="宋体"/>
          <w:highlight w:val="none"/>
        </w:rPr>
        <w:fldChar w:fldCharType="separate"/>
      </w:r>
      <w:r>
        <w:rPr>
          <w:rFonts w:hint="eastAsia" w:ascii="宋体" w:hAnsi="宋体" w:eastAsia="宋体" w:cs="宋体"/>
          <w:bCs/>
          <w:szCs w:val="21"/>
          <w:highlight w:val="none"/>
          <w:lang w:val="en-US"/>
        </w:rPr>
        <w:t>六、成交</w:t>
      </w:r>
      <w:r>
        <w:rPr>
          <w:highlight w:val="none"/>
        </w:rPr>
        <w:tab/>
      </w:r>
      <w:r>
        <w:rPr>
          <w:highlight w:val="none"/>
        </w:rPr>
        <w:fldChar w:fldCharType="begin"/>
      </w:r>
      <w:r>
        <w:rPr>
          <w:highlight w:val="none"/>
        </w:rPr>
        <w:instrText xml:space="preserve"> PAGEREF _Toc15234 \h </w:instrText>
      </w:r>
      <w:r>
        <w:rPr>
          <w:highlight w:val="none"/>
        </w:rPr>
        <w:fldChar w:fldCharType="separate"/>
      </w:r>
      <w:r>
        <w:rPr>
          <w:highlight w:val="none"/>
        </w:rPr>
        <w:t>18</w:t>
      </w:r>
      <w:r>
        <w:rPr>
          <w:highlight w:val="none"/>
        </w:rPr>
        <w:fldChar w:fldCharType="end"/>
      </w:r>
      <w:r>
        <w:rPr>
          <w:rFonts w:hint="eastAsia" w:eastAsia="宋体" w:cs="宋体"/>
          <w:color w:val="auto"/>
          <w:highlight w:val="none"/>
        </w:rPr>
        <w:fldChar w:fldCharType="end"/>
      </w:r>
    </w:p>
    <w:p w14:paraId="0BE2F6AA">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_Toc26975 </w:instrText>
      </w:r>
      <w:r>
        <w:rPr>
          <w:rFonts w:hint="eastAsia" w:eastAsia="宋体" w:cs="宋体"/>
          <w:highlight w:val="none"/>
        </w:rPr>
        <w:fldChar w:fldCharType="separate"/>
      </w:r>
      <w:r>
        <w:rPr>
          <w:rFonts w:hint="eastAsia" w:ascii="宋体" w:hAnsi="宋体" w:eastAsia="宋体" w:cs="宋体"/>
          <w:bCs/>
          <w:szCs w:val="21"/>
          <w:highlight w:val="none"/>
          <w:lang w:val="en-US"/>
        </w:rPr>
        <w:t>七</w:t>
      </w:r>
      <w:r>
        <w:rPr>
          <w:rFonts w:hint="eastAsia" w:ascii="宋体" w:hAnsi="宋体" w:eastAsia="宋体" w:cs="宋体"/>
          <w:bCs/>
          <w:szCs w:val="21"/>
          <w:highlight w:val="none"/>
        </w:rPr>
        <w:t>、质疑和投诉</w:t>
      </w:r>
      <w:r>
        <w:rPr>
          <w:highlight w:val="none"/>
        </w:rPr>
        <w:tab/>
      </w:r>
      <w:r>
        <w:rPr>
          <w:highlight w:val="none"/>
        </w:rPr>
        <w:fldChar w:fldCharType="begin"/>
      </w:r>
      <w:r>
        <w:rPr>
          <w:highlight w:val="none"/>
        </w:rPr>
        <w:instrText xml:space="preserve"> PAGEREF _Toc26975 \h </w:instrText>
      </w:r>
      <w:r>
        <w:rPr>
          <w:highlight w:val="none"/>
        </w:rPr>
        <w:fldChar w:fldCharType="separate"/>
      </w:r>
      <w:r>
        <w:rPr>
          <w:highlight w:val="none"/>
        </w:rPr>
        <w:t>20</w:t>
      </w:r>
      <w:r>
        <w:rPr>
          <w:highlight w:val="none"/>
        </w:rPr>
        <w:fldChar w:fldCharType="end"/>
      </w:r>
      <w:r>
        <w:rPr>
          <w:rFonts w:hint="eastAsia" w:eastAsia="宋体" w:cs="宋体"/>
          <w:color w:val="auto"/>
          <w:highlight w:val="none"/>
        </w:rPr>
        <w:fldChar w:fldCharType="end"/>
      </w:r>
    </w:p>
    <w:p w14:paraId="4F9FE2F3">
      <w:pPr>
        <w:pStyle w:val="22"/>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_Toc9945 </w:instrText>
      </w:r>
      <w:r>
        <w:rPr>
          <w:rFonts w:hint="eastAsia" w:eastAsia="宋体" w:cs="宋体"/>
          <w:highlight w:val="none"/>
        </w:rPr>
        <w:fldChar w:fldCharType="separate"/>
      </w:r>
      <w:r>
        <w:rPr>
          <w:rFonts w:hint="eastAsia" w:eastAsia="宋体" w:cs="宋体"/>
          <w:bCs w:val="0"/>
          <w:highlight w:val="none"/>
        </w:rPr>
        <w:t>第三章</w:t>
      </w:r>
      <w:r>
        <w:rPr>
          <w:rFonts w:hint="eastAsia" w:eastAsia="宋体" w:cs="宋体"/>
          <w:bCs w:val="0"/>
          <w:highlight w:val="none"/>
          <w:lang w:val="en-US"/>
        </w:rPr>
        <w:t xml:space="preserve"> </w:t>
      </w:r>
      <w:r>
        <w:rPr>
          <w:rFonts w:hint="eastAsia" w:eastAsia="宋体" w:cs="宋体"/>
          <w:bCs w:val="0"/>
          <w:highlight w:val="none"/>
        </w:rPr>
        <w:t>磋商评审标准</w:t>
      </w:r>
      <w:r>
        <w:rPr>
          <w:highlight w:val="none"/>
        </w:rPr>
        <w:tab/>
      </w:r>
      <w:r>
        <w:rPr>
          <w:highlight w:val="none"/>
        </w:rPr>
        <w:fldChar w:fldCharType="begin"/>
      </w:r>
      <w:r>
        <w:rPr>
          <w:highlight w:val="none"/>
        </w:rPr>
        <w:instrText xml:space="preserve"> PAGEREF _Toc9945 \h </w:instrText>
      </w:r>
      <w:r>
        <w:rPr>
          <w:highlight w:val="none"/>
        </w:rPr>
        <w:fldChar w:fldCharType="separate"/>
      </w:r>
      <w:r>
        <w:rPr>
          <w:highlight w:val="none"/>
        </w:rPr>
        <w:t>22</w:t>
      </w:r>
      <w:r>
        <w:rPr>
          <w:highlight w:val="none"/>
        </w:rPr>
        <w:fldChar w:fldCharType="end"/>
      </w:r>
      <w:r>
        <w:rPr>
          <w:rFonts w:hint="eastAsia" w:eastAsia="宋体" w:cs="宋体"/>
          <w:color w:val="auto"/>
          <w:highlight w:val="none"/>
        </w:rPr>
        <w:fldChar w:fldCharType="end"/>
      </w:r>
    </w:p>
    <w:p w14:paraId="12476EFB">
      <w:pPr>
        <w:pStyle w:val="22"/>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_Toc9452 </w:instrText>
      </w:r>
      <w:r>
        <w:rPr>
          <w:rFonts w:hint="eastAsia" w:eastAsia="宋体" w:cs="宋体"/>
          <w:highlight w:val="none"/>
        </w:rPr>
        <w:fldChar w:fldCharType="separate"/>
      </w:r>
      <w:r>
        <w:rPr>
          <w:rFonts w:hint="eastAsia" w:eastAsia="宋体" w:cs="宋体"/>
          <w:bCs w:val="0"/>
          <w:highlight w:val="none"/>
        </w:rPr>
        <w:t>第四章</w:t>
      </w:r>
      <w:r>
        <w:rPr>
          <w:rFonts w:hint="eastAsia" w:eastAsia="宋体" w:cs="宋体"/>
          <w:bCs w:val="0"/>
          <w:highlight w:val="none"/>
          <w:lang w:val="en-US"/>
        </w:rPr>
        <w:t xml:space="preserve"> </w:t>
      </w:r>
      <w:r>
        <w:rPr>
          <w:rFonts w:hint="eastAsia" w:eastAsia="宋体" w:cs="宋体"/>
          <w:bCs w:val="0"/>
          <w:highlight w:val="none"/>
        </w:rPr>
        <w:t>采购项目</w:t>
      </w:r>
      <w:r>
        <w:rPr>
          <w:rFonts w:hint="eastAsia" w:eastAsia="宋体" w:cs="宋体"/>
          <w:bCs w:val="0"/>
          <w:highlight w:val="none"/>
          <w:lang w:val="en-US"/>
        </w:rPr>
        <w:t>需求</w:t>
      </w:r>
      <w:r>
        <w:rPr>
          <w:highlight w:val="none"/>
        </w:rPr>
        <w:tab/>
      </w:r>
      <w:r>
        <w:rPr>
          <w:highlight w:val="none"/>
        </w:rPr>
        <w:fldChar w:fldCharType="begin"/>
      </w:r>
      <w:r>
        <w:rPr>
          <w:highlight w:val="none"/>
        </w:rPr>
        <w:instrText xml:space="preserve"> PAGEREF _Toc9452 \h </w:instrText>
      </w:r>
      <w:r>
        <w:rPr>
          <w:highlight w:val="none"/>
        </w:rPr>
        <w:fldChar w:fldCharType="separate"/>
      </w:r>
      <w:r>
        <w:rPr>
          <w:highlight w:val="none"/>
        </w:rPr>
        <w:t>25</w:t>
      </w:r>
      <w:r>
        <w:rPr>
          <w:highlight w:val="none"/>
        </w:rPr>
        <w:fldChar w:fldCharType="end"/>
      </w:r>
      <w:r>
        <w:rPr>
          <w:rFonts w:hint="eastAsia" w:eastAsia="宋体" w:cs="宋体"/>
          <w:color w:val="auto"/>
          <w:highlight w:val="none"/>
        </w:rPr>
        <w:fldChar w:fldCharType="end"/>
      </w:r>
    </w:p>
    <w:p w14:paraId="72EB2DEE">
      <w:pPr>
        <w:pStyle w:val="22"/>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_Toc4481 </w:instrText>
      </w:r>
      <w:r>
        <w:rPr>
          <w:rFonts w:hint="eastAsia" w:eastAsia="宋体" w:cs="宋体"/>
          <w:highlight w:val="none"/>
        </w:rPr>
        <w:fldChar w:fldCharType="separate"/>
      </w:r>
      <w:r>
        <w:rPr>
          <w:rFonts w:hint="eastAsia" w:eastAsia="宋体" w:cs="宋体"/>
          <w:bCs w:val="0"/>
          <w:highlight w:val="none"/>
        </w:rPr>
        <w:t>第五章</w:t>
      </w:r>
      <w:r>
        <w:rPr>
          <w:rFonts w:hint="eastAsia" w:eastAsia="宋体" w:cs="宋体"/>
          <w:bCs w:val="0"/>
          <w:highlight w:val="none"/>
          <w:lang w:val="en-US"/>
        </w:rPr>
        <w:t xml:space="preserve"> </w:t>
      </w:r>
      <w:r>
        <w:rPr>
          <w:rFonts w:hint="eastAsia" w:eastAsia="宋体" w:cs="宋体"/>
          <w:bCs w:val="0"/>
          <w:highlight w:val="none"/>
        </w:rPr>
        <w:t>合同主要条款及格式</w:t>
      </w:r>
      <w:r>
        <w:rPr>
          <w:highlight w:val="none"/>
        </w:rPr>
        <w:tab/>
      </w:r>
      <w:r>
        <w:rPr>
          <w:highlight w:val="none"/>
        </w:rPr>
        <w:fldChar w:fldCharType="begin"/>
      </w:r>
      <w:r>
        <w:rPr>
          <w:highlight w:val="none"/>
        </w:rPr>
        <w:instrText xml:space="preserve"> PAGEREF _Toc4481 \h </w:instrText>
      </w:r>
      <w:r>
        <w:rPr>
          <w:highlight w:val="none"/>
        </w:rPr>
        <w:fldChar w:fldCharType="separate"/>
      </w:r>
      <w:r>
        <w:rPr>
          <w:highlight w:val="none"/>
        </w:rPr>
        <w:t>29</w:t>
      </w:r>
      <w:r>
        <w:rPr>
          <w:highlight w:val="none"/>
        </w:rPr>
        <w:fldChar w:fldCharType="end"/>
      </w:r>
      <w:r>
        <w:rPr>
          <w:rFonts w:hint="eastAsia" w:eastAsia="宋体" w:cs="宋体"/>
          <w:color w:val="auto"/>
          <w:highlight w:val="none"/>
        </w:rPr>
        <w:fldChar w:fldCharType="end"/>
      </w:r>
    </w:p>
    <w:p w14:paraId="7CAAD7E6">
      <w:pPr>
        <w:pStyle w:val="22"/>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_Toc2655 </w:instrText>
      </w:r>
      <w:r>
        <w:rPr>
          <w:rFonts w:hint="eastAsia" w:eastAsia="宋体" w:cs="宋体"/>
          <w:highlight w:val="none"/>
        </w:rPr>
        <w:fldChar w:fldCharType="separate"/>
      </w:r>
      <w:r>
        <w:rPr>
          <w:rFonts w:hint="eastAsia" w:eastAsia="宋体" w:cs="宋体"/>
          <w:bCs w:val="0"/>
          <w:highlight w:val="none"/>
        </w:rPr>
        <w:t>第六章</w:t>
      </w:r>
      <w:r>
        <w:rPr>
          <w:rFonts w:hint="eastAsia" w:eastAsia="宋体" w:cs="宋体"/>
          <w:bCs w:val="0"/>
          <w:highlight w:val="none"/>
          <w:lang w:val="en-US"/>
        </w:rPr>
        <w:t xml:space="preserve"> </w:t>
      </w:r>
      <w:r>
        <w:rPr>
          <w:rFonts w:hint="eastAsia" w:eastAsia="宋体" w:cs="宋体"/>
          <w:bCs w:val="0"/>
          <w:highlight w:val="none"/>
        </w:rPr>
        <w:t>磋商响应文件格式</w:t>
      </w:r>
      <w:r>
        <w:rPr>
          <w:highlight w:val="none"/>
        </w:rPr>
        <w:tab/>
      </w:r>
      <w:r>
        <w:rPr>
          <w:highlight w:val="none"/>
        </w:rPr>
        <w:fldChar w:fldCharType="begin"/>
      </w:r>
      <w:r>
        <w:rPr>
          <w:highlight w:val="none"/>
        </w:rPr>
        <w:instrText xml:space="preserve"> PAGEREF _Toc2655 \h </w:instrText>
      </w:r>
      <w:r>
        <w:rPr>
          <w:highlight w:val="none"/>
        </w:rPr>
        <w:fldChar w:fldCharType="separate"/>
      </w:r>
      <w:r>
        <w:rPr>
          <w:highlight w:val="none"/>
        </w:rPr>
        <w:t>67</w:t>
      </w:r>
      <w:r>
        <w:rPr>
          <w:highlight w:val="none"/>
        </w:rPr>
        <w:fldChar w:fldCharType="end"/>
      </w:r>
      <w:r>
        <w:rPr>
          <w:rFonts w:hint="eastAsia" w:eastAsia="宋体" w:cs="宋体"/>
          <w:color w:val="auto"/>
          <w:highlight w:val="none"/>
        </w:rPr>
        <w:fldChar w:fldCharType="end"/>
      </w:r>
    </w:p>
    <w:p w14:paraId="5D3B22FB">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_Toc32561 </w:instrText>
      </w:r>
      <w:r>
        <w:rPr>
          <w:rFonts w:hint="eastAsia" w:eastAsia="宋体" w:cs="宋体"/>
          <w:highlight w:val="none"/>
        </w:rPr>
        <w:fldChar w:fldCharType="separate"/>
      </w:r>
      <w:r>
        <w:rPr>
          <w:rFonts w:hint="eastAsia" w:ascii="宋体" w:hAnsi="宋体" w:cs="宋体"/>
          <w:szCs w:val="21"/>
          <w:highlight w:val="none"/>
          <w:lang w:val="zh-CN"/>
        </w:rPr>
        <w:t>附件一、磋商申请及声明</w:t>
      </w:r>
      <w:r>
        <w:rPr>
          <w:highlight w:val="none"/>
        </w:rPr>
        <w:tab/>
      </w:r>
      <w:r>
        <w:rPr>
          <w:highlight w:val="none"/>
        </w:rPr>
        <w:fldChar w:fldCharType="begin"/>
      </w:r>
      <w:r>
        <w:rPr>
          <w:highlight w:val="none"/>
        </w:rPr>
        <w:instrText xml:space="preserve"> PAGEREF _Toc32561 \h </w:instrText>
      </w:r>
      <w:r>
        <w:rPr>
          <w:highlight w:val="none"/>
        </w:rPr>
        <w:fldChar w:fldCharType="separate"/>
      </w:r>
      <w:r>
        <w:rPr>
          <w:highlight w:val="none"/>
        </w:rPr>
        <w:t>67</w:t>
      </w:r>
      <w:r>
        <w:rPr>
          <w:highlight w:val="none"/>
        </w:rPr>
        <w:fldChar w:fldCharType="end"/>
      </w:r>
      <w:r>
        <w:rPr>
          <w:rFonts w:hint="eastAsia" w:eastAsia="宋体" w:cs="宋体"/>
          <w:color w:val="auto"/>
          <w:highlight w:val="none"/>
        </w:rPr>
        <w:fldChar w:fldCharType="end"/>
      </w:r>
    </w:p>
    <w:p w14:paraId="3D55BBA6">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_Toc15591 </w:instrText>
      </w:r>
      <w:r>
        <w:rPr>
          <w:rFonts w:hint="eastAsia" w:eastAsia="宋体" w:cs="宋体"/>
          <w:highlight w:val="none"/>
        </w:rPr>
        <w:fldChar w:fldCharType="separate"/>
      </w:r>
      <w:r>
        <w:rPr>
          <w:rFonts w:hint="eastAsia" w:ascii="宋体" w:hAnsi="宋体" w:cs="宋体"/>
          <w:szCs w:val="21"/>
          <w:highlight w:val="none"/>
        </w:rPr>
        <w:t>附件二、法定代表人授权委托书</w:t>
      </w:r>
      <w:r>
        <w:rPr>
          <w:highlight w:val="none"/>
        </w:rPr>
        <w:tab/>
      </w:r>
      <w:r>
        <w:rPr>
          <w:highlight w:val="none"/>
        </w:rPr>
        <w:fldChar w:fldCharType="begin"/>
      </w:r>
      <w:r>
        <w:rPr>
          <w:highlight w:val="none"/>
        </w:rPr>
        <w:instrText xml:space="preserve"> PAGEREF _Toc15591 \h </w:instrText>
      </w:r>
      <w:r>
        <w:rPr>
          <w:highlight w:val="none"/>
        </w:rPr>
        <w:fldChar w:fldCharType="separate"/>
      </w:r>
      <w:r>
        <w:rPr>
          <w:highlight w:val="none"/>
        </w:rPr>
        <w:t>68</w:t>
      </w:r>
      <w:r>
        <w:rPr>
          <w:highlight w:val="none"/>
        </w:rPr>
        <w:fldChar w:fldCharType="end"/>
      </w:r>
      <w:r>
        <w:rPr>
          <w:rFonts w:hint="eastAsia" w:eastAsia="宋体" w:cs="宋体"/>
          <w:color w:val="auto"/>
          <w:highlight w:val="none"/>
        </w:rPr>
        <w:fldChar w:fldCharType="end"/>
      </w:r>
    </w:p>
    <w:p w14:paraId="388BAC2B">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_Toc16370 </w:instrText>
      </w:r>
      <w:r>
        <w:rPr>
          <w:rFonts w:hint="eastAsia" w:eastAsia="宋体" w:cs="宋体"/>
          <w:highlight w:val="none"/>
        </w:rPr>
        <w:fldChar w:fldCharType="separate"/>
      </w:r>
      <w:r>
        <w:rPr>
          <w:rFonts w:hint="eastAsia" w:ascii="宋体" w:hAnsi="宋体" w:cs="宋体"/>
          <w:szCs w:val="21"/>
          <w:highlight w:val="none"/>
          <w:lang w:val="zh-CN"/>
        </w:rPr>
        <w:t>附件三、磋商报价汇总表</w:t>
      </w:r>
      <w:r>
        <w:rPr>
          <w:highlight w:val="none"/>
        </w:rPr>
        <w:tab/>
      </w:r>
      <w:r>
        <w:rPr>
          <w:highlight w:val="none"/>
        </w:rPr>
        <w:fldChar w:fldCharType="begin"/>
      </w:r>
      <w:r>
        <w:rPr>
          <w:highlight w:val="none"/>
        </w:rPr>
        <w:instrText xml:space="preserve"> PAGEREF _Toc16370 \h </w:instrText>
      </w:r>
      <w:r>
        <w:rPr>
          <w:highlight w:val="none"/>
        </w:rPr>
        <w:fldChar w:fldCharType="separate"/>
      </w:r>
      <w:r>
        <w:rPr>
          <w:highlight w:val="none"/>
        </w:rPr>
        <w:t>69</w:t>
      </w:r>
      <w:r>
        <w:rPr>
          <w:highlight w:val="none"/>
        </w:rPr>
        <w:fldChar w:fldCharType="end"/>
      </w:r>
      <w:r>
        <w:rPr>
          <w:rFonts w:hint="eastAsia" w:eastAsia="宋体" w:cs="宋体"/>
          <w:color w:val="auto"/>
          <w:highlight w:val="none"/>
        </w:rPr>
        <w:fldChar w:fldCharType="end"/>
      </w:r>
    </w:p>
    <w:p w14:paraId="139581D8">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_Toc4160 </w:instrText>
      </w:r>
      <w:r>
        <w:rPr>
          <w:rFonts w:hint="eastAsia" w:eastAsia="宋体" w:cs="宋体"/>
          <w:highlight w:val="none"/>
        </w:rPr>
        <w:fldChar w:fldCharType="separate"/>
      </w:r>
      <w:r>
        <w:rPr>
          <w:rFonts w:hint="eastAsia" w:ascii="宋体" w:hAnsi="宋体" w:cs="宋体"/>
          <w:szCs w:val="21"/>
          <w:highlight w:val="none"/>
          <w:lang w:val="zh-CN"/>
        </w:rPr>
        <w:t>附件</w:t>
      </w:r>
      <w:r>
        <w:rPr>
          <w:rFonts w:hint="eastAsia" w:ascii="宋体" w:hAnsi="宋体" w:cs="宋体"/>
          <w:bCs/>
          <w:szCs w:val="21"/>
          <w:highlight w:val="none"/>
        </w:rPr>
        <w:t>四</w:t>
      </w:r>
      <w:r>
        <w:rPr>
          <w:rFonts w:hint="eastAsia" w:ascii="宋体" w:hAnsi="宋体" w:cs="宋体"/>
          <w:szCs w:val="21"/>
          <w:highlight w:val="none"/>
          <w:lang w:val="zh-CN"/>
        </w:rPr>
        <w:t>、清单报价表</w:t>
      </w:r>
      <w:r>
        <w:rPr>
          <w:highlight w:val="none"/>
        </w:rPr>
        <w:tab/>
      </w:r>
      <w:r>
        <w:rPr>
          <w:highlight w:val="none"/>
        </w:rPr>
        <w:fldChar w:fldCharType="begin"/>
      </w:r>
      <w:r>
        <w:rPr>
          <w:highlight w:val="none"/>
        </w:rPr>
        <w:instrText xml:space="preserve"> PAGEREF _Toc4160 \h </w:instrText>
      </w:r>
      <w:r>
        <w:rPr>
          <w:highlight w:val="none"/>
        </w:rPr>
        <w:fldChar w:fldCharType="separate"/>
      </w:r>
      <w:r>
        <w:rPr>
          <w:highlight w:val="none"/>
        </w:rPr>
        <w:t>70</w:t>
      </w:r>
      <w:r>
        <w:rPr>
          <w:highlight w:val="none"/>
        </w:rPr>
        <w:fldChar w:fldCharType="end"/>
      </w:r>
      <w:r>
        <w:rPr>
          <w:rFonts w:hint="eastAsia" w:eastAsia="宋体" w:cs="宋体"/>
          <w:color w:val="auto"/>
          <w:highlight w:val="none"/>
        </w:rPr>
        <w:fldChar w:fldCharType="end"/>
      </w:r>
    </w:p>
    <w:p w14:paraId="2B775840">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_Toc10550 </w:instrText>
      </w:r>
      <w:r>
        <w:rPr>
          <w:rFonts w:hint="eastAsia" w:eastAsia="宋体" w:cs="宋体"/>
          <w:highlight w:val="none"/>
        </w:rPr>
        <w:fldChar w:fldCharType="separate"/>
      </w:r>
      <w:r>
        <w:rPr>
          <w:rFonts w:hint="eastAsia" w:ascii="宋体" w:hAnsi="宋体" w:cs="宋体"/>
          <w:szCs w:val="21"/>
          <w:highlight w:val="none"/>
          <w:lang w:val="zh-CN"/>
        </w:rPr>
        <w:t>附件五、商务条款响应表</w:t>
      </w:r>
      <w:r>
        <w:rPr>
          <w:highlight w:val="none"/>
        </w:rPr>
        <w:tab/>
      </w:r>
      <w:r>
        <w:rPr>
          <w:highlight w:val="none"/>
        </w:rPr>
        <w:fldChar w:fldCharType="begin"/>
      </w:r>
      <w:r>
        <w:rPr>
          <w:highlight w:val="none"/>
        </w:rPr>
        <w:instrText xml:space="preserve"> PAGEREF _Toc10550 \h </w:instrText>
      </w:r>
      <w:r>
        <w:rPr>
          <w:highlight w:val="none"/>
        </w:rPr>
        <w:fldChar w:fldCharType="separate"/>
      </w:r>
      <w:r>
        <w:rPr>
          <w:highlight w:val="none"/>
        </w:rPr>
        <w:t>71</w:t>
      </w:r>
      <w:r>
        <w:rPr>
          <w:highlight w:val="none"/>
        </w:rPr>
        <w:fldChar w:fldCharType="end"/>
      </w:r>
      <w:r>
        <w:rPr>
          <w:rFonts w:hint="eastAsia" w:eastAsia="宋体" w:cs="宋体"/>
          <w:color w:val="auto"/>
          <w:highlight w:val="none"/>
        </w:rPr>
        <w:fldChar w:fldCharType="end"/>
      </w:r>
    </w:p>
    <w:p w14:paraId="24C6750C">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_Toc15908 </w:instrText>
      </w:r>
      <w:r>
        <w:rPr>
          <w:rFonts w:hint="eastAsia" w:eastAsia="宋体" w:cs="宋体"/>
          <w:highlight w:val="none"/>
        </w:rPr>
        <w:fldChar w:fldCharType="separate"/>
      </w:r>
      <w:r>
        <w:rPr>
          <w:rFonts w:hint="eastAsia" w:ascii="宋体" w:hAnsi="宋体" w:cs="宋体"/>
          <w:szCs w:val="21"/>
          <w:highlight w:val="none"/>
          <w:lang w:val="zh-CN"/>
        </w:rPr>
        <w:t>附件六、技术规格偏离表</w:t>
      </w:r>
      <w:r>
        <w:rPr>
          <w:highlight w:val="none"/>
        </w:rPr>
        <w:tab/>
      </w:r>
      <w:r>
        <w:rPr>
          <w:highlight w:val="none"/>
        </w:rPr>
        <w:fldChar w:fldCharType="begin"/>
      </w:r>
      <w:r>
        <w:rPr>
          <w:highlight w:val="none"/>
        </w:rPr>
        <w:instrText xml:space="preserve"> PAGEREF _Toc15908 \h </w:instrText>
      </w:r>
      <w:r>
        <w:rPr>
          <w:highlight w:val="none"/>
        </w:rPr>
        <w:fldChar w:fldCharType="separate"/>
      </w:r>
      <w:r>
        <w:rPr>
          <w:highlight w:val="none"/>
        </w:rPr>
        <w:t>72</w:t>
      </w:r>
      <w:r>
        <w:rPr>
          <w:highlight w:val="none"/>
        </w:rPr>
        <w:fldChar w:fldCharType="end"/>
      </w:r>
      <w:r>
        <w:rPr>
          <w:rFonts w:hint="eastAsia" w:eastAsia="宋体" w:cs="宋体"/>
          <w:color w:val="auto"/>
          <w:highlight w:val="none"/>
        </w:rPr>
        <w:fldChar w:fldCharType="end"/>
      </w:r>
    </w:p>
    <w:p w14:paraId="2A661F05">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_Toc10143 </w:instrText>
      </w:r>
      <w:r>
        <w:rPr>
          <w:rFonts w:hint="eastAsia" w:eastAsia="宋体" w:cs="宋体"/>
          <w:highlight w:val="none"/>
        </w:rPr>
        <w:fldChar w:fldCharType="separate"/>
      </w:r>
      <w:r>
        <w:rPr>
          <w:rFonts w:hint="eastAsia" w:ascii="宋体" w:hAnsi="宋体" w:cs="宋体"/>
          <w:szCs w:val="21"/>
          <w:highlight w:val="none"/>
        </w:rPr>
        <w:t>附件八、无重大违法记录声明</w:t>
      </w:r>
      <w:r>
        <w:rPr>
          <w:highlight w:val="none"/>
        </w:rPr>
        <w:tab/>
      </w:r>
      <w:r>
        <w:rPr>
          <w:highlight w:val="none"/>
        </w:rPr>
        <w:fldChar w:fldCharType="begin"/>
      </w:r>
      <w:r>
        <w:rPr>
          <w:highlight w:val="none"/>
        </w:rPr>
        <w:instrText xml:space="preserve"> PAGEREF _Toc10143 \h </w:instrText>
      </w:r>
      <w:r>
        <w:rPr>
          <w:highlight w:val="none"/>
        </w:rPr>
        <w:fldChar w:fldCharType="separate"/>
      </w:r>
      <w:r>
        <w:rPr>
          <w:highlight w:val="none"/>
        </w:rPr>
        <w:t>73</w:t>
      </w:r>
      <w:r>
        <w:rPr>
          <w:highlight w:val="none"/>
        </w:rPr>
        <w:fldChar w:fldCharType="end"/>
      </w:r>
      <w:r>
        <w:rPr>
          <w:rFonts w:hint="eastAsia" w:eastAsia="宋体" w:cs="宋体"/>
          <w:color w:val="auto"/>
          <w:highlight w:val="none"/>
        </w:rPr>
        <w:fldChar w:fldCharType="end"/>
      </w:r>
    </w:p>
    <w:p w14:paraId="7AB70942">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_Toc23372 </w:instrText>
      </w:r>
      <w:r>
        <w:rPr>
          <w:rFonts w:hint="eastAsia" w:eastAsia="宋体" w:cs="宋体"/>
          <w:highlight w:val="none"/>
        </w:rPr>
        <w:fldChar w:fldCharType="separate"/>
      </w:r>
      <w:r>
        <w:rPr>
          <w:rFonts w:hint="eastAsia" w:ascii="宋体" w:hAnsi="宋体" w:cs="宋体"/>
          <w:spacing w:val="15"/>
          <w:szCs w:val="21"/>
          <w:highlight w:val="none"/>
        </w:rPr>
        <w:t>附件十、</w:t>
      </w:r>
      <w:r>
        <w:rPr>
          <w:rFonts w:hint="eastAsia" w:ascii="宋体" w:hAnsi="宋体" w:cs="宋体"/>
          <w:highlight w:val="none"/>
        </w:rPr>
        <w:t>拟投入本项目人员一览表</w:t>
      </w:r>
      <w:r>
        <w:rPr>
          <w:highlight w:val="none"/>
        </w:rPr>
        <w:tab/>
      </w:r>
      <w:r>
        <w:rPr>
          <w:highlight w:val="none"/>
        </w:rPr>
        <w:fldChar w:fldCharType="begin"/>
      </w:r>
      <w:r>
        <w:rPr>
          <w:highlight w:val="none"/>
        </w:rPr>
        <w:instrText xml:space="preserve"> PAGEREF _Toc23372 \h </w:instrText>
      </w:r>
      <w:r>
        <w:rPr>
          <w:highlight w:val="none"/>
        </w:rPr>
        <w:fldChar w:fldCharType="separate"/>
      </w:r>
      <w:r>
        <w:rPr>
          <w:highlight w:val="none"/>
        </w:rPr>
        <w:t>74</w:t>
      </w:r>
      <w:r>
        <w:rPr>
          <w:highlight w:val="none"/>
        </w:rPr>
        <w:fldChar w:fldCharType="end"/>
      </w:r>
      <w:r>
        <w:rPr>
          <w:rFonts w:hint="eastAsia" w:eastAsia="宋体" w:cs="宋体"/>
          <w:color w:val="auto"/>
          <w:highlight w:val="none"/>
        </w:rPr>
        <w:fldChar w:fldCharType="end"/>
      </w:r>
    </w:p>
    <w:p w14:paraId="27B35AAD">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_Toc29975 </w:instrText>
      </w:r>
      <w:r>
        <w:rPr>
          <w:rFonts w:hint="eastAsia" w:eastAsia="宋体" w:cs="宋体"/>
          <w:highlight w:val="none"/>
        </w:rPr>
        <w:fldChar w:fldCharType="separate"/>
      </w:r>
      <w:r>
        <w:rPr>
          <w:rFonts w:hint="eastAsia" w:ascii="宋体" w:hAnsi="宋体" w:cs="宋体"/>
          <w:spacing w:val="15"/>
          <w:szCs w:val="21"/>
          <w:highlight w:val="none"/>
        </w:rPr>
        <w:t>附件十三、具备履行合同所必需的设备和专业技术能力的声明</w:t>
      </w:r>
      <w:r>
        <w:rPr>
          <w:highlight w:val="none"/>
        </w:rPr>
        <w:tab/>
      </w:r>
      <w:r>
        <w:rPr>
          <w:highlight w:val="none"/>
        </w:rPr>
        <w:fldChar w:fldCharType="begin"/>
      </w:r>
      <w:r>
        <w:rPr>
          <w:highlight w:val="none"/>
        </w:rPr>
        <w:instrText xml:space="preserve"> PAGEREF _Toc29975 \h </w:instrText>
      </w:r>
      <w:r>
        <w:rPr>
          <w:highlight w:val="none"/>
        </w:rPr>
        <w:fldChar w:fldCharType="separate"/>
      </w:r>
      <w:r>
        <w:rPr>
          <w:highlight w:val="none"/>
        </w:rPr>
        <w:t>76</w:t>
      </w:r>
      <w:r>
        <w:rPr>
          <w:highlight w:val="none"/>
        </w:rPr>
        <w:fldChar w:fldCharType="end"/>
      </w:r>
      <w:r>
        <w:rPr>
          <w:rFonts w:hint="eastAsia" w:eastAsia="宋体" w:cs="宋体"/>
          <w:color w:val="auto"/>
          <w:highlight w:val="none"/>
        </w:rPr>
        <w:fldChar w:fldCharType="end"/>
      </w:r>
    </w:p>
    <w:p w14:paraId="6549C658">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_Toc14771 </w:instrText>
      </w:r>
      <w:r>
        <w:rPr>
          <w:rFonts w:hint="eastAsia" w:eastAsia="宋体" w:cs="宋体"/>
          <w:highlight w:val="none"/>
        </w:rPr>
        <w:fldChar w:fldCharType="separate"/>
      </w:r>
      <w:r>
        <w:rPr>
          <w:rFonts w:hint="eastAsia" w:ascii="宋体" w:hAnsi="宋体" w:cs="宋体"/>
          <w:spacing w:val="15"/>
          <w:szCs w:val="21"/>
          <w:highlight w:val="none"/>
        </w:rPr>
        <w:t>附件十四、残疾人福利性单位声明函</w:t>
      </w:r>
      <w:r>
        <w:rPr>
          <w:highlight w:val="none"/>
        </w:rPr>
        <w:tab/>
      </w:r>
      <w:r>
        <w:rPr>
          <w:highlight w:val="none"/>
        </w:rPr>
        <w:fldChar w:fldCharType="begin"/>
      </w:r>
      <w:r>
        <w:rPr>
          <w:highlight w:val="none"/>
        </w:rPr>
        <w:instrText xml:space="preserve"> PAGEREF _Toc14771 \h </w:instrText>
      </w:r>
      <w:r>
        <w:rPr>
          <w:highlight w:val="none"/>
        </w:rPr>
        <w:fldChar w:fldCharType="separate"/>
      </w:r>
      <w:r>
        <w:rPr>
          <w:highlight w:val="none"/>
        </w:rPr>
        <w:t>76</w:t>
      </w:r>
      <w:r>
        <w:rPr>
          <w:highlight w:val="none"/>
        </w:rPr>
        <w:fldChar w:fldCharType="end"/>
      </w:r>
      <w:r>
        <w:rPr>
          <w:rFonts w:hint="eastAsia" w:eastAsia="宋体" w:cs="宋体"/>
          <w:color w:val="auto"/>
          <w:highlight w:val="none"/>
        </w:rPr>
        <w:fldChar w:fldCharType="end"/>
      </w:r>
    </w:p>
    <w:p w14:paraId="4A64B50B">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_Toc25755 </w:instrText>
      </w:r>
      <w:r>
        <w:rPr>
          <w:rFonts w:hint="eastAsia" w:eastAsia="宋体" w:cs="宋体"/>
          <w:highlight w:val="none"/>
        </w:rPr>
        <w:fldChar w:fldCharType="separate"/>
      </w:r>
      <w:r>
        <w:rPr>
          <w:rFonts w:hint="eastAsia" w:ascii="宋体" w:hAnsi="宋体" w:cs="宋体"/>
          <w:spacing w:val="15"/>
          <w:szCs w:val="21"/>
          <w:highlight w:val="none"/>
        </w:rPr>
        <w:t>附件十五、中小企业声明函</w:t>
      </w:r>
      <w:r>
        <w:rPr>
          <w:highlight w:val="none"/>
        </w:rPr>
        <w:tab/>
      </w:r>
      <w:r>
        <w:rPr>
          <w:highlight w:val="none"/>
        </w:rPr>
        <w:fldChar w:fldCharType="begin"/>
      </w:r>
      <w:r>
        <w:rPr>
          <w:highlight w:val="none"/>
        </w:rPr>
        <w:instrText xml:space="preserve"> PAGEREF _Toc25755 \h </w:instrText>
      </w:r>
      <w:r>
        <w:rPr>
          <w:highlight w:val="none"/>
        </w:rPr>
        <w:fldChar w:fldCharType="separate"/>
      </w:r>
      <w:r>
        <w:rPr>
          <w:highlight w:val="none"/>
        </w:rPr>
        <w:t>77</w:t>
      </w:r>
      <w:r>
        <w:rPr>
          <w:highlight w:val="none"/>
        </w:rPr>
        <w:fldChar w:fldCharType="end"/>
      </w:r>
      <w:r>
        <w:rPr>
          <w:rFonts w:hint="eastAsia" w:eastAsia="宋体" w:cs="宋体"/>
          <w:color w:val="auto"/>
          <w:highlight w:val="none"/>
        </w:rPr>
        <w:fldChar w:fldCharType="end"/>
      </w:r>
    </w:p>
    <w:p w14:paraId="01193268">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_Toc11679 </w:instrText>
      </w:r>
      <w:r>
        <w:rPr>
          <w:rFonts w:hint="eastAsia" w:eastAsia="宋体" w:cs="宋体"/>
          <w:highlight w:val="none"/>
        </w:rPr>
        <w:fldChar w:fldCharType="separate"/>
      </w:r>
      <w:r>
        <w:rPr>
          <w:rFonts w:hint="eastAsia" w:ascii="宋体" w:hAnsi="宋体" w:cs="宋体"/>
          <w:spacing w:val="15"/>
          <w:szCs w:val="21"/>
          <w:highlight w:val="none"/>
        </w:rPr>
        <w:t>附件十六、南京市政府采购供应商信用记录表暨信用承诺书</w:t>
      </w:r>
      <w:r>
        <w:rPr>
          <w:highlight w:val="none"/>
        </w:rPr>
        <w:tab/>
      </w:r>
      <w:r>
        <w:rPr>
          <w:highlight w:val="none"/>
        </w:rPr>
        <w:fldChar w:fldCharType="begin"/>
      </w:r>
      <w:r>
        <w:rPr>
          <w:highlight w:val="none"/>
        </w:rPr>
        <w:instrText xml:space="preserve"> PAGEREF _Toc11679 \h </w:instrText>
      </w:r>
      <w:r>
        <w:rPr>
          <w:highlight w:val="none"/>
        </w:rPr>
        <w:fldChar w:fldCharType="separate"/>
      </w:r>
      <w:r>
        <w:rPr>
          <w:highlight w:val="none"/>
        </w:rPr>
        <w:t>78</w:t>
      </w:r>
      <w:r>
        <w:rPr>
          <w:highlight w:val="none"/>
        </w:rPr>
        <w:fldChar w:fldCharType="end"/>
      </w:r>
      <w:r>
        <w:rPr>
          <w:rFonts w:hint="eastAsia" w:eastAsia="宋体" w:cs="宋体"/>
          <w:color w:val="auto"/>
          <w:highlight w:val="none"/>
        </w:rPr>
        <w:fldChar w:fldCharType="end"/>
      </w:r>
    </w:p>
    <w:p w14:paraId="5847C0FE">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_Toc6545 </w:instrText>
      </w:r>
      <w:r>
        <w:rPr>
          <w:rFonts w:hint="eastAsia" w:eastAsia="宋体" w:cs="宋体"/>
          <w:highlight w:val="none"/>
        </w:rPr>
        <w:fldChar w:fldCharType="separate"/>
      </w:r>
      <w:r>
        <w:rPr>
          <w:rFonts w:hint="eastAsia" w:ascii="宋体" w:hAnsi="宋体" w:cs="宋体"/>
          <w:spacing w:val="15"/>
          <w:szCs w:val="21"/>
          <w:highlight w:val="none"/>
        </w:rPr>
        <w:t>附件十七、“信用中国”、“中国政府采购网”网站截图</w:t>
      </w:r>
      <w:r>
        <w:rPr>
          <w:highlight w:val="none"/>
        </w:rPr>
        <w:tab/>
      </w:r>
      <w:r>
        <w:rPr>
          <w:highlight w:val="none"/>
        </w:rPr>
        <w:fldChar w:fldCharType="begin"/>
      </w:r>
      <w:r>
        <w:rPr>
          <w:highlight w:val="none"/>
        </w:rPr>
        <w:instrText xml:space="preserve"> PAGEREF _Toc6545 \h </w:instrText>
      </w:r>
      <w:r>
        <w:rPr>
          <w:highlight w:val="none"/>
        </w:rPr>
        <w:fldChar w:fldCharType="separate"/>
      </w:r>
      <w:r>
        <w:rPr>
          <w:highlight w:val="none"/>
        </w:rPr>
        <w:t>79</w:t>
      </w:r>
      <w:r>
        <w:rPr>
          <w:highlight w:val="none"/>
        </w:rPr>
        <w:fldChar w:fldCharType="end"/>
      </w:r>
      <w:r>
        <w:rPr>
          <w:rFonts w:hint="eastAsia" w:eastAsia="宋体" w:cs="宋体"/>
          <w:color w:val="auto"/>
          <w:highlight w:val="none"/>
        </w:rPr>
        <w:fldChar w:fldCharType="end"/>
      </w:r>
    </w:p>
    <w:p w14:paraId="41A56390">
      <w:pPr>
        <w:pStyle w:val="28"/>
        <w:tabs>
          <w:tab w:val="right" w:leader="dot" w:pos="9026"/>
        </w:tabs>
        <w:rPr>
          <w:highlight w:val="none"/>
        </w:rPr>
      </w:pPr>
      <w:r>
        <w:rPr>
          <w:rFonts w:hint="eastAsia" w:eastAsia="宋体" w:cs="宋体"/>
          <w:color w:val="auto"/>
          <w:highlight w:val="none"/>
        </w:rPr>
        <w:fldChar w:fldCharType="begin"/>
      </w:r>
      <w:r>
        <w:rPr>
          <w:rFonts w:hint="eastAsia" w:eastAsia="宋体" w:cs="宋体"/>
          <w:highlight w:val="none"/>
        </w:rPr>
        <w:instrText xml:space="preserve"> HYPERLINK \l _Toc21552 </w:instrText>
      </w:r>
      <w:r>
        <w:rPr>
          <w:rFonts w:hint="eastAsia" w:eastAsia="宋体" w:cs="宋体"/>
          <w:highlight w:val="none"/>
        </w:rPr>
        <w:fldChar w:fldCharType="separate"/>
      </w:r>
      <w:r>
        <w:rPr>
          <w:rFonts w:hint="eastAsia" w:ascii="宋体" w:hAnsi="宋体" w:cs="宋体"/>
          <w:spacing w:val="15"/>
          <w:szCs w:val="21"/>
          <w:highlight w:val="none"/>
        </w:rPr>
        <w:t>附件十八、磋商供应商认为需提供的其他资料</w:t>
      </w:r>
      <w:r>
        <w:rPr>
          <w:highlight w:val="none"/>
        </w:rPr>
        <w:tab/>
      </w:r>
      <w:r>
        <w:rPr>
          <w:highlight w:val="none"/>
        </w:rPr>
        <w:fldChar w:fldCharType="begin"/>
      </w:r>
      <w:r>
        <w:rPr>
          <w:highlight w:val="none"/>
        </w:rPr>
        <w:instrText xml:space="preserve"> PAGEREF _Toc21552 \h </w:instrText>
      </w:r>
      <w:r>
        <w:rPr>
          <w:highlight w:val="none"/>
        </w:rPr>
        <w:fldChar w:fldCharType="separate"/>
      </w:r>
      <w:r>
        <w:rPr>
          <w:highlight w:val="none"/>
        </w:rPr>
        <w:t>79</w:t>
      </w:r>
      <w:r>
        <w:rPr>
          <w:highlight w:val="none"/>
        </w:rPr>
        <w:fldChar w:fldCharType="end"/>
      </w:r>
      <w:r>
        <w:rPr>
          <w:rFonts w:hint="eastAsia" w:eastAsia="宋体" w:cs="宋体"/>
          <w:color w:val="auto"/>
          <w:highlight w:val="none"/>
        </w:rPr>
        <w:fldChar w:fldCharType="end"/>
      </w:r>
    </w:p>
    <w:p w14:paraId="6A6108A7">
      <w:pPr>
        <w:pStyle w:val="333"/>
        <w:spacing w:line="240" w:lineRule="auto"/>
        <w:outlineLvl w:val="9"/>
        <w:rPr>
          <w:rFonts w:eastAsia="宋体" w:cs="宋体"/>
          <w:color w:val="auto"/>
          <w:highlight w:val="none"/>
        </w:rPr>
        <w:sectPr>
          <w:footerReference r:id="rId4" w:type="first"/>
          <w:footerReference r:id="rId3" w:type="default"/>
          <w:pgSz w:w="11906" w:h="16838"/>
          <w:pgMar w:top="1440" w:right="1440" w:bottom="1440" w:left="1440" w:header="851" w:footer="992" w:gutter="0"/>
          <w:pgNumType w:start="1"/>
          <w:cols w:space="1701" w:num="1"/>
          <w:titlePg/>
          <w:docGrid w:linePitch="360" w:charSpace="0"/>
        </w:sectPr>
      </w:pPr>
      <w:r>
        <w:rPr>
          <w:rFonts w:hint="eastAsia" w:eastAsia="宋体" w:cs="宋体"/>
          <w:color w:val="auto"/>
          <w:highlight w:val="none"/>
        </w:rPr>
        <w:fldChar w:fldCharType="end"/>
      </w:r>
    </w:p>
    <w:p w14:paraId="07ED93B6">
      <w:pPr>
        <w:pStyle w:val="333"/>
        <w:ind w:right="45"/>
        <w:rPr>
          <w:rFonts w:eastAsia="宋体" w:cs="宋体"/>
          <w:b/>
          <w:bCs w:val="0"/>
          <w:color w:val="auto"/>
          <w:highlight w:val="none"/>
        </w:rPr>
      </w:pPr>
      <w:bookmarkStart w:id="12" w:name="_Toc535597864"/>
      <w:bookmarkStart w:id="13" w:name="_Toc24196"/>
      <w:bookmarkStart w:id="14" w:name="_Toc32486"/>
      <w:r>
        <w:rPr>
          <w:rFonts w:hint="eastAsia" w:eastAsia="宋体" w:cs="宋体"/>
          <w:b/>
          <w:bCs w:val="0"/>
          <w:color w:val="auto"/>
          <w:highlight w:val="none"/>
        </w:rPr>
        <w:t>第一章</w:t>
      </w:r>
      <w:r>
        <w:rPr>
          <w:rFonts w:hint="eastAsia" w:eastAsia="宋体" w:cs="宋体"/>
          <w:b/>
          <w:bCs w:val="0"/>
          <w:color w:val="auto"/>
          <w:highlight w:val="none"/>
          <w:lang w:val="en-US"/>
        </w:rPr>
        <w:t xml:space="preserve"> 竞争性</w:t>
      </w:r>
      <w:r>
        <w:rPr>
          <w:rFonts w:hint="eastAsia" w:eastAsia="宋体" w:cs="宋体"/>
          <w:b/>
          <w:bCs w:val="0"/>
          <w:color w:val="auto"/>
          <w:highlight w:val="none"/>
        </w:rPr>
        <w:t>磋商</w:t>
      </w:r>
      <w:bookmarkEnd w:id="4"/>
      <w:bookmarkEnd w:id="5"/>
      <w:bookmarkEnd w:id="12"/>
      <w:r>
        <w:rPr>
          <w:rFonts w:hint="eastAsia" w:eastAsia="宋体" w:cs="宋体"/>
          <w:b/>
          <w:bCs w:val="0"/>
          <w:color w:val="auto"/>
          <w:highlight w:val="none"/>
          <w:lang w:val="en-US"/>
        </w:rPr>
        <w:t>公告</w:t>
      </w:r>
      <w:bookmarkEnd w:id="13"/>
      <w:bookmarkEnd w:id="14"/>
    </w:p>
    <w:tbl>
      <w:tblPr>
        <w:tblStyle w:val="32"/>
        <w:tblW w:w="503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top w:w="15" w:type="dxa"/>
          <w:left w:w="15" w:type="dxa"/>
          <w:bottom w:w="15" w:type="dxa"/>
          <w:right w:w="15" w:type="dxa"/>
        </w:tblCellMar>
      </w:tblPr>
      <w:tblGrid>
        <w:gridCol w:w="9158"/>
      </w:tblGrid>
      <w:tr w14:paraId="0CFC1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911" w:hRule="atLeast"/>
        </w:trPr>
        <w:tc>
          <w:tcPr>
            <w:tcW w:w="9160" w:type="dxa"/>
            <w:shd w:val="clear" w:color="auto" w:fill="FFFFFF"/>
            <w:vAlign w:val="center"/>
          </w:tcPr>
          <w:p w14:paraId="7AD26553">
            <w:pPr>
              <w:pStyle w:val="237"/>
              <w:spacing w:before="0" w:beforeAutospacing="0" w:after="0" w:afterAutospacing="0" w:line="360" w:lineRule="auto"/>
              <w:rPr>
                <w:color w:val="auto"/>
                <w:sz w:val="21"/>
                <w:szCs w:val="21"/>
                <w:highlight w:val="none"/>
              </w:rPr>
            </w:pPr>
            <w:bookmarkStart w:id="15" w:name="_Toc503948056"/>
            <w:bookmarkStart w:id="16" w:name="_Toc535597865"/>
            <w:bookmarkStart w:id="17" w:name="_Toc503948563"/>
            <w:bookmarkStart w:id="18" w:name="_Toc503948562"/>
            <w:r>
              <w:rPr>
                <w:rFonts w:hint="eastAsia"/>
                <w:color w:val="auto"/>
                <w:sz w:val="21"/>
                <w:szCs w:val="21"/>
                <w:highlight w:val="none"/>
              </w:rPr>
              <w:t>项目概况：</w:t>
            </w:r>
          </w:p>
          <w:p w14:paraId="076E58A7">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u w:val="single"/>
              </w:rPr>
              <w:t>汤山街道上窑湾引水上山工程</w:t>
            </w:r>
            <w:r>
              <w:rPr>
                <w:rFonts w:hint="eastAsia"/>
                <w:color w:val="auto"/>
                <w:sz w:val="21"/>
                <w:szCs w:val="21"/>
                <w:highlight w:val="none"/>
              </w:rPr>
              <w:t>采购项目</w:t>
            </w:r>
            <w:r>
              <w:rPr>
                <w:rFonts w:hint="eastAsia"/>
                <w:color w:val="auto"/>
                <w:sz w:val="21"/>
                <w:szCs w:val="21"/>
                <w:highlight w:val="none"/>
                <w:u w:val="single"/>
              </w:rPr>
              <w:t>（</w:t>
            </w:r>
            <w:r>
              <w:rPr>
                <w:rFonts w:hint="eastAsia"/>
                <w:color w:val="auto"/>
                <w:sz w:val="21"/>
                <w:szCs w:val="21"/>
                <w:highlight w:val="none"/>
                <w:u w:val="single"/>
                <w:lang w:eastAsia="zh-CN"/>
              </w:rPr>
              <w:t>JSZC-320115-NJRD-C2026-0009</w:t>
            </w:r>
            <w:r>
              <w:rPr>
                <w:rFonts w:hint="eastAsia"/>
                <w:color w:val="auto"/>
                <w:sz w:val="21"/>
                <w:szCs w:val="21"/>
                <w:highlight w:val="none"/>
                <w:u w:val="single"/>
              </w:rPr>
              <w:t>）</w:t>
            </w:r>
            <w:r>
              <w:rPr>
                <w:rFonts w:hint="eastAsia"/>
                <w:color w:val="auto"/>
                <w:sz w:val="21"/>
                <w:szCs w:val="21"/>
                <w:highlight w:val="none"/>
              </w:rPr>
              <w:t>的潜在供应商应在</w:t>
            </w:r>
            <w:r>
              <w:rPr>
                <w:rFonts w:hint="eastAsia"/>
                <w:color w:val="auto"/>
                <w:sz w:val="21"/>
                <w:szCs w:val="21"/>
                <w:highlight w:val="none"/>
                <w:lang w:val="zh-CN"/>
              </w:rPr>
              <w:t>“江苏政府采购网、南京公共采购信息网”自行免费下载 获取采购文件，并于</w:t>
            </w:r>
            <w:r>
              <w:rPr>
                <w:rFonts w:hint="eastAsia"/>
                <w:color w:val="auto"/>
                <w:sz w:val="21"/>
                <w:szCs w:val="21"/>
                <w:highlight w:val="none"/>
                <w:u w:val="single"/>
              </w:rPr>
              <w:t xml:space="preserve"> 2026年 </w:t>
            </w:r>
            <w:r>
              <w:rPr>
                <w:rFonts w:hint="eastAsia"/>
                <w:color w:val="auto"/>
                <w:sz w:val="21"/>
                <w:szCs w:val="21"/>
                <w:highlight w:val="none"/>
                <w:u w:val="single"/>
                <w:lang w:val="en-US" w:eastAsia="zh-CN"/>
              </w:rPr>
              <w:t>8</w:t>
            </w:r>
            <w:r>
              <w:rPr>
                <w:rFonts w:hint="eastAsia"/>
                <w:color w:val="auto"/>
                <w:sz w:val="21"/>
                <w:szCs w:val="21"/>
                <w:highlight w:val="none"/>
                <w:u w:val="single"/>
              </w:rPr>
              <w:t xml:space="preserve"> 月 </w:t>
            </w:r>
            <w:r>
              <w:rPr>
                <w:rFonts w:hint="eastAsia"/>
                <w:color w:val="auto"/>
                <w:sz w:val="21"/>
                <w:szCs w:val="21"/>
                <w:highlight w:val="none"/>
                <w:u w:val="single"/>
                <w:lang w:val="en-US" w:eastAsia="zh-CN"/>
              </w:rPr>
              <w:t>31</w:t>
            </w:r>
            <w:r>
              <w:rPr>
                <w:rFonts w:hint="eastAsia"/>
                <w:color w:val="auto"/>
                <w:sz w:val="21"/>
                <w:szCs w:val="21"/>
                <w:highlight w:val="none"/>
                <w:u w:val="single"/>
              </w:rPr>
              <w:t xml:space="preserve"> 日</w:t>
            </w:r>
            <w:r>
              <w:rPr>
                <w:rFonts w:hint="eastAsia"/>
                <w:color w:val="auto"/>
                <w:sz w:val="21"/>
                <w:szCs w:val="21"/>
                <w:highlight w:val="none"/>
                <w:u w:val="single"/>
                <w:lang w:val="en-US" w:eastAsia="zh-CN"/>
              </w:rPr>
              <w:t>09</w:t>
            </w:r>
            <w:r>
              <w:rPr>
                <w:rFonts w:hint="eastAsia"/>
                <w:color w:val="auto"/>
                <w:sz w:val="21"/>
                <w:szCs w:val="21"/>
                <w:highlight w:val="none"/>
                <w:u w:val="single"/>
              </w:rPr>
              <w:t xml:space="preserve">时30分 </w:t>
            </w:r>
            <w:r>
              <w:rPr>
                <w:rFonts w:hint="eastAsia"/>
                <w:color w:val="auto"/>
                <w:sz w:val="21"/>
                <w:szCs w:val="21"/>
                <w:highlight w:val="none"/>
                <w:lang w:val="zh-CN"/>
              </w:rPr>
              <w:t>（北京时间）前提交响应文件。</w:t>
            </w:r>
          </w:p>
        </w:tc>
      </w:tr>
    </w:tbl>
    <w:p w14:paraId="1738A36B">
      <w:pPr>
        <w:rPr>
          <w:rStyle w:val="244"/>
          <w:rFonts w:ascii="宋体" w:hAnsi="宋体" w:cs="宋体"/>
          <w:b w:val="0"/>
          <w:bCs w:val="0"/>
          <w:color w:val="auto"/>
          <w:szCs w:val="21"/>
          <w:highlight w:val="none"/>
          <w:shd w:val="clear" w:color="auto" w:fill="FFFFFF"/>
        </w:rPr>
      </w:pPr>
      <w:bookmarkStart w:id="19" w:name="_Toc26983"/>
      <w:bookmarkStart w:id="20" w:name="_Toc23041"/>
      <w:bookmarkStart w:id="21" w:name="_Toc23476"/>
    </w:p>
    <w:p w14:paraId="26BEE496">
      <w:pPr>
        <w:pStyle w:val="185"/>
        <w:keepNext w:val="0"/>
        <w:keepLines w:val="0"/>
        <w:widowControl/>
        <w:shd w:val="clear" w:color="auto" w:fill="FFFFFF"/>
        <w:spacing w:before="0" w:after="0" w:line="360" w:lineRule="auto"/>
        <w:rPr>
          <w:rFonts w:ascii="宋体" w:hAnsi="宋体" w:eastAsia="宋体" w:cs="宋体"/>
          <w:color w:val="auto"/>
          <w:sz w:val="22"/>
          <w:szCs w:val="22"/>
          <w:highlight w:val="none"/>
        </w:rPr>
      </w:pPr>
      <w:bookmarkStart w:id="22" w:name="_Toc19971"/>
      <w:bookmarkStart w:id="23" w:name="_Toc170"/>
      <w:r>
        <w:rPr>
          <w:rStyle w:val="244"/>
          <w:rFonts w:hint="eastAsia" w:ascii="宋体" w:hAnsi="宋体" w:eastAsia="宋体" w:cs="宋体"/>
          <w:b/>
          <w:bCs/>
          <w:color w:val="auto"/>
          <w:sz w:val="22"/>
          <w:szCs w:val="22"/>
          <w:highlight w:val="none"/>
          <w:shd w:val="clear" w:color="auto" w:fill="FFFFFF"/>
        </w:rPr>
        <w:t>一、项目基本情况</w:t>
      </w:r>
      <w:bookmarkEnd w:id="19"/>
      <w:bookmarkEnd w:id="20"/>
      <w:bookmarkEnd w:id="21"/>
      <w:bookmarkEnd w:id="22"/>
      <w:bookmarkEnd w:id="23"/>
    </w:p>
    <w:p w14:paraId="7361D9B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JSZC-320115-NJRD-C2026-0009</w:t>
      </w:r>
      <w:r>
        <w:rPr>
          <w:rFonts w:hint="eastAsia" w:ascii="宋体" w:hAnsi="宋体" w:cs="宋体"/>
          <w:color w:val="auto"/>
          <w:szCs w:val="21"/>
          <w:highlight w:val="none"/>
        </w:rPr>
        <w:t> </w:t>
      </w:r>
    </w:p>
    <w:p w14:paraId="2202E8DD">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项目名称：汤山街道上窑湾引水上山工程 </w:t>
      </w:r>
    </w:p>
    <w:p w14:paraId="38EC7D32">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采购方式：竞争性磋商 </w:t>
      </w:r>
    </w:p>
    <w:p w14:paraId="3B54F6D0">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预算金额：105万元  </w:t>
      </w:r>
    </w:p>
    <w:p w14:paraId="575AA8E8">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shd w:val="clear" w:color="auto" w:fill="FFFFFF"/>
        </w:rPr>
        <w:t>最高限价：104.113288万元</w:t>
      </w:r>
      <w:r>
        <w:rPr>
          <w:rFonts w:hint="eastAsia" w:ascii="宋体" w:hAnsi="宋体" w:cs="宋体"/>
          <w:color w:val="auto"/>
          <w:szCs w:val="21"/>
          <w:highlight w:val="none"/>
        </w:rPr>
        <w:t>（供应商的磋商报价超过最高限价的其响应文件将被作为无效响应处理）</w:t>
      </w:r>
    </w:p>
    <w:p w14:paraId="0F3A55C7">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采购需求：汤山街道上窑湾引水上山工程</w:t>
      </w:r>
      <w:r>
        <w:rPr>
          <w:rFonts w:hint="eastAsia"/>
          <w:color w:val="auto"/>
          <w:sz w:val="21"/>
          <w:szCs w:val="21"/>
          <w:highlight w:val="none"/>
          <w:shd w:val="clear" w:color="auto" w:fill="FFFFFF"/>
          <w:lang w:bidi="ar"/>
        </w:rPr>
        <w:t>，具体详见采购文件及工程量清单。</w:t>
      </w:r>
    </w:p>
    <w:p w14:paraId="2018F41E">
      <w:pPr>
        <w:pStyle w:val="237"/>
        <w:shd w:val="clear" w:color="auto" w:fill="FFFFFF"/>
        <w:spacing w:before="0" w:beforeAutospacing="0" w:after="0" w:afterAutospacing="0" w:line="360" w:lineRule="auto"/>
        <w:ind w:firstLine="420" w:firstLineChars="200"/>
        <w:rPr>
          <w:color w:val="auto"/>
          <w:sz w:val="21"/>
          <w:szCs w:val="21"/>
          <w:highlight w:val="none"/>
          <w:shd w:val="clear" w:color="auto" w:fill="FFFFFF"/>
          <w:lang w:bidi="ar"/>
        </w:rPr>
      </w:pPr>
      <w:r>
        <w:rPr>
          <w:rFonts w:hint="eastAsia"/>
          <w:color w:val="auto"/>
          <w:sz w:val="21"/>
          <w:szCs w:val="21"/>
          <w:highlight w:val="none"/>
          <w:shd w:val="clear" w:color="auto" w:fill="FFFFFF"/>
        </w:rPr>
        <w:t>合同履行期限：6</w:t>
      </w:r>
      <w:r>
        <w:rPr>
          <w:color w:val="auto"/>
          <w:sz w:val="21"/>
          <w:szCs w:val="21"/>
          <w:highlight w:val="none"/>
          <w:shd w:val="clear" w:color="auto" w:fill="FFFFFF"/>
        </w:rPr>
        <w:t>0</w:t>
      </w:r>
      <w:r>
        <w:rPr>
          <w:rFonts w:hint="eastAsia"/>
          <w:color w:val="auto"/>
          <w:sz w:val="21"/>
          <w:szCs w:val="21"/>
          <w:highlight w:val="none"/>
          <w:shd w:val="clear" w:color="auto" w:fill="FFFFFF"/>
        </w:rPr>
        <w:t xml:space="preserve">日历天 </w:t>
      </w:r>
    </w:p>
    <w:p w14:paraId="3DDCAA25">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本项目（是/否）接受联合体投标：不接受联合体 </w:t>
      </w:r>
    </w:p>
    <w:p w14:paraId="4C217C3D">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24" w:name="_Toc27435"/>
      <w:bookmarkStart w:id="25" w:name="_Toc24233"/>
      <w:bookmarkStart w:id="26" w:name="_Toc32620"/>
      <w:bookmarkStart w:id="27" w:name="_Toc4177"/>
      <w:bookmarkStart w:id="28" w:name="_Toc850"/>
      <w:r>
        <w:rPr>
          <w:rStyle w:val="244"/>
          <w:rFonts w:hint="eastAsia" w:ascii="宋体" w:hAnsi="宋体" w:eastAsia="宋体" w:cs="宋体"/>
          <w:b/>
          <w:bCs/>
          <w:color w:val="auto"/>
          <w:sz w:val="22"/>
          <w:szCs w:val="22"/>
          <w:highlight w:val="none"/>
          <w:shd w:val="clear" w:color="auto" w:fill="FFFFFF"/>
        </w:rPr>
        <w:t>二、申请人的资格要求</w:t>
      </w:r>
      <w:bookmarkEnd w:id="24"/>
      <w:bookmarkEnd w:id="25"/>
      <w:bookmarkEnd w:id="26"/>
      <w:bookmarkEnd w:id="27"/>
      <w:bookmarkEnd w:id="28"/>
    </w:p>
    <w:p w14:paraId="53B01F10">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（一）满足《中华人民共和国政府采购法》第二十二条规定；</w:t>
      </w:r>
    </w:p>
    <w:p w14:paraId="684DDEEB">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1.具有独立承担民事责任的能力。（提供法人或者其他组织的营业执照，自然人的身份证明，复印件加盖公章）</w:t>
      </w:r>
    </w:p>
    <w:p w14:paraId="5A86D6EF">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2.具有良好的商业信誉和健全的财务会计制度。（</w:t>
      </w:r>
      <w:r>
        <w:rPr>
          <w:rFonts w:hint="eastAsia"/>
          <w:color w:val="auto"/>
          <w:sz w:val="21"/>
          <w:szCs w:val="21"/>
          <w:highlight w:val="none"/>
        </w:rPr>
        <w:t>提供上一年度经审计的财务报告或</w:t>
      </w:r>
      <w:r>
        <w:rPr>
          <w:rFonts w:hint="eastAsia"/>
          <w:color w:val="auto"/>
          <w:sz w:val="21"/>
          <w:szCs w:val="21"/>
          <w:highlight w:val="none"/>
          <w:lang w:val="en-US" w:eastAsia="zh-CN"/>
        </w:rPr>
        <w:t>近半年内</w:t>
      </w:r>
      <w:r>
        <w:rPr>
          <w:rFonts w:hint="eastAsia"/>
          <w:color w:val="auto"/>
          <w:sz w:val="21"/>
          <w:szCs w:val="21"/>
          <w:highlight w:val="none"/>
        </w:rPr>
        <w:t>至少一个月财务会计报表，复印件加盖公章</w:t>
      </w:r>
      <w:r>
        <w:rPr>
          <w:rFonts w:hint="eastAsia"/>
          <w:color w:val="auto"/>
          <w:sz w:val="21"/>
          <w:szCs w:val="21"/>
          <w:highlight w:val="none"/>
          <w:shd w:val="clear" w:color="auto" w:fill="FFFFFF"/>
        </w:rPr>
        <w:t>）</w:t>
      </w:r>
      <w:bookmarkStart w:id="711" w:name="_GoBack"/>
      <w:bookmarkEnd w:id="711"/>
    </w:p>
    <w:p w14:paraId="71EE98BC">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3.具有履行合同所必需的设备和专业技术能力。（提供书面声明加盖公章）</w:t>
      </w:r>
    </w:p>
    <w:p w14:paraId="1905A5EA">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4.有依法缴纳税收和社会保障资金的良好记录。（提供参加本次采购活动</w:t>
      </w:r>
      <w:r>
        <w:rPr>
          <w:rFonts w:hint="eastAsia"/>
          <w:color w:val="auto"/>
          <w:sz w:val="21"/>
          <w:szCs w:val="21"/>
          <w:highlight w:val="none"/>
          <w:u w:val="single"/>
          <w:shd w:val="clear" w:color="auto" w:fill="FFFFFF"/>
        </w:rPr>
        <w:t>前半年内</w:t>
      </w:r>
      <w:r>
        <w:rPr>
          <w:rFonts w:hint="eastAsia"/>
          <w:color w:val="auto"/>
          <w:sz w:val="21"/>
          <w:szCs w:val="21"/>
          <w:highlight w:val="none"/>
          <w:shd w:val="clear" w:color="auto" w:fill="FFFFFF"/>
        </w:rPr>
        <w:t>至少一个月依法缴纳税收和社会保障资金的相关资料，复印件加盖公章）</w:t>
      </w:r>
    </w:p>
    <w:p w14:paraId="56B014E0">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5.参加政府采购活动前3年内，在经营活动中没有重大违法记录。（提供书面声明加盖公章）</w:t>
      </w:r>
    </w:p>
    <w:p w14:paraId="1D506066">
      <w:pPr>
        <w:pStyle w:val="237"/>
        <w:shd w:val="clear" w:color="auto" w:fill="FFFFFF"/>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6.法律、行政法规规定的其他条件。</w:t>
      </w:r>
    </w:p>
    <w:p w14:paraId="74A7039B">
      <w:pPr>
        <w:pStyle w:val="237"/>
        <w:numPr>
          <w:ilvl w:val="0"/>
          <w:numId w:val="1"/>
        </w:numPr>
        <w:shd w:val="clear" w:color="auto" w:fill="FFFFFF"/>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落实政府采购政策需满足的资格要求：本项目整体专门面向中小企业采购服务。</w:t>
      </w:r>
    </w:p>
    <w:p w14:paraId="6151539F">
      <w:pPr>
        <w:pStyle w:val="237"/>
        <w:shd w:val="clear" w:color="auto" w:fill="FFFFFF"/>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color w:val="auto"/>
          <w:sz w:val="21"/>
          <w:szCs w:val="21"/>
          <w:highlight w:val="none"/>
          <w:shd w:val="clear" w:color="auto" w:fill="FFFFFF"/>
          <w:lang w:val="zh-CN"/>
        </w:rPr>
        <w:t>如作出虚假信用承诺，视同为“提供虚假材料谋取中标、成交”的违法行为</w:t>
      </w:r>
      <w:r>
        <w:rPr>
          <w:rFonts w:hint="eastAsia"/>
          <w:color w:val="auto"/>
          <w:sz w:val="21"/>
          <w:szCs w:val="21"/>
          <w:highlight w:val="none"/>
          <w:shd w:val="clear" w:color="auto" w:fill="FFFFFF"/>
        </w:rPr>
        <w:t>。供应商在资格审查环节仅提供资格承诺书的，须在中标后按承诺函要求另行提供由承诺书替代的相关证明材料。不适用信用承诺的情形：①供应商被列入严重失信主体名单；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b/>
          <w:bCs/>
          <w:color w:val="auto"/>
          <w:sz w:val="21"/>
          <w:szCs w:val="21"/>
          <w:highlight w:val="none"/>
          <w:u w:val="single"/>
          <w:shd w:val="clear" w:color="auto" w:fill="FFFFFF"/>
          <w:lang w:val="zh-CN"/>
        </w:rPr>
        <w:t>信用记录表打印时间为本竞争性磋商</w:t>
      </w:r>
      <w:r>
        <w:rPr>
          <w:rFonts w:hint="eastAsia"/>
          <w:b/>
          <w:bCs/>
          <w:color w:val="auto"/>
          <w:sz w:val="21"/>
          <w:szCs w:val="21"/>
          <w:highlight w:val="none"/>
          <w:u w:val="single"/>
          <w:shd w:val="clear" w:color="auto" w:fill="FFFFFF"/>
        </w:rPr>
        <w:t>公告</w:t>
      </w:r>
      <w:r>
        <w:rPr>
          <w:rFonts w:hint="eastAsia"/>
          <w:b/>
          <w:bCs/>
          <w:color w:val="auto"/>
          <w:sz w:val="21"/>
          <w:szCs w:val="21"/>
          <w:highlight w:val="none"/>
          <w:u w:val="single"/>
          <w:shd w:val="clear" w:color="auto" w:fill="FFFFFF"/>
          <w:lang w:val="zh-CN"/>
        </w:rPr>
        <w:t>发布之日起至递交响应文件</w:t>
      </w:r>
      <w:r>
        <w:rPr>
          <w:rFonts w:hint="eastAsia"/>
          <w:b/>
          <w:bCs/>
          <w:color w:val="auto"/>
          <w:sz w:val="21"/>
          <w:szCs w:val="21"/>
          <w:highlight w:val="none"/>
          <w:u w:val="single"/>
          <w:shd w:val="clear" w:color="auto" w:fill="FFFFFF"/>
        </w:rPr>
        <w:t>截止</w:t>
      </w:r>
      <w:r>
        <w:rPr>
          <w:rFonts w:hint="eastAsia"/>
          <w:b/>
          <w:bCs/>
          <w:color w:val="auto"/>
          <w:sz w:val="21"/>
          <w:szCs w:val="21"/>
          <w:highlight w:val="none"/>
          <w:u w:val="single"/>
          <w:shd w:val="clear" w:color="auto" w:fill="FFFFFF"/>
          <w:lang w:val="zh-CN"/>
        </w:rPr>
        <w:t>日前，未按上述要求提供信用记录表的，响应文件</w:t>
      </w:r>
      <w:r>
        <w:rPr>
          <w:rFonts w:hint="eastAsia"/>
          <w:b/>
          <w:bCs/>
          <w:color w:val="auto"/>
          <w:sz w:val="21"/>
          <w:szCs w:val="21"/>
          <w:highlight w:val="none"/>
          <w:u w:val="single"/>
          <w:shd w:val="clear" w:color="auto" w:fill="FFFFFF"/>
        </w:rPr>
        <w:t>按无效磋商处理</w:t>
      </w:r>
      <w:r>
        <w:rPr>
          <w:rFonts w:hint="eastAsia"/>
          <w:color w:val="auto"/>
          <w:sz w:val="21"/>
          <w:szCs w:val="21"/>
          <w:highlight w:val="none"/>
          <w:shd w:val="clear" w:color="auto" w:fill="FFFFFF"/>
          <w:lang w:val="zh-CN"/>
        </w:rPr>
        <w:t>。</w:t>
      </w:r>
    </w:p>
    <w:p w14:paraId="2A432B30">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（三）本项目的特定资格要求：</w:t>
      </w:r>
    </w:p>
    <w:p w14:paraId="2A5A6C1D">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u w:val="single"/>
          <w:shd w:val="clear" w:color="auto" w:fill="FFFFFF"/>
          <w:lang w:bidi="ar"/>
        </w:rPr>
        <w:t>供应商具有市政公用工程施工总承包三级(含)以上资质 ，同时具备有效的安全生产许可证。</w:t>
      </w:r>
      <w:r>
        <w:rPr>
          <w:rFonts w:hint="eastAsia" w:ascii="宋体" w:hAnsi="宋体" w:cs="宋体"/>
          <w:color w:val="auto"/>
          <w:szCs w:val="21"/>
          <w:highlight w:val="none"/>
          <w:u w:val="single"/>
        </w:rPr>
        <w:t>（提供加盖供应商公章的有效证书复印件）</w:t>
      </w:r>
    </w:p>
    <w:p w14:paraId="59AA962A">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rPr>
        <w:t>2.</w:t>
      </w:r>
      <w:r>
        <w:rPr>
          <w:rFonts w:hint="eastAsia" w:ascii="宋体" w:hAnsi="宋体" w:cs="宋体"/>
          <w:color w:val="auto"/>
          <w:szCs w:val="21"/>
          <w:highlight w:val="none"/>
          <w:u w:val="single"/>
          <w:shd w:val="clear" w:color="auto" w:fill="FFFFFF"/>
          <w:lang w:bidi="ar"/>
        </w:rPr>
        <w:t>项目负责人资质类别和等级：注册建造师证市政公用工程二级(含)以上，且具备有效期内的安全生产考核合格证书（B类证）。</w:t>
      </w:r>
      <w:r>
        <w:rPr>
          <w:rFonts w:hint="eastAsia" w:ascii="宋体" w:hAnsi="宋体" w:cs="宋体"/>
          <w:color w:val="auto"/>
          <w:szCs w:val="21"/>
          <w:highlight w:val="none"/>
          <w:u w:val="single"/>
        </w:rPr>
        <w:t>（提供加盖供应商公章的有效证书复印件、提供</w:t>
      </w:r>
      <w:r>
        <w:rPr>
          <w:rFonts w:hint="eastAsia" w:ascii="宋体" w:hAnsi="宋体" w:cs="宋体"/>
          <w:color w:val="auto"/>
          <w:szCs w:val="21"/>
          <w:highlight w:val="none"/>
          <w:u w:val="single"/>
          <w:lang w:val="zh-CN"/>
        </w:rPr>
        <w:t>采购公告前近三个月</w:t>
      </w:r>
      <w:r>
        <w:rPr>
          <w:rFonts w:hint="eastAsia" w:ascii="宋体" w:hAnsi="宋体" w:cs="宋体"/>
          <w:color w:val="auto"/>
          <w:szCs w:val="21"/>
          <w:highlight w:val="none"/>
          <w:u w:val="single"/>
        </w:rPr>
        <w:t>任意一个月（2026年5月—2026年7月）</w:t>
      </w:r>
      <w:r>
        <w:rPr>
          <w:rFonts w:hint="eastAsia" w:ascii="宋体" w:hAnsi="宋体" w:cs="宋体"/>
          <w:color w:val="auto"/>
          <w:szCs w:val="21"/>
          <w:highlight w:val="none"/>
          <w:u w:val="single"/>
          <w:lang w:val="zh-CN"/>
        </w:rPr>
        <w:t>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auto"/>
          <w:szCs w:val="21"/>
          <w:highlight w:val="none"/>
          <w:u w:val="single"/>
          <w:shd w:val="clear" w:color="auto" w:fill="FFFFFF"/>
          <w:lang w:bidi="ar"/>
        </w:rPr>
        <w:t>）</w:t>
      </w:r>
    </w:p>
    <w:p w14:paraId="5FC4D01D">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29" w:name="_Toc2181"/>
      <w:bookmarkStart w:id="30" w:name="_Toc17702"/>
      <w:r>
        <w:rPr>
          <w:rStyle w:val="244"/>
          <w:rFonts w:hint="eastAsia" w:ascii="宋体" w:hAnsi="宋体" w:eastAsia="宋体" w:cs="宋体"/>
          <w:b/>
          <w:bCs/>
          <w:color w:val="auto"/>
          <w:sz w:val="22"/>
          <w:szCs w:val="22"/>
          <w:highlight w:val="none"/>
          <w:shd w:val="clear" w:color="auto" w:fill="FFFFFF"/>
        </w:rPr>
        <w:t>三、获取采购文件</w:t>
      </w:r>
      <w:bookmarkEnd w:id="29"/>
      <w:bookmarkEnd w:id="30"/>
    </w:p>
    <w:p w14:paraId="2E41264B">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 xml:space="preserve">时间：2026年  </w:t>
      </w:r>
      <w:r>
        <w:rPr>
          <w:rFonts w:hint="eastAsia"/>
          <w:color w:val="auto"/>
          <w:sz w:val="21"/>
          <w:szCs w:val="21"/>
          <w:highlight w:val="none"/>
          <w:shd w:val="clear" w:color="auto" w:fill="FFFFFF"/>
          <w:lang w:val="en-US" w:eastAsia="zh-CN"/>
        </w:rPr>
        <w:t>8</w:t>
      </w:r>
      <w:r>
        <w:rPr>
          <w:rFonts w:hint="eastAsia"/>
          <w:color w:val="auto"/>
          <w:sz w:val="21"/>
          <w:szCs w:val="21"/>
          <w:highlight w:val="none"/>
          <w:shd w:val="clear" w:color="auto" w:fill="FFFFFF"/>
        </w:rPr>
        <w:t xml:space="preserve">  月  </w:t>
      </w:r>
      <w:r>
        <w:rPr>
          <w:rFonts w:hint="eastAsia"/>
          <w:color w:val="auto"/>
          <w:sz w:val="21"/>
          <w:szCs w:val="21"/>
          <w:highlight w:val="none"/>
          <w:shd w:val="clear" w:color="auto" w:fill="FFFFFF"/>
          <w:lang w:val="en-US" w:eastAsia="zh-CN"/>
        </w:rPr>
        <w:t>21</w:t>
      </w:r>
      <w:r>
        <w:rPr>
          <w:rFonts w:hint="eastAsia"/>
          <w:color w:val="auto"/>
          <w:sz w:val="21"/>
          <w:szCs w:val="21"/>
          <w:highlight w:val="none"/>
          <w:shd w:val="clear" w:color="auto" w:fill="FFFFFF"/>
        </w:rPr>
        <w:t xml:space="preserve">  日至2026年  </w:t>
      </w:r>
      <w:r>
        <w:rPr>
          <w:rFonts w:hint="eastAsia"/>
          <w:color w:val="auto"/>
          <w:sz w:val="21"/>
          <w:szCs w:val="21"/>
          <w:highlight w:val="none"/>
          <w:shd w:val="clear" w:color="auto" w:fill="FFFFFF"/>
          <w:lang w:val="en-US" w:eastAsia="zh-CN"/>
        </w:rPr>
        <w:t>8</w:t>
      </w:r>
      <w:r>
        <w:rPr>
          <w:rFonts w:hint="eastAsia"/>
          <w:color w:val="auto"/>
          <w:sz w:val="21"/>
          <w:szCs w:val="21"/>
          <w:highlight w:val="none"/>
          <w:shd w:val="clear" w:color="auto" w:fill="FFFFFF"/>
        </w:rPr>
        <w:t xml:space="preserve">  月  </w:t>
      </w:r>
      <w:r>
        <w:rPr>
          <w:rFonts w:hint="eastAsia"/>
          <w:color w:val="auto"/>
          <w:sz w:val="21"/>
          <w:szCs w:val="21"/>
          <w:highlight w:val="none"/>
          <w:shd w:val="clear" w:color="auto" w:fill="FFFFFF"/>
          <w:lang w:val="en-US" w:eastAsia="zh-CN"/>
        </w:rPr>
        <w:t>27</w:t>
      </w:r>
      <w:r>
        <w:rPr>
          <w:rFonts w:hint="eastAsia"/>
          <w:color w:val="auto"/>
          <w:sz w:val="21"/>
          <w:szCs w:val="21"/>
          <w:highlight w:val="none"/>
          <w:shd w:val="clear" w:color="auto" w:fill="FFFFFF"/>
        </w:rPr>
        <w:t xml:space="preserve">  日</w:t>
      </w:r>
    </w:p>
    <w:p w14:paraId="4B8B2177">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地点：</w:t>
      </w:r>
      <w:r>
        <w:rPr>
          <w:rFonts w:hint="eastAsia" w:ascii="宋体" w:hAnsi="宋体" w:cs="宋体"/>
          <w:color w:val="auto"/>
          <w:szCs w:val="21"/>
          <w:highlight w:val="none"/>
          <w:shd w:val="clear" w:color="auto" w:fill="FFFFFF"/>
        </w:rPr>
        <w:t>“苏采云”江苏省政府采购交易系统</w:t>
      </w:r>
    </w:p>
    <w:p w14:paraId="036B6CBB">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p>
    <w:p w14:paraId="16BD99D1">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售价：0.00元 </w:t>
      </w:r>
    </w:p>
    <w:p w14:paraId="068F3449">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31" w:name="_Toc2296"/>
      <w:bookmarkStart w:id="32" w:name="_Toc19417"/>
      <w:bookmarkStart w:id="33" w:name="_Toc6798"/>
      <w:bookmarkStart w:id="34" w:name="_Toc28690"/>
      <w:bookmarkStart w:id="35" w:name="_Toc5152"/>
      <w:r>
        <w:rPr>
          <w:rStyle w:val="244"/>
          <w:rFonts w:hint="eastAsia" w:ascii="宋体" w:hAnsi="宋体" w:eastAsia="宋体" w:cs="宋体"/>
          <w:b/>
          <w:bCs/>
          <w:color w:val="auto"/>
          <w:sz w:val="22"/>
          <w:szCs w:val="22"/>
          <w:highlight w:val="none"/>
          <w:shd w:val="clear" w:color="auto" w:fill="FFFFFF"/>
        </w:rPr>
        <w:t>四、响应文件提交</w:t>
      </w:r>
      <w:bookmarkEnd w:id="31"/>
      <w:bookmarkEnd w:id="32"/>
      <w:bookmarkEnd w:id="33"/>
      <w:bookmarkEnd w:id="34"/>
      <w:bookmarkEnd w:id="35"/>
    </w:p>
    <w:p w14:paraId="0622F3BF">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截止时间：</w:t>
      </w:r>
      <w:r>
        <w:rPr>
          <w:rFonts w:hint="eastAsia"/>
          <w:color w:val="auto"/>
          <w:sz w:val="21"/>
          <w:szCs w:val="21"/>
          <w:highlight w:val="none"/>
        </w:rPr>
        <w:t xml:space="preserve">2026年  </w:t>
      </w:r>
      <w:r>
        <w:rPr>
          <w:rFonts w:hint="eastAsia"/>
          <w:color w:val="auto"/>
          <w:sz w:val="21"/>
          <w:szCs w:val="21"/>
          <w:highlight w:val="none"/>
          <w:lang w:val="en-US" w:eastAsia="zh-CN"/>
        </w:rPr>
        <w:t>8</w:t>
      </w:r>
      <w:r>
        <w:rPr>
          <w:rFonts w:hint="eastAsia"/>
          <w:color w:val="auto"/>
          <w:sz w:val="21"/>
          <w:szCs w:val="21"/>
          <w:highlight w:val="none"/>
        </w:rPr>
        <w:t xml:space="preserve">  月  </w:t>
      </w:r>
      <w:r>
        <w:rPr>
          <w:rFonts w:hint="eastAsia"/>
          <w:color w:val="auto"/>
          <w:sz w:val="21"/>
          <w:szCs w:val="21"/>
          <w:highlight w:val="none"/>
          <w:lang w:val="en-US" w:eastAsia="zh-CN"/>
        </w:rPr>
        <w:t>31</w:t>
      </w:r>
      <w:r>
        <w:rPr>
          <w:rFonts w:hint="eastAsia"/>
          <w:color w:val="auto"/>
          <w:sz w:val="21"/>
          <w:szCs w:val="21"/>
          <w:highlight w:val="none"/>
        </w:rPr>
        <w:t xml:space="preserve">  日</w:t>
      </w:r>
      <w:r>
        <w:rPr>
          <w:rFonts w:hint="eastAsia"/>
          <w:color w:val="auto"/>
          <w:sz w:val="21"/>
          <w:szCs w:val="21"/>
          <w:highlight w:val="none"/>
          <w:lang w:val="en-US" w:eastAsia="zh-CN"/>
        </w:rPr>
        <w:t>09</w:t>
      </w:r>
      <w:r>
        <w:rPr>
          <w:rFonts w:hint="eastAsia"/>
          <w:color w:val="auto"/>
          <w:sz w:val="21"/>
          <w:szCs w:val="21"/>
          <w:highlight w:val="none"/>
        </w:rPr>
        <w:t>:30</w:t>
      </w:r>
      <w:r>
        <w:rPr>
          <w:rFonts w:hint="eastAsia"/>
          <w:color w:val="auto"/>
          <w:sz w:val="21"/>
          <w:szCs w:val="21"/>
          <w:highlight w:val="none"/>
          <w:shd w:val="clear" w:color="auto" w:fill="FFFFFF"/>
        </w:rPr>
        <w:t>（北京时间）</w:t>
      </w:r>
    </w:p>
    <w:p w14:paraId="73AD5076">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地点：“苏采云”江苏省政府采购交易系统网上开标大厅 </w:t>
      </w:r>
    </w:p>
    <w:p w14:paraId="24E26D54">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36" w:name="_Toc16337"/>
      <w:bookmarkStart w:id="37" w:name="_Toc3250"/>
      <w:bookmarkStart w:id="38" w:name="_Toc22998"/>
      <w:bookmarkStart w:id="39" w:name="_Toc10013"/>
      <w:bookmarkStart w:id="40" w:name="_Toc7467"/>
      <w:r>
        <w:rPr>
          <w:rStyle w:val="244"/>
          <w:rFonts w:hint="eastAsia" w:ascii="宋体" w:hAnsi="宋体" w:eastAsia="宋体" w:cs="宋体"/>
          <w:b/>
          <w:bCs/>
          <w:color w:val="auto"/>
          <w:sz w:val="22"/>
          <w:szCs w:val="22"/>
          <w:highlight w:val="none"/>
          <w:shd w:val="clear" w:color="auto" w:fill="FFFFFF"/>
        </w:rPr>
        <w:t>五、开启</w:t>
      </w:r>
      <w:bookmarkEnd w:id="36"/>
      <w:bookmarkEnd w:id="37"/>
      <w:bookmarkEnd w:id="38"/>
      <w:bookmarkEnd w:id="39"/>
      <w:bookmarkEnd w:id="40"/>
    </w:p>
    <w:p w14:paraId="29DCC2D8">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时间：</w:t>
      </w:r>
      <w:r>
        <w:rPr>
          <w:rFonts w:hint="eastAsia"/>
          <w:color w:val="auto"/>
          <w:sz w:val="21"/>
          <w:szCs w:val="21"/>
          <w:highlight w:val="none"/>
        </w:rPr>
        <w:t xml:space="preserve">2026年   </w:t>
      </w:r>
      <w:r>
        <w:rPr>
          <w:rFonts w:hint="eastAsia"/>
          <w:color w:val="auto"/>
          <w:sz w:val="21"/>
          <w:szCs w:val="21"/>
          <w:highlight w:val="none"/>
          <w:lang w:val="en-US" w:eastAsia="zh-CN"/>
        </w:rPr>
        <w:t>8</w:t>
      </w:r>
      <w:r>
        <w:rPr>
          <w:rFonts w:hint="eastAsia"/>
          <w:color w:val="auto"/>
          <w:sz w:val="21"/>
          <w:szCs w:val="21"/>
          <w:highlight w:val="none"/>
        </w:rPr>
        <w:t xml:space="preserve">  月  </w:t>
      </w:r>
      <w:r>
        <w:rPr>
          <w:rFonts w:hint="eastAsia"/>
          <w:color w:val="auto"/>
          <w:sz w:val="21"/>
          <w:szCs w:val="21"/>
          <w:highlight w:val="none"/>
          <w:lang w:val="en-US" w:eastAsia="zh-CN"/>
        </w:rPr>
        <w:t>31</w:t>
      </w:r>
      <w:r>
        <w:rPr>
          <w:rFonts w:hint="eastAsia"/>
          <w:color w:val="auto"/>
          <w:sz w:val="21"/>
          <w:szCs w:val="21"/>
          <w:highlight w:val="none"/>
        </w:rPr>
        <w:t xml:space="preserve">  日</w:t>
      </w:r>
      <w:r>
        <w:rPr>
          <w:rFonts w:hint="eastAsia"/>
          <w:color w:val="auto"/>
          <w:sz w:val="21"/>
          <w:szCs w:val="21"/>
          <w:highlight w:val="none"/>
          <w:lang w:val="en-US" w:eastAsia="zh-CN"/>
        </w:rPr>
        <w:t>09</w:t>
      </w:r>
      <w:r>
        <w:rPr>
          <w:rFonts w:hint="eastAsia"/>
          <w:color w:val="auto"/>
          <w:sz w:val="21"/>
          <w:szCs w:val="21"/>
          <w:highlight w:val="none"/>
        </w:rPr>
        <w:t>:30</w:t>
      </w:r>
      <w:r>
        <w:rPr>
          <w:rFonts w:hint="eastAsia"/>
          <w:color w:val="auto"/>
          <w:sz w:val="21"/>
          <w:szCs w:val="21"/>
          <w:highlight w:val="none"/>
          <w:shd w:val="clear" w:color="auto" w:fill="FFFFFF"/>
        </w:rPr>
        <w:t>（北京时间）</w:t>
      </w:r>
    </w:p>
    <w:p w14:paraId="326B9976">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地点：“苏采云”江苏省政府采购交易系统网上开标大厅 </w:t>
      </w:r>
    </w:p>
    <w:p w14:paraId="51CCD44C">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41" w:name="_Toc339"/>
      <w:bookmarkStart w:id="42" w:name="_Toc7212"/>
      <w:bookmarkStart w:id="43" w:name="_Toc17141"/>
      <w:bookmarkStart w:id="44" w:name="_Toc6111"/>
      <w:bookmarkStart w:id="45" w:name="_Toc25532"/>
      <w:r>
        <w:rPr>
          <w:rStyle w:val="244"/>
          <w:rFonts w:hint="eastAsia" w:ascii="宋体" w:hAnsi="宋体" w:eastAsia="宋体" w:cs="宋体"/>
          <w:b/>
          <w:bCs/>
          <w:color w:val="auto"/>
          <w:sz w:val="22"/>
          <w:szCs w:val="22"/>
          <w:highlight w:val="none"/>
          <w:shd w:val="clear" w:color="auto" w:fill="FFFFFF"/>
        </w:rPr>
        <w:t>六、公告期限</w:t>
      </w:r>
      <w:bookmarkEnd w:id="41"/>
      <w:bookmarkEnd w:id="42"/>
      <w:bookmarkEnd w:id="43"/>
      <w:bookmarkEnd w:id="44"/>
      <w:bookmarkEnd w:id="45"/>
    </w:p>
    <w:p w14:paraId="7EECC614">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自本公告发布之日起3个工作日。</w:t>
      </w:r>
    </w:p>
    <w:p w14:paraId="06E3CF6F">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46" w:name="_Toc5625"/>
      <w:bookmarkStart w:id="47" w:name="_Toc26181"/>
      <w:bookmarkStart w:id="48" w:name="_Toc4699"/>
      <w:bookmarkStart w:id="49" w:name="_Toc21092"/>
      <w:bookmarkStart w:id="50" w:name="_Toc12955"/>
      <w:r>
        <w:rPr>
          <w:rStyle w:val="244"/>
          <w:rFonts w:hint="eastAsia" w:ascii="宋体" w:hAnsi="宋体" w:eastAsia="宋体" w:cs="宋体"/>
          <w:b/>
          <w:bCs/>
          <w:color w:val="auto"/>
          <w:sz w:val="22"/>
          <w:szCs w:val="22"/>
          <w:highlight w:val="none"/>
          <w:shd w:val="clear" w:color="auto" w:fill="FFFFFF"/>
        </w:rPr>
        <w:t>七、其他补充事宜</w:t>
      </w:r>
      <w:bookmarkEnd w:id="46"/>
      <w:bookmarkEnd w:id="47"/>
      <w:bookmarkEnd w:id="48"/>
      <w:bookmarkEnd w:id="49"/>
      <w:bookmarkEnd w:id="50"/>
    </w:p>
    <w:p w14:paraId="219F9ED5">
      <w:pPr>
        <w:widowControl/>
        <w:shd w:val="clear" w:color="auto" w:fill="FFFFFF"/>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1ED51A96">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 潜在供应商访问政府采购管理交易系统（苏采云）的网络地址和方法：</w:t>
      </w:r>
    </w:p>
    <w:p w14:paraId="56236CCA">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3D6FEC7">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（2）“CA数字证书”的获取：供应商需办理CA锁，“苏采云”系统目前仅支持“苏采云”系统下的政务CA，省内各地区办理的“苏采云”系统下的政务CA全省通用。</w:t>
      </w:r>
    </w:p>
    <w:p w14:paraId="49258A08">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（3）“CA数字证书”的办理材料以及供应商操作手册详见：http://jsxcmm.com/help/gys.html。</w:t>
      </w:r>
    </w:p>
    <w:p w14:paraId="3128AC0D">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（4）潜在供应商访问“苏采云”系统的网络地址和方法：“苏采云”系统的网址：http://jszfcg.jsczt.cn/jszc/login。</w:t>
      </w:r>
    </w:p>
    <w:p w14:paraId="1B4BDE44">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（5）采购文件（后缀名为“.kedt”）、供应商操作手册及政府采购客户端工具也可通过“苏采云”系统--已报名项目--报名详情页面内相应链接进行下载。</w:t>
      </w:r>
    </w:p>
    <w:p w14:paraId="1B35C66F">
      <w:pPr>
        <w:tabs>
          <w:tab w:val="left" w:pos="0"/>
          <w:tab w:val="left" w:pos="510"/>
          <w:tab w:val="left" w:pos="1134"/>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（6）招标代理机构（采购代理机构）将数据电文形式的采购文件加载至“苏采云”系统，供潜在供应商下载或者查阅。 </w:t>
      </w:r>
    </w:p>
    <w:p w14:paraId="78E62644">
      <w:pPr>
        <w:widowControl/>
        <w:shd w:val="clear" w:color="auto" w:fill="FFFFFF"/>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14:paraId="156A0D0C">
      <w:pPr>
        <w:widowControl/>
        <w:shd w:val="clear" w:color="auto" w:fill="FFFFFF"/>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4..供应商诚信档案注册登记，按以下程序进行： </w:t>
      </w:r>
    </w:p>
    <w:p w14:paraId="561D3E26">
      <w:pPr>
        <w:widowControl/>
        <w:shd w:val="clear" w:color="auto" w:fill="FFFFFF"/>
        <w:spacing w:line="360" w:lineRule="auto"/>
        <w:rPr>
          <w:rFonts w:ascii="宋体" w:hAnsi="宋体" w:cs="宋体"/>
          <w:color w:val="auto"/>
          <w:szCs w:val="21"/>
          <w:highlight w:val="none"/>
        </w:rPr>
      </w:pPr>
      <w:r>
        <w:rPr>
          <w:rFonts w:hint="eastAsia" w:ascii="宋体" w:hAnsi="宋体" w:cs="宋体"/>
          <w:color w:val="auto"/>
          <w:szCs w:val="21"/>
          <w:highlight w:val="none"/>
        </w:rPr>
        <w:t>（1）进入“信用南京”或“南京公共采购信息网”网站，点击“南京政府采购供应商诚信档案”图标，或直接输入访问地址，在用户登录界面点击“新用户注册”；</w:t>
      </w:r>
    </w:p>
    <w:p w14:paraId="510D271B">
      <w:pPr>
        <w:widowControl/>
        <w:shd w:val="clear" w:color="auto" w:fill="FFFFFF"/>
        <w:spacing w:line="360" w:lineRule="auto"/>
        <w:rPr>
          <w:rFonts w:ascii="宋体" w:hAnsi="宋体" w:cs="宋体"/>
          <w:color w:val="auto"/>
          <w:szCs w:val="21"/>
          <w:highlight w:val="none"/>
        </w:rPr>
      </w:pPr>
      <w:r>
        <w:rPr>
          <w:rFonts w:hint="eastAsia" w:ascii="宋体" w:hAnsi="宋体" w:cs="宋体"/>
          <w:color w:val="auto"/>
          <w:szCs w:val="21"/>
          <w:highlight w:val="none"/>
        </w:rPr>
        <w:t>（2）在“新用户注册”界面，供应商自行设置用户名、登录密码，如实填写《南京市政府采购供应商诚信档案注册登记表》，并进行信用承诺确认后，提交注册申请； </w:t>
      </w:r>
    </w:p>
    <w:p w14:paraId="5608F045">
      <w:pPr>
        <w:widowControl/>
        <w:shd w:val="clear" w:color="auto" w:fill="FFFFFF"/>
        <w:spacing w:line="360" w:lineRule="auto"/>
        <w:rPr>
          <w:rFonts w:ascii="宋体" w:hAnsi="宋体" w:cs="宋体"/>
          <w:color w:val="auto"/>
          <w:szCs w:val="21"/>
          <w:highlight w:val="none"/>
        </w:rPr>
      </w:pPr>
      <w:r>
        <w:rPr>
          <w:rFonts w:hint="eastAsia" w:ascii="宋体" w:hAnsi="宋体" w:cs="宋体"/>
          <w:color w:val="auto"/>
          <w:szCs w:val="21"/>
          <w:highlight w:val="none"/>
        </w:rPr>
        <w:t>（3）系统审核后，供应商即可登录系统进行相关功能操作。</w:t>
      </w:r>
    </w:p>
    <w:p w14:paraId="2D2B7986">
      <w:pPr>
        <w:widowControl/>
        <w:shd w:val="clear" w:color="auto" w:fill="FFFFFF"/>
        <w:spacing w:line="360" w:lineRule="auto"/>
        <w:rPr>
          <w:rFonts w:ascii="宋体" w:hAnsi="宋体" w:cs="宋体"/>
          <w:color w:val="auto"/>
          <w:szCs w:val="21"/>
          <w:highlight w:val="none"/>
        </w:rPr>
      </w:pPr>
      <w:r>
        <w:rPr>
          <w:rFonts w:hint="eastAsia" w:ascii="宋体" w:hAnsi="宋体" w:cs="宋体"/>
          <w:color w:val="auto"/>
          <w:szCs w:val="21"/>
          <w:highlight w:val="none"/>
        </w:rPr>
        <w:t>南京市政府采购供应商诚信档案管理系统客服电话：025-52718366；供应商可就用户注册与打印“</w:t>
      </w:r>
      <w:r>
        <w:rPr>
          <w:rFonts w:hint="eastAsia" w:ascii="宋体" w:hAnsi="宋体" w:cs="宋体"/>
          <w:color w:val="auto"/>
          <w:highlight w:val="none"/>
        </w:rPr>
        <w:t>南京市政府采购供应商信用记录表暨信用承诺书</w:t>
      </w:r>
      <w:r>
        <w:rPr>
          <w:rFonts w:hint="eastAsia" w:ascii="宋体" w:hAnsi="宋体" w:cs="宋体"/>
          <w:color w:val="auto"/>
          <w:szCs w:val="21"/>
          <w:highlight w:val="none"/>
        </w:rPr>
        <w:t>”等事宜进行咨询。</w:t>
      </w:r>
    </w:p>
    <w:p w14:paraId="0DC085AF">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5.有关本次磋商的事项若存在变动或修改，敬请及时关注原公告平台发布的信息更正公告。</w:t>
      </w:r>
    </w:p>
    <w:p w14:paraId="04400489">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shd w:val="clear" w:color="auto" w:fill="FFFFFF"/>
          <w:lang w:bidi="ar"/>
        </w:rPr>
        <w:t>6.拒绝下述供应商参加本次采购活动：</w:t>
      </w:r>
    </w:p>
    <w:p w14:paraId="20D405CC">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shd w:val="clear" w:color="auto" w:fill="FFFFFF"/>
          <w:lang w:bidi="ar"/>
        </w:rPr>
        <w:t>（1）供应商单位负责人为同一人或者存在直接控股、管理关系的不同供应商，不得参加同一合同项下的政府采购活动。</w:t>
      </w:r>
    </w:p>
    <w:p w14:paraId="2493D4D8">
      <w:pPr>
        <w:widowControl/>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shd w:val="clear" w:color="auto" w:fill="FFFFFF"/>
          <w:lang w:bidi="ar"/>
        </w:rPr>
        <w:t>（2）除单一来源采购项目外，为采购项目提供整体设计、规范编制或者项目管理、监理、检测等服务的供应商，不得再参加该采购项目的其他采购活动。</w:t>
      </w:r>
    </w:p>
    <w:p w14:paraId="39E470E9">
      <w:pPr>
        <w:widowControl/>
        <w:spacing w:line="360" w:lineRule="auto"/>
        <w:ind w:firstLine="420" w:firstLineChars="200"/>
        <w:jc w:val="left"/>
        <w:rPr>
          <w:rFonts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（3）供应商被“信用中国”网站、“中国政府采购网”列入失信被执行人、重大税收违法案件当事人名单、政府采购严重违法失信行为记录名单。</w:t>
      </w:r>
    </w:p>
    <w:p w14:paraId="453074A2">
      <w:pPr>
        <w:pStyle w:val="185"/>
        <w:keepNext w:val="0"/>
        <w:keepLines w:val="0"/>
        <w:widowControl/>
        <w:shd w:val="clear" w:color="auto" w:fill="FFFFFF"/>
        <w:spacing w:before="0" w:after="0" w:line="360" w:lineRule="auto"/>
        <w:rPr>
          <w:rStyle w:val="244"/>
          <w:rFonts w:ascii="宋体" w:hAnsi="宋体" w:eastAsia="宋体" w:cs="宋体"/>
          <w:b/>
          <w:bCs/>
          <w:color w:val="auto"/>
          <w:sz w:val="22"/>
          <w:szCs w:val="22"/>
          <w:highlight w:val="none"/>
          <w:shd w:val="clear" w:color="auto" w:fill="FFFFFF"/>
        </w:rPr>
      </w:pPr>
      <w:bookmarkStart w:id="51" w:name="_Toc10877"/>
      <w:bookmarkStart w:id="52" w:name="_Toc25211"/>
      <w:bookmarkStart w:id="53" w:name="_Toc25164"/>
      <w:bookmarkStart w:id="54" w:name="_Toc7122"/>
      <w:bookmarkStart w:id="55" w:name="_Toc20331"/>
      <w:r>
        <w:rPr>
          <w:rStyle w:val="244"/>
          <w:rFonts w:hint="eastAsia" w:ascii="宋体" w:hAnsi="宋体" w:eastAsia="宋体" w:cs="宋体"/>
          <w:b/>
          <w:bCs/>
          <w:color w:val="auto"/>
          <w:sz w:val="22"/>
          <w:szCs w:val="22"/>
          <w:highlight w:val="none"/>
          <w:shd w:val="clear" w:color="auto" w:fill="FFFFFF"/>
        </w:rPr>
        <w:t>八、凡对本次采购提出询问，请按以下方式联系。</w:t>
      </w:r>
      <w:bookmarkEnd w:id="51"/>
      <w:bookmarkEnd w:id="52"/>
      <w:bookmarkEnd w:id="53"/>
      <w:bookmarkEnd w:id="54"/>
      <w:bookmarkEnd w:id="55"/>
    </w:p>
    <w:p w14:paraId="6F305197">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1.采购人信息</w:t>
      </w:r>
    </w:p>
    <w:p w14:paraId="76242358">
      <w:pPr>
        <w:pStyle w:val="237"/>
        <w:spacing w:before="0" w:beforeAutospacing="0" w:after="0" w:afterAutospacing="0" w:line="360" w:lineRule="auto"/>
        <w:ind w:firstLine="420" w:firstLineChars="200"/>
        <w:rPr>
          <w:color w:val="auto"/>
          <w:sz w:val="21"/>
          <w:szCs w:val="21"/>
          <w:highlight w:val="none"/>
          <w:shd w:val="clear" w:color="auto" w:fill="FFFFFF"/>
          <w:lang w:val="zh-CN"/>
        </w:rPr>
      </w:pPr>
      <w:r>
        <w:rPr>
          <w:rFonts w:hint="eastAsia"/>
          <w:color w:val="auto"/>
          <w:sz w:val="21"/>
          <w:szCs w:val="21"/>
          <w:highlight w:val="none"/>
          <w:shd w:val="clear" w:color="auto" w:fill="FFFFFF"/>
        </w:rPr>
        <w:t>单位名称：</w:t>
      </w:r>
      <w:r>
        <w:rPr>
          <w:rFonts w:hint="eastAsia"/>
          <w:color w:val="auto"/>
          <w:sz w:val="21"/>
          <w:szCs w:val="21"/>
          <w:highlight w:val="none"/>
          <w:shd w:val="clear" w:color="auto" w:fill="FFFFFF"/>
          <w:lang w:val="zh-CN"/>
        </w:rPr>
        <w:t>南京市江宁区人民政府汤山街道办事处</w:t>
      </w:r>
    </w:p>
    <w:p w14:paraId="187C8CD0">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单位地址：</w:t>
      </w:r>
      <w:r>
        <w:rPr>
          <w:rFonts w:hint="eastAsia"/>
          <w:color w:val="auto"/>
          <w:sz w:val="21"/>
          <w:szCs w:val="21"/>
          <w:highlight w:val="none"/>
          <w:shd w:val="clear" w:color="auto" w:fill="FFFFFF"/>
          <w:lang w:val="zh-CN"/>
        </w:rPr>
        <w:t>南京市江宁区汤山街道汤泉西路18号</w:t>
      </w:r>
    </w:p>
    <w:p w14:paraId="336DBD94">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联系人：夏工</w:t>
      </w:r>
    </w:p>
    <w:p w14:paraId="2973261D">
      <w:pPr>
        <w:pStyle w:val="237"/>
        <w:spacing w:before="0" w:beforeAutospacing="0" w:after="0" w:afterAutospacing="0" w:line="360" w:lineRule="auto"/>
        <w:ind w:firstLine="420" w:firstLineChars="200"/>
        <w:rPr>
          <w:color w:val="auto"/>
          <w:sz w:val="21"/>
          <w:szCs w:val="21"/>
          <w:highlight w:val="none"/>
          <w:shd w:val="clear" w:color="auto" w:fill="FFFFFF"/>
        </w:rPr>
      </w:pPr>
      <w:r>
        <w:rPr>
          <w:rFonts w:hint="eastAsia"/>
          <w:color w:val="auto"/>
          <w:sz w:val="21"/>
          <w:szCs w:val="21"/>
          <w:highlight w:val="none"/>
          <w:shd w:val="clear" w:color="auto" w:fill="FFFFFF"/>
        </w:rPr>
        <w:t>联系电话：</w:t>
      </w:r>
      <w:r>
        <w:rPr>
          <w:rFonts w:hint="eastAsia"/>
          <w:color w:val="auto"/>
          <w:sz w:val="21"/>
          <w:szCs w:val="21"/>
          <w:highlight w:val="none"/>
          <w:shd w:val="clear" w:color="auto" w:fill="FFFFFF"/>
          <w:lang w:val="zh-CN"/>
        </w:rPr>
        <w:t>025-85096713</w:t>
      </w:r>
    </w:p>
    <w:p w14:paraId="4FFA9D60">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2.采购代理机构信息</w:t>
      </w:r>
    </w:p>
    <w:p w14:paraId="64B36263">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单位名称：南京荣大工程项目管理有限公司</w:t>
      </w:r>
    </w:p>
    <w:p w14:paraId="0B44D80D">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单位地址：南京市江宁区东山街道潭园西路121号</w:t>
      </w:r>
    </w:p>
    <w:p w14:paraId="7E2C7B4D">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联系人：贺工</w:t>
      </w:r>
    </w:p>
    <w:p w14:paraId="7A482763">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联系电话：17705141491</w:t>
      </w:r>
    </w:p>
    <w:p w14:paraId="4DE83713">
      <w:pPr>
        <w:pStyle w:val="237"/>
        <w:shd w:val="clear" w:color="auto" w:fill="FFFFFF"/>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3.项目联系方式</w:t>
      </w:r>
    </w:p>
    <w:p w14:paraId="4E19ED6D">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项目联系人：贺工</w:t>
      </w:r>
    </w:p>
    <w:p w14:paraId="20A6CBBE">
      <w:pPr>
        <w:pStyle w:val="237"/>
        <w:spacing w:before="0" w:beforeAutospacing="0" w:after="0" w:afterAutospacing="0" w:line="360" w:lineRule="auto"/>
        <w:ind w:firstLine="420" w:firstLineChars="200"/>
        <w:rPr>
          <w:color w:val="auto"/>
          <w:sz w:val="21"/>
          <w:szCs w:val="21"/>
          <w:highlight w:val="none"/>
        </w:rPr>
      </w:pPr>
      <w:r>
        <w:rPr>
          <w:rFonts w:hint="eastAsia"/>
          <w:color w:val="auto"/>
          <w:sz w:val="21"/>
          <w:szCs w:val="21"/>
          <w:highlight w:val="none"/>
          <w:shd w:val="clear" w:color="auto" w:fill="FFFFFF"/>
        </w:rPr>
        <w:t>电话：17705141491</w:t>
      </w:r>
    </w:p>
    <w:p w14:paraId="6FDBD400">
      <w:pPr>
        <w:pStyle w:val="333"/>
        <w:ind w:right="45"/>
        <w:rPr>
          <w:rFonts w:eastAsia="宋体" w:cs="宋体"/>
          <w:b/>
          <w:color w:val="auto"/>
          <w:sz w:val="28"/>
          <w:szCs w:val="36"/>
          <w:highlight w:val="none"/>
        </w:rPr>
      </w:pPr>
      <w:r>
        <w:rPr>
          <w:rFonts w:hint="eastAsia" w:eastAsia="宋体" w:cs="宋体"/>
          <w:color w:val="auto"/>
          <w:highlight w:val="none"/>
        </w:rPr>
        <w:br w:type="page" w:clear="all"/>
      </w:r>
      <w:bookmarkStart w:id="56" w:name="_Toc6707"/>
      <w:bookmarkStart w:id="57" w:name="_Toc20171"/>
      <w:r>
        <w:rPr>
          <w:rFonts w:hint="eastAsia" w:eastAsia="宋体" w:cs="宋体"/>
          <w:b/>
          <w:bCs w:val="0"/>
          <w:color w:val="auto"/>
          <w:highlight w:val="none"/>
        </w:rPr>
        <w:t>第二章</w:t>
      </w:r>
      <w:r>
        <w:rPr>
          <w:rFonts w:hint="eastAsia" w:eastAsia="宋体" w:cs="宋体"/>
          <w:b/>
          <w:bCs w:val="0"/>
          <w:color w:val="auto"/>
          <w:highlight w:val="none"/>
          <w:lang w:val="en-US"/>
        </w:rPr>
        <w:t xml:space="preserve"> </w:t>
      </w:r>
      <w:r>
        <w:rPr>
          <w:rFonts w:hint="eastAsia" w:eastAsia="宋体" w:cs="宋体"/>
          <w:b/>
          <w:bCs w:val="0"/>
          <w:color w:val="auto"/>
          <w:highlight w:val="none"/>
        </w:rPr>
        <w:t>磋商供应商须知</w:t>
      </w:r>
      <w:bookmarkEnd w:id="15"/>
      <w:bookmarkEnd w:id="16"/>
      <w:bookmarkEnd w:id="17"/>
      <w:bookmarkEnd w:id="56"/>
      <w:r>
        <w:rPr>
          <w:rFonts w:hint="eastAsia" w:eastAsia="宋体" w:cs="宋体"/>
          <w:b/>
          <w:color w:val="auto"/>
          <w:sz w:val="28"/>
          <w:szCs w:val="36"/>
          <w:highlight w:val="none"/>
        </w:rPr>
        <w:t>前附表</w:t>
      </w:r>
      <w:bookmarkEnd w:id="18"/>
      <w:bookmarkEnd w:id="57"/>
    </w:p>
    <w:tbl>
      <w:tblPr>
        <w:tblStyle w:val="32"/>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
        <w:gridCol w:w="1138"/>
        <w:gridCol w:w="1215"/>
        <w:gridCol w:w="1294"/>
        <w:gridCol w:w="5149"/>
      </w:tblGrid>
      <w:tr w14:paraId="7FA57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468" w:type="dxa"/>
            <w:vAlign w:val="center"/>
          </w:tcPr>
          <w:p w14:paraId="24F610BF">
            <w:pPr>
              <w:jc w:val="center"/>
              <w:rPr>
                <w:rFonts w:ascii="宋体" w:hAnsi="宋体" w:cs="宋体"/>
                <w:b/>
                <w:color w:val="auto"/>
                <w:highlight w:val="none"/>
              </w:rPr>
            </w:pPr>
            <w:r>
              <w:rPr>
                <w:rFonts w:hint="eastAsia" w:ascii="宋体" w:hAnsi="宋体" w:cs="宋体"/>
                <w:b/>
                <w:color w:val="auto"/>
                <w:highlight w:val="none"/>
              </w:rPr>
              <w:t>序号</w:t>
            </w:r>
          </w:p>
        </w:tc>
        <w:tc>
          <w:tcPr>
            <w:tcW w:w="2353" w:type="dxa"/>
            <w:gridSpan w:val="2"/>
            <w:vAlign w:val="center"/>
          </w:tcPr>
          <w:p w14:paraId="24402484">
            <w:pPr>
              <w:jc w:val="center"/>
              <w:rPr>
                <w:rFonts w:ascii="宋体" w:hAnsi="宋体" w:cs="宋体"/>
                <w:b/>
                <w:color w:val="auto"/>
                <w:highlight w:val="none"/>
              </w:rPr>
            </w:pPr>
            <w:r>
              <w:rPr>
                <w:rFonts w:hint="eastAsia" w:ascii="宋体" w:hAnsi="宋体" w:cs="宋体"/>
                <w:b/>
                <w:color w:val="auto"/>
                <w:highlight w:val="none"/>
              </w:rPr>
              <w:t>项  目</w:t>
            </w:r>
          </w:p>
        </w:tc>
        <w:tc>
          <w:tcPr>
            <w:tcW w:w="6443" w:type="dxa"/>
            <w:gridSpan w:val="2"/>
            <w:vAlign w:val="center"/>
          </w:tcPr>
          <w:p w14:paraId="01070BAB">
            <w:pPr>
              <w:jc w:val="center"/>
              <w:rPr>
                <w:rFonts w:ascii="宋体" w:hAnsi="宋体" w:cs="宋体"/>
                <w:b/>
                <w:color w:val="auto"/>
                <w:highlight w:val="none"/>
              </w:rPr>
            </w:pPr>
            <w:r>
              <w:rPr>
                <w:rFonts w:hint="eastAsia" w:ascii="宋体" w:hAnsi="宋体" w:cs="宋体"/>
                <w:b/>
                <w:color w:val="auto"/>
                <w:highlight w:val="none"/>
              </w:rPr>
              <w:t>内        容</w:t>
            </w:r>
          </w:p>
        </w:tc>
      </w:tr>
      <w:tr w14:paraId="3502D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338BB661">
            <w:pPr>
              <w:jc w:val="center"/>
              <w:rPr>
                <w:rFonts w:ascii="宋体" w:hAnsi="宋体" w:cs="宋体"/>
                <w:color w:val="auto"/>
                <w:highlight w:val="none"/>
              </w:rPr>
            </w:pPr>
            <w:r>
              <w:rPr>
                <w:rFonts w:hint="eastAsia" w:ascii="宋体" w:hAnsi="宋体" w:cs="宋体"/>
                <w:color w:val="auto"/>
                <w:highlight w:val="none"/>
              </w:rPr>
              <w:t>1</w:t>
            </w:r>
          </w:p>
        </w:tc>
        <w:tc>
          <w:tcPr>
            <w:tcW w:w="2353" w:type="dxa"/>
            <w:gridSpan w:val="2"/>
            <w:vAlign w:val="center"/>
          </w:tcPr>
          <w:p w14:paraId="50802711">
            <w:pPr>
              <w:jc w:val="center"/>
              <w:rPr>
                <w:rFonts w:ascii="宋体" w:hAnsi="宋体" w:cs="宋体"/>
                <w:color w:val="auto"/>
                <w:highlight w:val="none"/>
              </w:rPr>
            </w:pPr>
            <w:r>
              <w:rPr>
                <w:rFonts w:hint="eastAsia" w:ascii="宋体" w:hAnsi="宋体" w:cs="宋体"/>
                <w:color w:val="auto"/>
                <w:highlight w:val="none"/>
              </w:rPr>
              <w:t>项目编号</w:t>
            </w:r>
          </w:p>
        </w:tc>
        <w:tc>
          <w:tcPr>
            <w:tcW w:w="6443" w:type="dxa"/>
            <w:gridSpan w:val="2"/>
            <w:vAlign w:val="center"/>
          </w:tcPr>
          <w:p w14:paraId="3F61B839">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JSZC-320115-NJRD-C2026-0009</w:t>
            </w:r>
          </w:p>
        </w:tc>
      </w:tr>
      <w:tr w14:paraId="2F2F8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5AA87C32">
            <w:pPr>
              <w:jc w:val="center"/>
              <w:rPr>
                <w:rFonts w:ascii="宋体" w:hAnsi="宋体" w:cs="宋体"/>
                <w:color w:val="auto"/>
                <w:highlight w:val="none"/>
              </w:rPr>
            </w:pPr>
            <w:r>
              <w:rPr>
                <w:rFonts w:hint="eastAsia" w:ascii="宋体" w:hAnsi="宋体" w:cs="宋体"/>
                <w:color w:val="auto"/>
                <w:highlight w:val="none"/>
              </w:rPr>
              <w:t>2</w:t>
            </w:r>
          </w:p>
        </w:tc>
        <w:tc>
          <w:tcPr>
            <w:tcW w:w="2353" w:type="dxa"/>
            <w:gridSpan w:val="2"/>
            <w:vAlign w:val="center"/>
          </w:tcPr>
          <w:p w14:paraId="1EFA11B4">
            <w:pPr>
              <w:jc w:val="center"/>
              <w:rPr>
                <w:rFonts w:ascii="宋体" w:hAnsi="宋体" w:cs="宋体"/>
                <w:color w:val="auto"/>
                <w:highlight w:val="none"/>
              </w:rPr>
            </w:pPr>
            <w:r>
              <w:rPr>
                <w:rFonts w:hint="eastAsia" w:ascii="宋体" w:hAnsi="宋体" w:cs="宋体"/>
                <w:color w:val="auto"/>
                <w:highlight w:val="none"/>
              </w:rPr>
              <w:t>项目名称</w:t>
            </w:r>
          </w:p>
        </w:tc>
        <w:tc>
          <w:tcPr>
            <w:tcW w:w="6443" w:type="dxa"/>
            <w:gridSpan w:val="2"/>
            <w:vAlign w:val="center"/>
          </w:tcPr>
          <w:p w14:paraId="1451237E">
            <w:pPr>
              <w:rPr>
                <w:rFonts w:ascii="宋体" w:hAnsi="宋体" w:cs="宋体"/>
                <w:color w:val="auto"/>
                <w:highlight w:val="none"/>
              </w:rPr>
            </w:pPr>
            <w:r>
              <w:rPr>
                <w:rFonts w:hint="eastAsia" w:ascii="宋体" w:hAnsi="宋体" w:cs="宋体"/>
                <w:color w:val="auto"/>
                <w:highlight w:val="none"/>
              </w:rPr>
              <w:t>汤山街道上窑湾引水上山工程</w:t>
            </w:r>
          </w:p>
        </w:tc>
      </w:tr>
      <w:tr w14:paraId="3E6F3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090619C4">
            <w:pPr>
              <w:jc w:val="center"/>
              <w:rPr>
                <w:rFonts w:ascii="宋体" w:hAnsi="宋体" w:cs="宋体"/>
                <w:color w:val="auto"/>
                <w:highlight w:val="none"/>
              </w:rPr>
            </w:pPr>
            <w:r>
              <w:rPr>
                <w:rFonts w:hint="eastAsia" w:ascii="宋体" w:hAnsi="宋体" w:cs="宋体"/>
                <w:color w:val="auto"/>
                <w:highlight w:val="none"/>
              </w:rPr>
              <w:t>3</w:t>
            </w:r>
          </w:p>
        </w:tc>
        <w:tc>
          <w:tcPr>
            <w:tcW w:w="2353" w:type="dxa"/>
            <w:gridSpan w:val="2"/>
            <w:vAlign w:val="center"/>
          </w:tcPr>
          <w:p w14:paraId="3570354A">
            <w:pPr>
              <w:jc w:val="center"/>
              <w:rPr>
                <w:rFonts w:ascii="宋体" w:hAnsi="宋体" w:cs="宋体"/>
                <w:color w:val="auto"/>
                <w:highlight w:val="none"/>
              </w:rPr>
            </w:pPr>
            <w:r>
              <w:rPr>
                <w:rFonts w:hint="eastAsia" w:ascii="宋体" w:hAnsi="宋体" w:cs="宋体"/>
                <w:color w:val="auto"/>
                <w:highlight w:val="none"/>
              </w:rPr>
              <w:t>招标代理机构</w:t>
            </w:r>
          </w:p>
        </w:tc>
        <w:tc>
          <w:tcPr>
            <w:tcW w:w="6443" w:type="dxa"/>
            <w:gridSpan w:val="2"/>
            <w:vAlign w:val="center"/>
          </w:tcPr>
          <w:p w14:paraId="3D38CDE0">
            <w:pPr>
              <w:rPr>
                <w:rFonts w:ascii="宋体" w:hAnsi="宋体" w:cs="宋体"/>
                <w:color w:val="auto"/>
                <w:highlight w:val="none"/>
              </w:rPr>
            </w:pPr>
            <w:r>
              <w:rPr>
                <w:rFonts w:hint="eastAsia" w:ascii="宋体" w:hAnsi="宋体" w:cs="宋体"/>
                <w:color w:val="auto"/>
                <w:highlight w:val="none"/>
              </w:rPr>
              <w:t>南京荣大工程项目管理有限公司</w:t>
            </w:r>
          </w:p>
        </w:tc>
      </w:tr>
      <w:tr w14:paraId="73302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5F181910">
            <w:pPr>
              <w:jc w:val="center"/>
              <w:rPr>
                <w:rFonts w:ascii="宋体" w:hAnsi="宋体" w:cs="宋体"/>
                <w:color w:val="auto"/>
                <w:highlight w:val="none"/>
              </w:rPr>
            </w:pPr>
            <w:r>
              <w:rPr>
                <w:rFonts w:hint="eastAsia" w:ascii="宋体" w:hAnsi="宋体" w:cs="宋体"/>
                <w:color w:val="auto"/>
                <w:highlight w:val="none"/>
              </w:rPr>
              <w:t>4</w:t>
            </w:r>
          </w:p>
        </w:tc>
        <w:tc>
          <w:tcPr>
            <w:tcW w:w="2353" w:type="dxa"/>
            <w:gridSpan w:val="2"/>
            <w:vAlign w:val="center"/>
          </w:tcPr>
          <w:p w14:paraId="3CF770AE">
            <w:pPr>
              <w:jc w:val="center"/>
              <w:rPr>
                <w:rFonts w:ascii="宋体" w:hAnsi="宋体" w:cs="宋体"/>
                <w:color w:val="auto"/>
                <w:highlight w:val="none"/>
              </w:rPr>
            </w:pPr>
            <w:r>
              <w:rPr>
                <w:rFonts w:hint="eastAsia" w:ascii="宋体" w:hAnsi="宋体" w:cs="宋体"/>
                <w:color w:val="auto"/>
                <w:highlight w:val="none"/>
              </w:rPr>
              <w:t>招标代理机构地址</w:t>
            </w:r>
          </w:p>
        </w:tc>
        <w:tc>
          <w:tcPr>
            <w:tcW w:w="6443" w:type="dxa"/>
            <w:gridSpan w:val="2"/>
            <w:vAlign w:val="center"/>
          </w:tcPr>
          <w:p w14:paraId="3D73CF5B">
            <w:pPr>
              <w:rPr>
                <w:rFonts w:ascii="宋体" w:hAnsi="宋体" w:cs="宋体"/>
                <w:color w:val="auto"/>
                <w:highlight w:val="none"/>
              </w:rPr>
            </w:pPr>
            <w:r>
              <w:rPr>
                <w:rFonts w:hint="eastAsia" w:ascii="宋体" w:hAnsi="宋体" w:cs="宋体"/>
                <w:color w:val="auto"/>
                <w:szCs w:val="21"/>
                <w:highlight w:val="none"/>
                <w:shd w:val="clear" w:color="auto" w:fill="FFFFFF"/>
              </w:rPr>
              <w:t>南京市江宁区东山街道潭园西路121号</w:t>
            </w:r>
          </w:p>
        </w:tc>
      </w:tr>
      <w:tr w14:paraId="0FAD6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68" w:type="dxa"/>
            <w:vAlign w:val="center"/>
          </w:tcPr>
          <w:p w14:paraId="3DAF1982">
            <w:pPr>
              <w:jc w:val="center"/>
              <w:rPr>
                <w:rFonts w:ascii="宋体" w:hAnsi="宋体" w:cs="宋体"/>
                <w:color w:val="auto"/>
                <w:highlight w:val="none"/>
              </w:rPr>
            </w:pPr>
            <w:r>
              <w:rPr>
                <w:rFonts w:hint="eastAsia" w:ascii="宋体" w:hAnsi="宋体" w:cs="宋体"/>
                <w:color w:val="auto"/>
                <w:highlight w:val="none"/>
              </w:rPr>
              <w:t>5</w:t>
            </w:r>
          </w:p>
        </w:tc>
        <w:tc>
          <w:tcPr>
            <w:tcW w:w="2353" w:type="dxa"/>
            <w:gridSpan w:val="2"/>
            <w:vAlign w:val="center"/>
          </w:tcPr>
          <w:p w14:paraId="67A5269E">
            <w:pPr>
              <w:jc w:val="center"/>
              <w:rPr>
                <w:rFonts w:ascii="宋体" w:hAnsi="宋体" w:cs="宋体"/>
                <w:color w:val="auto"/>
                <w:highlight w:val="none"/>
              </w:rPr>
            </w:pPr>
            <w:r>
              <w:rPr>
                <w:rFonts w:hint="eastAsia" w:ascii="宋体" w:hAnsi="宋体" w:cs="宋体"/>
                <w:color w:val="auto"/>
                <w:highlight w:val="none"/>
              </w:rPr>
              <w:t>项目最高限价</w:t>
            </w:r>
          </w:p>
        </w:tc>
        <w:tc>
          <w:tcPr>
            <w:tcW w:w="6443" w:type="dxa"/>
            <w:gridSpan w:val="2"/>
            <w:vAlign w:val="center"/>
          </w:tcPr>
          <w:p w14:paraId="61BB7246">
            <w:pPr>
              <w:rPr>
                <w:rFonts w:ascii="宋体" w:hAnsi="宋体" w:cs="宋体"/>
                <w:color w:val="auto"/>
                <w:highlight w:val="none"/>
              </w:rPr>
            </w:pPr>
            <w:r>
              <w:rPr>
                <w:rFonts w:hint="eastAsia" w:ascii="宋体" w:hAnsi="宋体" w:cs="宋体"/>
                <w:color w:val="auto"/>
                <w:highlight w:val="none"/>
              </w:rPr>
              <w:t>104.113288万元（</w:t>
            </w:r>
            <w:r>
              <w:rPr>
                <w:rFonts w:hint="eastAsia" w:ascii="宋体" w:hAnsi="宋体" w:cs="宋体"/>
                <w:color w:val="auto"/>
                <w:szCs w:val="21"/>
                <w:highlight w:val="none"/>
              </w:rPr>
              <w:t>供应商的磋商报价超过最高限价的其响应文件将被作为无效响应处理</w:t>
            </w:r>
            <w:r>
              <w:rPr>
                <w:rFonts w:hint="eastAsia" w:ascii="宋体" w:hAnsi="宋体" w:cs="宋体"/>
                <w:color w:val="auto"/>
                <w:highlight w:val="none"/>
              </w:rPr>
              <w:t>）</w:t>
            </w:r>
          </w:p>
        </w:tc>
      </w:tr>
      <w:tr w14:paraId="24E9A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7710CA83">
            <w:pPr>
              <w:jc w:val="center"/>
              <w:rPr>
                <w:rFonts w:ascii="宋体" w:hAnsi="宋体" w:cs="宋体"/>
                <w:color w:val="auto"/>
                <w:highlight w:val="none"/>
              </w:rPr>
            </w:pPr>
            <w:r>
              <w:rPr>
                <w:rFonts w:hint="eastAsia" w:ascii="宋体" w:hAnsi="宋体" w:cs="宋体"/>
                <w:color w:val="auto"/>
                <w:highlight w:val="none"/>
              </w:rPr>
              <w:t>6</w:t>
            </w:r>
          </w:p>
        </w:tc>
        <w:tc>
          <w:tcPr>
            <w:tcW w:w="2353" w:type="dxa"/>
            <w:gridSpan w:val="2"/>
            <w:vAlign w:val="center"/>
          </w:tcPr>
          <w:p w14:paraId="4ABF3095">
            <w:pPr>
              <w:jc w:val="center"/>
              <w:rPr>
                <w:rFonts w:ascii="宋体" w:hAnsi="宋体" w:cs="宋体"/>
                <w:color w:val="auto"/>
                <w:highlight w:val="none"/>
              </w:rPr>
            </w:pPr>
            <w:r>
              <w:rPr>
                <w:rFonts w:hint="eastAsia" w:ascii="宋体" w:hAnsi="宋体" w:cs="宋体"/>
                <w:color w:val="auto"/>
                <w:highlight w:val="none"/>
              </w:rPr>
              <w:t>合同履行期限</w:t>
            </w:r>
          </w:p>
        </w:tc>
        <w:tc>
          <w:tcPr>
            <w:tcW w:w="6443" w:type="dxa"/>
            <w:gridSpan w:val="2"/>
            <w:vAlign w:val="center"/>
          </w:tcPr>
          <w:p w14:paraId="0F20D8BF">
            <w:pPr>
              <w:rPr>
                <w:rFonts w:ascii="宋体" w:hAnsi="宋体" w:cs="宋体"/>
                <w:color w:val="auto"/>
                <w:highlight w:val="none"/>
              </w:rPr>
            </w:pPr>
            <w:r>
              <w:rPr>
                <w:rFonts w:ascii="宋体" w:hAnsi="宋体" w:cs="宋体"/>
                <w:color w:val="auto"/>
                <w:szCs w:val="21"/>
                <w:highlight w:val="none"/>
                <w:shd w:val="clear" w:color="auto" w:fill="FFFFFF"/>
              </w:rPr>
              <w:t>60</w:t>
            </w:r>
            <w:r>
              <w:rPr>
                <w:rFonts w:hint="eastAsia" w:ascii="宋体" w:hAnsi="宋体" w:cs="宋体"/>
                <w:color w:val="auto"/>
                <w:szCs w:val="21"/>
                <w:highlight w:val="none"/>
                <w:shd w:val="clear" w:color="auto" w:fill="FFFFFF"/>
              </w:rPr>
              <w:t>日历天</w:t>
            </w:r>
          </w:p>
        </w:tc>
      </w:tr>
      <w:tr w14:paraId="23A2D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45B312EF">
            <w:pPr>
              <w:widowControl/>
              <w:jc w:val="center"/>
              <w:rPr>
                <w:rFonts w:ascii="宋体" w:hAnsi="宋体" w:cs="宋体"/>
                <w:color w:val="auto"/>
                <w:highlight w:val="none"/>
              </w:rPr>
            </w:pPr>
            <w:r>
              <w:rPr>
                <w:rFonts w:hint="eastAsia" w:ascii="宋体" w:hAnsi="宋体" w:cs="宋体"/>
                <w:color w:val="auto"/>
                <w:highlight w:val="none"/>
              </w:rPr>
              <w:t>7</w:t>
            </w:r>
          </w:p>
        </w:tc>
        <w:tc>
          <w:tcPr>
            <w:tcW w:w="2353" w:type="dxa"/>
            <w:gridSpan w:val="2"/>
            <w:vAlign w:val="center"/>
          </w:tcPr>
          <w:p w14:paraId="2D536E00">
            <w:pPr>
              <w:jc w:val="center"/>
              <w:rPr>
                <w:rFonts w:ascii="宋体" w:hAnsi="宋体" w:cs="宋体"/>
                <w:color w:val="auto"/>
                <w:highlight w:val="none"/>
                <w:lang w:val="zh-CN"/>
              </w:rPr>
            </w:pPr>
            <w:r>
              <w:rPr>
                <w:rFonts w:hint="eastAsia" w:ascii="宋体" w:hAnsi="宋体" w:cs="宋体"/>
                <w:color w:val="auto"/>
                <w:highlight w:val="none"/>
                <w:lang w:val="zh-CN"/>
              </w:rPr>
              <w:t>磋商有效期</w:t>
            </w:r>
          </w:p>
        </w:tc>
        <w:tc>
          <w:tcPr>
            <w:tcW w:w="6443" w:type="dxa"/>
            <w:gridSpan w:val="2"/>
            <w:vAlign w:val="center"/>
          </w:tcPr>
          <w:p w14:paraId="62EF174B">
            <w:pPr>
              <w:jc w:val="left"/>
              <w:rPr>
                <w:rFonts w:ascii="宋体" w:hAnsi="宋体" w:cs="宋体"/>
                <w:color w:val="auto"/>
                <w:highlight w:val="none"/>
                <w:lang w:val="zh-CN"/>
              </w:rPr>
            </w:pPr>
            <w:r>
              <w:rPr>
                <w:rFonts w:hint="eastAsia" w:ascii="宋体" w:hAnsi="宋体" w:cs="宋体"/>
                <w:color w:val="auto"/>
                <w:highlight w:val="none"/>
                <w:lang w:val="zh-CN"/>
              </w:rPr>
              <w:t>90天</w:t>
            </w:r>
          </w:p>
        </w:tc>
      </w:tr>
      <w:tr w14:paraId="6A649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vAlign w:val="center"/>
          </w:tcPr>
          <w:p w14:paraId="180BE7BC">
            <w:pPr>
              <w:widowControl/>
              <w:jc w:val="center"/>
              <w:rPr>
                <w:rFonts w:ascii="宋体" w:hAnsi="宋体" w:cs="宋体"/>
                <w:color w:val="auto"/>
                <w:highlight w:val="none"/>
              </w:rPr>
            </w:pPr>
            <w:r>
              <w:rPr>
                <w:rFonts w:hint="eastAsia" w:ascii="宋体" w:hAnsi="宋体" w:cs="宋体"/>
                <w:color w:val="auto"/>
                <w:highlight w:val="none"/>
              </w:rPr>
              <w:t>8</w:t>
            </w:r>
          </w:p>
        </w:tc>
        <w:tc>
          <w:tcPr>
            <w:tcW w:w="1138" w:type="dxa"/>
            <w:vMerge w:val="restart"/>
            <w:vAlign w:val="center"/>
          </w:tcPr>
          <w:p w14:paraId="1A72549D">
            <w:pPr>
              <w:jc w:val="center"/>
              <w:rPr>
                <w:rFonts w:ascii="宋体" w:hAnsi="宋体" w:cs="宋体"/>
                <w:color w:val="auto"/>
                <w:highlight w:val="none"/>
              </w:rPr>
            </w:pPr>
            <w:r>
              <w:rPr>
                <w:rFonts w:hint="eastAsia" w:ascii="宋体" w:hAnsi="宋体" w:cs="宋体"/>
                <w:color w:val="auto"/>
                <w:highlight w:val="none"/>
              </w:rPr>
              <w:t>磋商文件获取方法</w:t>
            </w:r>
          </w:p>
        </w:tc>
        <w:tc>
          <w:tcPr>
            <w:tcW w:w="1215" w:type="dxa"/>
            <w:vAlign w:val="center"/>
          </w:tcPr>
          <w:p w14:paraId="4A745035">
            <w:pPr>
              <w:jc w:val="center"/>
              <w:rPr>
                <w:rFonts w:ascii="宋体" w:hAnsi="宋体" w:cs="宋体"/>
                <w:color w:val="auto"/>
                <w:highlight w:val="none"/>
                <w:lang w:val="zh-CN"/>
              </w:rPr>
            </w:pPr>
            <w:r>
              <w:rPr>
                <w:rFonts w:hint="eastAsia" w:ascii="宋体" w:hAnsi="宋体" w:cs="宋体"/>
                <w:color w:val="auto"/>
                <w:highlight w:val="none"/>
                <w:lang w:val="zh-CN"/>
              </w:rPr>
              <w:t>时间</w:t>
            </w:r>
          </w:p>
        </w:tc>
        <w:tc>
          <w:tcPr>
            <w:tcW w:w="6443" w:type="dxa"/>
            <w:gridSpan w:val="2"/>
            <w:vAlign w:val="center"/>
          </w:tcPr>
          <w:p w14:paraId="5BE81F5B">
            <w:pPr>
              <w:rPr>
                <w:rFonts w:ascii="宋体" w:hAnsi="宋体" w:cs="宋体"/>
                <w:color w:val="auto"/>
                <w:highlight w:val="none"/>
                <w:lang w:val="zh-CN"/>
              </w:rPr>
            </w:pPr>
            <w:r>
              <w:rPr>
                <w:rFonts w:hint="eastAsia" w:ascii="宋体" w:hAnsi="宋体" w:cs="宋体"/>
                <w:color w:val="auto"/>
                <w:szCs w:val="21"/>
                <w:highlight w:val="none"/>
                <w:shd w:val="clear" w:color="auto" w:fill="FFFFFF"/>
              </w:rPr>
              <w:t>2026年</w:t>
            </w:r>
            <w:r>
              <w:rPr>
                <w:rFonts w:hint="eastAsia" w:cs="宋体"/>
                <w:color w:val="auto"/>
                <w:szCs w:val="21"/>
                <w:highlight w:val="none"/>
                <w:shd w:val="clear" w:color="auto" w:fill="FFFFFF"/>
              </w:rPr>
              <w:t xml:space="preserve">  </w:t>
            </w:r>
            <w:r>
              <w:rPr>
                <w:rFonts w:hint="eastAsia" w:cs="宋体"/>
                <w:color w:val="auto"/>
                <w:szCs w:val="21"/>
                <w:highlight w:val="none"/>
                <w:shd w:val="clear" w:color="auto" w:fill="FFFFFF"/>
                <w:lang w:val="en-US" w:eastAsia="zh-CN"/>
              </w:rPr>
              <w:t>8</w:t>
            </w:r>
            <w:r>
              <w:rPr>
                <w:rFonts w:hint="eastAsia"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月</w:t>
            </w:r>
            <w:r>
              <w:rPr>
                <w:rFonts w:hint="eastAsia" w:cs="宋体"/>
                <w:color w:val="auto"/>
                <w:szCs w:val="21"/>
                <w:highlight w:val="none"/>
                <w:shd w:val="clear" w:color="auto" w:fill="FFFFFF"/>
              </w:rPr>
              <w:t xml:space="preserve">  </w:t>
            </w:r>
            <w:r>
              <w:rPr>
                <w:rFonts w:hint="eastAsia" w:cs="宋体"/>
                <w:color w:val="auto"/>
                <w:szCs w:val="21"/>
                <w:highlight w:val="none"/>
                <w:shd w:val="clear" w:color="auto" w:fill="FFFFFF"/>
                <w:lang w:val="en-US" w:eastAsia="zh-CN"/>
              </w:rPr>
              <w:t>21</w:t>
            </w:r>
            <w:r>
              <w:rPr>
                <w:rFonts w:hint="eastAsia"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日至2026年</w:t>
            </w:r>
            <w:r>
              <w:rPr>
                <w:rFonts w:hint="eastAsia" w:cs="宋体"/>
                <w:color w:val="auto"/>
                <w:szCs w:val="21"/>
                <w:highlight w:val="none"/>
                <w:shd w:val="clear" w:color="auto" w:fill="FFFFFF"/>
              </w:rPr>
              <w:t xml:space="preserve">   </w:t>
            </w:r>
            <w:r>
              <w:rPr>
                <w:rFonts w:hint="eastAsia" w:cs="宋体"/>
                <w:color w:val="auto"/>
                <w:szCs w:val="21"/>
                <w:highlight w:val="none"/>
                <w:shd w:val="clear" w:color="auto" w:fill="FFFFFF"/>
                <w:lang w:val="en-US" w:eastAsia="zh-CN"/>
              </w:rPr>
              <w:t>8</w:t>
            </w:r>
            <w:r>
              <w:rPr>
                <w:rFonts w:hint="eastAsia"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月</w:t>
            </w:r>
            <w:r>
              <w:rPr>
                <w:rFonts w:hint="eastAsia" w:cs="宋体"/>
                <w:color w:val="auto"/>
                <w:szCs w:val="21"/>
                <w:highlight w:val="none"/>
                <w:shd w:val="clear" w:color="auto" w:fill="FFFFFF"/>
              </w:rPr>
              <w:t xml:space="preserve">   </w:t>
            </w:r>
            <w:r>
              <w:rPr>
                <w:rFonts w:hint="eastAsia" w:cs="宋体"/>
                <w:color w:val="auto"/>
                <w:szCs w:val="21"/>
                <w:highlight w:val="none"/>
                <w:shd w:val="clear" w:color="auto" w:fill="FFFFFF"/>
                <w:lang w:val="en-US" w:eastAsia="zh-CN"/>
              </w:rPr>
              <w:t>27</w:t>
            </w:r>
            <w:r>
              <w:rPr>
                <w:rFonts w:hint="eastAsia"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日</w:t>
            </w:r>
          </w:p>
        </w:tc>
      </w:tr>
      <w:tr w14:paraId="17B91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vAlign w:val="center"/>
          </w:tcPr>
          <w:p w14:paraId="3400901E">
            <w:pPr>
              <w:widowControl/>
              <w:jc w:val="center"/>
              <w:rPr>
                <w:rFonts w:ascii="宋体" w:hAnsi="宋体" w:cs="宋体"/>
                <w:color w:val="auto"/>
                <w:highlight w:val="none"/>
              </w:rPr>
            </w:pPr>
          </w:p>
        </w:tc>
        <w:tc>
          <w:tcPr>
            <w:tcW w:w="1138" w:type="dxa"/>
            <w:vMerge w:val="continue"/>
            <w:vAlign w:val="center"/>
          </w:tcPr>
          <w:p w14:paraId="4F2C5115">
            <w:pPr>
              <w:widowControl/>
              <w:jc w:val="left"/>
              <w:rPr>
                <w:rFonts w:ascii="宋体" w:hAnsi="宋体" w:cs="宋体"/>
                <w:color w:val="auto"/>
                <w:highlight w:val="none"/>
              </w:rPr>
            </w:pPr>
          </w:p>
        </w:tc>
        <w:tc>
          <w:tcPr>
            <w:tcW w:w="1215" w:type="dxa"/>
            <w:vAlign w:val="center"/>
          </w:tcPr>
          <w:p w14:paraId="2F7C3BD7">
            <w:pPr>
              <w:jc w:val="center"/>
              <w:rPr>
                <w:rFonts w:ascii="宋体" w:hAnsi="宋体" w:cs="宋体"/>
                <w:color w:val="auto"/>
                <w:highlight w:val="none"/>
              </w:rPr>
            </w:pPr>
            <w:r>
              <w:rPr>
                <w:rFonts w:hint="eastAsia" w:ascii="宋体" w:hAnsi="宋体" w:cs="宋体"/>
                <w:color w:val="auto"/>
                <w:highlight w:val="none"/>
              </w:rPr>
              <w:t>地点</w:t>
            </w:r>
          </w:p>
        </w:tc>
        <w:tc>
          <w:tcPr>
            <w:tcW w:w="6443" w:type="dxa"/>
            <w:gridSpan w:val="2"/>
            <w:vAlign w:val="center"/>
          </w:tcPr>
          <w:p w14:paraId="59A89AD1">
            <w:pPr>
              <w:rPr>
                <w:rFonts w:ascii="宋体" w:hAnsi="宋体" w:cs="宋体"/>
                <w:color w:val="auto"/>
                <w:highlight w:val="none"/>
                <w:lang w:val="zh-CN"/>
              </w:rPr>
            </w:pPr>
            <w:r>
              <w:rPr>
                <w:rFonts w:hint="eastAsia" w:ascii="宋体" w:hAnsi="宋体" w:cs="宋体"/>
                <w:color w:val="auto"/>
                <w:szCs w:val="21"/>
                <w:highlight w:val="none"/>
                <w:shd w:val="clear" w:color="auto" w:fill="FFFFFF"/>
              </w:rPr>
              <w:t>“苏采云”江苏省政府采购交易系统</w:t>
            </w:r>
          </w:p>
        </w:tc>
      </w:tr>
      <w:tr w14:paraId="16A8B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vAlign w:val="center"/>
          </w:tcPr>
          <w:p w14:paraId="7B5CFB0B">
            <w:pPr>
              <w:widowControl/>
              <w:jc w:val="center"/>
              <w:rPr>
                <w:rFonts w:ascii="宋体" w:hAnsi="宋体" w:cs="宋体"/>
                <w:color w:val="auto"/>
                <w:highlight w:val="none"/>
              </w:rPr>
            </w:pPr>
          </w:p>
        </w:tc>
        <w:tc>
          <w:tcPr>
            <w:tcW w:w="1138" w:type="dxa"/>
            <w:vMerge w:val="continue"/>
            <w:vAlign w:val="center"/>
          </w:tcPr>
          <w:p w14:paraId="3871805A">
            <w:pPr>
              <w:widowControl/>
              <w:jc w:val="left"/>
              <w:rPr>
                <w:rFonts w:ascii="宋体" w:hAnsi="宋体" w:cs="宋体"/>
                <w:color w:val="auto"/>
                <w:highlight w:val="none"/>
              </w:rPr>
            </w:pPr>
          </w:p>
        </w:tc>
        <w:tc>
          <w:tcPr>
            <w:tcW w:w="1215" w:type="dxa"/>
            <w:vAlign w:val="center"/>
          </w:tcPr>
          <w:p w14:paraId="3DF9317B">
            <w:pPr>
              <w:jc w:val="center"/>
              <w:rPr>
                <w:rFonts w:ascii="宋体" w:hAnsi="宋体" w:cs="宋体"/>
                <w:color w:val="auto"/>
                <w:highlight w:val="none"/>
              </w:rPr>
            </w:pPr>
            <w:r>
              <w:rPr>
                <w:rFonts w:hint="eastAsia" w:ascii="宋体" w:hAnsi="宋体" w:cs="宋体"/>
                <w:color w:val="auto"/>
                <w:highlight w:val="none"/>
              </w:rPr>
              <w:t>要求</w:t>
            </w:r>
          </w:p>
        </w:tc>
        <w:tc>
          <w:tcPr>
            <w:tcW w:w="6443" w:type="dxa"/>
            <w:gridSpan w:val="2"/>
            <w:vAlign w:val="center"/>
          </w:tcPr>
          <w:p w14:paraId="0AB53752">
            <w:pPr>
              <w:rPr>
                <w:rFonts w:ascii="宋体" w:hAnsi="宋体" w:cs="宋体"/>
                <w:color w:val="auto"/>
                <w:szCs w:val="22"/>
                <w:highlight w:val="none"/>
              </w:rPr>
            </w:pPr>
            <w:r>
              <w:rPr>
                <w:rFonts w:hint="eastAsia" w:ascii="宋体" w:hAnsi="宋体" w:cs="宋体"/>
                <w:color w:val="auto"/>
                <w:szCs w:val="21"/>
                <w:highlight w:val="none"/>
                <w:shd w:val="clear" w:color="auto" w:fill="FFFFFF"/>
                <w:lang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tc>
      </w:tr>
      <w:tr w14:paraId="57F7D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vAlign w:val="center"/>
          </w:tcPr>
          <w:p w14:paraId="06603213">
            <w:pPr>
              <w:widowControl/>
              <w:jc w:val="center"/>
              <w:rPr>
                <w:rFonts w:ascii="宋体" w:hAnsi="宋体" w:cs="宋体"/>
                <w:color w:val="auto"/>
                <w:highlight w:val="none"/>
              </w:rPr>
            </w:pPr>
            <w:r>
              <w:rPr>
                <w:rFonts w:hint="eastAsia" w:ascii="宋体" w:hAnsi="宋体" w:cs="宋体"/>
                <w:color w:val="auto"/>
                <w:highlight w:val="none"/>
              </w:rPr>
              <w:t>9</w:t>
            </w:r>
          </w:p>
        </w:tc>
        <w:tc>
          <w:tcPr>
            <w:tcW w:w="1138" w:type="dxa"/>
            <w:vMerge w:val="restart"/>
            <w:vAlign w:val="center"/>
          </w:tcPr>
          <w:p w14:paraId="0FDDE8E9">
            <w:pPr>
              <w:jc w:val="center"/>
              <w:rPr>
                <w:rFonts w:ascii="宋体" w:hAnsi="宋体" w:cs="宋体"/>
                <w:color w:val="auto"/>
                <w:highlight w:val="none"/>
              </w:rPr>
            </w:pPr>
            <w:r>
              <w:rPr>
                <w:rFonts w:hint="eastAsia" w:ascii="宋体" w:hAnsi="宋体" w:cs="宋体"/>
                <w:color w:val="auto"/>
                <w:highlight w:val="none"/>
              </w:rPr>
              <w:t>响应文件的递交</w:t>
            </w:r>
          </w:p>
        </w:tc>
        <w:tc>
          <w:tcPr>
            <w:tcW w:w="1215" w:type="dxa"/>
            <w:vAlign w:val="center"/>
          </w:tcPr>
          <w:p w14:paraId="6738253F">
            <w:pPr>
              <w:jc w:val="center"/>
              <w:rPr>
                <w:rFonts w:ascii="宋体" w:hAnsi="宋体" w:cs="宋体"/>
                <w:color w:val="auto"/>
                <w:highlight w:val="none"/>
                <w:lang w:val="zh-CN"/>
              </w:rPr>
            </w:pPr>
            <w:r>
              <w:rPr>
                <w:rFonts w:hint="eastAsia" w:ascii="宋体" w:hAnsi="宋体" w:cs="宋体"/>
                <w:color w:val="auto"/>
                <w:highlight w:val="none"/>
              </w:rPr>
              <w:t>截止</w:t>
            </w:r>
            <w:r>
              <w:rPr>
                <w:rFonts w:hint="eastAsia" w:ascii="宋体" w:hAnsi="宋体" w:cs="宋体"/>
                <w:color w:val="auto"/>
                <w:highlight w:val="none"/>
                <w:lang w:val="zh-CN"/>
              </w:rPr>
              <w:t>时间</w:t>
            </w:r>
          </w:p>
        </w:tc>
        <w:tc>
          <w:tcPr>
            <w:tcW w:w="6443" w:type="dxa"/>
            <w:gridSpan w:val="2"/>
            <w:vAlign w:val="center"/>
          </w:tcPr>
          <w:p w14:paraId="505B89E1">
            <w:pPr>
              <w:rPr>
                <w:rFonts w:ascii="宋体" w:hAnsi="宋体" w:cs="宋体"/>
                <w:color w:val="auto"/>
                <w:highlight w:val="none"/>
              </w:rPr>
            </w:pPr>
            <w:r>
              <w:rPr>
                <w:rFonts w:hint="eastAsia" w:ascii="宋体" w:hAnsi="宋体" w:cs="宋体"/>
                <w:color w:val="auto"/>
                <w:szCs w:val="21"/>
                <w:highlight w:val="none"/>
              </w:rPr>
              <w:t xml:space="preserve">2026年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 月  </w:t>
            </w:r>
            <w:r>
              <w:rPr>
                <w:rFonts w:hint="eastAsia" w:ascii="宋体" w:hAnsi="宋体" w:cs="宋体"/>
                <w:color w:val="auto"/>
                <w:szCs w:val="21"/>
                <w:highlight w:val="none"/>
                <w:lang w:val="en-US" w:eastAsia="zh-CN"/>
              </w:rPr>
              <w:t>31</w:t>
            </w:r>
            <w:r>
              <w:rPr>
                <w:rFonts w:hint="eastAsia" w:ascii="宋体" w:hAnsi="宋体" w:cs="宋体"/>
                <w:color w:val="auto"/>
                <w:szCs w:val="21"/>
                <w:highlight w:val="none"/>
              </w:rPr>
              <w:t xml:space="preserve"> 日09:30</w:t>
            </w:r>
          </w:p>
        </w:tc>
      </w:tr>
      <w:tr w14:paraId="58BEC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vAlign w:val="center"/>
          </w:tcPr>
          <w:p w14:paraId="5A4CF253">
            <w:pPr>
              <w:widowControl/>
              <w:jc w:val="center"/>
              <w:rPr>
                <w:rFonts w:ascii="宋体" w:hAnsi="宋体" w:cs="宋体"/>
                <w:color w:val="auto"/>
                <w:highlight w:val="none"/>
              </w:rPr>
            </w:pPr>
          </w:p>
        </w:tc>
        <w:tc>
          <w:tcPr>
            <w:tcW w:w="1138" w:type="dxa"/>
            <w:vMerge w:val="continue"/>
            <w:vAlign w:val="center"/>
          </w:tcPr>
          <w:p w14:paraId="15F16FD6">
            <w:pPr>
              <w:widowControl/>
              <w:jc w:val="left"/>
              <w:rPr>
                <w:rFonts w:ascii="宋体" w:hAnsi="宋体" w:cs="宋体"/>
                <w:color w:val="auto"/>
                <w:highlight w:val="none"/>
              </w:rPr>
            </w:pPr>
          </w:p>
        </w:tc>
        <w:tc>
          <w:tcPr>
            <w:tcW w:w="1215" w:type="dxa"/>
            <w:vAlign w:val="center"/>
          </w:tcPr>
          <w:p w14:paraId="1DD63243">
            <w:pPr>
              <w:jc w:val="center"/>
              <w:rPr>
                <w:rFonts w:ascii="宋体" w:hAnsi="宋体" w:cs="宋体"/>
                <w:color w:val="auto"/>
                <w:highlight w:val="none"/>
                <w:lang w:val="zh-CN"/>
              </w:rPr>
            </w:pPr>
            <w:r>
              <w:rPr>
                <w:rFonts w:hint="eastAsia" w:ascii="宋体" w:hAnsi="宋体" w:cs="宋体"/>
                <w:color w:val="auto"/>
                <w:highlight w:val="none"/>
                <w:lang w:val="zh-CN"/>
              </w:rPr>
              <w:t>地点</w:t>
            </w:r>
          </w:p>
        </w:tc>
        <w:tc>
          <w:tcPr>
            <w:tcW w:w="6443" w:type="dxa"/>
            <w:gridSpan w:val="2"/>
            <w:vAlign w:val="center"/>
          </w:tcPr>
          <w:p w14:paraId="76238448">
            <w:pPr>
              <w:rPr>
                <w:rFonts w:ascii="宋体" w:hAnsi="宋体" w:cs="宋体"/>
                <w:color w:val="auto"/>
                <w:highlight w:val="none"/>
                <w:lang w:val="zh-CN"/>
              </w:rPr>
            </w:pPr>
            <w:r>
              <w:rPr>
                <w:rFonts w:hint="eastAsia" w:ascii="宋体" w:hAnsi="宋体" w:cs="宋体"/>
                <w:color w:val="auto"/>
                <w:szCs w:val="21"/>
                <w:highlight w:val="none"/>
                <w:shd w:val="clear" w:color="auto" w:fill="FFFFFF"/>
              </w:rPr>
              <w:t>“苏采云”江苏省政府采购交易系统网上开标大厅</w:t>
            </w:r>
          </w:p>
        </w:tc>
      </w:tr>
      <w:tr w14:paraId="48A16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Align w:val="center"/>
          </w:tcPr>
          <w:p w14:paraId="58DB3BF2">
            <w:pPr>
              <w:jc w:val="center"/>
              <w:rPr>
                <w:rFonts w:ascii="宋体" w:hAnsi="宋体" w:cs="宋体"/>
                <w:color w:val="auto"/>
                <w:highlight w:val="none"/>
              </w:rPr>
            </w:pPr>
            <w:r>
              <w:rPr>
                <w:rFonts w:hint="eastAsia" w:ascii="宋体" w:hAnsi="宋体" w:cs="宋体"/>
                <w:color w:val="auto"/>
                <w:highlight w:val="none"/>
              </w:rPr>
              <w:t>10</w:t>
            </w:r>
          </w:p>
        </w:tc>
        <w:tc>
          <w:tcPr>
            <w:tcW w:w="2353" w:type="dxa"/>
            <w:gridSpan w:val="2"/>
            <w:vAlign w:val="center"/>
          </w:tcPr>
          <w:p w14:paraId="6E8AAB61">
            <w:pPr>
              <w:jc w:val="center"/>
              <w:rPr>
                <w:rFonts w:ascii="宋体" w:hAnsi="宋体" w:cs="宋体"/>
                <w:color w:val="auto"/>
                <w:highlight w:val="none"/>
                <w:lang w:val="zh-CN"/>
              </w:rPr>
            </w:pPr>
            <w:r>
              <w:rPr>
                <w:rFonts w:hint="eastAsia" w:ascii="宋体" w:hAnsi="宋体" w:cs="宋体"/>
                <w:color w:val="auto"/>
                <w:highlight w:val="none"/>
              </w:rPr>
              <w:t>响应文件</w:t>
            </w:r>
            <w:r>
              <w:rPr>
                <w:rFonts w:hint="eastAsia" w:ascii="宋体" w:hAnsi="宋体" w:cs="宋体"/>
                <w:color w:val="auto"/>
                <w:highlight w:val="none"/>
                <w:lang w:val="zh-CN"/>
              </w:rPr>
              <w:t>份数</w:t>
            </w:r>
          </w:p>
        </w:tc>
        <w:tc>
          <w:tcPr>
            <w:tcW w:w="6443" w:type="dxa"/>
            <w:gridSpan w:val="2"/>
            <w:vAlign w:val="center"/>
          </w:tcPr>
          <w:p w14:paraId="74EC3CBD">
            <w:pPr>
              <w:pStyle w:val="211"/>
              <w:jc w:val="left"/>
              <w:rPr>
                <w:rFonts w:ascii="宋体" w:hAnsi="宋体" w:eastAsia="宋体" w:cs="宋体"/>
                <w:color w:val="auto"/>
                <w:position w:val="0"/>
                <w:sz w:val="21"/>
                <w:szCs w:val="24"/>
                <w:highlight w:val="none"/>
                <w:lang w:val="zh-CN"/>
              </w:rPr>
            </w:pPr>
            <w:r>
              <w:rPr>
                <w:rFonts w:hint="eastAsia" w:ascii="宋体" w:hAnsi="宋体" w:eastAsia="宋体" w:cs="宋体"/>
                <w:color w:val="auto"/>
                <w:position w:val="0"/>
                <w:sz w:val="21"/>
                <w:szCs w:val="21"/>
                <w:highlight w:val="none"/>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tc>
      </w:tr>
      <w:tr w14:paraId="28A14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468" w:type="dxa"/>
            <w:vMerge w:val="restart"/>
            <w:vAlign w:val="center"/>
          </w:tcPr>
          <w:p w14:paraId="7962C134">
            <w:pPr>
              <w:widowControl/>
              <w:jc w:val="center"/>
              <w:rPr>
                <w:rFonts w:ascii="宋体" w:hAnsi="宋体" w:cs="宋体"/>
                <w:color w:val="auto"/>
                <w:highlight w:val="none"/>
              </w:rPr>
            </w:pPr>
            <w:r>
              <w:rPr>
                <w:rFonts w:hint="eastAsia" w:ascii="宋体" w:hAnsi="宋体" w:cs="宋体"/>
                <w:color w:val="auto"/>
                <w:highlight w:val="none"/>
              </w:rPr>
              <w:t>11</w:t>
            </w:r>
          </w:p>
        </w:tc>
        <w:tc>
          <w:tcPr>
            <w:tcW w:w="1138" w:type="dxa"/>
            <w:vMerge w:val="restart"/>
            <w:vAlign w:val="center"/>
          </w:tcPr>
          <w:p w14:paraId="51C99151">
            <w:pPr>
              <w:jc w:val="center"/>
              <w:rPr>
                <w:rFonts w:ascii="宋体" w:hAnsi="宋体" w:cs="宋体"/>
                <w:color w:val="auto"/>
                <w:highlight w:val="none"/>
              </w:rPr>
            </w:pPr>
            <w:r>
              <w:rPr>
                <w:rFonts w:hint="eastAsia" w:ascii="宋体" w:hAnsi="宋体" w:cs="宋体"/>
                <w:color w:val="auto"/>
                <w:highlight w:val="none"/>
              </w:rPr>
              <w:t>磋商信息</w:t>
            </w:r>
          </w:p>
        </w:tc>
        <w:tc>
          <w:tcPr>
            <w:tcW w:w="1215" w:type="dxa"/>
            <w:vAlign w:val="center"/>
          </w:tcPr>
          <w:p w14:paraId="5AB2E07E">
            <w:pPr>
              <w:jc w:val="center"/>
              <w:rPr>
                <w:rFonts w:ascii="宋体" w:hAnsi="宋体" w:cs="宋体"/>
                <w:color w:val="auto"/>
                <w:highlight w:val="none"/>
                <w:lang w:val="zh-CN"/>
              </w:rPr>
            </w:pPr>
            <w:r>
              <w:rPr>
                <w:rFonts w:hint="eastAsia" w:ascii="宋体" w:hAnsi="宋体" w:cs="宋体"/>
                <w:color w:val="auto"/>
                <w:highlight w:val="none"/>
              </w:rPr>
              <w:t>开启</w:t>
            </w:r>
            <w:r>
              <w:rPr>
                <w:rFonts w:hint="eastAsia" w:ascii="宋体" w:hAnsi="宋体" w:cs="宋体"/>
                <w:color w:val="auto"/>
                <w:highlight w:val="none"/>
                <w:lang w:val="zh-CN"/>
              </w:rPr>
              <w:t>时间</w:t>
            </w:r>
          </w:p>
        </w:tc>
        <w:tc>
          <w:tcPr>
            <w:tcW w:w="6443" w:type="dxa"/>
            <w:gridSpan w:val="2"/>
            <w:vAlign w:val="center"/>
          </w:tcPr>
          <w:p w14:paraId="03A8BB80">
            <w:pPr>
              <w:rPr>
                <w:rFonts w:ascii="宋体" w:hAnsi="宋体" w:cs="宋体"/>
                <w:color w:val="auto"/>
                <w:highlight w:val="none"/>
                <w:lang w:val="zh-CN"/>
              </w:rPr>
            </w:pPr>
            <w:r>
              <w:rPr>
                <w:rFonts w:hint="eastAsia" w:ascii="宋体" w:hAnsi="宋体" w:cs="宋体"/>
                <w:color w:val="auto"/>
                <w:szCs w:val="21"/>
                <w:highlight w:val="none"/>
              </w:rPr>
              <w:t xml:space="preserve">2026年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 月 </w:t>
            </w:r>
            <w:r>
              <w:rPr>
                <w:rFonts w:hint="eastAsia" w:ascii="宋体" w:hAnsi="宋体" w:cs="宋体"/>
                <w:color w:val="auto"/>
                <w:szCs w:val="21"/>
                <w:highlight w:val="none"/>
                <w:lang w:val="en-US" w:eastAsia="zh-CN"/>
              </w:rPr>
              <w:t>31</w:t>
            </w:r>
            <w:r>
              <w:rPr>
                <w:rFonts w:hint="eastAsia" w:ascii="宋体" w:hAnsi="宋体" w:cs="宋体"/>
                <w:color w:val="auto"/>
                <w:szCs w:val="21"/>
                <w:highlight w:val="none"/>
              </w:rPr>
              <w:t xml:space="preserve"> 日09:30</w:t>
            </w:r>
          </w:p>
        </w:tc>
      </w:tr>
      <w:tr w14:paraId="6730A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vMerge w:val="continue"/>
            <w:vAlign w:val="center"/>
          </w:tcPr>
          <w:p w14:paraId="2C10228D">
            <w:pPr>
              <w:widowControl/>
              <w:jc w:val="center"/>
              <w:rPr>
                <w:rFonts w:ascii="宋体" w:hAnsi="宋体" w:cs="宋体"/>
                <w:color w:val="auto"/>
                <w:highlight w:val="none"/>
              </w:rPr>
            </w:pPr>
          </w:p>
        </w:tc>
        <w:tc>
          <w:tcPr>
            <w:tcW w:w="1138" w:type="dxa"/>
            <w:vMerge w:val="continue"/>
            <w:vAlign w:val="center"/>
          </w:tcPr>
          <w:p w14:paraId="25B8276C">
            <w:pPr>
              <w:widowControl/>
              <w:jc w:val="left"/>
              <w:rPr>
                <w:rFonts w:ascii="宋体" w:hAnsi="宋体" w:cs="宋体"/>
                <w:color w:val="auto"/>
                <w:highlight w:val="none"/>
              </w:rPr>
            </w:pPr>
          </w:p>
        </w:tc>
        <w:tc>
          <w:tcPr>
            <w:tcW w:w="1215" w:type="dxa"/>
            <w:vAlign w:val="center"/>
          </w:tcPr>
          <w:p w14:paraId="45AA2F81">
            <w:pPr>
              <w:jc w:val="center"/>
              <w:rPr>
                <w:rFonts w:ascii="宋体" w:hAnsi="宋体" w:cs="宋体"/>
                <w:color w:val="auto"/>
                <w:highlight w:val="none"/>
                <w:lang w:val="zh-CN"/>
              </w:rPr>
            </w:pPr>
            <w:r>
              <w:rPr>
                <w:rFonts w:hint="eastAsia" w:ascii="宋体" w:hAnsi="宋体" w:cs="宋体"/>
                <w:color w:val="auto"/>
                <w:highlight w:val="none"/>
                <w:lang w:val="zh-CN"/>
              </w:rPr>
              <w:t>地点</w:t>
            </w:r>
          </w:p>
        </w:tc>
        <w:tc>
          <w:tcPr>
            <w:tcW w:w="6443" w:type="dxa"/>
            <w:gridSpan w:val="2"/>
            <w:vAlign w:val="center"/>
          </w:tcPr>
          <w:p w14:paraId="7E73B31E">
            <w:pPr>
              <w:rPr>
                <w:rFonts w:ascii="宋体" w:hAnsi="宋体" w:cs="宋体"/>
                <w:color w:val="auto"/>
                <w:highlight w:val="none"/>
                <w:lang w:val="zh-CN"/>
              </w:rPr>
            </w:pPr>
            <w:r>
              <w:rPr>
                <w:rFonts w:hint="eastAsia" w:ascii="宋体" w:hAnsi="宋体" w:cs="宋体"/>
                <w:color w:val="auto"/>
                <w:szCs w:val="21"/>
                <w:highlight w:val="none"/>
                <w:shd w:val="clear" w:color="auto" w:fill="FFFFFF"/>
              </w:rPr>
              <w:t>“苏采云”江苏省政府采购交易系统网上开标大厅</w:t>
            </w:r>
          </w:p>
        </w:tc>
      </w:tr>
      <w:tr w14:paraId="79DBE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vAlign w:val="center"/>
          </w:tcPr>
          <w:p w14:paraId="112EDE48">
            <w:pPr>
              <w:widowControl/>
              <w:jc w:val="center"/>
              <w:rPr>
                <w:rFonts w:ascii="宋体" w:hAnsi="宋体" w:cs="宋体"/>
                <w:color w:val="auto"/>
                <w:highlight w:val="none"/>
              </w:rPr>
            </w:pPr>
            <w:r>
              <w:rPr>
                <w:rFonts w:hint="eastAsia" w:ascii="宋体" w:hAnsi="宋体" w:cs="宋体"/>
                <w:color w:val="auto"/>
                <w:highlight w:val="none"/>
              </w:rPr>
              <w:t>12</w:t>
            </w:r>
          </w:p>
        </w:tc>
        <w:tc>
          <w:tcPr>
            <w:tcW w:w="2353" w:type="dxa"/>
            <w:gridSpan w:val="2"/>
            <w:vAlign w:val="center"/>
          </w:tcPr>
          <w:p w14:paraId="2E69144B">
            <w:pPr>
              <w:jc w:val="center"/>
              <w:rPr>
                <w:rFonts w:ascii="宋体" w:hAnsi="宋体" w:cs="宋体"/>
                <w:color w:val="auto"/>
                <w:highlight w:val="none"/>
              </w:rPr>
            </w:pPr>
            <w:r>
              <w:rPr>
                <w:rFonts w:hint="eastAsia" w:ascii="宋体" w:hAnsi="宋体" w:cs="宋体"/>
                <w:color w:val="auto"/>
                <w:highlight w:val="none"/>
              </w:rPr>
              <w:t>评分办法</w:t>
            </w:r>
          </w:p>
        </w:tc>
        <w:tc>
          <w:tcPr>
            <w:tcW w:w="6443" w:type="dxa"/>
            <w:gridSpan w:val="2"/>
            <w:vAlign w:val="center"/>
          </w:tcPr>
          <w:p w14:paraId="29FD483C">
            <w:pPr>
              <w:rPr>
                <w:rFonts w:ascii="宋体" w:hAnsi="宋体" w:cs="宋体"/>
                <w:color w:val="auto"/>
                <w:highlight w:val="none"/>
                <w:lang w:val="zh-CN"/>
              </w:rPr>
            </w:pPr>
            <w:r>
              <w:rPr>
                <w:rFonts w:hint="eastAsia" w:ascii="宋体" w:hAnsi="宋体" w:cs="宋体"/>
                <w:color w:val="auto"/>
                <w:szCs w:val="21"/>
                <w:highlight w:val="none"/>
              </w:rPr>
              <w:t>综合评分法</w:t>
            </w:r>
          </w:p>
        </w:tc>
      </w:tr>
      <w:tr w14:paraId="51B0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vAlign w:val="center"/>
          </w:tcPr>
          <w:p w14:paraId="20705589">
            <w:pPr>
              <w:widowControl/>
              <w:jc w:val="center"/>
              <w:rPr>
                <w:rFonts w:ascii="宋体" w:hAnsi="宋体" w:cs="宋体"/>
                <w:color w:val="auto"/>
                <w:highlight w:val="none"/>
              </w:rPr>
            </w:pPr>
            <w:r>
              <w:rPr>
                <w:rFonts w:hint="eastAsia" w:ascii="宋体" w:hAnsi="宋体" w:cs="宋体"/>
                <w:color w:val="auto"/>
                <w:highlight w:val="none"/>
              </w:rPr>
              <w:t>3</w:t>
            </w:r>
          </w:p>
        </w:tc>
        <w:tc>
          <w:tcPr>
            <w:tcW w:w="2353" w:type="dxa"/>
            <w:gridSpan w:val="2"/>
            <w:vAlign w:val="center"/>
          </w:tcPr>
          <w:p w14:paraId="7FD60852">
            <w:pPr>
              <w:jc w:val="center"/>
              <w:rPr>
                <w:rFonts w:ascii="宋体" w:hAnsi="宋体" w:cs="宋体"/>
                <w:color w:val="auto"/>
                <w:highlight w:val="none"/>
              </w:rPr>
            </w:pPr>
            <w:r>
              <w:rPr>
                <w:rFonts w:hint="eastAsia" w:ascii="宋体" w:hAnsi="宋体" w:cs="宋体"/>
                <w:color w:val="auto"/>
                <w:szCs w:val="21"/>
                <w:highlight w:val="none"/>
              </w:rPr>
              <w:t>响应文件拒收情形</w:t>
            </w:r>
          </w:p>
        </w:tc>
        <w:tc>
          <w:tcPr>
            <w:tcW w:w="6443" w:type="dxa"/>
            <w:gridSpan w:val="2"/>
            <w:vAlign w:val="center"/>
          </w:tcPr>
          <w:p w14:paraId="09CBA952">
            <w:pPr>
              <w:rPr>
                <w:rFonts w:ascii="宋体" w:hAnsi="宋体" w:cs="宋体"/>
                <w:color w:val="auto"/>
                <w:szCs w:val="21"/>
                <w:highlight w:val="none"/>
              </w:rPr>
            </w:pPr>
            <w:r>
              <w:rPr>
                <w:rFonts w:hint="eastAsia" w:ascii="宋体" w:hAnsi="宋体" w:cs="宋体"/>
                <w:bCs/>
                <w:color w:val="auto"/>
                <w:highlight w:val="none"/>
                <w:shd w:val="clear" w:color="auto" w:fill="FFFFFF"/>
              </w:rPr>
              <w:t>在磋商文件要求提交磋商响应文件的截止时间之后上传的任何电子响应文件</w:t>
            </w:r>
          </w:p>
        </w:tc>
      </w:tr>
      <w:tr w14:paraId="54143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restart"/>
            <w:vAlign w:val="center"/>
          </w:tcPr>
          <w:p w14:paraId="65ADB59B">
            <w:pPr>
              <w:widowControl/>
              <w:jc w:val="center"/>
              <w:rPr>
                <w:rFonts w:ascii="宋体" w:hAnsi="宋体" w:cs="宋体"/>
                <w:color w:val="auto"/>
                <w:highlight w:val="none"/>
              </w:rPr>
            </w:pPr>
            <w:r>
              <w:rPr>
                <w:rFonts w:hint="eastAsia" w:ascii="宋体" w:hAnsi="宋体" w:cs="宋体"/>
                <w:color w:val="auto"/>
                <w:highlight w:val="none"/>
              </w:rPr>
              <w:t>14</w:t>
            </w:r>
          </w:p>
        </w:tc>
        <w:tc>
          <w:tcPr>
            <w:tcW w:w="1138" w:type="dxa"/>
            <w:vMerge w:val="restart"/>
            <w:vAlign w:val="center"/>
          </w:tcPr>
          <w:p w14:paraId="773FF0D7">
            <w:pPr>
              <w:jc w:val="center"/>
              <w:rPr>
                <w:rFonts w:ascii="宋体" w:hAnsi="宋体" w:cs="宋体"/>
                <w:color w:val="auto"/>
                <w:highlight w:val="none"/>
              </w:rPr>
            </w:pPr>
            <w:r>
              <w:rPr>
                <w:rFonts w:hint="eastAsia" w:ascii="宋体" w:hAnsi="宋体" w:cs="宋体"/>
                <w:color w:val="auto"/>
                <w:highlight w:val="none"/>
              </w:rPr>
              <w:t>联系事项</w:t>
            </w:r>
          </w:p>
        </w:tc>
        <w:tc>
          <w:tcPr>
            <w:tcW w:w="1215" w:type="dxa"/>
            <w:vMerge w:val="restart"/>
            <w:vAlign w:val="center"/>
          </w:tcPr>
          <w:p w14:paraId="0E3B2756">
            <w:pPr>
              <w:jc w:val="center"/>
              <w:rPr>
                <w:rFonts w:ascii="宋体" w:hAnsi="宋体" w:cs="宋体"/>
                <w:color w:val="auto"/>
                <w:highlight w:val="none"/>
                <w:lang w:val="zh-CN"/>
              </w:rPr>
            </w:pPr>
            <w:r>
              <w:rPr>
                <w:rFonts w:hint="eastAsia" w:ascii="宋体" w:hAnsi="宋体" w:cs="宋体"/>
                <w:color w:val="auto"/>
                <w:highlight w:val="none"/>
                <w:lang w:val="zh-CN"/>
              </w:rPr>
              <w:t>采购单位</w:t>
            </w:r>
          </w:p>
        </w:tc>
        <w:tc>
          <w:tcPr>
            <w:tcW w:w="1294" w:type="dxa"/>
            <w:vAlign w:val="center"/>
          </w:tcPr>
          <w:p w14:paraId="0E1F5E03">
            <w:pPr>
              <w:rPr>
                <w:rFonts w:ascii="宋体" w:hAnsi="宋体" w:cs="宋体"/>
                <w:color w:val="auto"/>
                <w:highlight w:val="none"/>
                <w:lang w:val="zh-CN"/>
              </w:rPr>
            </w:pPr>
            <w:r>
              <w:rPr>
                <w:rFonts w:hint="eastAsia" w:ascii="宋体" w:hAnsi="宋体" w:cs="宋体"/>
                <w:color w:val="auto"/>
                <w:highlight w:val="none"/>
                <w:lang w:val="zh-CN"/>
              </w:rPr>
              <w:t>联系人</w:t>
            </w:r>
          </w:p>
        </w:tc>
        <w:tc>
          <w:tcPr>
            <w:tcW w:w="5149" w:type="dxa"/>
            <w:vAlign w:val="center"/>
          </w:tcPr>
          <w:p w14:paraId="601E583D">
            <w:pPr>
              <w:rPr>
                <w:rFonts w:ascii="宋体" w:hAnsi="宋体" w:cs="宋体"/>
                <w:color w:val="auto"/>
                <w:highlight w:val="none"/>
                <w:lang w:val="zh-CN"/>
              </w:rPr>
            </w:pPr>
            <w:r>
              <w:rPr>
                <w:rFonts w:hint="eastAsia" w:ascii="宋体" w:hAnsi="宋体" w:cs="宋体"/>
                <w:color w:val="auto"/>
                <w:highlight w:val="none"/>
              </w:rPr>
              <w:t>夏工</w:t>
            </w:r>
          </w:p>
        </w:tc>
      </w:tr>
      <w:tr w14:paraId="7BBE0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continue"/>
            <w:vAlign w:val="center"/>
          </w:tcPr>
          <w:p w14:paraId="45AA2825">
            <w:pPr>
              <w:widowControl/>
              <w:jc w:val="center"/>
              <w:rPr>
                <w:rFonts w:ascii="宋体" w:hAnsi="宋体" w:cs="宋体"/>
                <w:b/>
                <w:bCs/>
                <w:color w:val="auto"/>
                <w:highlight w:val="none"/>
              </w:rPr>
            </w:pPr>
          </w:p>
        </w:tc>
        <w:tc>
          <w:tcPr>
            <w:tcW w:w="1138" w:type="dxa"/>
            <w:vMerge w:val="continue"/>
            <w:vAlign w:val="center"/>
          </w:tcPr>
          <w:p w14:paraId="5E7648F8">
            <w:pPr>
              <w:jc w:val="center"/>
              <w:rPr>
                <w:rFonts w:ascii="宋体" w:hAnsi="宋体" w:cs="宋体"/>
                <w:b/>
                <w:bCs/>
                <w:color w:val="auto"/>
                <w:highlight w:val="none"/>
              </w:rPr>
            </w:pPr>
          </w:p>
        </w:tc>
        <w:tc>
          <w:tcPr>
            <w:tcW w:w="1215" w:type="dxa"/>
            <w:vMerge w:val="continue"/>
            <w:vAlign w:val="center"/>
          </w:tcPr>
          <w:p w14:paraId="4CE679C9">
            <w:pPr>
              <w:jc w:val="center"/>
              <w:rPr>
                <w:rFonts w:ascii="宋体" w:hAnsi="宋体" w:cs="宋体"/>
                <w:b/>
                <w:bCs/>
                <w:color w:val="auto"/>
                <w:highlight w:val="none"/>
                <w:lang w:val="zh-CN"/>
              </w:rPr>
            </w:pPr>
          </w:p>
        </w:tc>
        <w:tc>
          <w:tcPr>
            <w:tcW w:w="1294" w:type="dxa"/>
            <w:vAlign w:val="center"/>
          </w:tcPr>
          <w:p w14:paraId="16A729DD">
            <w:pPr>
              <w:rPr>
                <w:rFonts w:ascii="宋体" w:hAnsi="宋体" w:cs="宋体"/>
                <w:color w:val="auto"/>
                <w:highlight w:val="none"/>
                <w:lang w:val="zh-CN"/>
              </w:rPr>
            </w:pPr>
            <w:r>
              <w:rPr>
                <w:rFonts w:hint="eastAsia" w:ascii="宋体" w:hAnsi="宋体" w:cs="宋体"/>
                <w:color w:val="auto"/>
                <w:highlight w:val="none"/>
                <w:lang w:val="zh-CN"/>
              </w:rPr>
              <w:t>联系电话</w:t>
            </w:r>
          </w:p>
        </w:tc>
        <w:tc>
          <w:tcPr>
            <w:tcW w:w="5149" w:type="dxa"/>
            <w:vAlign w:val="center"/>
          </w:tcPr>
          <w:p w14:paraId="710E9C37">
            <w:pPr>
              <w:rPr>
                <w:rFonts w:ascii="宋体" w:hAnsi="宋体" w:cs="宋体"/>
                <w:color w:val="auto"/>
                <w:highlight w:val="none"/>
                <w:lang w:val="zh-CN"/>
              </w:rPr>
            </w:pPr>
            <w:r>
              <w:rPr>
                <w:rFonts w:hint="eastAsia" w:ascii="宋体" w:hAnsi="宋体" w:cs="宋体"/>
                <w:color w:val="auto"/>
                <w:highlight w:val="none"/>
                <w:lang w:val="zh-CN"/>
              </w:rPr>
              <w:t>025-85096713</w:t>
            </w:r>
          </w:p>
        </w:tc>
      </w:tr>
      <w:tr w14:paraId="062DA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468" w:type="dxa"/>
            <w:vMerge w:val="continue"/>
            <w:vAlign w:val="center"/>
          </w:tcPr>
          <w:p w14:paraId="32F8ADF3">
            <w:pPr>
              <w:jc w:val="center"/>
              <w:rPr>
                <w:rFonts w:ascii="宋体" w:hAnsi="宋体" w:cs="宋体"/>
                <w:b/>
                <w:bCs/>
                <w:color w:val="auto"/>
                <w:highlight w:val="none"/>
              </w:rPr>
            </w:pPr>
          </w:p>
        </w:tc>
        <w:tc>
          <w:tcPr>
            <w:tcW w:w="1138" w:type="dxa"/>
            <w:vMerge w:val="continue"/>
            <w:vAlign w:val="center"/>
          </w:tcPr>
          <w:p w14:paraId="7B626360">
            <w:pPr>
              <w:jc w:val="center"/>
              <w:rPr>
                <w:rFonts w:ascii="宋体" w:hAnsi="宋体" w:cs="宋体"/>
                <w:b/>
                <w:bCs/>
                <w:color w:val="auto"/>
                <w:highlight w:val="none"/>
              </w:rPr>
            </w:pPr>
          </w:p>
        </w:tc>
        <w:tc>
          <w:tcPr>
            <w:tcW w:w="1215" w:type="dxa"/>
            <w:vMerge w:val="restart"/>
            <w:vAlign w:val="center"/>
          </w:tcPr>
          <w:p w14:paraId="29E8CD28">
            <w:pPr>
              <w:jc w:val="center"/>
              <w:rPr>
                <w:rFonts w:ascii="宋体" w:hAnsi="宋体" w:cs="宋体"/>
                <w:color w:val="auto"/>
                <w:highlight w:val="none"/>
                <w:lang w:val="zh-CN"/>
              </w:rPr>
            </w:pPr>
            <w:r>
              <w:rPr>
                <w:rFonts w:hint="eastAsia" w:ascii="宋体" w:hAnsi="宋体" w:cs="宋体"/>
                <w:color w:val="auto"/>
                <w:highlight w:val="none"/>
                <w:lang w:val="zh-CN"/>
              </w:rPr>
              <w:t>招标代理机构</w:t>
            </w:r>
          </w:p>
        </w:tc>
        <w:tc>
          <w:tcPr>
            <w:tcW w:w="1294" w:type="dxa"/>
            <w:vAlign w:val="center"/>
          </w:tcPr>
          <w:p w14:paraId="25E5297F">
            <w:pPr>
              <w:rPr>
                <w:rFonts w:ascii="宋体" w:hAnsi="宋体" w:cs="宋体"/>
                <w:color w:val="auto"/>
                <w:highlight w:val="none"/>
                <w:lang w:val="zh-CN"/>
              </w:rPr>
            </w:pPr>
            <w:r>
              <w:rPr>
                <w:rFonts w:hint="eastAsia" w:ascii="宋体" w:hAnsi="宋体" w:cs="宋体"/>
                <w:color w:val="auto"/>
                <w:highlight w:val="none"/>
                <w:lang w:val="zh-CN"/>
              </w:rPr>
              <w:t>联系人</w:t>
            </w:r>
          </w:p>
        </w:tc>
        <w:tc>
          <w:tcPr>
            <w:tcW w:w="5149" w:type="dxa"/>
            <w:vAlign w:val="center"/>
          </w:tcPr>
          <w:p w14:paraId="0B8BFEEF">
            <w:pPr>
              <w:rPr>
                <w:rFonts w:ascii="宋体" w:hAnsi="宋体" w:cs="宋体"/>
                <w:color w:val="auto"/>
                <w:highlight w:val="none"/>
              </w:rPr>
            </w:pPr>
            <w:r>
              <w:rPr>
                <w:rFonts w:hint="eastAsia" w:ascii="宋体" w:hAnsi="宋体" w:cs="宋体"/>
                <w:color w:val="auto"/>
                <w:highlight w:val="none"/>
              </w:rPr>
              <w:t>贺工</w:t>
            </w:r>
          </w:p>
        </w:tc>
      </w:tr>
      <w:tr w14:paraId="29100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68" w:type="dxa"/>
            <w:vMerge w:val="continue"/>
            <w:vAlign w:val="center"/>
          </w:tcPr>
          <w:p w14:paraId="49E402BC">
            <w:pPr>
              <w:widowControl/>
              <w:jc w:val="center"/>
              <w:rPr>
                <w:rFonts w:ascii="宋体" w:hAnsi="宋体" w:cs="宋体"/>
                <w:color w:val="auto"/>
                <w:highlight w:val="none"/>
              </w:rPr>
            </w:pPr>
          </w:p>
        </w:tc>
        <w:tc>
          <w:tcPr>
            <w:tcW w:w="1138" w:type="dxa"/>
            <w:vMerge w:val="continue"/>
            <w:vAlign w:val="center"/>
          </w:tcPr>
          <w:p w14:paraId="4BF8A67B">
            <w:pPr>
              <w:widowControl/>
              <w:jc w:val="left"/>
              <w:rPr>
                <w:rFonts w:ascii="宋体" w:hAnsi="宋体" w:cs="宋体"/>
                <w:color w:val="auto"/>
                <w:highlight w:val="none"/>
              </w:rPr>
            </w:pPr>
          </w:p>
        </w:tc>
        <w:tc>
          <w:tcPr>
            <w:tcW w:w="1215" w:type="dxa"/>
            <w:vMerge w:val="continue"/>
            <w:vAlign w:val="center"/>
          </w:tcPr>
          <w:p w14:paraId="369C11E1">
            <w:pPr>
              <w:rPr>
                <w:rFonts w:ascii="宋体" w:hAnsi="宋体" w:cs="宋体"/>
                <w:color w:val="auto"/>
                <w:highlight w:val="none"/>
                <w:lang w:val="zh-CN"/>
              </w:rPr>
            </w:pPr>
          </w:p>
        </w:tc>
        <w:tc>
          <w:tcPr>
            <w:tcW w:w="1294" w:type="dxa"/>
            <w:vAlign w:val="center"/>
          </w:tcPr>
          <w:p w14:paraId="7893F315">
            <w:pPr>
              <w:rPr>
                <w:rFonts w:ascii="宋体" w:hAnsi="宋体" w:cs="宋体"/>
                <w:color w:val="auto"/>
                <w:highlight w:val="none"/>
                <w:lang w:val="zh-CN"/>
              </w:rPr>
            </w:pPr>
            <w:r>
              <w:rPr>
                <w:rFonts w:hint="eastAsia" w:ascii="宋体" w:hAnsi="宋体" w:cs="宋体"/>
                <w:color w:val="auto"/>
                <w:highlight w:val="none"/>
                <w:lang w:val="zh-CN"/>
              </w:rPr>
              <w:t>联系电话</w:t>
            </w:r>
          </w:p>
        </w:tc>
        <w:tc>
          <w:tcPr>
            <w:tcW w:w="5149" w:type="dxa"/>
            <w:vAlign w:val="center"/>
          </w:tcPr>
          <w:p w14:paraId="48C20DE9">
            <w:pPr>
              <w:rPr>
                <w:rFonts w:ascii="宋体" w:hAnsi="宋体" w:cs="宋体"/>
                <w:color w:val="auto"/>
                <w:highlight w:val="none"/>
              </w:rPr>
            </w:pPr>
            <w:r>
              <w:rPr>
                <w:rFonts w:hint="eastAsia" w:ascii="宋体" w:hAnsi="宋体" w:cs="宋体"/>
                <w:color w:val="auto"/>
                <w:szCs w:val="21"/>
                <w:highlight w:val="none"/>
              </w:rPr>
              <w:t>17705141491</w:t>
            </w:r>
          </w:p>
        </w:tc>
      </w:tr>
    </w:tbl>
    <w:p w14:paraId="58CF33A9">
      <w:pPr>
        <w:pStyle w:val="395"/>
        <w:spacing w:before="0" w:after="0" w:line="360" w:lineRule="auto"/>
        <w:ind w:left="0" w:firstLine="0"/>
        <w:rPr>
          <w:rFonts w:ascii="宋体" w:hAnsi="宋体" w:eastAsia="宋体" w:cs="宋体"/>
          <w:b/>
          <w:bCs/>
          <w:color w:val="auto"/>
          <w:sz w:val="22"/>
          <w:szCs w:val="21"/>
          <w:highlight w:val="none"/>
        </w:rPr>
      </w:pPr>
      <w:bookmarkStart w:id="58" w:name="_Toc535597866"/>
      <w:r>
        <w:rPr>
          <w:rFonts w:hint="eastAsia" w:ascii="宋体" w:hAnsi="宋体" w:eastAsia="宋体" w:cs="宋体"/>
          <w:color w:val="auto"/>
          <w:highlight w:val="none"/>
        </w:rPr>
        <w:br w:type="page" w:clear="all"/>
      </w:r>
      <w:bookmarkStart w:id="59" w:name="_Toc23723"/>
      <w:bookmarkStart w:id="60" w:name="_Toc1600"/>
      <w:r>
        <w:rPr>
          <w:rFonts w:hint="eastAsia" w:ascii="宋体" w:hAnsi="宋体" w:eastAsia="宋体" w:cs="宋体"/>
          <w:b/>
          <w:bCs/>
          <w:color w:val="auto"/>
          <w:sz w:val="22"/>
          <w:szCs w:val="21"/>
          <w:highlight w:val="none"/>
        </w:rPr>
        <w:t>一、总则</w:t>
      </w:r>
      <w:bookmarkEnd w:id="58"/>
      <w:bookmarkEnd w:id="59"/>
      <w:bookmarkEnd w:id="60"/>
    </w:p>
    <w:p w14:paraId="5A660FBE">
      <w:pPr>
        <w:spacing w:line="360" w:lineRule="auto"/>
        <w:ind w:firstLine="442"/>
        <w:rPr>
          <w:rFonts w:ascii="宋体" w:hAnsi="宋体" w:cs="宋体"/>
          <w:b/>
          <w:color w:val="auto"/>
          <w:sz w:val="22"/>
          <w:highlight w:val="none"/>
        </w:rPr>
      </w:pPr>
      <w:r>
        <w:rPr>
          <w:rFonts w:hint="eastAsia" w:ascii="宋体" w:hAnsi="宋体" w:cs="宋体"/>
          <w:b/>
          <w:color w:val="auto"/>
          <w:sz w:val="22"/>
          <w:highlight w:val="none"/>
        </w:rPr>
        <w:t>1、适用法律</w:t>
      </w:r>
    </w:p>
    <w:p w14:paraId="55B12F31">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《中华人民共和国政府采购法》、《中华人民共和国政府采购法实施条例》、《政府采购竞争性磋商采购方式管理暂行办法》等有关法律、规章和规定等。</w:t>
      </w:r>
    </w:p>
    <w:p w14:paraId="2E9A8EC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2、定义</w:t>
      </w:r>
    </w:p>
    <w:p w14:paraId="0D35D701">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2.1 “供应商”是指参加磋商竞争，并符合磋商文件规定资格条件的法人、其他组织或者自然人。</w:t>
      </w:r>
    </w:p>
    <w:p w14:paraId="307BAF83">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2.2 “</w:t>
      </w:r>
      <w:r>
        <w:rPr>
          <w:rFonts w:hint="eastAsia" w:ascii="宋体" w:hAnsi="宋体" w:cs="宋体"/>
          <w:color w:val="auto"/>
          <w:szCs w:val="21"/>
          <w:highlight w:val="none"/>
        </w:rPr>
        <w:t>工程</w:t>
      </w:r>
      <w:r>
        <w:rPr>
          <w:rFonts w:hint="eastAsia" w:ascii="宋体" w:hAnsi="宋体" w:cs="宋体"/>
          <w:color w:val="auto"/>
          <w:szCs w:val="21"/>
          <w:highlight w:val="none"/>
          <w:lang w:val="zh-CN"/>
        </w:rPr>
        <w:t>”指本磋商文件中所述相关</w:t>
      </w:r>
      <w:r>
        <w:rPr>
          <w:rFonts w:hint="eastAsia" w:ascii="宋体" w:hAnsi="宋体" w:cs="宋体"/>
          <w:color w:val="auto"/>
          <w:szCs w:val="21"/>
          <w:highlight w:val="none"/>
        </w:rPr>
        <w:t>工程</w:t>
      </w:r>
      <w:r>
        <w:rPr>
          <w:rFonts w:hint="eastAsia" w:ascii="宋体" w:hAnsi="宋体" w:cs="宋体"/>
          <w:color w:val="auto"/>
          <w:szCs w:val="21"/>
          <w:highlight w:val="none"/>
          <w:lang w:val="zh-CN"/>
        </w:rPr>
        <w:t>。</w:t>
      </w:r>
    </w:p>
    <w:p w14:paraId="0037D8AB">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2.3 “</w:t>
      </w:r>
      <w:r>
        <w:rPr>
          <w:rFonts w:hint="eastAsia" w:ascii="宋体" w:hAnsi="宋体" w:cs="宋体"/>
          <w:color w:val="auto"/>
          <w:szCs w:val="21"/>
          <w:highlight w:val="none"/>
        </w:rPr>
        <w:t>采购人</w:t>
      </w:r>
      <w:r>
        <w:rPr>
          <w:rFonts w:hint="eastAsia" w:ascii="宋体" w:hAnsi="宋体" w:cs="宋体"/>
          <w:color w:val="auto"/>
          <w:szCs w:val="21"/>
          <w:highlight w:val="none"/>
          <w:lang w:val="zh-CN"/>
        </w:rPr>
        <w:t>或使用单位”是指使用</w:t>
      </w:r>
      <w:r>
        <w:rPr>
          <w:rFonts w:hint="eastAsia" w:ascii="宋体" w:hAnsi="宋体" w:cs="宋体"/>
          <w:color w:val="auto"/>
          <w:szCs w:val="21"/>
          <w:highlight w:val="none"/>
        </w:rPr>
        <w:t>工程</w:t>
      </w:r>
      <w:r>
        <w:rPr>
          <w:rFonts w:hint="eastAsia" w:ascii="宋体" w:hAnsi="宋体" w:cs="宋体"/>
          <w:color w:val="auto"/>
          <w:szCs w:val="21"/>
          <w:highlight w:val="none"/>
          <w:lang w:val="zh-CN"/>
        </w:rPr>
        <w:t>的单位。</w:t>
      </w:r>
    </w:p>
    <w:p w14:paraId="1C828E8B">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3、政策功能</w:t>
      </w:r>
    </w:p>
    <w:p w14:paraId="459CAC8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3.1本项目专门面向中小企业采购，供应商应为中小微企业、监狱企业、残疾人福利性单位。</w:t>
      </w:r>
    </w:p>
    <w:p w14:paraId="395F2AE7">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3.2 小企业（含小型、微型企业）应当符合以下条件：</w:t>
      </w:r>
    </w:p>
    <w:p w14:paraId="4FA927A2">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75A8DACC">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（2）提供本企业制造的货物、承担的工程或者服务，或者提供其他小企业制造的货物。如果提供的货物为大中型企业注册商标的货物，视同大中型企业。</w:t>
      </w:r>
    </w:p>
    <w:p w14:paraId="7745138F">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（3）在货物采购项目中，供应商提供的货物既有中小企业制造货物，也有大型企业制造货物的，不享受本办法规定的中小企业扶持政策。</w:t>
      </w:r>
    </w:p>
    <w:p w14:paraId="3752CA97">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（4）以联合体形式参加政府采购活动，联合体各方均为中小企业的，联合体视同中小企业。其中，联合体各方均为小微企业的，联合体视同小微企业。</w:t>
      </w:r>
    </w:p>
    <w:p w14:paraId="65E1E765">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3.3 监狱和戒毒企业   </w:t>
      </w:r>
    </w:p>
    <w:p w14:paraId="29885FA9">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288478D1">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3.4 残疾人福利性单位 </w:t>
      </w:r>
    </w:p>
    <w:p w14:paraId="33415501">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残疾人福利单位需按照采购文件的要求提供《残疾人福利性单位声明函》。 残疾人福利单位标准请参照《关于促进残疾人就业政府采购政策的通知》（财库〔2017〕141 号）。</w:t>
      </w:r>
    </w:p>
    <w:p w14:paraId="7DBDCA87">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3.5 监狱企业、残疾人福利单位属于小型、微型企业的，不重复享受政策。</w:t>
      </w:r>
    </w:p>
    <w:p w14:paraId="236CC1E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3.6 价格扣除</w:t>
      </w:r>
    </w:p>
    <w:p w14:paraId="7BD9651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3.6.1 对国家认定的节能产品和环保产品分别给予投标价的5%价格扣除，用扣除后的价格参与评审。</w:t>
      </w:r>
    </w:p>
    <w:p w14:paraId="4139FB45">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3.6.2 小微企业价格扣除：本项目专门面向中小企业采购，评审时，采购人对小微企业的报价不给予价格扣除；本项目不允许中型企业向一家或者多家小微企业分包，采购人对中型企业的报价不给予价格扣除。</w:t>
      </w:r>
    </w:p>
    <w:p w14:paraId="4F2341B9">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3.7强制采购节能产品、信息安全产品，优先采购环境标志产品。节能产品是指列入财政部、国家发展和改革委员会制定的《节能产品政府采购清单》，且经过认定的节能产品；信息安全产品是指列入国家质检总局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79E32515">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（1）提供的产品属于信息安全产品的，供应商应当选择经国家认证的信息安全产品，并提供由中国信息安全认证中心按国家标准认证颁发的有效认证证书复印件。</w:t>
      </w:r>
    </w:p>
    <w:p w14:paraId="166FE4E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（2）提供的产品属于政府强制采购节能产品的，供应商应当选择《节能产品政府采购清单》中的产品，并提供有效的节能产品认证证书复印件。</w:t>
      </w:r>
    </w:p>
    <w:p w14:paraId="3DC8233B">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（3）提供的产品属于环境标志产品的,供应商应当选择《环境标志产品政府采购清单》中的,且经过认证的环境标志产品投标,并提供有效的环境标志产品认证证书复印件。</w:t>
      </w:r>
    </w:p>
    <w:p w14:paraId="71CB93C2">
      <w:pPr>
        <w:spacing w:line="360" w:lineRule="auto"/>
        <w:ind w:firstLine="413"/>
        <w:rPr>
          <w:rFonts w:ascii="宋体" w:hAnsi="宋体" w:cs="宋体"/>
          <w:b/>
          <w:color w:val="auto"/>
          <w:szCs w:val="21"/>
          <w:highlight w:val="none"/>
        </w:rPr>
      </w:pPr>
      <w:r>
        <w:rPr>
          <w:rFonts w:hint="eastAsia" w:ascii="宋体" w:hAnsi="宋体" w:cs="宋体"/>
          <w:b/>
          <w:color w:val="auto"/>
          <w:szCs w:val="21"/>
          <w:highlight w:val="none"/>
        </w:rPr>
        <w:t>4、投标费用</w:t>
      </w:r>
    </w:p>
    <w:p w14:paraId="2935DEAB">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lang w:val="zh-CN"/>
        </w:rPr>
        <w:t>4.1 供应商应承担所有与准备和参加磋商有关的费用，无论采购结果如何，招标代理和采购单位在任何情况下均无义务和责任承担这些费用。</w:t>
      </w:r>
    </w:p>
    <w:p w14:paraId="365A9FA5">
      <w:pPr>
        <w:shd w:val="clear" w:color="auto" w:fill="FFFFFF"/>
        <w:spacing w:line="360" w:lineRule="auto"/>
        <w:ind w:firstLine="420"/>
        <w:rPr>
          <w:rFonts w:ascii="宋体" w:hAnsi="宋体" w:cs="宋体"/>
          <w:color w:val="auto"/>
          <w:szCs w:val="21"/>
          <w:highlight w:val="none"/>
          <w:lang w:val="zh-CN"/>
        </w:rPr>
      </w:pPr>
      <w:r>
        <w:rPr>
          <w:rFonts w:hint="eastAsia" w:ascii="宋体" w:hAnsi="宋体" w:cs="宋体"/>
          <w:bCs/>
          <w:color w:val="auto"/>
          <w:szCs w:val="21"/>
          <w:highlight w:val="none"/>
          <w:lang w:val="zh-CN"/>
        </w:rPr>
        <w:t>4.2 采购代理费参照《招标代理服务费管理暂行办法》（国家发展计划委员会计价格【2002】1980号）基准费率的67%计算，不足三千按三千元计取。专家评审费按实际发生计取，由采购人支付上述有关服务费。</w:t>
      </w:r>
    </w:p>
    <w:p w14:paraId="7130370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5、磋商文件的约束力</w:t>
      </w:r>
    </w:p>
    <w:p w14:paraId="0DCACE53">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5.1 供应商一旦参加本项目磋商，即被认为接受了本磋商文件的规定和约束。</w:t>
      </w:r>
    </w:p>
    <w:p w14:paraId="4F47595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5.2 义务</w:t>
      </w:r>
    </w:p>
    <w:p w14:paraId="7AA0E987">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5.2.1磋商供应商应当认真阅读本磋商文件，完全明了本项目之名称、用途、数量、质量和交付时间，完全明了应具备的资格条件。</w:t>
      </w:r>
    </w:p>
    <w:p w14:paraId="3356FCD3">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5.2.2磋商供应商应当按照磋商文件的要求编制响应性文件。响应性文件应对磋商文件提出的实质性要求和条件作出完全响应。</w:t>
      </w:r>
    </w:p>
    <w:p w14:paraId="78859EE8">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5.2.3磋商供应商不得相互串通报价，不得排挤其他磋商供应商的公平竞争，损害采购人或者其他磋商供应商的合法权益。磋商供应商不得与采购人串通投标，损害国家利益，公众利益或者他人的合法权益。</w:t>
      </w:r>
    </w:p>
    <w:p w14:paraId="3BDA9DC7">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5.2.4磋商供应商在磋商截止时间前，对所递交的响应性文件可以补充、修改或者撤回，并书面通知采购人。补充、修改的内容为响应性文件的组成部分。</w:t>
      </w:r>
    </w:p>
    <w:p w14:paraId="248748DF">
      <w:pPr>
        <w:spacing w:line="360" w:lineRule="auto"/>
        <w:ind w:firstLine="411"/>
        <w:rPr>
          <w:rFonts w:ascii="宋体" w:hAnsi="宋体" w:cs="宋体"/>
          <w:b/>
          <w:color w:val="auto"/>
          <w:szCs w:val="21"/>
          <w:highlight w:val="none"/>
        </w:rPr>
      </w:pPr>
      <w:r>
        <w:rPr>
          <w:rFonts w:hint="eastAsia" w:ascii="宋体" w:hAnsi="宋体" w:cs="宋体"/>
          <w:bCs/>
          <w:color w:val="auto"/>
          <w:szCs w:val="21"/>
          <w:highlight w:val="none"/>
        </w:rPr>
        <w:t>5.3 注意事项</w:t>
      </w:r>
    </w:p>
    <w:p w14:paraId="08EE2C2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p>
    <w:p w14:paraId="1CEDFEC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5.3.2验收标准</w:t>
      </w:r>
    </w:p>
    <w:p w14:paraId="5B4BAAD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5.3.2.1磋商文件中明确的标准和技术要求，未明确部分按照国家最新的相关标准；</w:t>
      </w:r>
    </w:p>
    <w:p w14:paraId="343B626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5.3.2.2供应商随响应性文件提供的货物制造国制造及验收的官方标准或货物验收大纲，经采购单位确认后，将作为对货物的验收依据之一；</w:t>
      </w:r>
    </w:p>
    <w:p w14:paraId="699138D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5.3.2.3供应商在澄清响应文件时作出的承诺，经采购单位确认后，将作为对工程、货物和服务的验收依据之一；</w:t>
      </w:r>
    </w:p>
    <w:p w14:paraId="49441CF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5.3.2.4项目完毕后，由采购单位组织按国家相关标准进行验收。</w:t>
      </w:r>
    </w:p>
    <w:p w14:paraId="2AAF9DD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5.3.3供应商应认真阅读磋商文件中所有的事项、格式、条款和规范等要求，如果没有按照磋商文件要求提交全部资料，或者没有对磋商文件都作出实质性响应，相应风险应由供应商自行承担，包括作无效投标处理。</w:t>
      </w:r>
    </w:p>
    <w:p w14:paraId="5E30770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5.3.4任何供应商成交，须保证所供工程、货物和服务能通过当地有关职能部门验收，否则采购单位有权拒绝支付合同款项。</w:t>
      </w:r>
    </w:p>
    <w:p w14:paraId="7318FF8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5.3.5供应商应保证采购人在使用该工程、货物和服务或其任何一部分时不受第三方提出侵犯其专利权、版权、商标权或其他权利的起诉。一旦出现侵权，投标人应承担全部责任。</w:t>
      </w:r>
    </w:p>
    <w:p w14:paraId="1AD6EDB7">
      <w:pPr>
        <w:shd w:val="clear" w:color="auto" w:fill="FFFFFF"/>
        <w:spacing w:line="360" w:lineRule="auto"/>
        <w:ind w:firstLine="420"/>
        <w:rPr>
          <w:rFonts w:ascii="宋体" w:hAnsi="宋体" w:cs="宋体"/>
          <w:bCs/>
          <w:color w:val="auto"/>
          <w:szCs w:val="21"/>
          <w:highlight w:val="none"/>
          <w:lang w:val="zh-CN"/>
        </w:rPr>
      </w:pPr>
      <w:r>
        <w:rPr>
          <w:rFonts w:hint="eastAsia" w:ascii="宋体" w:hAnsi="宋体" w:cs="宋体"/>
          <w:b/>
          <w:color w:val="auto"/>
          <w:szCs w:val="21"/>
          <w:highlight w:val="none"/>
        </w:rPr>
        <w:t>6、本项目不接受联合体投标，本项目不允许转包或分包。</w:t>
      </w:r>
    </w:p>
    <w:p w14:paraId="370687EC">
      <w:pPr>
        <w:pStyle w:val="395"/>
        <w:spacing w:before="0" w:after="0" w:line="360" w:lineRule="auto"/>
        <w:ind w:left="0" w:firstLine="0"/>
        <w:rPr>
          <w:rFonts w:ascii="宋体" w:hAnsi="宋体" w:eastAsia="宋体" w:cs="宋体"/>
          <w:b/>
          <w:bCs/>
          <w:color w:val="auto"/>
          <w:sz w:val="22"/>
          <w:szCs w:val="21"/>
          <w:highlight w:val="none"/>
          <w:lang w:val="en-US"/>
        </w:rPr>
      </w:pPr>
      <w:bookmarkStart w:id="61" w:name="_Toc6561"/>
      <w:bookmarkStart w:id="62" w:name="_Toc1959"/>
      <w:bookmarkStart w:id="63" w:name="_Toc29564"/>
      <w:r>
        <w:rPr>
          <w:rFonts w:hint="eastAsia" w:ascii="宋体" w:hAnsi="宋体" w:eastAsia="宋体" w:cs="宋体"/>
          <w:b/>
          <w:bCs/>
          <w:color w:val="auto"/>
          <w:sz w:val="22"/>
          <w:szCs w:val="21"/>
          <w:highlight w:val="none"/>
        </w:rPr>
        <w:t>二、</w:t>
      </w:r>
      <w:r>
        <w:rPr>
          <w:rFonts w:hint="eastAsia" w:ascii="宋体" w:hAnsi="宋体" w:eastAsia="宋体" w:cs="宋体"/>
          <w:b/>
          <w:bCs/>
          <w:color w:val="auto"/>
          <w:sz w:val="22"/>
          <w:szCs w:val="21"/>
          <w:highlight w:val="none"/>
          <w:lang w:val="en-US"/>
        </w:rPr>
        <w:t>竞争性磋商文件</w:t>
      </w:r>
      <w:bookmarkEnd w:id="61"/>
      <w:bookmarkEnd w:id="62"/>
      <w:bookmarkEnd w:id="63"/>
    </w:p>
    <w:p w14:paraId="75C1BFF4">
      <w:pPr>
        <w:spacing w:line="360" w:lineRule="auto"/>
        <w:ind w:firstLine="442"/>
        <w:rPr>
          <w:rFonts w:ascii="宋体" w:hAnsi="宋体" w:cs="宋体"/>
          <w:b/>
          <w:color w:val="auto"/>
          <w:sz w:val="22"/>
          <w:highlight w:val="none"/>
        </w:rPr>
      </w:pPr>
      <w:r>
        <w:rPr>
          <w:rFonts w:hint="eastAsia" w:ascii="宋体" w:hAnsi="宋体" w:cs="宋体"/>
          <w:b/>
          <w:color w:val="auto"/>
          <w:sz w:val="22"/>
          <w:highlight w:val="none"/>
        </w:rPr>
        <w:t>7、磋商文件组成</w:t>
      </w:r>
    </w:p>
    <w:p w14:paraId="050D3E26">
      <w:pPr>
        <w:shd w:val="clear" w:color="auto" w:fill="FFFFFF"/>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7</w:t>
      </w:r>
      <w:r>
        <w:rPr>
          <w:rFonts w:hint="eastAsia" w:ascii="宋体" w:hAnsi="宋体" w:cs="宋体"/>
          <w:bCs/>
          <w:color w:val="auto"/>
          <w:szCs w:val="21"/>
          <w:highlight w:val="none"/>
          <w:lang w:val="zh-CN"/>
        </w:rPr>
        <w:t>.1磋商文件包括以下主要内容：</w:t>
      </w:r>
    </w:p>
    <w:p w14:paraId="1BA6F3E8">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第一部分：竞争性磋商公告；</w:t>
      </w:r>
    </w:p>
    <w:p w14:paraId="45C07A41">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 xml:space="preserve">第二部分：磋商供应商须知； </w:t>
      </w:r>
    </w:p>
    <w:p w14:paraId="394D5E6D">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第三部分：磋商评审标准；</w:t>
      </w:r>
    </w:p>
    <w:p w14:paraId="79D78C0D">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第四部分：采购项目需求；</w:t>
      </w:r>
    </w:p>
    <w:p w14:paraId="56F10A6F">
      <w:pPr>
        <w:shd w:val="clear" w:color="auto" w:fill="FFFFFF"/>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第五部分：合同主要条款及格式；</w:t>
      </w:r>
    </w:p>
    <w:p w14:paraId="67286CE9">
      <w:pPr>
        <w:shd w:val="clear" w:color="auto" w:fill="FFFFFF"/>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第六部分：磋商响应文件格式。</w:t>
      </w:r>
    </w:p>
    <w:p w14:paraId="4738B06E">
      <w:pPr>
        <w:shd w:val="clear" w:color="auto" w:fill="FFFFFF"/>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7</w:t>
      </w:r>
      <w:r>
        <w:rPr>
          <w:rFonts w:hint="eastAsia" w:ascii="宋体" w:hAnsi="宋体" w:cs="宋体"/>
          <w:bCs/>
          <w:color w:val="auto"/>
          <w:szCs w:val="21"/>
          <w:highlight w:val="none"/>
          <w:lang w:val="zh-CN"/>
        </w:rPr>
        <w:t>.</w:t>
      </w:r>
      <w:r>
        <w:rPr>
          <w:rFonts w:hint="eastAsia" w:ascii="宋体" w:hAnsi="宋体" w:cs="宋体"/>
          <w:bCs/>
          <w:color w:val="auto"/>
          <w:szCs w:val="21"/>
          <w:highlight w:val="none"/>
        </w:rPr>
        <w:t>2</w:t>
      </w:r>
      <w:r>
        <w:rPr>
          <w:rFonts w:hint="eastAsia" w:ascii="宋体" w:hAnsi="宋体" w:cs="宋体"/>
          <w:bCs/>
          <w:color w:val="auto"/>
          <w:szCs w:val="21"/>
          <w:highlight w:val="none"/>
          <w:lang w:val="zh-CN"/>
        </w:rPr>
        <w:t xml:space="preserve"> 采购代理机构如果要求供应商按照磋商文件规定提交备选磋商方案的，供应商可以提交备选方案；否则，备选方案将被拒绝。</w:t>
      </w:r>
    </w:p>
    <w:p w14:paraId="46B1439E">
      <w:pPr>
        <w:shd w:val="clear" w:color="auto" w:fill="FFFFFF"/>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7</w:t>
      </w:r>
      <w:r>
        <w:rPr>
          <w:rFonts w:hint="eastAsia" w:ascii="宋体" w:hAnsi="宋体" w:cs="宋体"/>
          <w:bCs/>
          <w:color w:val="auto"/>
          <w:szCs w:val="21"/>
          <w:highlight w:val="none"/>
          <w:lang w:val="zh-CN"/>
        </w:rPr>
        <w:t>.</w:t>
      </w:r>
      <w:r>
        <w:rPr>
          <w:rFonts w:hint="eastAsia" w:ascii="宋体" w:hAnsi="宋体" w:cs="宋体"/>
          <w:bCs/>
          <w:color w:val="auto"/>
          <w:szCs w:val="21"/>
          <w:highlight w:val="none"/>
        </w:rPr>
        <w:t xml:space="preserve">3 </w:t>
      </w:r>
      <w:r>
        <w:rPr>
          <w:rFonts w:hint="eastAsia" w:ascii="宋体" w:hAnsi="宋体" w:cs="宋体"/>
          <w:bCs/>
          <w:color w:val="auto"/>
          <w:szCs w:val="21"/>
          <w:highlight w:val="none"/>
          <w:lang w:val="zh-CN"/>
        </w:rPr>
        <w:t>磋商文件中要求的产品品牌或型号，是采购人根据项目所要实现的功能推荐的品牌或型号，仅供供应商参考，并不是限制条件。</w:t>
      </w:r>
    </w:p>
    <w:p w14:paraId="172AC0D0">
      <w:pPr>
        <w:tabs>
          <w:tab w:val="left" w:pos="1260"/>
        </w:tabs>
        <w:spacing w:line="360" w:lineRule="auto"/>
        <w:ind w:firstLine="422"/>
        <w:rPr>
          <w:rFonts w:ascii="宋体" w:hAnsi="宋体" w:cs="宋体"/>
          <w:b/>
          <w:color w:val="auto"/>
          <w:highlight w:val="none"/>
        </w:rPr>
      </w:pPr>
      <w:r>
        <w:rPr>
          <w:rFonts w:hint="eastAsia" w:ascii="宋体" w:hAnsi="宋体" w:cs="宋体"/>
          <w:b/>
          <w:color w:val="auto"/>
          <w:highlight w:val="none"/>
        </w:rPr>
        <w:t>8、磋商文件的澄清、修改</w:t>
      </w:r>
    </w:p>
    <w:p w14:paraId="52AE2F83">
      <w:pPr>
        <w:spacing w:line="360" w:lineRule="auto"/>
        <w:ind w:firstLine="420"/>
        <w:rPr>
          <w:rFonts w:ascii="宋体" w:hAnsi="宋体" w:cs="宋体"/>
          <w:color w:val="auto"/>
          <w:highlight w:val="none"/>
        </w:rPr>
      </w:pPr>
      <w:r>
        <w:rPr>
          <w:rFonts w:hint="eastAsia" w:ascii="宋体" w:hAnsi="宋体" w:cs="宋体"/>
          <w:color w:val="auto"/>
          <w:highlight w:val="none"/>
        </w:rPr>
        <w:t>8.1任何要求对磋商文件进行澄清的供应商，应在磋商文件规定的响应性文件提交截止日期五天前按磋商文件中的联系方式以书面形式通知代理机构，代理机构将及时予以答复；在磋商文件公布期间，代理机构可主动对磋商文件进行澄清，磋商文件实质性变动的除外。</w:t>
      </w:r>
    </w:p>
    <w:p w14:paraId="09FA6D50">
      <w:pPr>
        <w:spacing w:line="360" w:lineRule="auto"/>
        <w:ind w:firstLine="420"/>
        <w:rPr>
          <w:rFonts w:ascii="宋体" w:hAnsi="宋体" w:cs="宋体"/>
          <w:color w:val="auto"/>
          <w:highlight w:val="none"/>
        </w:rPr>
      </w:pPr>
      <w:r>
        <w:rPr>
          <w:rFonts w:hint="eastAsia" w:ascii="宋体" w:hAnsi="宋体" w:cs="宋体"/>
          <w:color w:val="auto"/>
          <w:highlight w:val="none"/>
        </w:rPr>
        <w:t>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5FAA6E47">
      <w:pPr>
        <w:spacing w:line="360" w:lineRule="auto"/>
        <w:ind w:firstLine="420"/>
        <w:rPr>
          <w:rFonts w:ascii="宋体" w:hAnsi="宋体" w:cs="宋体"/>
          <w:color w:val="auto"/>
          <w:highlight w:val="none"/>
        </w:rPr>
      </w:pPr>
      <w:r>
        <w:rPr>
          <w:rFonts w:hint="eastAsia" w:ascii="宋体" w:hAnsi="宋体" w:cs="宋体"/>
          <w:color w:val="auto"/>
          <w:highlight w:val="none"/>
        </w:rPr>
        <w:t>8.3供应商应及时查看并获取修改后的磋商文件，如供应商未及时查看并下载，由此造成的相关责任，由供应商承担。</w:t>
      </w:r>
    </w:p>
    <w:p w14:paraId="54FC9978">
      <w:pPr>
        <w:spacing w:line="360" w:lineRule="auto"/>
        <w:ind w:firstLine="420"/>
        <w:rPr>
          <w:rFonts w:ascii="宋体" w:hAnsi="宋体" w:cs="宋体"/>
          <w:color w:val="auto"/>
          <w:highlight w:val="none"/>
        </w:rPr>
      </w:pPr>
      <w:r>
        <w:rPr>
          <w:rFonts w:hint="eastAsia" w:ascii="宋体" w:hAnsi="宋体" w:cs="宋体"/>
          <w:color w:val="auto"/>
          <w:highlight w:val="none"/>
        </w:rPr>
        <w:t>8.4为使供应商有充分的时间对磋商文件的修改部分进行分析、研究，采购代理机构有权推迟响应文件接收截止日期和磋商日期，并将此变更通知所有已获取磋商文件的供应商，通知形式同8.2条款。</w:t>
      </w:r>
    </w:p>
    <w:p w14:paraId="3401C6EB">
      <w:pPr>
        <w:spacing w:line="360" w:lineRule="auto"/>
        <w:ind w:firstLine="420"/>
        <w:rPr>
          <w:rFonts w:ascii="宋体" w:hAnsi="宋体" w:cs="宋体"/>
          <w:color w:val="auto"/>
          <w:highlight w:val="none"/>
        </w:rPr>
      </w:pPr>
      <w:r>
        <w:rPr>
          <w:rFonts w:hint="eastAsia" w:ascii="宋体" w:hAnsi="宋体" w:cs="宋体"/>
          <w:color w:val="auto"/>
          <w:highlight w:val="none"/>
        </w:rPr>
        <w:t xml:space="preserve">8.5采购代理机构发出的所有补充、修改和变更文件均作为磋商文件的组成部分，与磋商文件具有同等法律效力。 </w:t>
      </w:r>
    </w:p>
    <w:p w14:paraId="57F818BF">
      <w:pPr>
        <w:pStyle w:val="395"/>
        <w:spacing w:before="0" w:after="0" w:line="360" w:lineRule="auto"/>
        <w:ind w:left="0" w:firstLine="0"/>
        <w:rPr>
          <w:rFonts w:ascii="宋体" w:hAnsi="宋体" w:eastAsia="宋体" w:cs="宋体"/>
          <w:b/>
          <w:bCs/>
          <w:color w:val="auto"/>
          <w:sz w:val="22"/>
          <w:szCs w:val="21"/>
          <w:highlight w:val="none"/>
        </w:rPr>
      </w:pPr>
      <w:bookmarkStart w:id="64" w:name="_Toc11038"/>
      <w:bookmarkStart w:id="65" w:name="_Toc30009"/>
      <w:bookmarkStart w:id="66" w:name="_Toc27184"/>
      <w:r>
        <w:rPr>
          <w:rFonts w:hint="eastAsia" w:ascii="宋体" w:hAnsi="宋体" w:eastAsia="宋体" w:cs="宋体"/>
          <w:b/>
          <w:bCs/>
          <w:color w:val="auto"/>
          <w:sz w:val="22"/>
          <w:szCs w:val="21"/>
          <w:highlight w:val="none"/>
          <w:lang w:val="en-US"/>
        </w:rPr>
        <w:t>三</w:t>
      </w:r>
      <w:r>
        <w:rPr>
          <w:rFonts w:hint="eastAsia" w:ascii="宋体" w:hAnsi="宋体" w:eastAsia="宋体" w:cs="宋体"/>
          <w:b/>
          <w:bCs/>
          <w:color w:val="auto"/>
          <w:sz w:val="22"/>
          <w:szCs w:val="21"/>
          <w:highlight w:val="none"/>
        </w:rPr>
        <w:t>、磋商响应文件编制</w:t>
      </w:r>
      <w:bookmarkEnd w:id="64"/>
      <w:bookmarkEnd w:id="65"/>
      <w:bookmarkEnd w:id="66"/>
    </w:p>
    <w:p w14:paraId="0FCCE23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9、响应性文件的语言、计量单位、货币和编制</w:t>
      </w:r>
    </w:p>
    <w:p w14:paraId="4E67E4B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color w:val="auto"/>
          <w:szCs w:val="21"/>
          <w:highlight w:val="none"/>
          <w:lang w:val="zh-CN"/>
        </w:rPr>
        <w:t>对不同文本磋商响应文件的解释发生异议的，以中文文本为准。</w:t>
      </w:r>
    </w:p>
    <w:p w14:paraId="2C8EFD0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9.2供应商所使用的计量单位应为国家法定计量单位。</w:t>
      </w:r>
    </w:p>
    <w:p w14:paraId="72C34A84">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9.3供应商应用人民币报价。</w:t>
      </w:r>
      <w:r>
        <w:rPr>
          <w:rFonts w:hint="eastAsia" w:ascii="宋体" w:hAnsi="宋体" w:cs="宋体"/>
          <w:color w:val="auto"/>
          <w:szCs w:val="21"/>
          <w:highlight w:val="none"/>
          <w:lang w:val="zh-CN"/>
        </w:rPr>
        <w:t>报价产品如果是进口产品的，应提供人民币与美元之间的汇率；报价单位为“元”。</w:t>
      </w:r>
    </w:p>
    <w:p w14:paraId="0B46F3A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.4 磋商响应文件应字迹清楚、内容齐全、不得涂改。如有修改，修改处须有供应商公章或磋商专用章和法定代表人或其授权磋商代表签字。</w:t>
      </w:r>
    </w:p>
    <w:p w14:paraId="4EB01A4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w:t>
      </w: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 xml:space="preserve"> 供应商应在磋商响应文件中写清相应的项目编号、项目名称、供应商全称、地址、电话、传真等。</w:t>
      </w:r>
    </w:p>
    <w:p w14:paraId="415BF763">
      <w:pPr>
        <w:spacing w:line="360" w:lineRule="auto"/>
        <w:ind w:firstLine="420"/>
        <w:rPr>
          <w:rFonts w:ascii="宋体" w:hAnsi="宋体" w:cs="宋体"/>
          <w:b/>
          <w:color w:val="auto"/>
          <w:highlight w:val="none"/>
        </w:rPr>
      </w:pPr>
      <w:r>
        <w:rPr>
          <w:rFonts w:hint="eastAsia" w:ascii="宋体" w:hAnsi="宋体" w:cs="宋体"/>
          <w:b/>
          <w:color w:val="auto"/>
          <w:highlight w:val="none"/>
        </w:rPr>
        <w:t>10、磋商响应文件的组成</w:t>
      </w:r>
    </w:p>
    <w:p w14:paraId="0408660E">
      <w:pPr>
        <w:spacing w:line="360" w:lineRule="auto"/>
        <w:ind w:firstLine="420"/>
        <w:rPr>
          <w:rFonts w:ascii="宋体" w:hAnsi="宋体" w:cs="宋体"/>
          <w:bCs/>
          <w:color w:val="auto"/>
          <w:highlight w:val="none"/>
        </w:rPr>
      </w:pPr>
      <w:r>
        <w:rPr>
          <w:rFonts w:hint="eastAsia" w:ascii="宋体" w:hAnsi="宋体" w:cs="宋体"/>
          <w:bCs/>
          <w:color w:val="auto"/>
          <w:highlight w:val="none"/>
        </w:rPr>
        <w:t>10.1供应商应当根据磋商文件要求编制磋商文件，并根据自己的商务能力、技术水平对磋商文件提出的要求和条件逐条标明是否响应。磋商响应文件由商务部分、技术部分、价格部分，以及其他部分组成。</w:t>
      </w:r>
    </w:p>
    <w:p w14:paraId="00BC57CB">
      <w:pPr>
        <w:spacing w:line="360" w:lineRule="auto"/>
        <w:ind w:firstLine="420"/>
        <w:rPr>
          <w:rFonts w:ascii="宋体" w:hAnsi="宋体" w:cs="宋体"/>
          <w:b/>
          <w:color w:val="auto"/>
          <w:highlight w:val="none"/>
          <w:shd w:val="clear" w:color="auto" w:fill="FFFFFF"/>
        </w:rPr>
      </w:pPr>
      <w:r>
        <w:rPr>
          <w:rFonts w:hint="eastAsia" w:ascii="宋体" w:hAnsi="宋体" w:cs="宋体"/>
          <w:bCs/>
          <w:color w:val="auto"/>
          <w:highlight w:val="none"/>
        </w:rPr>
        <w:t>10</w:t>
      </w:r>
      <w:r>
        <w:rPr>
          <w:rFonts w:hint="eastAsia" w:ascii="宋体" w:hAnsi="宋体" w:cs="宋体"/>
          <w:bCs/>
          <w:color w:val="auto"/>
          <w:highlight w:val="none"/>
          <w:shd w:val="clear" w:color="auto" w:fill="FFFFFF"/>
        </w:rPr>
        <w:t xml:space="preserve">.2 </w:t>
      </w:r>
      <w:r>
        <w:rPr>
          <w:rFonts w:hint="eastAsia" w:ascii="宋体" w:hAnsi="宋体" w:cs="宋体"/>
          <w:b/>
          <w:color w:val="auto"/>
          <w:highlight w:val="none"/>
          <w:shd w:val="clear" w:color="auto" w:fill="FFFFFF"/>
        </w:rPr>
        <w:t>磋商响应文件的商务部分。</w:t>
      </w:r>
    </w:p>
    <w:p w14:paraId="38A89CDC">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商务部分是证明供应商有资格参加磋商和中标后有能力履行合同的文件，</w:t>
      </w:r>
      <w:r>
        <w:rPr>
          <w:rFonts w:hint="eastAsia" w:ascii="宋体" w:hAnsi="宋体" w:cs="宋体"/>
          <w:color w:val="auto"/>
          <w:highlight w:val="none"/>
        </w:rPr>
        <w:t>这些文件应能满足招标的要求</w:t>
      </w:r>
      <w:r>
        <w:rPr>
          <w:rFonts w:hint="eastAsia" w:ascii="宋体" w:hAnsi="宋体" w:cs="宋体"/>
          <w:color w:val="auto"/>
          <w:highlight w:val="none"/>
          <w:lang w:val="zh-CN"/>
        </w:rPr>
        <w:t>，包括但不限于下列文件，</w:t>
      </w:r>
      <w:r>
        <w:rPr>
          <w:rFonts w:hint="eastAsia" w:ascii="宋体" w:hAnsi="宋体" w:cs="宋体"/>
          <w:b/>
          <w:color w:val="auto"/>
          <w:highlight w:val="none"/>
          <w:lang w:val="zh-CN"/>
        </w:rPr>
        <w:t>其中加</w:t>
      </w:r>
      <w:r>
        <w:rPr>
          <w:rFonts w:hint="eastAsia" w:ascii="宋体" w:hAnsi="宋体" w:cs="宋体"/>
          <w:b/>
          <w:color w:val="auto"/>
          <w:highlight w:val="none"/>
        </w:rPr>
        <w:t>*</w:t>
      </w:r>
      <w:r>
        <w:rPr>
          <w:rFonts w:hint="eastAsia" w:ascii="宋体" w:hAnsi="宋体" w:cs="宋体"/>
          <w:b/>
          <w:color w:val="auto"/>
          <w:highlight w:val="none"/>
          <w:lang w:val="zh-CN"/>
        </w:rPr>
        <w:t>项目不得有缺失或无效</w:t>
      </w:r>
      <w:r>
        <w:rPr>
          <w:rFonts w:hint="eastAsia" w:ascii="宋体" w:hAnsi="宋体" w:cs="宋体"/>
          <w:color w:val="auto"/>
          <w:highlight w:val="none"/>
          <w:lang w:val="zh-CN"/>
        </w:rPr>
        <w:t>。</w:t>
      </w:r>
    </w:p>
    <w:p w14:paraId="71402C02">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w:t>
      </w:r>
      <w:r>
        <w:rPr>
          <w:rFonts w:hint="eastAsia" w:ascii="宋体" w:hAnsi="宋体" w:cs="宋体"/>
          <w:color w:val="auto"/>
          <w:szCs w:val="21"/>
          <w:highlight w:val="none"/>
          <w:lang w:val="zh-CN"/>
        </w:rPr>
        <w:t>磋商申请及声明；</w:t>
      </w:r>
    </w:p>
    <w:p w14:paraId="5BCB6D86">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b/>
          <w:color w:val="auto"/>
          <w:szCs w:val="21"/>
          <w:highlight w:val="none"/>
          <w:lang w:val="zh-CN"/>
        </w:rPr>
        <w:t>*</w:t>
      </w:r>
      <w:r>
        <w:rPr>
          <w:rFonts w:hint="eastAsia" w:ascii="宋体" w:hAnsi="宋体" w:cs="宋体"/>
          <w:color w:val="auto"/>
          <w:szCs w:val="21"/>
          <w:highlight w:val="none"/>
          <w:lang w:val="zh-CN"/>
        </w:rPr>
        <w:t>法定代表人授权委托书、</w:t>
      </w:r>
      <w:r>
        <w:rPr>
          <w:rFonts w:hint="eastAsia" w:ascii="宋体" w:hAnsi="宋体" w:cs="宋体"/>
          <w:color w:val="auto"/>
          <w:szCs w:val="21"/>
          <w:highlight w:val="none"/>
        </w:rPr>
        <w:t>身份证及</w:t>
      </w:r>
      <w:r>
        <w:rPr>
          <w:rFonts w:hint="eastAsia" w:ascii="宋体" w:hAnsi="宋体" w:cs="宋体"/>
          <w:color w:val="auto"/>
          <w:szCs w:val="21"/>
          <w:highlight w:val="none"/>
          <w:lang w:val="zh-CN"/>
        </w:rPr>
        <w:t>采购公告前近三个月</w:t>
      </w:r>
      <w:r>
        <w:rPr>
          <w:rFonts w:hint="eastAsia" w:ascii="宋体" w:hAnsi="宋体" w:cs="宋体"/>
          <w:color w:val="auto"/>
          <w:szCs w:val="21"/>
          <w:highlight w:val="none"/>
        </w:rPr>
        <w:t>任意一个月（2026年</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月—2026年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w:t>
      </w:r>
      <w:r>
        <w:rPr>
          <w:rFonts w:hint="eastAsia" w:ascii="宋体" w:hAnsi="宋体" w:cs="宋体"/>
          <w:color w:val="auto"/>
          <w:szCs w:val="21"/>
          <w:highlight w:val="none"/>
          <w:lang w:val="zh-CN"/>
        </w:rPr>
        <w:t>投标供应商为</w:t>
      </w:r>
      <w:r>
        <w:rPr>
          <w:rFonts w:hint="eastAsia" w:ascii="宋体" w:hAnsi="宋体" w:cs="宋体"/>
          <w:color w:val="auto"/>
          <w:szCs w:val="21"/>
          <w:highlight w:val="none"/>
        </w:rPr>
        <w:t>委托代理人</w:t>
      </w:r>
      <w:r>
        <w:rPr>
          <w:rFonts w:hint="eastAsia" w:ascii="宋体" w:hAnsi="宋体" w:cs="宋体"/>
          <w:color w:val="auto"/>
          <w:szCs w:val="21"/>
          <w:highlight w:val="none"/>
          <w:lang w:val="zh-CN"/>
        </w:rPr>
        <w:t>缴纳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p>
    <w:p w14:paraId="6F67500D">
      <w:pPr>
        <w:widowControl/>
        <w:spacing w:line="360" w:lineRule="auto"/>
        <w:ind w:firstLine="420"/>
        <w:jc w:val="left"/>
        <w:rPr>
          <w:rFonts w:hint="eastAsia" w:ascii="Arial" w:hAnsi="Arial" w:eastAsia="宋体" w:cs="Arial"/>
          <w:color w:val="auto"/>
          <w:sz w:val="21"/>
          <w:szCs w:val="21"/>
          <w:highlight w:val="none"/>
          <w:lang w:eastAsia="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w:t>
      </w:r>
      <w:r>
        <w:rPr>
          <w:rFonts w:hint="default" w:ascii="Arial" w:hAnsi="Arial" w:cs="Arial"/>
          <w:color w:val="auto"/>
          <w:sz w:val="21"/>
          <w:szCs w:val="21"/>
          <w:highlight w:val="none"/>
        </w:rPr>
        <w:t>第一章磋商邀请中申请人资格要求证明文件</w:t>
      </w:r>
      <w:r>
        <w:rPr>
          <w:rFonts w:hint="eastAsia" w:ascii="Arial" w:hAnsi="Arial" w:cs="Arial"/>
          <w:color w:val="auto"/>
          <w:sz w:val="21"/>
          <w:szCs w:val="21"/>
          <w:highlight w:val="none"/>
          <w:lang w:eastAsia="zh-CN"/>
        </w:rPr>
        <w:t>；</w:t>
      </w:r>
    </w:p>
    <w:p w14:paraId="411EF15E">
      <w:pPr>
        <w:widowControl/>
        <w:spacing w:line="360" w:lineRule="auto"/>
        <w:ind w:firstLine="420"/>
        <w:jc w:val="left"/>
        <w:rPr>
          <w:rFonts w:hint="eastAsia" w:ascii="Arial" w:hAnsi="Arial" w:eastAsia="宋体" w:cs="Arial"/>
          <w:color w:val="auto"/>
          <w:sz w:val="21"/>
          <w:szCs w:val="21"/>
          <w:highlight w:val="none"/>
          <w:lang w:val="zh-CN" w:eastAsia="zh-CN"/>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4</w:t>
      </w:r>
      <w:r>
        <w:rPr>
          <w:rFonts w:hint="eastAsia" w:ascii="Arial" w:hAnsi="Arial" w:cs="Arial"/>
          <w:color w:val="auto"/>
          <w:sz w:val="21"/>
          <w:szCs w:val="21"/>
          <w:highlight w:val="none"/>
          <w:lang w:eastAsia="zh-CN"/>
        </w:rPr>
        <w:t>）</w:t>
      </w:r>
      <w:r>
        <w:rPr>
          <w:rFonts w:hint="eastAsia" w:ascii="宋体" w:hAnsi="宋体" w:cs="宋体"/>
          <w:b/>
          <w:color w:val="auto"/>
          <w:szCs w:val="21"/>
          <w:highlight w:val="none"/>
          <w:lang w:val="zh-CN"/>
        </w:rPr>
        <w:t>*</w:t>
      </w:r>
      <w:r>
        <w:rPr>
          <w:rFonts w:hint="default" w:ascii="Arial" w:hAnsi="Arial" w:cs="Arial"/>
          <w:color w:val="auto"/>
          <w:sz w:val="21"/>
          <w:szCs w:val="21"/>
          <w:highlight w:val="none"/>
        </w:rPr>
        <w:t>第一章磋商邀请中本项目的特定资格要求</w:t>
      </w:r>
      <w:r>
        <w:rPr>
          <w:rFonts w:hint="eastAsia" w:ascii="Arial" w:hAnsi="Arial" w:cs="Arial"/>
          <w:color w:val="auto"/>
          <w:sz w:val="21"/>
          <w:szCs w:val="21"/>
          <w:highlight w:val="none"/>
          <w:lang w:eastAsia="zh-CN"/>
        </w:rPr>
        <w:t>；</w:t>
      </w:r>
    </w:p>
    <w:p w14:paraId="1FD1B8A2">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zh-CN"/>
        </w:rPr>
        <w:t>）</w:t>
      </w:r>
      <w:r>
        <w:rPr>
          <w:rFonts w:hint="eastAsia" w:ascii="宋体" w:hAnsi="宋体" w:cs="宋体"/>
          <w:b/>
          <w:color w:val="auto"/>
          <w:szCs w:val="21"/>
          <w:highlight w:val="none"/>
          <w:lang w:val="zh-CN"/>
        </w:rPr>
        <w:t>*</w:t>
      </w:r>
      <w:r>
        <w:rPr>
          <w:rFonts w:hint="eastAsia" w:ascii="宋体" w:hAnsi="宋体" w:cs="宋体"/>
          <w:color w:val="auto"/>
          <w:szCs w:val="21"/>
          <w:highlight w:val="none"/>
        </w:rPr>
        <w:t>清单报价表</w:t>
      </w:r>
      <w:r>
        <w:rPr>
          <w:rFonts w:hint="eastAsia" w:ascii="宋体" w:hAnsi="宋体" w:cs="宋体"/>
          <w:color w:val="auto"/>
          <w:szCs w:val="21"/>
          <w:highlight w:val="none"/>
          <w:lang w:val="zh-CN"/>
        </w:rPr>
        <w:t>；</w:t>
      </w:r>
    </w:p>
    <w:p w14:paraId="561AFC88">
      <w:pPr>
        <w:pStyle w:val="2"/>
        <w:ind w:firstLine="420" w:firstLineChars="200"/>
        <w:rPr>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val="zh-CN"/>
        </w:rPr>
        <w:t>）</w:t>
      </w:r>
      <w:r>
        <w:rPr>
          <w:rFonts w:hint="eastAsia" w:ascii="宋体" w:hAnsi="宋体" w:cs="宋体"/>
          <w:b/>
          <w:color w:val="auto"/>
          <w:szCs w:val="21"/>
          <w:highlight w:val="none"/>
          <w:lang w:val="zh-CN"/>
        </w:rPr>
        <w:t>*</w:t>
      </w:r>
      <w:r>
        <w:rPr>
          <w:rFonts w:hint="eastAsia" w:ascii="宋体" w:hAnsi="宋体" w:cs="宋体"/>
          <w:color w:val="auto"/>
          <w:szCs w:val="21"/>
          <w:highlight w:val="none"/>
          <w:lang w:val="zh-CN" w:eastAsia="zh-CN"/>
        </w:rPr>
        <w:t>磋商报价汇总表；</w:t>
      </w:r>
    </w:p>
    <w:p w14:paraId="20E4C026">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cs="宋体"/>
          <w:b/>
          <w:color w:val="auto"/>
          <w:szCs w:val="21"/>
          <w:highlight w:val="none"/>
          <w:lang w:val="zh-CN"/>
        </w:rPr>
        <w:t>*</w:t>
      </w:r>
      <w:r>
        <w:rPr>
          <w:rFonts w:hint="eastAsia" w:ascii="宋体" w:hAnsi="宋体" w:cs="宋体"/>
          <w:color w:val="auto"/>
          <w:szCs w:val="21"/>
          <w:highlight w:val="none"/>
        </w:rPr>
        <w:t>中小企业声明函；</w:t>
      </w:r>
    </w:p>
    <w:p w14:paraId="73BE2958">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w:t>
      </w:r>
      <w:r>
        <w:rPr>
          <w:rFonts w:hint="eastAsia" w:ascii="宋体" w:hAnsi="宋体" w:cs="宋体"/>
          <w:b/>
          <w:color w:val="auto"/>
          <w:szCs w:val="21"/>
          <w:highlight w:val="none"/>
          <w:lang w:val="zh-CN"/>
        </w:rPr>
        <w:t>*</w:t>
      </w:r>
      <w:r>
        <w:rPr>
          <w:rFonts w:hint="eastAsia" w:ascii="宋体" w:hAnsi="宋体" w:cs="宋体"/>
          <w:color w:val="auto"/>
          <w:szCs w:val="21"/>
          <w:highlight w:val="none"/>
        </w:rPr>
        <w:t>《南京市政府采购供应商信用记录表暨信用承诺书》；</w:t>
      </w:r>
    </w:p>
    <w:p w14:paraId="68B5A24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w:t>
      </w:r>
      <w:r>
        <w:rPr>
          <w:rFonts w:hint="eastAsia" w:ascii="宋体" w:hAnsi="宋体" w:cs="宋体"/>
          <w:b/>
          <w:color w:val="auto"/>
          <w:szCs w:val="21"/>
          <w:highlight w:val="none"/>
          <w:lang w:val="zh-CN"/>
        </w:rPr>
        <w:t>*</w:t>
      </w:r>
      <w:r>
        <w:rPr>
          <w:rFonts w:hint="eastAsia" w:ascii="宋体" w:hAnsi="宋体" w:cs="宋体"/>
          <w:color w:val="auto"/>
          <w:szCs w:val="21"/>
          <w:highlight w:val="none"/>
        </w:rPr>
        <w:t>《商务条款响应表》；</w:t>
      </w:r>
    </w:p>
    <w:p w14:paraId="594ED62C">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r>
        <w:rPr>
          <w:rFonts w:hint="eastAsia" w:ascii="宋体" w:hAnsi="宋体" w:cs="宋体"/>
          <w:b/>
          <w:color w:val="auto"/>
          <w:szCs w:val="21"/>
          <w:highlight w:val="none"/>
          <w:lang w:val="zh-CN"/>
        </w:rPr>
        <w:t>*</w:t>
      </w:r>
      <w:r>
        <w:rPr>
          <w:rFonts w:hint="eastAsia" w:ascii="宋体" w:hAnsi="宋体" w:cs="宋体"/>
          <w:color w:val="auto"/>
          <w:szCs w:val="21"/>
          <w:highlight w:val="none"/>
        </w:rPr>
        <w:t>“信用中国”、“中国政府采购网”网站截图（提供供应商未被列入失信被执行人、重大税收违法案件当事人名单、政府采购严重违法失信行为记录名单的对应截图）；</w:t>
      </w:r>
    </w:p>
    <w:p w14:paraId="34833B2F">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lang w:val="zh-CN"/>
        </w:rPr>
        <w:t>）磋商供应商认为需提供的其他资料。</w:t>
      </w:r>
    </w:p>
    <w:p w14:paraId="3A5F9668">
      <w:pPr>
        <w:spacing w:line="360" w:lineRule="auto"/>
        <w:ind w:firstLine="420"/>
        <w:rPr>
          <w:rFonts w:ascii="宋体" w:hAnsi="宋体" w:cs="宋体"/>
          <w:b/>
          <w:color w:val="auto"/>
          <w:highlight w:val="none"/>
          <w:shd w:val="clear" w:color="auto" w:fill="FFFFFF"/>
        </w:rPr>
      </w:pPr>
      <w:r>
        <w:rPr>
          <w:rFonts w:hint="eastAsia" w:ascii="宋体" w:hAnsi="宋体" w:cs="宋体"/>
          <w:bCs/>
          <w:color w:val="auto"/>
          <w:highlight w:val="none"/>
        </w:rPr>
        <w:t>10</w:t>
      </w:r>
      <w:r>
        <w:rPr>
          <w:rFonts w:hint="eastAsia" w:ascii="宋体" w:hAnsi="宋体" w:cs="宋体"/>
          <w:bCs/>
          <w:color w:val="auto"/>
          <w:highlight w:val="none"/>
          <w:shd w:val="clear" w:color="auto" w:fill="FFFFFF"/>
        </w:rPr>
        <w:t xml:space="preserve">.3 </w:t>
      </w:r>
      <w:r>
        <w:rPr>
          <w:rFonts w:hint="eastAsia" w:ascii="宋体" w:hAnsi="宋体" w:cs="宋体"/>
          <w:b/>
          <w:color w:val="auto"/>
          <w:highlight w:val="none"/>
          <w:shd w:val="clear" w:color="auto" w:fill="FFFFFF"/>
        </w:rPr>
        <w:t>磋商响应文件的技术部分。</w:t>
      </w:r>
    </w:p>
    <w:p w14:paraId="50916BE8">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技术部分是证明</w:t>
      </w:r>
      <w:r>
        <w:rPr>
          <w:rFonts w:hint="eastAsia" w:ascii="宋体" w:hAnsi="宋体" w:cs="宋体"/>
          <w:color w:val="auto"/>
          <w:highlight w:val="none"/>
        </w:rPr>
        <w:t>供应商提供的工程、货物和服务是合格的、并符合磋商文件要求的证明文件，以及</w:t>
      </w:r>
      <w:r>
        <w:rPr>
          <w:rFonts w:hint="eastAsia" w:ascii="宋体" w:hAnsi="宋体" w:cs="宋体"/>
          <w:color w:val="auto"/>
          <w:highlight w:val="none"/>
          <w:lang w:val="zh-CN"/>
        </w:rPr>
        <w:t>对磋商报价表中的工程、货物和服务的详细说明，这些文件可以是文字资料、图纸和数据等。</w:t>
      </w:r>
    </w:p>
    <w:p w14:paraId="4C1ADE8C">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若技术性能无特殊说明，则按国家有关部门最新颁布的标准及规范为准；</w:t>
      </w:r>
    </w:p>
    <w:p w14:paraId="567B3FBB">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提供的工程、货物和服务如与磋商文件要求有不符之处，应说明其差别之所在，并在《技术规格偏离表》中逐条予以说明。</w:t>
      </w:r>
    </w:p>
    <w:p w14:paraId="770667CD">
      <w:pPr>
        <w:spacing w:line="360" w:lineRule="auto"/>
        <w:ind w:firstLine="420"/>
        <w:rPr>
          <w:rFonts w:ascii="宋体" w:hAnsi="宋体" w:cs="宋体"/>
          <w:b/>
          <w:color w:val="auto"/>
          <w:szCs w:val="21"/>
          <w:highlight w:val="none"/>
          <w:lang w:val="zh-CN"/>
        </w:rPr>
      </w:pPr>
      <w:r>
        <w:rPr>
          <w:rFonts w:hint="eastAsia" w:ascii="宋体" w:hAnsi="宋体" w:cs="宋体"/>
          <w:color w:val="auto"/>
          <w:highlight w:val="none"/>
          <w:lang w:val="zh-CN"/>
        </w:rPr>
        <w:t>磋商响应文件应按照磋商文件要求提供技术资料、文件和有关证明，包括但不限于</w:t>
      </w:r>
      <w:r>
        <w:rPr>
          <w:rFonts w:hint="eastAsia" w:ascii="宋体" w:hAnsi="宋体" w:cs="宋体"/>
          <w:b/>
          <w:color w:val="auto"/>
          <w:highlight w:val="none"/>
          <w:lang w:val="zh-CN"/>
        </w:rPr>
        <w:t>其中加</w:t>
      </w:r>
      <w:r>
        <w:rPr>
          <w:rFonts w:hint="eastAsia" w:ascii="宋体" w:hAnsi="宋体" w:cs="宋体"/>
          <w:b/>
          <w:color w:val="auto"/>
          <w:highlight w:val="none"/>
        </w:rPr>
        <w:t>*</w:t>
      </w:r>
      <w:r>
        <w:rPr>
          <w:rFonts w:hint="eastAsia" w:ascii="宋体" w:hAnsi="宋体" w:cs="宋体"/>
          <w:b/>
          <w:color w:val="auto"/>
          <w:highlight w:val="none"/>
          <w:lang w:val="zh-CN"/>
        </w:rPr>
        <w:t>项目不得有缺失或无效：</w:t>
      </w:r>
    </w:p>
    <w:p w14:paraId="5E80CBAD">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zh-CN"/>
        </w:rPr>
        <w:t>*《技术规格偏离表》；</w:t>
      </w:r>
    </w:p>
    <w:p w14:paraId="61A8C0B4">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zh-CN"/>
        </w:rPr>
        <w:t>*</w:t>
      </w:r>
      <w:r>
        <w:rPr>
          <w:rFonts w:hint="eastAsia" w:ascii="宋体" w:hAnsi="宋体" w:cs="宋体"/>
          <w:color w:val="auto"/>
          <w:szCs w:val="21"/>
          <w:highlight w:val="none"/>
        </w:rPr>
        <w:t>拟投入本项目人员配置表</w:t>
      </w:r>
      <w:r>
        <w:rPr>
          <w:rFonts w:hint="eastAsia" w:ascii="宋体" w:hAnsi="宋体" w:cs="宋体"/>
          <w:color w:val="auto"/>
          <w:szCs w:val="21"/>
          <w:highlight w:val="none"/>
          <w:lang w:val="zh-CN"/>
        </w:rPr>
        <w:t>；</w:t>
      </w:r>
    </w:p>
    <w:p w14:paraId="30E1D723">
      <w:pPr>
        <w:widowControl/>
        <w:spacing w:line="360" w:lineRule="auto"/>
        <w:ind w:firstLine="42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（3）业绩一览表</w:t>
      </w:r>
      <w:r>
        <w:rPr>
          <w:rFonts w:hint="eastAsia" w:ascii="宋体" w:hAnsi="宋体" w:cs="宋体"/>
          <w:color w:val="auto"/>
          <w:szCs w:val="21"/>
          <w:highlight w:val="none"/>
          <w:lang w:eastAsia="zh-CN"/>
        </w:rPr>
        <w:t>；</w:t>
      </w:r>
    </w:p>
    <w:p w14:paraId="472D48C9">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w:t>
      </w:r>
      <w:r>
        <w:rPr>
          <w:rFonts w:hint="eastAsia" w:ascii="宋体" w:hAnsi="宋体" w:cs="宋体"/>
          <w:b/>
          <w:bCs/>
          <w:color w:val="auto"/>
          <w:szCs w:val="21"/>
          <w:highlight w:val="none"/>
          <w:lang w:val="zh-CN"/>
        </w:rPr>
        <w:t>*</w:t>
      </w:r>
      <w:r>
        <w:rPr>
          <w:rFonts w:hint="eastAsia" w:ascii="宋体" w:hAnsi="宋体" w:cs="宋体"/>
          <w:color w:val="auto"/>
          <w:szCs w:val="21"/>
          <w:highlight w:val="none"/>
          <w:lang w:val="zh-CN"/>
        </w:rPr>
        <w:t>安全生产责任承诺书；</w:t>
      </w:r>
    </w:p>
    <w:p w14:paraId="65B360EB">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w:t>
      </w:r>
      <w:bookmarkStart w:id="67" w:name="_Toc341184789"/>
      <w:r>
        <w:rPr>
          <w:rFonts w:hint="eastAsia" w:ascii="宋体" w:hAnsi="宋体" w:cs="宋体"/>
          <w:b/>
          <w:bCs/>
          <w:color w:val="auto"/>
          <w:szCs w:val="21"/>
          <w:highlight w:val="none"/>
          <w:lang w:val="zh-CN"/>
        </w:rPr>
        <w:t>*</w:t>
      </w:r>
      <w:r>
        <w:rPr>
          <w:rFonts w:hint="eastAsia" w:ascii="宋体" w:hAnsi="宋体" w:cs="宋体"/>
          <w:color w:val="auto"/>
          <w:szCs w:val="21"/>
          <w:highlight w:val="none"/>
          <w:lang w:val="zh-CN"/>
        </w:rPr>
        <w:t>质量</w:t>
      </w:r>
      <w:bookmarkEnd w:id="67"/>
      <w:r>
        <w:rPr>
          <w:rFonts w:hint="eastAsia" w:ascii="宋体" w:hAnsi="宋体" w:cs="宋体"/>
          <w:color w:val="auto"/>
          <w:szCs w:val="21"/>
          <w:highlight w:val="none"/>
          <w:lang w:val="zh-CN"/>
        </w:rPr>
        <w:t>保证及服务承诺；</w:t>
      </w:r>
    </w:p>
    <w:p w14:paraId="1764A261">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rPr>
        <w:t>（6）</w:t>
      </w:r>
      <w:r>
        <w:rPr>
          <w:rFonts w:hint="eastAsia" w:ascii="宋体" w:hAnsi="宋体" w:cs="宋体"/>
          <w:color w:val="auto"/>
          <w:szCs w:val="21"/>
          <w:highlight w:val="none"/>
          <w:lang w:val="zh-CN"/>
        </w:rPr>
        <w:t>磋商供应商认为需要提供的其他技术资料。</w:t>
      </w:r>
    </w:p>
    <w:p w14:paraId="7535220A">
      <w:pPr>
        <w:widowControl/>
        <w:spacing w:line="360" w:lineRule="auto"/>
        <w:ind w:firstLine="420"/>
        <w:jc w:val="left"/>
        <w:rPr>
          <w:rFonts w:ascii="宋体" w:hAnsi="宋体" w:cs="宋体"/>
          <w:b/>
          <w:color w:val="auto"/>
          <w:szCs w:val="21"/>
          <w:highlight w:val="none"/>
          <w:lang w:val="zh-CN"/>
        </w:rPr>
      </w:pPr>
      <w:r>
        <w:rPr>
          <w:rFonts w:hint="eastAsia" w:ascii="宋体" w:hAnsi="宋体" w:cs="宋体"/>
          <w:bCs/>
          <w:color w:val="auto"/>
          <w:szCs w:val="21"/>
          <w:highlight w:val="none"/>
        </w:rPr>
        <w:t>10.4</w:t>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zh-CN"/>
        </w:rPr>
        <w:t>磋商响应文件的价格部分</w:t>
      </w:r>
    </w:p>
    <w:p w14:paraId="67833A5F">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（1）价格部分是对磋商工程、货物和服务价格构成的说明，每一项仅接受一个价格。</w:t>
      </w:r>
    </w:p>
    <w:p w14:paraId="618F5CC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392D19B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3</w:t>
      </w:r>
      <w:r>
        <w:rPr>
          <w:rFonts w:hint="eastAsia" w:ascii="宋体" w:hAnsi="宋体" w:cs="宋体"/>
          <w:color w:val="auto"/>
          <w:highlight w:val="none"/>
          <w:lang w:val="zh-CN"/>
        </w:rPr>
        <w:t>）</w:t>
      </w:r>
      <w:r>
        <w:rPr>
          <w:rFonts w:hint="eastAsia" w:ascii="宋体" w:hAnsi="宋体" w:cs="宋体"/>
          <w:color w:val="auto"/>
          <w:highlight w:val="none"/>
        </w:rPr>
        <w:t>*</w:t>
      </w:r>
      <w:r>
        <w:rPr>
          <w:rFonts w:hint="eastAsia" w:ascii="宋体" w:hAnsi="宋体" w:cs="宋体"/>
          <w:color w:val="auto"/>
          <w:szCs w:val="21"/>
          <w:highlight w:val="none"/>
          <w:lang w:val="zh-CN"/>
        </w:rPr>
        <w:t>已标价工程量清单</w:t>
      </w:r>
    </w:p>
    <w:p w14:paraId="679189FC">
      <w:pPr>
        <w:widowControl/>
        <w:spacing w:line="360" w:lineRule="auto"/>
        <w:ind w:firstLine="420"/>
        <w:jc w:val="left"/>
        <w:rPr>
          <w:rFonts w:ascii="宋体" w:hAnsi="宋体" w:cs="宋体"/>
          <w:bCs/>
          <w:color w:val="auto"/>
          <w:highlight w:val="none"/>
        </w:rPr>
      </w:pPr>
      <w:r>
        <w:rPr>
          <w:rFonts w:hint="eastAsia" w:ascii="宋体" w:hAnsi="宋体" w:cs="宋体"/>
          <w:bCs/>
          <w:color w:val="auto"/>
          <w:highlight w:val="none"/>
          <w:lang w:val="zh-CN"/>
        </w:rPr>
        <w:t>（</w:t>
      </w:r>
      <w:r>
        <w:rPr>
          <w:rFonts w:hint="eastAsia" w:ascii="宋体" w:hAnsi="宋体" w:cs="宋体"/>
          <w:bCs/>
          <w:color w:val="auto"/>
          <w:highlight w:val="none"/>
        </w:rPr>
        <w:t>4</w:t>
      </w:r>
      <w:r>
        <w:rPr>
          <w:rFonts w:hint="eastAsia" w:ascii="宋体" w:hAnsi="宋体" w:cs="宋体"/>
          <w:bCs/>
          <w:color w:val="auto"/>
          <w:highlight w:val="none"/>
          <w:lang w:val="zh-CN"/>
        </w:rPr>
        <w:t>）</w:t>
      </w:r>
      <w:r>
        <w:rPr>
          <w:rFonts w:hint="eastAsia" w:ascii="宋体" w:hAnsi="宋体" w:cs="宋体"/>
          <w:bCs/>
          <w:color w:val="auto"/>
          <w:highlight w:val="none"/>
        </w:rPr>
        <w:t>提供</w:t>
      </w:r>
      <w:r>
        <w:rPr>
          <w:rFonts w:hint="eastAsia" w:ascii="宋体" w:hAnsi="宋体" w:cs="宋体"/>
          <w:bCs/>
          <w:color w:val="auto"/>
          <w:highlight w:val="none"/>
          <w:lang w:val="zh-CN"/>
        </w:rPr>
        <w:t>《</w:t>
      </w:r>
      <w:r>
        <w:rPr>
          <w:rFonts w:hint="eastAsia" w:ascii="宋体" w:hAnsi="宋体" w:cs="宋体"/>
          <w:bCs/>
          <w:color w:val="auto"/>
          <w:highlight w:val="none"/>
        </w:rPr>
        <w:t>工程量清单编制说明</w:t>
      </w:r>
      <w:r>
        <w:rPr>
          <w:rFonts w:hint="eastAsia" w:ascii="宋体" w:hAnsi="宋体" w:cs="宋体"/>
          <w:bCs/>
          <w:color w:val="auto"/>
          <w:highlight w:val="none"/>
          <w:lang w:val="zh-CN"/>
        </w:rPr>
        <w:t>》（</w:t>
      </w:r>
      <w:r>
        <w:rPr>
          <w:rFonts w:hint="eastAsia" w:ascii="宋体" w:hAnsi="宋体" w:cs="宋体"/>
          <w:bCs/>
          <w:color w:val="auto"/>
          <w:highlight w:val="none"/>
        </w:rPr>
        <w:t>格式自拟并加盖公章</w:t>
      </w:r>
      <w:r>
        <w:rPr>
          <w:rFonts w:hint="eastAsia" w:ascii="宋体" w:hAnsi="宋体" w:cs="宋体"/>
          <w:bCs/>
          <w:color w:val="auto"/>
          <w:highlight w:val="none"/>
          <w:lang w:val="zh-CN"/>
        </w:rPr>
        <w:t>）</w:t>
      </w:r>
    </w:p>
    <w:p w14:paraId="48B7993A">
      <w:pPr>
        <w:widowControl/>
        <w:spacing w:line="360" w:lineRule="auto"/>
        <w:ind w:firstLine="422"/>
        <w:jc w:val="left"/>
        <w:rPr>
          <w:rFonts w:ascii="宋体" w:hAnsi="宋体" w:cs="宋体"/>
          <w:b/>
          <w:bCs/>
          <w:color w:val="auto"/>
          <w:szCs w:val="21"/>
          <w:highlight w:val="none"/>
          <w:lang w:val="zh-CN"/>
        </w:rPr>
      </w:pPr>
      <w:r>
        <w:rPr>
          <w:rFonts w:hint="eastAsia" w:ascii="宋体" w:hAnsi="宋体" w:cs="宋体"/>
          <w:b/>
          <w:color w:val="auto"/>
          <w:highlight w:val="none"/>
          <w:lang w:val="zh-CN"/>
        </w:rPr>
        <w:t>（</w:t>
      </w:r>
      <w:r>
        <w:rPr>
          <w:rFonts w:hint="eastAsia" w:ascii="宋体" w:hAnsi="宋体" w:cs="宋体"/>
          <w:b/>
          <w:color w:val="auto"/>
          <w:highlight w:val="none"/>
        </w:rPr>
        <w:t>5</w:t>
      </w:r>
      <w:r>
        <w:rPr>
          <w:rFonts w:hint="eastAsia" w:ascii="宋体" w:hAnsi="宋体" w:cs="宋体"/>
          <w:b/>
          <w:color w:val="auto"/>
          <w:highlight w:val="none"/>
          <w:lang w:val="zh-CN"/>
        </w:rPr>
        <w:t>）本次磋商将采用二轮报价的形式，磋商申请单位需准时参加报价，否则视为放弃报价，做无效响应处理。以供应商的最后报价作为价格评分依据。</w:t>
      </w:r>
    </w:p>
    <w:p w14:paraId="4C5BFCA8">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6</w:t>
      </w:r>
      <w:r>
        <w:rPr>
          <w:rFonts w:hint="eastAsia" w:ascii="宋体" w:hAnsi="宋体" w:cs="宋体"/>
          <w:color w:val="auto"/>
          <w:highlight w:val="none"/>
          <w:lang w:val="zh-CN"/>
        </w:rPr>
        <w:t>）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p>
    <w:p w14:paraId="1CAFA74C">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7</w:t>
      </w:r>
      <w:r>
        <w:rPr>
          <w:rFonts w:hint="eastAsia" w:ascii="宋体" w:hAnsi="宋体" w:cs="宋体"/>
          <w:color w:val="auto"/>
          <w:highlight w:val="none"/>
          <w:lang w:val="zh-CN"/>
        </w:rPr>
        <w:t>）提倡公平竞争，反对盲目压价参与磋商，任何盲目压价和低于成本报价将会被拒绝。</w:t>
      </w:r>
    </w:p>
    <w:p w14:paraId="77743A8F">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8</w:t>
      </w:r>
      <w:r>
        <w:rPr>
          <w:rFonts w:hint="eastAsia" w:ascii="宋体" w:hAnsi="宋体" w:cs="宋体"/>
          <w:color w:val="auto"/>
          <w:highlight w:val="none"/>
          <w:lang w:val="zh-CN"/>
        </w:rPr>
        <w:t>）供应商报价时应充分考虑所有可能影响到报价的因素，一旦磋商结束最终成交，如发生漏、缺、少项，都将被认为是成交人的报价让利行为，损失自负。</w:t>
      </w:r>
    </w:p>
    <w:p w14:paraId="2EAC69DD">
      <w:pPr>
        <w:spacing w:line="360" w:lineRule="auto"/>
        <w:ind w:firstLine="420"/>
        <w:rPr>
          <w:rFonts w:ascii="宋体" w:hAnsi="宋体" w:cs="宋体"/>
          <w:b/>
          <w:bCs/>
          <w:color w:val="auto"/>
          <w:highlight w:val="none"/>
        </w:rPr>
      </w:pPr>
      <w:r>
        <w:rPr>
          <w:rFonts w:hint="eastAsia" w:ascii="宋体" w:hAnsi="宋体" w:cs="宋体"/>
          <w:b/>
          <w:bCs/>
          <w:color w:val="auto"/>
          <w:highlight w:val="none"/>
        </w:rPr>
        <w:t>11</w:t>
      </w:r>
      <w:r>
        <w:rPr>
          <w:rFonts w:hint="eastAsia" w:ascii="宋体" w:hAnsi="宋体" w:cs="宋体"/>
          <w:b/>
          <w:bCs/>
          <w:color w:val="auto"/>
          <w:highlight w:val="none"/>
          <w:lang w:val="zh-CN"/>
        </w:rPr>
        <w:t>、磋商保证金：</w:t>
      </w:r>
      <w:r>
        <w:rPr>
          <w:rFonts w:hint="eastAsia" w:ascii="宋体" w:hAnsi="宋体" w:cs="宋体"/>
          <w:b/>
          <w:bCs/>
          <w:color w:val="auto"/>
          <w:highlight w:val="none"/>
        </w:rPr>
        <w:t>本项目不收取磋商保证金。</w:t>
      </w:r>
    </w:p>
    <w:p w14:paraId="028335D2">
      <w:pPr>
        <w:pStyle w:val="395"/>
        <w:spacing w:before="0" w:after="0" w:line="360" w:lineRule="auto"/>
        <w:ind w:left="0" w:firstLine="0"/>
        <w:rPr>
          <w:rFonts w:ascii="宋体" w:hAnsi="宋体" w:eastAsia="宋体" w:cs="宋体"/>
          <w:b/>
          <w:bCs/>
          <w:color w:val="auto"/>
          <w:sz w:val="22"/>
          <w:szCs w:val="21"/>
          <w:highlight w:val="none"/>
        </w:rPr>
      </w:pPr>
      <w:bookmarkStart w:id="68" w:name="_Toc20449"/>
      <w:bookmarkStart w:id="69" w:name="_Toc935"/>
      <w:bookmarkStart w:id="70" w:name="_Toc28833"/>
      <w:r>
        <w:rPr>
          <w:rFonts w:hint="eastAsia" w:ascii="宋体" w:hAnsi="宋体" w:eastAsia="宋体" w:cs="宋体"/>
          <w:b/>
          <w:bCs/>
          <w:color w:val="auto"/>
          <w:sz w:val="22"/>
          <w:szCs w:val="21"/>
          <w:highlight w:val="none"/>
          <w:lang w:val="en-US"/>
        </w:rPr>
        <w:t>四</w:t>
      </w:r>
      <w:r>
        <w:rPr>
          <w:rFonts w:hint="eastAsia" w:ascii="宋体" w:hAnsi="宋体" w:eastAsia="宋体" w:cs="宋体"/>
          <w:b/>
          <w:bCs/>
          <w:color w:val="auto"/>
          <w:sz w:val="22"/>
          <w:szCs w:val="21"/>
          <w:highlight w:val="none"/>
        </w:rPr>
        <w:t>、磋商响应文件的递交</w:t>
      </w:r>
      <w:bookmarkEnd w:id="68"/>
      <w:bookmarkEnd w:id="69"/>
      <w:bookmarkEnd w:id="70"/>
    </w:p>
    <w:p w14:paraId="6E5978CB">
      <w:pPr>
        <w:spacing w:line="360" w:lineRule="auto"/>
        <w:ind w:firstLine="420"/>
        <w:rPr>
          <w:rFonts w:ascii="宋体" w:hAnsi="宋体" w:cs="宋体"/>
          <w:bCs/>
          <w:color w:val="auto"/>
          <w:highlight w:val="none"/>
          <w:shd w:val="clear" w:color="auto" w:fill="FFFFFF"/>
        </w:rPr>
      </w:pPr>
      <w:r>
        <w:rPr>
          <w:rFonts w:hint="eastAsia" w:ascii="宋体" w:hAnsi="宋体" w:cs="宋体"/>
          <w:b/>
          <w:color w:val="auto"/>
          <w:highlight w:val="none"/>
          <w:shd w:val="clear" w:color="auto" w:fill="FFFFFF"/>
        </w:rPr>
        <w:t>12、磋商响应文件的递交</w:t>
      </w:r>
    </w:p>
    <w:p w14:paraId="387F249A">
      <w:pPr>
        <w:spacing w:line="360" w:lineRule="auto"/>
        <w:ind w:firstLine="420"/>
        <w:rPr>
          <w:rFonts w:ascii="宋体" w:hAnsi="宋体" w:cs="宋体"/>
          <w:color w:val="auto"/>
          <w:highlight w:val="none"/>
          <w:lang w:val="zh-CN"/>
        </w:rPr>
      </w:pPr>
      <w:r>
        <w:rPr>
          <w:rFonts w:hint="eastAsia" w:ascii="宋体" w:hAnsi="宋体" w:cs="宋体"/>
          <w:color w:val="auto"/>
          <w:highlight w:val="none"/>
        </w:rPr>
        <w:t>12</w:t>
      </w:r>
      <w:r>
        <w:rPr>
          <w:rFonts w:hint="eastAsia" w:ascii="宋体" w:hAnsi="宋体" w:cs="宋体"/>
          <w:color w:val="auto"/>
          <w:highlight w:val="none"/>
          <w:lang w:val="zh-CN"/>
        </w:rPr>
        <w:t>.1 供应商应当按照《操作手册》规定，在磋商公告规定的提交响应文件截止时间前制作并上传电子响应文件。</w:t>
      </w:r>
      <w:r>
        <w:rPr>
          <w:rFonts w:hint="eastAsia" w:ascii="宋体" w:hAnsi="宋体" w:cs="宋体"/>
          <w:color w:val="auto"/>
          <w:szCs w:val="21"/>
          <w:highlight w:val="none"/>
          <w:shd w:val="clear" w:color="auto" w:fill="FFFFFF"/>
          <w:lang w:bidi="ar"/>
        </w:rPr>
        <w:t>成交供应商在领取成交通知书时递交纸质盖章版响应文件一式叁份（壹份正本、贰份副本）、电子版标书一份（U盘形式），用于归档。纸质响应文件须与苏采云提交的电子响应文件保持一致。</w:t>
      </w:r>
    </w:p>
    <w:p w14:paraId="70FD9CB0">
      <w:pPr>
        <w:spacing w:line="360" w:lineRule="auto"/>
        <w:ind w:firstLine="420"/>
        <w:rPr>
          <w:rFonts w:ascii="宋体" w:hAnsi="宋体" w:cs="宋体"/>
          <w:color w:val="auto"/>
          <w:highlight w:val="none"/>
          <w:lang w:val="zh-CN"/>
        </w:rPr>
      </w:pPr>
      <w:r>
        <w:rPr>
          <w:rFonts w:hint="eastAsia" w:ascii="宋体" w:hAnsi="宋体" w:cs="宋体"/>
          <w:color w:val="auto"/>
          <w:highlight w:val="none"/>
        </w:rPr>
        <w:t>12</w:t>
      </w:r>
      <w:r>
        <w:rPr>
          <w:rFonts w:hint="eastAsia" w:ascii="宋体" w:hAnsi="宋体" w:cs="宋体"/>
          <w:color w:val="auto"/>
          <w:highlight w:val="none"/>
          <w:lang w:val="zh-CN"/>
        </w:rPr>
        <w:t>.2 供应商应充分考虑网络环境、网络带宽等因素可能对磋商产生的影响，如因供应商自身原因造成的电子响应文件上传不成功的，按照本磋商文件第二章第14</w:t>
      </w:r>
      <w:r>
        <w:rPr>
          <w:rFonts w:hint="eastAsia" w:ascii="宋体" w:hAnsi="宋体" w:cs="宋体"/>
          <w:color w:val="auto"/>
          <w:highlight w:val="none"/>
        </w:rPr>
        <w:t>.2</w:t>
      </w:r>
      <w:r>
        <w:rPr>
          <w:rFonts w:hint="eastAsia" w:ascii="宋体" w:hAnsi="宋体" w:cs="宋体"/>
          <w:color w:val="auto"/>
          <w:highlight w:val="none"/>
          <w:lang w:val="zh-CN"/>
        </w:rPr>
        <w:t>条规定做无效响应处理。</w:t>
      </w:r>
    </w:p>
    <w:p w14:paraId="3B80C251">
      <w:pPr>
        <w:spacing w:line="360" w:lineRule="auto"/>
        <w:ind w:firstLine="420"/>
        <w:rPr>
          <w:rFonts w:ascii="宋体" w:hAnsi="宋体" w:cs="宋体"/>
          <w:color w:val="auto"/>
          <w:highlight w:val="none"/>
          <w:lang w:val="zh-CN"/>
        </w:rPr>
      </w:pPr>
      <w:r>
        <w:rPr>
          <w:rFonts w:hint="eastAsia" w:ascii="宋体" w:hAnsi="宋体" w:cs="宋体"/>
          <w:color w:val="auto"/>
          <w:highlight w:val="none"/>
        </w:rPr>
        <w:t>12</w:t>
      </w:r>
      <w:r>
        <w:rPr>
          <w:rFonts w:hint="eastAsia" w:ascii="宋体" w:hAnsi="宋体" w:cs="宋体"/>
          <w:color w:val="auto"/>
          <w:highlight w:val="none"/>
          <w:lang w:val="zh-CN"/>
        </w:rPr>
        <w:t>.3 采购代理机构可以按照规定，通过修改磋商文件酌情延长提交响应文件截止日期，在此情况下，供应商的所有权利和义务均以延长后新的截止日期为准。</w:t>
      </w:r>
    </w:p>
    <w:p w14:paraId="7CDA21B7">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12.</w:t>
      </w:r>
      <w:r>
        <w:rPr>
          <w:rFonts w:hint="eastAsia" w:ascii="宋体" w:hAnsi="宋体" w:cs="宋体"/>
          <w:b/>
          <w:bCs/>
          <w:color w:val="auto"/>
          <w:highlight w:val="none"/>
        </w:rPr>
        <w:t>4</w:t>
      </w:r>
      <w:r>
        <w:rPr>
          <w:rFonts w:hint="eastAsia" w:ascii="宋体" w:hAnsi="宋体" w:cs="宋体"/>
          <w:b/>
          <w:bCs/>
          <w:color w:val="auto"/>
          <w:highlight w:val="none"/>
          <w:lang w:val="zh-CN"/>
        </w:rPr>
        <w:t xml:space="preserve"> 有下列情形之一的磋商响应文件将拒收：</w:t>
      </w:r>
    </w:p>
    <w:p w14:paraId="742EAF2B">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（1）在磋商文件要求提交磋商响应文件的截止时间之后上传的任何电子响应文件。</w:t>
      </w:r>
    </w:p>
    <w:p w14:paraId="5B419197">
      <w:pPr>
        <w:spacing w:line="360" w:lineRule="auto"/>
        <w:ind w:firstLine="420"/>
        <w:rPr>
          <w:rFonts w:ascii="宋体" w:hAnsi="宋体" w:cs="宋体"/>
          <w:b/>
          <w:color w:val="auto"/>
          <w:highlight w:val="none"/>
          <w:shd w:val="clear" w:color="auto" w:fill="FFFFFF"/>
          <w:lang w:val="zh-CN"/>
        </w:rPr>
      </w:pPr>
      <w:r>
        <w:rPr>
          <w:rFonts w:hint="eastAsia" w:ascii="宋体" w:hAnsi="宋体" w:cs="宋体"/>
          <w:b/>
          <w:color w:val="auto"/>
          <w:highlight w:val="none"/>
          <w:shd w:val="clear" w:color="auto" w:fill="FFFFFF"/>
        </w:rPr>
        <w:t>13</w:t>
      </w:r>
      <w:r>
        <w:rPr>
          <w:rFonts w:hint="eastAsia" w:ascii="宋体" w:hAnsi="宋体" w:cs="宋体"/>
          <w:b/>
          <w:color w:val="auto"/>
          <w:highlight w:val="none"/>
          <w:shd w:val="clear" w:color="auto" w:fill="FFFFFF"/>
          <w:lang w:val="zh-CN"/>
        </w:rPr>
        <w:t>、响应文件的撤回和修改</w:t>
      </w:r>
    </w:p>
    <w:p w14:paraId="5553586D">
      <w:pPr>
        <w:spacing w:line="360" w:lineRule="auto"/>
        <w:ind w:firstLine="420"/>
        <w:rPr>
          <w:rFonts w:ascii="宋体" w:hAnsi="宋体" w:cs="宋体"/>
          <w:color w:val="auto"/>
          <w:highlight w:val="none"/>
          <w:lang w:val="zh-CN"/>
        </w:rPr>
      </w:pPr>
      <w:r>
        <w:rPr>
          <w:rFonts w:hint="eastAsia" w:ascii="宋体" w:hAnsi="宋体" w:cs="宋体"/>
          <w:color w:val="auto"/>
          <w:highlight w:val="none"/>
        </w:rPr>
        <w:t>13</w:t>
      </w:r>
      <w:r>
        <w:rPr>
          <w:rFonts w:hint="eastAsia" w:ascii="宋体" w:hAnsi="宋体" w:cs="宋体"/>
          <w:color w:val="auto"/>
          <w:highlight w:val="none"/>
          <w:lang w:val="zh-CN"/>
        </w:rPr>
        <w:t>.1 响应文件的撤回</w:t>
      </w:r>
    </w:p>
    <w:p w14:paraId="2FE86EB2">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（1）供应商可在提交响应文件截止时间前撤回其电子响应文件，具体操作方法见《操作手册》。</w:t>
      </w:r>
    </w:p>
    <w:p w14:paraId="1AF29FDC">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（2）供应商撤回电子响应文件，则认为其不再参与本项目磋商活动。</w:t>
      </w:r>
    </w:p>
    <w:p w14:paraId="55F8523E">
      <w:pPr>
        <w:spacing w:line="360" w:lineRule="auto"/>
        <w:ind w:firstLine="420"/>
        <w:rPr>
          <w:rFonts w:ascii="宋体" w:hAnsi="宋体" w:cs="宋体"/>
          <w:color w:val="auto"/>
          <w:highlight w:val="none"/>
          <w:lang w:val="zh-CN"/>
        </w:rPr>
      </w:pPr>
      <w:r>
        <w:rPr>
          <w:rFonts w:hint="eastAsia" w:ascii="宋体" w:hAnsi="宋体" w:cs="宋体"/>
          <w:color w:val="auto"/>
          <w:highlight w:val="none"/>
        </w:rPr>
        <w:t>13</w:t>
      </w:r>
      <w:r>
        <w:rPr>
          <w:rFonts w:hint="eastAsia" w:ascii="宋体" w:hAnsi="宋体" w:cs="宋体"/>
          <w:color w:val="auto"/>
          <w:highlight w:val="none"/>
          <w:lang w:val="zh-CN"/>
        </w:rPr>
        <w:t>.2</w:t>
      </w:r>
      <w:r>
        <w:rPr>
          <w:rFonts w:hint="eastAsia" w:ascii="宋体" w:hAnsi="宋体" w:cs="宋体"/>
          <w:color w:val="auto"/>
          <w:highlight w:val="none"/>
        </w:rPr>
        <w:t xml:space="preserve"> </w:t>
      </w:r>
      <w:r>
        <w:rPr>
          <w:rFonts w:hint="eastAsia" w:ascii="宋体" w:hAnsi="宋体" w:cs="宋体"/>
          <w:color w:val="auto"/>
          <w:highlight w:val="none"/>
          <w:lang w:val="zh-CN"/>
        </w:rPr>
        <w:t>响应文件的修改</w:t>
      </w:r>
    </w:p>
    <w:p w14:paraId="018B3E7B">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（1）供应商可在提交响应文件截止时间前对其电子响应文件进行修改，具体操作方法见《操作手册》。</w:t>
      </w:r>
    </w:p>
    <w:p w14:paraId="397267E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（2）提交响应文件截止时间之后，供应商不得对其电子响应文件作任何修改。</w:t>
      </w:r>
    </w:p>
    <w:p w14:paraId="4553F28B">
      <w:pPr>
        <w:spacing w:line="360" w:lineRule="auto"/>
        <w:ind w:firstLine="420"/>
        <w:rPr>
          <w:rFonts w:ascii="宋体" w:hAnsi="宋体" w:cs="宋体"/>
          <w:color w:val="auto"/>
          <w:highlight w:val="none"/>
          <w:lang w:val="zh-CN"/>
        </w:rPr>
      </w:pPr>
      <w:r>
        <w:rPr>
          <w:rFonts w:hint="eastAsia" w:ascii="宋体" w:hAnsi="宋体" w:cs="宋体"/>
          <w:color w:val="auto"/>
          <w:highlight w:val="none"/>
        </w:rPr>
        <w:t>13</w:t>
      </w:r>
      <w:r>
        <w:rPr>
          <w:rFonts w:hint="eastAsia" w:ascii="宋体" w:hAnsi="宋体" w:cs="宋体"/>
          <w:color w:val="auto"/>
          <w:highlight w:val="none"/>
          <w:lang w:val="zh-CN"/>
        </w:rPr>
        <w:t>.3</w:t>
      </w:r>
      <w:r>
        <w:rPr>
          <w:rFonts w:hint="eastAsia" w:ascii="宋体" w:hAnsi="宋体" w:cs="宋体"/>
          <w:color w:val="auto"/>
          <w:highlight w:val="none"/>
        </w:rPr>
        <w:t xml:space="preserve"> </w:t>
      </w:r>
      <w:r>
        <w:rPr>
          <w:rFonts w:hint="eastAsia" w:ascii="宋体" w:hAnsi="宋体" w:cs="宋体"/>
          <w:color w:val="auto"/>
          <w:highlight w:val="none"/>
          <w:lang w:val="zh-CN"/>
        </w:rPr>
        <w:t>在提交响应文件截止时间至磋商文件中规定的磋商有效期满之间的这段时间内，供应商不得撤回其响应文件。</w:t>
      </w:r>
    </w:p>
    <w:p w14:paraId="1F974187">
      <w:pPr>
        <w:spacing w:line="360" w:lineRule="auto"/>
        <w:ind w:firstLine="420"/>
        <w:rPr>
          <w:rFonts w:ascii="宋体" w:hAnsi="宋体" w:cs="宋体"/>
          <w:b/>
          <w:color w:val="auto"/>
          <w:highlight w:val="none"/>
          <w:shd w:val="clear" w:color="auto" w:fill="FFFFFF"/>
          <w:lang w:val="zh-CN"/>
        </w:rPr>
      </w:pPr>
      <w:r>
        <w:rPr>
          <w:rFonts w:hint="eastAsia" w:ascii="宋体" w:hAnsi="宋体" w:cs="宋体"/>
          <w:b/>
          <w:color w:val="auto"/>
          <w:highlight w:val="none"/>
          <w:shd w:val="clear" w:color="auto" w:fill="FFFFFF"/>
        </w:rPr>
        <w:t>14、</w:t>
      </w:r>
      <w:r>
        <w:rPr>
          <w:rFonts w:hint="eastAsia" w:ascii="宋体" w:hAnsi="宋体" w:cs="宋体"/>
          <w:b/>
          <w:color w:val="auto"/>
          <w:highlight w:val="none"/>
          <w:shd w:val="clear" w:color="auto" w:fill="FFFFFF"/>
          <w:lang w:val="zh-CN"/>
        </w:rPr>
        <w:t>响应文件解密</w:t>
      </w:r>
    </w:p>
    <w:p w14:paraId="21228F7E">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14</w:t>
      </w:r>
      <w:r>
        <w:rPr>
          <w:rFonts w:hint="eastAsia" w:ascii="宋体" w:hAnsi="宋体" w:cs="宋体"/>
          <w:bCs/>
          <w:color w:val="auto"/>
          <w:highlight w:val="none"/>
          <w:shd w:val="clear" w:color="auto" w:fill="FFFFFF"/>
          <w:lang w:val="zh-CN"/>
        </w:rPr>
        <w:t>.1 供应商应当按照《操作手册》规定，在苏采云系统规定的时间内对响应文件进行解密。</w:t>
      </w:r>
    </w:p>
    <w:p w14:paraId="0E8288D4">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14.2 开标当天供应商应及时登录“苏采云”不见面开标大厅，并在规定时间内自行实施远程解密。（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p>
    <w:p w14:paraId="68FC1808">
      <w:pPr>
        <w:pStyle w:val="395"/>
        <w:spacing w:before="0" w:after="0" w:line="360" w:lineRule="auto"/>
        <w:ind w:left="0" w:firstLine="0"/>
        <w:rPr>
          <w:rFonts w:ascii="宋体" w:hAnsi="宋体" w:eastAsia="宋体" w:cs="宋体"/>
          <w:b/>
          <w:bCs/>
          <w:color w:val="auto"/>
          <w:sz w:val="22"/>
          <w:szCs w:val="21"/>
          <w:highlight w:val="none"/>
        </w:rPr>
      </w:pPr>
      <w:bookmarkStart w:id="71" w:name="_Toc19252"/>
      <w:bookmarkStart w:id="72" w:name="_Toc11201"/>
      <w:bookmarkStart w:id="73" w:name="_Toc2469"/>
      <w:r>
        <w:rPr>
          <w:rFonts w:hint="eastAsia" w:ascii="宋体" w:hAnsi="宋体" w:eastAsia="宋体" w:cs="宋体"/>
          <w:b/>
          <w:bCs/>
          <w:color w:val="auto"/>
          <w:sz w:val="22"/>
          <w:szCs w:val="21"/>
          <w:highlight w:val="none"/>
          <w:lang w:val="en-US"/>
        </w:rPr>
        <w:t>五</w:t>
      </w:r>
      <w:r>
        <w:rPr>
          <w:rFonts w:hint="eastAsia" w:ascii="宋体" w:hAnsi="宋体" w:eastAsia="宋体" w:cs="宋体"/>
          <w:b/>
          <w:bCs/>
          <w:color w:val="auto"/>
          <w:sz w:val="22"/>
          <w:szCs w:val="21"/>
          <w:highlight w:val="none"/>
        </w:rPr>
        <w:t>、磋商</w:t>
      </w:r>
      <w:bookmarkEnd w:id="71"/>
      <w:bookmarkEnd w:id="72"/>
      <w:bookmarkEnd w:id="73"/>
    </w:p>
    <w:p w14:paraId="2311DB6D">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w:t>
      </w:r>
      <w:r>
        <w:rPr>
          <w:rFonts w:hint="eastAsia" w:ascii="宋体" w:hAnsi="宋体" w:cs="宋体"/>
          <w:b/>
          <w:bCs/>
          <w:color w:val="auto"/>
          <w:highlight w:val="none"/>
        </w:rPr>
        <w:t>5</w:t>
      </w:r>
      <w:r>
        <w:rPr>
          <w:rFonts w:hint="eastAsia" w:ascii="宋体" w:hAnsi="宋体" w:cs="宋体"/>
          <w:b/>
          <w:bCs/>
          <w:color w:val="auto"/>
          <w:highlight w:val="none"/>
          <w:lang w:val="zh-CN"/>
        </w:rPr>
        <w:t>、</w:t>
      </w:r>
      <w:r>
        <w:rPr>
          <w:rFonts w:hint="eastAsia" w:ascii="宋体" w:hAnsi="宋体" w:cs="宋体"/>
          <w:b/>
          <w:color w:val="auto"/>
          <w:szCs w:val="21"/>
          <w:highlight w:val="none"/>
          <w:lang w:bidi="ar"/>
        </w:rPr>
        <w:t>磋商组织</w:t>
      </w:r>
    </w:p>
    <w:p w14:paraId="658BCBB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bidi="ar"/>
        </w:rPr>
        <w:t>15.1 代理机构</w:t>
      </w:r>
      <w:r>
        <w:rPr>
          <w:rFonts w:hint="eastAsia" w:ascii="宋体" w:hAnsi="宋体" w:cs="宋体"/>
          <w:color w:val="auto"/>
          <w:szCs w:val="21"/>
          <w:highlight w:val="none"/>
          <w:lang w:val="zh-CN" w:bidi="ar"/>
        </w:rPr>
        <w:t>将组织磋商小组对响应文件进行评审。</w:t>
      </w:r>
    </w:p>
    <w:p w14:paraId="7A852BD7">
      <w:pPr>
        <w:spacing w:line="360" w:lineRule="auto"/>
        <w:ind w:firstLine="420"/>
        <w:rPr>
          <w:rFonts w:ascii="宋体" w:hAnsi="宋体" w:cs="宋体"/>
          <w:color w:val="auto"/>
          <w:szCs w:val="21"/>
          <w:highlight w:val="none"/>
          <w:lang w:bidi="ar"/>
        </w:rPr>
      </w:pPr>
      <w:r>
        <w:rPr>
          <w:rFonts w:hint="eastAsia" w:ascii="宋体" w:hAnsi="宋体" w:cs="宋体"/>
          <w:color w:val="auto"/>
          <w:szCs w:val="21"/>
          <w:highlight w:val="none"/>
          <w:lang w:bidi="ar"/>
        </w:rPr>
        <w:t xml:space="preserve">15.2 </w:t>
      </w:r>
      <w:r>
        <w:rPr>
          <w:rFonts w:hint="eastAsia" w:ascii="宋体" w:hAnsi="宋体" w:cs="宋体"/>
          <w:color w:val="auto"/>
          <w:szCs w:val="21"/>
          <w:highlight w:val="none"/>
          <w:lang w:val="zh-CN" w:bidi="ar"/>
        </w:rPr>
        <w:t>磋商小组由采购人代表和有关技术、经济等方面的专家组成，且人员构成符合政府采购有关规定。</w:t>
      </w:r>
    </w:p>
    <w:p w14:paraId="0DA605EE">
      <w:pPr>
        <w:spacing w:line="360" w:lineRule="auto"/>
        <w:ind w:firstLine="420"/>
        <w:rPr>
          <w:rFonts w:ascii="宋体" w:hAnsi="宋体" w:cs="宋体"/>
          <w:color w:val="auto"/>
          <w:szCs w:val="21"/>
          <w:highlight w:val="none"/>
          <w:lang w:bidi="ar"/>
        </w:rPr>
      </w:pPr>
      <w:r>
        <w:rPr>
          <w:rFonts w:hint="eastAsia" w:ascii="宋体" w:hAnsi="宋体" w:cs="宋体"/>
          <w:color w:val="auto"/>
          <w:szCs w:val="21"/>
          <w:highlight w:val="none"/>
          <w:lang w:bidi="ar"/>
        </w:rPr>
        <w:t>15.3 “公平、公正、客观、竞争” 为磋商的基本原则，磋商小组将根据这一原则，公正、平等地对待各供应商。</w:t>
      </w:r>
    </w:p>
    <w:p w14:paraId="78F1FA31">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w:t>
      </w:r>
      <w:r>
        <w:rPr>
          <w:rFonts w:hint="eastAsia" w:ascii="宋体" w:hAnsi="宋体" w:cs="宋体"/>
          <w:b/>
          <w:bCs/>
          <w:color w:val="auto"/>
          <w:highlight w:val="none"/>
        </w:rPr>
        <w:t>6</w:t>
      </w:r>
      <w:r>
        <w:rPr>
          <w:rFonts w:hint="eastAsia" w:ascii="宋体" w:hAnsi="宋体" w:cs="宋体"/>
          <w:b/>
          <w:bCs/>
          <w:color w:val="auto"/>
          <w:highlight w:val="none"/>
          <w:lang w:val="zh-CN"/>
        </w:rPr>
        <w:t>、评审过程的保密与公正</w:t>
      </w:r>
    </w:p>
    <w:p w14:paraId="5A39DD44">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6</w:t>
      </w:r>
      <w:r>
        <w:rPr>
          <w:rFonts w:hint="eastAsia" w:ascii="宋体" w:hAnsi="宋体" w:cs="宋体"/>
          <w:color w:val="auto"/>
          <w:highlight w:val="none"/>
          <w:lang w:val="zh-CN"/>
        </w:rPr>
        <w:t>.1 磋商小组、采购人和代理机构工作人员、相关监督人员等与评审工作有关的人员，对评审情况以及在评审过程中获悉的国家秘密、商业秘密负有保密责任。</w:t>
      </w:r>
    </w:p>
    <w:p w14:paraId="6F96489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6</w:t>
      </w:r>
      <w:r>
        <w:rPr>
          <w:rFonts w:hint="eastAsia" w:ascii="宋体" w:hAnsi="宋体" w:cs="宋体"/>
          <w:color w:val="auto"/>
          <w:highlight w:val="none"/>
          <w:lang w:val="zh-CN"/>
        </w:rPr>
        <w:t>.2 供应商不得以任何方式影响磋商评审，否则其响应文件将被作为无效响应文件。</w:t>
      </w:r>
    </w:p>
    <w:p w14:paraId="0A9CB1C5">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6</w:t>
      </w:r>
      <w:r>
        <w:rPr>
          <w:rFonts w:hint="eastAsia" w:ascii="宋体" w:hAnsi="宋体" w:cs="宋体"/>
          <w:color w:val="auto"/>
          <w:highlight w:val="none"/>
          <w:lang w:val="zh-CN"/>
        </w:rPr>
        <w:t>.3 代理机构和磋商小组不向未成交的供应商解释未成交原因，也不公布评审过程中的相关细节。</w:t>
      </w:r>
    </w:p>
    <w:p w14:paraId="7CDED189">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w:t>
      </w:r>
      <w:r>
        <w:rPr>
          <w:rFonts w:hint="eastAsia" w:ascii="宋体" w:hAnsi="宋体" w:cs="宋体"/>
          <w:b/>
          <w:bCs/>
          <w:color w:val="auto"/>
          <w:highlight w:val="none"/>
        </w:rPr>
        <w:t>7</w:t>
      </w:r>
      <w:r>
        <w:rPr>
          <w:rFonts w:hint="eastAsia" w:ascii="宋体" w:hAnsi="宋体" w:cs="宋体"/>
          <w:b/>
          <w:bCs/>
          <w:color w:val="auto"/>
          <w:highlight w:val="none"/>
          <w:lang w:val="zh-CN"/>
        </w:rPr>
        <w:t>、评审过程中的澄清</w:t>
      </w:r>
    </w:p>
    <w:p w14:paraId="76B21452">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7</w:t>
      </w:r>
      <w:r>
        <w:rPr>
          <w:rFonts w:hint="eastAsia" w:ascii="宋体" w:hAnsi="宋体" w:cs="宋体"/>
          <w:color w:val="auto"/>
          <w:highlight w:val="none"/>
          <w:lang w:val="zh-CN"/>
        </w:rPr>
        <w:t>.1 项目评审期间，磋商小组有权要求供应商对响应文件中含义不明确、同类问题表述不一致或者有明显文字和计算错误的内容等作出必要的澄清、说明或者补正。</w:t>
      </w:r>
    </w:p>
    <w:p w14:paraId="6ED3955E">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供应商的澄清、说明或者补正不得超出响应文件的范围或者改变响应文件的实质性内容。</w:t>
      </w:r>
    </w:p>
    <w:p w14:paraId="583574BE">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磋商小组并非对每个供应商都作澄清要求。</w:t>
      </w:r>
    </w:p>
    <w:p w14:paraId="03EE4AE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7</w:t>
      </w:r>
      <w:r>
        <w:rPr>
          <w:rFonts w:hint="eastAsia" w:ascii="宋体" w:hAnsi="宋体" w:cs="宋体"/>
          <w:color w:val="auto"/>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7681CE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7</w:t>
      </w:r>
      <w:r>
        <w:rPr>
          <w:rFonts w:hint="eastAsia" w:ascii="宋体" w:hAnsi="宋体" w:cs="宋体"/>
          <w:color w:val="auto"/>
          <w:highlight w:val="none"/>
          <w:lang w:val="zh-CN"/>
        </w:rPr>
        <w:t>.3 接到磋商小组澄清、说明和补正要求的供应商如未按规定做出澄清、说明和补正，其风险由供应商自行承担。</w:t>
      </w:r>
    </w:p>
    <w:p w14:paraId="1209D128">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w:t>
      </w:r>
      <w:r>
        <w:rPr>
          <w:rFonts w:hint="eastAsia" w:ascii="宋体" w:hAnsi="宋体" w:cs="宋体"/>
          <w:b/>
          <w:bCs/>
          <w:color w:val="auto"/>
          <w:highlight w:val="none"/>
        </w:rPr>
        <w:t>8</w:t>
      </w:r>
      <w:r>
        <w:rPr>
          <w:rFonts w:hint="eastAsia" w:ascii="宋体" w:hAnsi="宋体" w:cs="宋体"/>
          <w:b/>
          <w:bCs/>
          <w:color w:val="auto"/>
          <w:highlight w:val="none"/>
          <w:lang w:val="zh-CN"/>
        </w:rPr>
        <w:t>、联合体（本项目不适用）</w:t>
      </w:r>
    </w:p>
    <w:p w14:paraId="4A9ABA62">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8</w:t>
      </w:r>
      <w:r>
        <w:rPr>
          <w:rFonts w:hint="eastAsia" w:ascii="宋体" w:hAnsi="宋体" w:cs="宋体"/>
          <w:color w:val="auto"/>
          <w:highlight w:val="none"/>
          <w:lang w:val="zh-CN"/>
        </w:rPr>
        <w:t>.1</w:t>
      </w:r>
      <w:r>
        <w:rPr>
          <w:rFonts w:hint="eastAsia" w:ascii="宋体" w:hAnsi="宋体" w:cs="宋体"/>
          <w:color w:val="auto"/>
          <w:highlight w:val="none"/>
        </w:rPr>
        <w:t xml:space="preserve"> </w:t>
      </w:r>
      <w:r>
        <w:rPr>
          <w:rFonts w:hint="eastAsia" w:ascii="宋体" w:hAnsi="宋体" w:cs="宋体"/>
          <w:color w:val="auto"/>
          <w:highlight w:val="none"/>
          <w:lang w:val="zh-CN"/>
        </w:rPr>
        <w:t>两个以上的自然人、法人或者其他组织可以组成一个联合体，以一个供应商的身份共同参加政府采购。</w:t>
      </w:r>
    </w:p>
    <w:p w14:paraId="7A2622CE">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8</w:t>
      </w:r>
      <w:r>
        <w:rPr>
          <w:rFonts w:hint="eastAsia" w:ascii="宋体" w:hAnsi="宋体" w:cs="宋体"/>
          <w:color w:val="auto"/>
          <w:highlight w:val="none"/>
          <w:lang w:val="zh-CN"/>
        </w:rPr>
        <w:t>.2</w:t>
      </w:r>
      <w:r>
        <w:rPr>
          <w:rFonts w:hint="eastAsia" w:ascii="宋体" w:hAnsi="宋体" w:cs="宋体"/>
          <w:color w:val="auto"/>
          <w:highlight w:val="none"/>
        </w:rPr>
        <w:t xml:space="preserve"> </w:t>
      </w:r>
      <w:r>
        <w:rPr>
          <w:rFonts w:hint="eastAsia" w:ascii="宋体" w:hAnsi="宋体" w:cs="宋体"/>
          <w:color w:val="auto"/>
          <w:highlight w:val="none"/>
          <w:lang w:val="zh-CN"/>
        </w:rPr>
        <w:t>鼓励大中型企业和其他自然人、法人或者其他组织与小型、微型企业组成联合体共同参加非专门面向中小企业的政府采购活动。</w:t>
      </w:r>
    </w:p>
    <w:p w14:paraId="55ADF4E5">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8</w:t>
      </w:r>
      <w:r>
        <w:rPr>
          <w:rFonts w:hint="eastAsia" w:ascii="宋体" w:hAnsi="宋体" w:cs="宋体"/>
          <w:color w:val="auto"/>
          <w:highlight w:val="none"/>
          <w:lang w:val="zh-CN"/>
        </w:rPr>
        <w:t>.3</w:t>
      </w:r>
      <w:r>
        <w:rPr>
          <w:rFonts w:hint="eastAsia" w:ascii="宋体" w:hAnsi="宋体" w:cs="宋体"/>
          <w:color w:val="auto"/>
          <w:highlight w:val="none"/>
        </w:rPr>
        <w:t xml:space="preserve"> </w:t>
      </w:r>
      <w:r>
        <w:rPr>
          <w:rFonts w:hint="eastAsia" w:ascii="宋体" w:hAnsi="宋体" w:cs="宋体"/>
          <w:color w:val="auto"/>
          <w:highlight w:val="none"/>
          <w:lang w:val="zh-CN"/>
        </w:rPr>
        <w:t>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0A23098">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8</w:t>
      </w:r>
      <w:r>
        <w:rPr>
          <w:rFonts w:hint="eastAsia" w:ascii="宋体" w:hAnsi="宋体" w:cs="宋体"/>
          <w:color w:val="auto"/>
          <w:highlight w:val="none"/>
          <w:lang w:val="zh-CN"/>
        </w:rPr>
        <w:t>.4联合体各方之间应当签订联合体协议，明确约定联合体各方承担的工作和相应的责任，并将联合体协议连同响应文件一并提交。</w:t>
      </w:r>
    </w:p>
    <w:p w14:paraId="571600D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8</w:t>
      </w:r>
      <w:r>
        <w:rPr>
          <w:rFonts w:hint="eastAsia" w:ascii="宋体" w:hAnsi="宋体" w:cs="宋体"/>
          <w:color w:val="auto"/>
          <w:highlight w:val="none"/>
          <w:lang w:val="zh-CN"/>
        </w:rPr>
        <w:t>.5以联合体形式参加政府采购活动的，联合体各方不得再单独参加或者与其他供应商另外组成联合体参加同一合同项下的政府采购活动。</w:t>
      </w:r>
    </w:p>
    <w:p w14:paraId="0A95A27C">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rPr>
        <w:t>19、</w:t>
      </w:r>
      <w:r>
        <w:rPr>
          <w:rFonts w:hint="eastAsia" w:ascii="宋体" w:hAnsi="宋体" w:cs="宋体"/>
          <w:b/>
          <w:bCs/>
          <w:color w:val="auto"/>
          <w:highlight w:val="none"/>
          <w:lang w:val="zh-CN"/>
        </w:rPr>
        <w:t>响应文件的审查</w:t>
      </w:r>
    </w:p>
    <w:p w14:paraId="466B85A7">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9</w:t>
      </w:r>
      <w:r>
        <w:rPr>
          <w:rFonts w:hint="eastAsia" w:ascii="宋体" w:hAnsi="宋体" w:cs="宋体"/>
          <w:color w:val="auto"/>
          <w:highlight w:val="none"/>
          <w:lang w:val="zh-CN"/>
        </w:rPr>
        <w:t>.1 响应文件审查分为资格审查和符合性审查。</w:t>
      </w:r>
    </w:p>
    <w:p w14:paraId="4A667C8D">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w:t>
      </w:r>
      <w:r>
        <w:rPr>
          <w:rFonts w:hint="eastAsia" w:ascii="宋体" w:hAnsi="宋体" w:cs="宋体"/>
          <w:color w:val="auto"/>
          <w:highlight w:val="none"/>
          <w:lang w:val="zh-CN"/>
        </w:rPr>
        <w:t>）资格审查。依据法律法规和磋商文件的规定，磋商小组对响应文件中的资格证明文件进行审查，以确定供应商是否具备参加磋商的资格。</w:t>
      </w:r>
    </w:p>
    <w:p w14:paraId="6A97DFEF">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磋商小组进行资格审查时，将在“信用中国”网站（www.creditchina.gov.cn）查询供应商的信用记录，以确定供应商是否具备磋商资格,查询结果留存并归档。</w:t>
      </w:r>
    </w:p>
    <w:p w14:paraId="0218EB9A">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接受联合体的项目，联合体成员存在不良信用记录的，视同联合体存在不良信用记录。</w:t>
      </w:r>
    </w:p>
    <w:p w14:paraId="5D026E8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2</w:t>
      </w:r>
      <w:r>
        <w:rPr>
          <w:rFonts w:hint="eastAsia" w:ascii="宋体" w:hAnsi="宋体" w:cs="宋体"/>
          <w:color w:val="auto"/>
          <w:highlight w:val="none"/>
          <w:lang w:val="zh-CN"/>
        </w:rPr>
        <w:t>）符合性审查。依据磋商文件的规定，由磋商小组从有效性、完整性和对磋商文件的响应程度等方面对响应文件进行审查，以确定是否对磋商文件的实质性要求作出响应。</w:t>
      </w:r>
    </w:p>
    <w:p w14:paraId="242AA0B9">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3</w:t>
      </w:r>
      <w:r>
        <w:rPr>
          <w:rFonts w:hint="eastAsia" w:ascii="宋体" w:hAnsi="宋体" w:cs="宋体"/>
          <w:color w:val="auto"/>
          <w:highlight w:val="none"/>
          <w:lang w:val="zh-CN"/>
        </w:rPr>
        <w:t>）未通过资格审查或符合性审查的供应商，磋商小组将通过苏采云系统告知具体原因，评审结束后将不再接受有关询问。</w:t>
      </w:r>
    </w:p>
    <w:p w14:paraId="1D128269">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9</w:t>
      </w:r>
      <w:r>
        <w:rPr>
          <w:rFonts w:hint="eastAsia" w:ascii="宋体" w:hAnsi="宋体" w:cs="宋体"/>
          <w:color w:val="auto"/>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2B435AC9">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7F9AD424">
      <w:pPr>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1</w:t>
      </w:r>
      <w:r>
        <w:rPr>
          <w:rFonts w:hint="eastAsia" w:ascii="宋体" w:hAnsi="宋体" w:cs="宋体"/>
          <w:b/>
          <w:bCs/>
          <w:color w:val="auto"/>
          <w:highlight w:val="none"/>
        </w:rPr>
        <w:t>9</w:t>
      </w:r>
      <w:r>
        <w:rPr>
          <w:rFonts w:hint="eastAsia" w:ascii="宋体" w:hAnsi="宋体" w:cs="宋体"/>
          <w:b/>
          <w:bCs/>
          <w:color w:val="auto"/>
          <w:highlight w:val="none"/>
          <w:lang w:val="zh-CN"/>
        </w:rPr>
        <w:t xml:space="preserve">.3 </w:t>
      </w:r>
      <w:r>
        <w:rPr>
          <w:rFonts w:hint="eastAsia" w:ascii="宋体" w:hAnsi="宋体" w:cs="宋体"/>
          <w:b/>
          <w:bCs/>
          <w:color w:val="auto"/>
          <w:highlight w:val="none"/>
        </w:rPr>
        <w:t>*</w:t>
      </w:r>
      <w:r>
        <w:rPr>
          <w:rFonts w:hint="eastAsia" w:ascii="宋体" w:hAnsi="宋体" w:cs="宋体"/>
          <w:b/>
          <w:bCs/>
          <w:color w:val="auto"/>
          <w:highlight w:val="none"/>
          <w:lang w:val="zh-CN"/>
        </w:rPr>
        <w:t>未实质性响应磋商文件的情形，</w:t>
      </w:r>
      <w:r>
        <w:rPr>
          <w:rFonts w:hint="eastAsia" w:ascii="宋体" w:hAnsi="宋体" w:cs="宋体"/>
          <w:b/>
          <w:bCs/>
          <w:color w:val="auto"/>
          <w:szCs w:val="21"/>
          <w:highlight w:val="none"/>
          <w:lang w:val="zh-CN"/>
        </w:rPr>
        <w:t>按照无效处理</w:t>
      </w:r>
    </w:p>
    <w:p w14:paraId="1AEA3454">
      <w:pPr>
        <w:spacing w:line="360" w:lineRule="auto"/>
        <w:ind w:firstLine="420"/>
        <w:rPr>
          <w:rFonts w:ascii="宋体" w:hAnsi="宋体" w:cs="宋体"/>
          <w:color w:val="auto"/>
          <w:highlight w:val="none"/>
          <w:lang w:val="zh-CN"/>
        </w:rPr>
      </w:pPr>
      <w:r>
        <w:rPr>
          <w:rFonts w:hint="eastAsia" w:ascii="宋体" w:hAnsi="宋体" w:cs="宋体"/>
          <w:color w:val="auto"/>
          <w:szCs w:val="21"/>
          <w:highlight w:val="none"/>
        </w:rPr>
        <w:t>（1）</w:t>
      </w:r>
      <w:r>
        <w:rPr>
          <w:rFonts w:hint="eastAsia" w:ascii="宋体" w:hAnsi="宋体" w:cs="宋体"/>
          <w:color w:val="auto"/>
          <w:highlight w:val="none"/>
          <w:lang w:val="zh-CN"/>
        </w:rPr>
        <w:t>供应商在苏采云系统规定的时间内未成功解密电子响应文件。</w:t>
      </w:r>
    </w:p>
    <w:p w14:paraId="22454D25">
      <w:pPr>
        <w:spacing w:line="360" w:lineRule="auto"/>
        <w:ind w:firstLine="420"/>
        <w:rPr>
          <w:rFonts w:ascii="宋体" w:hAnsi="宋体" w:cs="宋体"/>
          <w:color w:val="auto"/>
          <w:highlight w:val="none"/>
          <w:lang w:val="zh-CN"/>
        </w:rPr>
      </w:pPr>
      <w:r>
        <w:rPr>
          <w:rFonts w:hint="eastAsia" w:ascii="宋体" w:hAnsi="宋体" w:cs="宋体"/>
          <w:color w:val="auto"/>
          <w:szCs w:val="21"/>
          <w:highlight w:val="none"/>
        </w:rPr>
        <w:t>（2）</w:t>
      </w:r>
      <w:r>
        <w:rPr>
          <w:rFonts w:hint="eastAsia" w:ascii="宋体" w:hAnsi="宋体" w:cs="宋体"/>
          <w:color w:val="auto"/>
          <w:highlight w:val="none"/>
          <w:lang w:val="zh-CN"/>
        </w:rPr>
        <w:t>供应商未按照磋商文件要求上传电子响应文件。</w:t>
      </w:r>
    </w:p>
    <w:p w14:paraId="70CD4E3B">
      <w:pPr>
        <w:spacing w:line="360" w:lineRule="auto"/>
        <w:ind w:firstLine="420"/>
        <w:rPr>
          <w:rFonts w:ascii="宋体" w:hAnsi="宋体" w:cs="宋体"/>
          <w:color w:val="auto"/>
          <w:highlight w:val="none"/>
          <w:lang w:val="zh-CN"/>
        </w:rPr>
      </w:pPr>
      <w:r>
        <w:rPr>
          <w:rFonts w:hint="eastAsia" w:ascii="宋体" w:hAnsi="宋体" w:cs="宋体"/>
          <w:color w:val="auto"/>
          <w:szCs w:val="21"/>
          <w:highlight w:val="none"/>
        </w:rPr>
        <w:t>（3）</w:t>
      </w:r>
      <w:r>
        <w:rPr>
          <w:rFonts w:hint="eastAsia" w:ascii="宋体" w:hAnsi="宋体" w:cs="宋体"/>
          <w:color w:val="auto"/>
          <w:highlight w:val="none"/>
          <w:lang w:val="zh-CN"/>
        </w:rPr>
        <w:t>同一供应商提交两个（含两个）以上不同的响应文件或者最后报价。</w:t>
      </w:r>
    </w:p>
    <w:p w14:paraId="10C2B86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4</w:t>
      </w:r>
      <w:r>
        <w:rPr>
          <w:rFonts w:hint="eastAsia" w:ascii="宋体" w:hAnsi="宋体" w:cs="宋体"/>
          <w:color w:val="auto"/>
          <w:highlight w:val="none"/>
          <w:lang w:val="zh-CN"/>
        </w:rPr>
        <w:t>）供应商不具备磋商文件中规定</w:t>
      </w:r>
      <w:r>
        <w:rPr>
          <w:rFonts w:hint="eastAsia" w:ascii="宋体" w:hAnsi="宋体" w:cs="宋体"/>
          <w:color w:val="auto"/>
          <w:highlight w:val="none"/>
        </w:rPr>
        <w:t>特定</w:t>
      </w:r>
      <w:r>
        <w:rPr>
          <w:rFonts w:hint="eastAsia" w:ascii="宋体" w:hAnsi="宋体" w:cs="宋体"/>
          <w:color w:val="auto"/>
          <w:highlight w:val="none"/>
          <w:lang w:val="zh-CN"/>
        </w:rPr>
        <w:t>资格要求。</w:t>
      </w:r>
    </w:p>
    <w:p w14:paraId="7309AB5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5</w:t>
      </w:r>
      <w:r>
        <w:rPr>
          <w:rFonts w:hint="eastAsia" w:ascii="宋体" w:hAnsi="宋体" w:cs="宋体"/>
          <w:color w:val="auto"/>
          <w:highlight w:val="none"/>
          <w:lang w:val="zh-CN"/>
        </w:rPr>
        <w:t>）未提供《南京市政府采购供应商信用记录表暨信用承诺书》。</w:t>
      </w:r>
    </w:p>
    <w:p w14:paraId="41E7AAB6">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6</w:t>
      </w:r>
      <w:r>
        <w:rPr>
          <w:rFonts w:hint="eastAsia" w:ascii="宋体" w:hAnsi="宋体" w:cs="宋体"/>
          <w:color w:val="auto"/>
          <w:highlight w:val="none"/>
          <w:lang w:val="zh-CN"/>
        </w:rPr>
        <w:t>）供应商的报价超过了采购预算或最高限价。</w:t>
      </w:r>
    </w:p>
    <w:p w14:paraId="3AEE4D2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（7）不同供应商的响应文件由同一单位或者个人编制的。</w:t>
      </w:r>
    </w:p>
    <w:p w14:paraId="2D4EF03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（8）不同供应商委托同一单位或者个人办理投标事宜的。</w:t>
      </w:r>
    </w:p>
    <w:p w14:paraId="49AB91B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（9）不同供应商的ip地址、MAC地址、标书制作工具客户端标识码均一致的；</w:t>
      </w:r>
    </w:p>
    <w:p w14:paraId="2DFE903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（10）不同供应商的响应文件载明的项目管理成员或者联系人员为同一人；</w:t>
      </w:r>
    </w:p>
    <w:p w14:paraId="6ED0273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（11）不同供应商的响应文件异常一致或者投标报价呈规律性差异；</w:t>
      </w:r>
    </w:p>
    <w:p w14:paraId="42425C2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（12）不同供应商的负责人为同一人或者存在控股、管理关系的；</w:t>
      </w:r>
    </w:p>
    <w:p w14:paraId="4642F7D4">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13</w:t>
      </w:r>
      <w:r>
        <w:rPr>
          <w:rFonts w:hint="eastAsia" w:ascii="宋体" w:hAnsi="宋体" w:cs="宋体"/>
          <w:color w:val="auto"/>
          <w:highlight w:val="none"/>
          <w:lang w:val="zh-CN"/>
        </w:rPr>
        <w:t>）不符合磋商文件中规定的实质性要求和条件（本磋商文件中打“</w:t>
      </w:r>
      <w:r>
        <w:rPr>
          <w:rFonts w:hint="eastAsia" w:ascii="宋体" w:hAnsi="宋体" w:cs="宋体"/>
          <w:color w:val="auto"/>
          <w:highlight w:val="none"/>
        </w:rPr>
        <w:t>*</w:t>
      </w:r>
      <w:r>
        <w:rPr>
          <w:rFonts w:hint="eastAsia" w:ascii="宋体" w:hAnsi="宋体" w:cs="宋体"/>
          <w:color w:val="auto"/>
          <w:highlight w:val="none"/>
          <w:lang w:val="zh-CN"/>
        </w:rPr>
        <w:t>”内容、“</w:t>
      </w:r>
      <w:r>
        <w:rPr>
          <w:rFonts w:hint="eastAsia" w:ascii="宋体" w:hAnsi="宋体" w:cs="宋体"/>
          <w:color w:val="auto"/>
          <w:highlight w:val="none"/>
        </w:rPr>
        <w:t>须（</w:t>
      </w:r>
      <w:r>
        <w:rPr>
          <w:rFonts w:hint="eastAsia" w:ascii="宋体" w:hAnsi="宋体" w:cs="宋体"/>
          <w:color w:val="auto"/>
          <w:highlight w:val="none"/>
          <w:lang w:val="zh-CN"/>
        </w:rPr>
        <w:t>必须</w:t>
      </w:r>
      <w:r>
        <w:rPr>
          <w:rFonts w:hint="eastAsia" w:ascii="宋体" w:hAnsi="宋体" w:cs="宋体"/>
          <w:color w:val="auto"/>
          <w:highlight w:val="none"/>
        </w:rPr>
        <w:t>）</w:t>
      </w:r>
      <w:r>
        <w:rPr>
          <w:rFonts w:hint="eastAsia" w:ascii="宋体" w:hAnsi="宋体" w:cs="宋体"/>
          <w:color w:val="auto"/>
          <w:highlight w:val="none"/>
          <w:lang w:val="zh-CN"/>
        </w:rPr>
        <w:t>”或“应（应当）”等其他文字说明的商务和技术要求</w:t>
      </w:r>
      <w:r>
        <w:rPr>
          <w:rFonts w:hint="eastAsia" w:ascii="宋体" w:hAnsi="宋体" w:cs="宋体"/>
          <w:color w:val="auto"/>
          <w:szCs w:val="21"/>
          <w:highlight w:val="none"/>
        </w:rPr>
        <w:t>以及磋商文件附件中的图纸、工程量清单及清单编制说明</w:t>
      </w:r>
      <w:r>
        <w:rPr>
          <w:rFonts w:hint="eastAsia" w:ascii="宋体" w:hAnsi="宋体" w:cs="宋体"/>
          <w:color w:val="auto"/>
          <w:highlight w:val="none"/>
          <w:lang w:val="zh-CN"/>
        </w:rPr>
        <w:t>为实质性要求和条件，包括改变工程量清单子目数量、单位及清单报价漏项、缺失、改变规费、税金项目计价表计算基数等）。</w:t>
      </w:r>
    </w:p>
    <w:p w14:paraId="6EB0E75C">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14</w:t>
      </w:r>
      <w:r>
        <w:rPr>
          <w:rFonts w:hint="eastAsia" w:ascii="宋体" w:hAnsi="宋体" w:cs="宋体"/>
          <w:color w:val="auto"/>
          <w:highlight w:val="none"/>
          <w:lang w:val="zh-CN"/>
        </w:rPr>
        <w:t>）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cs="宋体"/>
          <w:color w:val="auto"/>
          <w:highlight w:val="none"/>
        </w:rPr>
        <w:t>单价</w:t>
      </w:r>
      <w:r>
        <w:rPr>
          <w:rFonts w:hint="eastAsia" w:ascii="宋体" w:hAnsi="宋体" w:cs="宋体"/>
          <w:color w:val="auto"/>
          <w:highlight w:val="none"/>
          <w:lang w:val="zh-CN"/>
        </w:rPr>
        <w:t>措施项目增项除外）。</w:t>
      </w:r>
    </w:p>
    <w:p w14:paraId="6EB3304A">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15</w:t>
      </w:r>
      <w:r>
        <w:rPr>
          <w:rFonts w:hint="eastAsia" w:ascii="宋体" w:hAnsi="宋体" w:cs="宋体"/>
          <w:color w:val="auto"/>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6A95FAB">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16</w:t>
      </w:r>
      <w:r>
        <w:rPr>
          <w:rFonts w:hint="eastAsia" w:ascii="宋体" w:hAnsi="宋体" w:cs="宋体"/>
          <w:color w:val="auto"/>
          <w:highlight w:val="none"/>
          <w:lang w:val="zh-CN"/>
        </w:rPr>
        <w:t>）响应文件含有采购人不能接受的附加条件。</w:t>
      </w:r>
    </w:p>
    <w:p w14:paraId="3FF0CF50">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17</w:t>
      </w:r>
      <w:r>
        <w:rPr>
          <w:rFonts w:hint="eastAsia" w:ascii="宋体" w:hAnsi="宋体" w:cs="宋体"/>
          <w:color w:val="auto"/>
          <w:highlight w:val="none"/>
          <w:lang w:val="zh-CN"/>
        </w:rPr>
        <w:t>）报价低于完成本项目发生的所有含税费用、支付给员工的工资（不得低于供应商所在地最低工资标准）和国家强制缴纳的各种社会保障资金、公积金，以及供应商认为需要的其他费用等。</w:t>
      </w:r>
    </w:p>
    <w:p w14:paraId="5AFCF2B6">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18</w:t>
      </w:r>
      <w:r>
        <w:rPr>
          <w:rFonts w:hint="eastAsia" w:ascii="宋体" w:hAnsi="宋体" w:cs="宋体"/>
          <w:color w:val="auto"/>
          <w:highlight w:val="none"/>
          <w:lang w:val="zh-CN"/>
        </w:rPr>
        <w:t>）采购产品被财政部、国家发改委、生态环境部等列入“节能产品品目清单”强制采购范围，而供应商提供的产品不在强制采购范围内。</w:t>
      </w:r>
    </w:p>
    <w:p w14:paraId="70E13248">
      <w:pPr>
        <w:spacing w:line="360" w:lineRule="auto"/>
        <w:ind w:firstLine="420"/>
        <w:rPr>
          <w:rFonts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19</w:t>
      </w:r>
      <w:r>
        <w:rPr>
          <w:rFonts w:hint="eastAsia" w:ascii="宋体" w:hAnsi="宋体" w:cs="宋体"/>
          <w:color w:val="auto"/>
          <w:highlight w:val="none"/>
          <w:lang w:val="zh-CN"/>
        </w:rPr>
        <w:t>）响应文件未按照磋商文件要求</w:t>
      </w:r>
      <w:r>
        <w:rPr>
          <w:rFonts w:hint="eastAsia" w:ascii="宋体" w:hAnsi="宋体" w:cs="宋体"/>
          <w:color w:val="auto"/>
          <w:highlight w:val="none"/>
        </w:rPr>
        <w:t>签字或</w:t>
      </w:r>
      <w:r>
        <w:rPr>
          <w:rFonts w:hint="eastAsia" w:ascii="宋体" w:hAnsi="宋体" w:cs="宋体"/>
          <w:color w:val="auto"/>
          <w:highlight w:val="none"/>
          <w:lang w:val="zh-CN"/>
        </w:rPr>
        <w:t>加盖公章</w:t>
      </w:r>
      <w:r>
        <w:rPr>
          <w:rFonts w:hint="eastAsia" w:ascii="宋体" w:hAnsi="宋体" w:cs="宋体"/>
          <w:color w:val="auto"/>
          <w:highlight w:val="none"/>
        </w:rPr>
        <w:t>、</w:t>
      </w:r>
      <w:r>
        <w:rPr>
          <w:rFonts w:hint="eastAsia" w:ascii="宋体" w:hAnsi="宋体" w:cs="宋体"/>
          <w:color w:val="auto"/>
          <w:highlight w:val="none"/>
          <w:lang w:val="zh-CN"/>
        </w:rPr>
        <w:t>执业资格专用章。</w:t>
      </w:r>
    </w:p>
    <w:p w14:paraId="30EFC7F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20</w:t>
      </w:r>
      <w:r>
        <w:rPr>
          <w:rFonts w:hint="eastAsia" w:ascii="宋体" w:hAnsi="宋体" w:cs="宋体"/>
          <w:color w:val="auto"/>
          <w:highlight w:val="none"/>
          <w:lang w:val="zh-CN"/>
        </w:rPr>
        <w:t>）法律法规及本磋商文件规定的其他无效响应的情形。</w:t>
      </w:r>
    </w:p>
    <w:p w14:paraId="7840991E">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9</w:t>
      </w:r>
      <w:r>
        <w:rPr>
          <w:rFonts w:hint="eastAsia" w:ascii="宋体" w:hAnsi="宋体" w:cs="宋体"/>
          <w:color w:val="auto"/>
          <w:highlight w:val="none"/>
          <w:lang w:val="zh-CN"/>
        </w:rPr>
        <w:t>.4 未实质性响应磋商文件的响应文件按无效响应处理。</w:t>
      </w:r>
    </w:p>
    <w:p w14:paraId="6A2979E7">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9</w:t>
      </w:r>
      <w:r>
        <w:rPr>
          <w:rFonts w:hint="eastAsia" w:ascii="宋体" w:hAnsi="宋体" w:cs="宋体"/>
          <w:color w:val="auto"/>
          <w:highlight w:val="none"/>
          <w:lang w:val="zh-CN"/>
        </w:rPr>
        <w:t>.5 如果响应文件实质上没有响应磋商文件的要求，磋商小组将予以拒绝，供应商不得通过修改或撤销不合要求的偏离或保留而使其成为实质性响应的文件。</w:t>
      </w:r>
    </w:p>
    <w:p w14:paraId="638DC931">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w:t>
      </w:r>
      <w:r>
        <w:rPr>
          <w:rFonts w:hint="eastAsia" w:ascii="宋体" w:hAnsi="宋体" w:cs="宋体"/>
          <w:color w:val="auto"/>
          <w:highlight w:val="none"/>
        </w:rPr>
        <w:t>9</w:t>
      </w:r>
      <w:r>
        <w:rPr>
          <w:rFonts w:hint="eastAsia" w:ascii="宋体" w:hAnsi="宋体" w:cs="宋体"/>
          <w:color w:val="auto"/>
          <w:highlight w:val="none"/>
          <w:lang w:val="zh-CN"/>
        </w:rPr>
        <w:t>.6 供应商在项目评审全过程中应保持通讯畅通，及时登录苏采云系统查阅、答复相关信息，并安排专人与代理机构及磋商小组联系。</w:t>
      </w:r>
    </w:p>
    <w:p w14:paraId="4E23F958">
      <w:pPr>
        <w:spacing w:line="360" w:lineRule="auto"/>
        <w:ind w:firstLine="422"/>
        <w:rPr>
          <w:rFonts w:ascii="宋体" w:hAnsi="宋体" w:cs="宋体"/>
          <w:color w:val="auto"/>
          <w:szCs w:val="21"/>
          <w:highlight w:val="none"/>
          <w:lang w:val="zh-CN"/>
        </w:rPr>
      </w:pPr>
      <w:r>
        <w:rPr>
          <w:rFonts w:hint="eastAsia" w:ascii="宋体" w:hAnsi="宋体" w:cs="宋体"/>
          <w:b/>
          <w:color w:val="auto"/>
          <w:szCs w:val="21"/>
          <w:highlight w:val="none"/>
        </w:rPr>
        <w:t>20</w:t>
      </w:r>
      <w:r>
        <w:rPr>
          <w:rFonts w:hint="eastAsia" w:ascii="宋体" w:hAnsi="宋体" w:cs="宋体"/>
          <w:b/>
          <w:color w:val="auto"/>
          <w:szCs w:val="21"/>
          <w:highlight w:val="none"/>
          <w:lang w:val="zh-CN"/>
        </w:rPr>
        <w:t>、磋商程序</w:t>
      </w:r>
    </w:p>
    <w:p w14:paraId="01C3FDFC">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20</w:t>
      </w:r>
      <w:r>
        <w:rPr>
          <w:rFonts w:hint="eastAsia" w:ascii="宋体" w:hAnsi="宋体" w:cs="宋体"/>
          <w:bCs/>
          <w:color w:val="auto"/>
          <w:szCs w:val="21"/>
          <w:highlight w:val="none"/>
          <w:lang w:val="zh-CN"/>
        </w:rPr>
        <w:t>.1 磋商小组将与通过资格审查和符合性审查的供应商分别进行磋商。磋商小组通过苏采云系统向供应商发出《磋商函》，供应商应当按照要求在苏采云系统提交《磋商响应函》并加盖电子公章。</w:t>
      </w:r>
    </w:p>
    <w:p w14:paraId="149C238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20</w:t>
      </w:r>
      <w:r>
        <w:rPr>
          <w:rFonts w:hint="eastAsia" w:ascii="宋体" w:hAnsi="宋体" w:cs="宋体"/>
          <w:bCs/>
          <w:color w:val="auto"/>
          <w:szCs w:val="21"/>
          <w:highlight w:val="none"/>
          <w:lang w:val="zh-CN"/>
        </w:rPr>
        <w:t xml:space="preserve">.2 </w:t>
      </w:r>
      <w:r>
        <w:rPr>
          <w:rFonts w:hint="eastAsia" w:ascii="宋体" w:hAnsi="宋体" w:cs="宋体"/>
          <w:bCs/>
          <w:color w:val="auto"/>
          <w:szCs w:val="21"/>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7FA9828">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20</w:t>
      </w:r>
      <w:r>
        <w:rPr>
          <w:rFonts w:hint="eastAsia" w:ascii="宋体" w:hAnsi="宋体" w:cs="宋体"/>
          <w:bCs/>
          <w:color w:val="auto"/>
          <w:szCs w:val="21"/>
          <w:highlight w:val="none"/>
          <w:lang w:val="zh-CN"/>
        </w:rPr>
        <w:t>.3</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5EB28C6">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0F866460">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20.</w:t>
      </w:r>
      <w:r>
        <w:rPr>
          <w:rFonts w:hint="eastAsia" w:ascii="宋体" w:hAnsi="宋体" w:cs="宋体"/>
          <w:bCs/>
          <w:color w:val="auto"/>
          <w:szCs w:val="21"/>
          <w:highlight w:val="none"/>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color w:val="auto"/>
          <w:szCs w:val="21"/>
          <w:highlight w:val="none"/>
        </w:rPr>
        <w:t xml:space="preserve">  </w:t>
      </w:r>
    </w:p>
    <w:p w14:paraId="2860BCC5">
      <w:pPr>
        <w:spacing w:line="360" w:lineRule="auto"/>
        <w:ind w:firstLine="420"/>
        <w:rPr>
          <w:rFonts w:ascii="宋体" w:hAnsi="宋体" w:cs="宋体"/>
          <w:b/>
          <w:color w:val="auto"/>
          <w:szCs w:val="21"/>
          <w:highlight w:val="none"/>
          <w:lang w:val="zh-CN"/>
        </w:rPr>
      </w:pPr>
      <w:r>
        <w:rPr>
          <w:rFonts w:hint="eastAsia" w:ascii="宋体" w:hAnsi="宋体" w:cs="宋体"/>
          <w:bCs/>
          <w:color w:val="auto"/>
          <w:szCs w:val="21"/>
          <w:highlight w:val="none"/>
        </w:rPr>
        <w:t xml:space="preserve">20.5 </w:t>
      </w:r>
      <w:r>
        <w:rPr>
          <w:rFonts w:hint="eastAsia" w:ascii="宋体" w:hAnsi="宋体" w:cs="宋体"/>
          <w:b/>
          <w:color w:val="auto"/>
          <w:szCs w:val="21"/>
          <w:highlight w:val="none"/>
          <w:lang w:val="zh-CN"/>
        </w:rPr>
        <w:t>本项目执行财库〔2026〕2号《关于推动解决政府采购异常低价问题相关工作的通知》的相关规定。</w:t>
      </w:r>
    </w:p>
    <w:p w14:paraId="1B6CB1A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20.5.1 评审中出现下列情形之一的，评审委员会应当启动异常低价投标（响应）审查程序： </w:t>
      </w:r>
    </w:p>
    <w:p w14:paraId="056EF65D">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（1）投标（响应）报价低于全部通过符合性审查供应商投标（响应）报价平均值50%的，即投标（响应）报价&lt;全部通过符合性审查供应商投标（响应）报价平均值×50%；</w:t>
      </w:r>
    </w:p>
    <w:p w14:paraId="71936961">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（2）投标（响应）报价低于通过符合性审查的次低报价供应商投标（响应）报价50%的，即投标（响应）报价&lt;通过符合性审查的次低报价供应商投标（响应）报价×50%；</w:t>
      </w:r>
    </w:p>
    <w:p w14:paraId="6CA03675">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（3）投标（响应）报价低于采购项目最高限价</w:t>
      </w:r>
      <w:r>
        <w:rPr>
          <w:rFonts w:ascii="宋体" w:hAnsi="宋体" w:cs="宋体"/>
          <w:bCs/>
          <w:color w:val="auto"/>
          <w:szCs w:val="21"/>
          <w:highlight w:val="none"/>
        </w:rPr>
        <w:t>4</w:t>
      </w:r>
      <w:r>
        <w:rPr>
          <w:rFonts w:hint="eastAsia" w:ascii="宋体" w:hAnsi="宋体" w:cs="宋体"/>
          <w:bCs/>
          <w:color w:val="auto"/>
          <w:szCs w:val="21"/>
          <w:highlight w:val="none"/>
        </w:rPr>
        <w:t>5%的，即投标（响应）报价&lt;采购项目最高限价×</w:t>
      </w:r>
      <w:r>
        <w:rPr>
          <w:rFonts w:ascii="宋体" w:hAnsi="宋体" w:cs="宋体"/>
          <w:bCs/>
          <w:color w:val="auto"/>
          <w:szCs w:val="21"/>
          <w:highlight w:val="none"/>
        </w:rPr>
        <w:t>4</w:t>
      </w:r>
      <w:r>
        <w:rPr>
          <w:rFonts w:hint="eastAsia" w:ascii="宋体" w:hAnsi="宋体" w:cs="宋体"/>
          <w:bCs/>
          <w:color w:val="auto"/>
          <w:szCs w:val="21"/>
          <w:highlight w:val="none"/>
        </w:rPr>
        <w:t>5%；</w:t>
      </w:r>
    </w:p>
    <w:p w14:paraId="73B69D0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（4）评审委员会基于专业判断，认为供应商报价过低，有可能影响产品质量或者不能诚信履约的其他情形。 </w:t>
      </w:r>
    </w:p>
    <w:p w14:paraId="30261ABB">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相关法律法规对供应商报价有规定的，从其规定。 </w:t>
      </w:r>
    </w:p>
    <w:p w14:paraId="702E4D78">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color w:val="auto"/>
          <w:highlight w:val="none"/>
        </w:rPr>
        <w:t>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color w:val="auto"/>
          <w:szCs w:val="21"/>
          <w:highlight w:val="none"/>
        </w:rPr>
        <w:t>等，给予相关供应商的合理时间一般不少于30分钟。 </w:t>
      </w:r>
    </w:p>
    <w:p w14:paraId="3C8D35C1">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D7AABB2">
      <w:pPr>
        <w:spacing w:line="360" w:lineRule="auto"/>
        <w:ind w:firstLine="420"/>
        <w:rPr>
          <w:rFonts w:ascii="宋体" w:hAnsi="宋体" w:cs="宋体"/>
          <w:b/>
          <w:bCs/>
          <w:color w:val="auto"/>
          <w:highlight w:val="none"/>
        </w:rPr>
      </w:pPr>
      <w:r>
        <w:rPr>
          <w:rFonts w:hint="eastAsia" w:ascii="宋体" w:hAnsi="宋体" w:cs="宋体"/>
          <w:b/>
          <w:bCs/>
          <w:color w:val="auto"/>
          <w:highlight w:val="none"/>
        </w:rPr>
        <w:t>21、评审方法和标准。</w:t>
      </w:r>
    </w:p>
    <w:p w14:paraId="17A188C6">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21.</w:t>
      </w:r>
      <w:r>
        <w:rPr>
          <w:rFonts w:hint="eastAsia" w:ascii="宋体" w:hAnsi="宋体" w:cs="宋体"/>
          <w:bCs/>
          <w:color w:val="auto"/>
          <w:szCs w:val="21"/>
          <w:highlight w:val="none"/>
          <w:lang w:val="zh-CN"/>
        </w:rPr>
        <w:t>1 评审方法。经磋商确定最终采购需求和提交最后报价的供应商后，由磋商小组采用综合评分法对提交最后报价的供应商的响应文件和最后报价进行综合评分。</w:t>
      </w:r>
    </w:p>
    <w:p w14:paraId="5F2FF0C6">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6C3401B7">
      <w:pPr>
        <w:spacing w:line="360" w:lineRule="auto"/>
        <w:ind w:firstLine="420"/>
        <w:rPr>
          <w:rFonts w:ascii="宋体" w:hAnsi="宋体" w:cs="宋体"/>
          <w:bCs/>
          <w:color w:val="auto"/>
          <w:szCs w:val="21"/>
          <w:highlight w:val="none"/>
          <w:lang w:val="zh-CN"/>
        </w:rPr>
      </w:pPr>
      <w:r>
        <w:rPr>
          <w:rFonts w:hint="eastAsia" w:ascii="宋体" w:hAnsi="宋体" w:cs="宋体"/>
          <w:bCs/>
          <w:color w:val="auto"/>
          <w:szCs w:val="21"/>
          <w:highlight w:val="none"/>
        </w:rPr>
        <w:t>21</w:t>
      </w:r>
      <w:r>
        <w:rPr>
          <w:rFonts w:hint="eastAsia" w:ascii="宋体" w:hAnsi="宋体" w:cs="宋体"/>
          <w:bCs/>
          <w:color w:val="auto"/>
          <w:szCs w:val="21"/>
          <w:highlight w:val="none"/>
          <w:lang w:val="zh-CN"/>
        </w:rPr>
        <w:t>.2 评审标准：见本磋商文件第</w:t>
      </w:r>
      <w:r>
        <w:rPr>
          <w:rFonts w:hint="eastAsia" w:ascii="宋体" w:hAnsi="宋体" w:cs="宋体"/>
          <w:bCs/>
          <w:color w:val="auto"/>
          <w:szCs w:val="21"/>
          <w:highlight w:val="none"/>
        </w:rPr>
        <w:t>三</w:t>
      </w:r>
      <w:r>
        <w:rPr>
          <w:rFonts w:hint="eastAsia" w:ascii="宋体" w:hAnsi="宋体" w:cs="宋体"/>
          <w:bCs/>
          <w:color w:val="auto"/>
          <w:szCs w:val="21"/>
          <w:highlight w:val="none"/>
          <w:lang w:val="zh-CN"/>
        </w:rPr>
        <w:t>章。</w:t>
      </w:r>
    </w:p>
    <w:p w14:paraId="2298A871">
      <w:pPr>
        <w:spacing w:line="360" w:lineRule="auto"/>
        <w:ind w:firstLine="420"/>
        <w:rPr>
          <w:rFonts w:ascii="宋体" w:hAnsi="宋体" w:cs="宋体"/>
          <w:b/>
          <w:bCs/>
          <w:color w:val="auto"/>
          <w:highlight w:val="none"/>
        </w:rPr>
      </w:pPr>
      <w:r>
        <w:rPr>
          <w:rFonts w:hint="eastAsia" w:ascii="宋体" w:hAnsi="宋体" w:cs="宋体"/>
          <w:b/>
          <w:bCs/>
          <w:color w:val="auto"/>
          <w:highlight w:val="none"/>
        </w:rPr>
        <w:t>21.3 出现下列情形之一的，磋商终止</w:t>
      </w:r>
    </w:p>
    <w:p w14:paraId="528FEBB3">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（1）因情况变化，不再符合规定的竞争性磋商采购方式适用情形的；</w:t>
      </w:r>
    </w:p>
    <w:p w14:paraId="5D0C0722">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2</w:t>
      </w:r>
      <w:r>
        <w:rPr>
          <w:rFonts w:hint="eastAsia" w:ascii="宋体" w:hAnsi="宋体" w:cs="宋体"/>
          <w:color w:val="auto"/>
          <w:highlight w:val="none"/>
          <w:lang w:val="zh-CN"/>
        </w:rPr>
        <w:t>）在苏采云系统规定时间内成功解密电子响应文件的供应商不足3家；</w:t>
      </w:r>
    </w:p>
    <w:p w14:paraId="640655A7">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3</w:t>
      </w:r>
      <w:r>
        <w:rPr>
          <w:rFonts w:hint="eastAsia" w:ascii="宋体" w:hAnsi="宋体" w:cs="宋体"/>
          <w:color w:val="auto"/>
          <w:highlight w:val="none"/>
          <w:lang w:val="zh-CN"/>
        </w:rPr>
        <w:t>）</w:t>
      </w:r>
      <w:r>
        <w:rPr>
          <w:rFonts w:hint="eastAsia" w:ascii="宋体" w:hAnsi="宋体" w:cs="宋体"/>
          <w:color w:val="auto"/>
          <w:highlight w:val="none"/>
        </w:rPr>
        <w:t>除本采购文件第二章第20.3条规定的情形外，磋商过程中符合要求的供应商或者提交最后报价且未超过最高限价的供应商不足三家</w:t>
      </w:r>
      <w:r>
        <w:rPr>
          <w:rFonts w:hint="eastAsia" w:ascii="宋体" w:hAnsi="宋体" w:cs="宋体"/>
          <w:color w:val="auto"/>
          <w:highlight w:val="none"/>
          <w:lang w:val="zh-CN"/>
        </w:rPr>
        <w:t>；</w:t>
      </w:r>
    </w:p>
    <w:p w14:paraId="4284FD0A">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4</w:t>
      </w:r>
      <w:r>
        <w:rPr>
          <w:rFonts w:hint="eastAsia" w:ascii="宋体" w:hAnsi="宋体" w:cs="宋体"/>
          <w:color w:val="auto"/>
          <w:highlight w:val="none"/>
          <w:lang w:val="zh-CN"/>
        </w:rPr>
        <w:t>）出现影响采购公正的违法、违规行为的；</w:t>
      </w:r>
    </w:p>
    <w:p w14:paraId="20EBBA3E">
      <w:pPr>
        <w:spacing w:line="360" w:lineRule="auto"/>
        <w:ind w:firstLine="420"/>
        <w:rPr>
          <w:rFonts w:ascii="宋体" w:hAnsi="宋体" w:cs="宋体"/>
          <w:color w:val="auto"/>
          <w:highlight w:val="none"/>
          <w:lang w:val="zh-CN"/>
        </w:rPr>
      </w:pPr>
      <w:r>
        <w:rPr>
          <w:rFonts w:hint="eastAsia" w:ascii="宋体" w:hAnsi="宋体" w:cs="宋体"/>
          <w:color w:val="auto"/>
          <w:highlight w:val="none"/>
          <w:lang w:val="zh-CN"/>
        </w:rPr>
        <w:t>（</w:t>
      </w:r>
      <w:r>
        <w:rPr>
          <w:rFonts w:hint="eastAsia" w:ascii="宋体" w:hAnsi="宋体" w:cs="宋体"/>
          <w:color w:val="auto"/>
          <w:highlight w:val="none"/>
        </w:rPr>
        <w:t>5</w:t>
      </w:r>
      <w:r>
        <w:rPr>
          <w:rFonts w:hint="eastAsia" w:ascii="宋体" w:hAnsi="宋体" w:cs="宋体"/>
          <w:color w:val="auto"/>
          <w:highlight w:val="none"/>
          <w:lang w:val="zh-CN"/>
        </w:rPr>
        <w:t>）因重大变故，采购任务取消的；</w:t>
      </w:r>
    </w:p>
    <w:p w14:paraId="6A21D00A">
      <w:pPr>
        <w:spacing w:line="360" w:lineRule="auto"/>
        <w:ind w:firstLine="420"/>
        <w:rPr>
          <w:rFonts w:ascii="宋体" w:hAnsi="宋体" w:cs="宋体"/>
          <w:color w:val="auto"/>
          <w:highlight w:val="none"/>
        </w:rPr>
      </w:pPr>
      <w:r>
        <w:rPr>
          <w:rFonts w:hint="eastAsia" w:ascii="宋体" w:hAnsi="宋体" w:cs="宋体"/>
          <w:color w:val="auto"/>
          <w:highlight w:val="none"/>
          <w:lang w:val="zh-CN"/>
        </w:rPr>
        <w:t>（</w:t>
      </w:r>
      <w:r>
        <w:rPr>
          <w:rFonts w:hint="eastAsia" w:ascii="宋体" w:hAnsi="宋体" w:cs="宋体"/>
          <w:color w:val="auto"/>
          <w:highlight w:val="none"/>
        </w:rPr>
        <w:t>6</w:t>
      </w:r>
      <w:r>
        <w:rPr>
          <w:rFonts w:hint="eastAsia" w:ascii="宋体" w:hAnsi="宋体" w:cs="宋体"/>
          <w:color w:val="auto"/>
          <w:highlight w:val="none"/>
          <w:lang w:val="zh-CN"/>
        </w:rPr>
        <w:t>）法律法规规定的其他应当终止情形。</w:t>
      </w:r>
    </w:p>
    <w:p w14:paraId="391DFEAC">
      <w:pPr>
        <w:pStyle w:val="395"/>
        <w:spacing w:before="0" w:after="0" w:line="360" w:lineRule="auto"/>
        <w:ind w:left="0" w:firstLine="0"/>
        <w:rPr>
          <w:rFonts w:ascii="宋体" w:hAnsi="宋体" w:eastAsia="宋体" w:cs="宋体"/>
          <w:b/>
          <w:bCs/>
          <w:color w:val="auto"/>
          <w:sz w:val="22"/>
          <w:szCs w:val="21"/>
          <w:highlight w:val="none"/>
          <w:lang w:val="en-US"/>
        </w:rPr>
      </w:pPr>
      <w:bookmarkStart w:id="74" w:name="_Toc15234"/>
      <w:bookmarkStart w:id="75" w:name="_Toc4805"/>
      <w:bookmarkStart w:id="76" w:name="_Toc21185"/>
      <w:r>
        <w:rPr>
          <w:rFonts w:hint="eastAsia" w:ascii="宋体" w:hAnsi="宋体" w:eastAsia="宋体" w:cs="宋体"/>
          <w:b/>
          <w:bCs/>
          <w:color w:val="auto"/>
          <w:sz w:val="22"/>
          <w:szCs w:val="21"/>
          <w:highlight w:val="none"/>
          <w:lang w:val="en-US"/>
        </w:rPr>
        <w:t>六、成交</w:t>
      </w:r>
      <w:bookmarkEnd w:id="74"/>
      <w:bookmarkEnd w:id="75"/>
      <w:bookmarkEnd w:id="76"/>
    </w:p>
    <w:p w14:paraId="205B60F4">
      <w:pPr>
        <w:spacing w:line="360" w:lineRule="auto"/>
        <w:ind w:firstLine="420"/>
        <w:rPr>
          <w:rFonts w:ascii="宋体" w:hAnsi="宋体" w:cs="宋体"/>
          <w:b/>
          <w:color w:val="auto"/>
          <w:szCs w:val="21"/>
          <w:highlight w:val="none"/>
          <w:lang w:bidi="ar"/>
        </w:rPr>
      </w:pPr>
      <w:r>
        <w:rPr>
          <w:rFonts w:hint="eastAsia" w:ascii="宋体" w:hAnsi="宋体" w:cs="宋体"/>
          <w:b/>
          <w:bCs/>
          <w:color w:val="auto"/>
          <w:highlight w:val="none"/>
        </w:rPr>
        <w:t>22、</w:t>
      </w:r>
      <w:r>
        <w:rPr>
          <w:rFonts w:hint="eastAsia" w:ascii="宋体" w:hAnsi="宋体" w:cs="宋体"/>
          <w:b/>
          <w:color w:val="auto"/>
          <w:szCs w:val="21"/>
          <w:highlight w:val="none"/>
          <w:lang w:bidi="ar"/>
        </w:rPr>
        <w:t>确定成交供应商</w:t>
      </w:r>
    </w:p>
    <w:p w14:paraId="15A29E56">
      <w:pPr>
        <w:spacing w:line="360" w:lineRule="auto"/>
        <w:ind w:firstLine="420"/>
        <w:rPr>
          <w:rFonts w:ascii="宋体" w:hAnsi="宋体" w:cs="宋体"/>
          <w:color w:val="auto"/>
          <w:szCs w:val="21"/>
          <w:highlight w:val="none"/>
          <w:lang w:val="zh-CN"/>
        </w:rPr>
      </w:pPr>
      <w:r>
        <w:rPr>
          <w:rFonts w:hint="eastAsia" w:ascii="宋体" w:hAnsi="宋体" w:cs="宋体"/>
          <w:color w:val="auto"/>
          <w:highlight w:val="none"/>
        </w:rPr>
        <w:t xml:space="preserve">22.1 </w:t>
      </w:r>
      <w:r>
        <w:rPr>
          <w:rFonts w:hint="eastAsia" w:ascii="宋体" w:hAnsi="宋体" w:cs="宋体"/>
          <w:color w:val="auto"/>
          <w:highlight w:val="none"/>
          <w:lang w:val="zh-CN"/>
        </w:rPr>
        <w:t>磋商小组对均能满足采购文件实质性要求的供应商，</w:t>
      </w:r>
      <w:r>
        <w:rPr>
          <w:rFonts w:hint="eastAsia" w:ascii="宋体" w:hAnsi="宋体" w:cs="宋体"/>
          <w:color w:val="auto"/>
          <w:szCs w:val="21"/>
          <w:highlight w:val="none"/>
          <w:lang w:val="zh-CN"/>
        </w:rPr>
        <w:t>综合比较与评价后按照得分高低顺序对供应商进行排列。</w:t>
      </w:r>
      <w:r>
        <w:rPr>
          <w:rFonts w:hint="eastAsia" w:ascii="宋体" w:hAnsi="宋体" w:cs="宋体"/>
          <w:color w:val="auto"/>
          <w:szCs w:val="21"/>
          <w:highlight w:val="none"/>
        </w:rPr>
        <w:t>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cs="宋体"/>
          <w:color w:val="auto"/>
          <w:szCs w:val="21"/>
          <w:highlight w:val="none"/>
          <w:lang w:val="zh-CN"/>
        </w:rPr>
        <w:t>工程、货物和服务</w:t>
      </w:r>
      <w:r>
        <w:rPr>
          <w:rFonts w:hint="eastAsia" w:ascii="宋体" w:hAnsi="宋体" w:cs="宋体"/>
          <w:color w:val="auto"/>
          <w:szCs w:val="21"/>
          <w:highlight w:val="none"/>
        </w:rPr>
        <w:t>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cs="宋体"/>
          <w:color w:val="auto"/>
          <w:szCs w:val="21"/>
          <w:highlight w:val="none"/>
          <w:lang w:val="zh-CN"/>
        </w:rPr>
        <w:t>磋商小组将综合排名前三名的供应商确定为成交候选供应商。</w:t>
      </w:r>
    </w:p>
    <w:p w14:paraId="6E8AD171">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22.</w:t>
      </w:r>
      <w:r>
        <w:rPr>
          <w:rFonts w:hint="eastAsia" w:ascii="宋体" w:hAnsi="宋体" w:cs="宋体"/>
          <w:color w:val="auto"/>
          <w:szCs w:val="21"/>
          <w:highlight w:val="none"/>
          <w:lang w:val="zh-CN"/>
        </w:rPr>
        <w:t>2 按以下第（2）种方式确定成交供应商；</w:t>
      </w:r>
    </w:p>
    <w:p w14:paraId="23C430C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18E6AA95">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22.3</w:t>
      </w:r>
      <w:r>
        <w:rPr>
          <w:rFonts w:hint="eastAsia" w:ascii="宋体" w:hAnsi="宋体" w:cs="宋体"/>
          <w:color w:val="auto"/>
          <w:szCs w:val="21"/>
          <w:highlight w:val="none"/>
          <w:lang w:val="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301FB7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22.4 若有充分证据证明成交供应商有下列情况之一的，一经查实将被取消成交资格：</w:t>
      </w:r>
    </w:p>
    <w:p w14:paraId="44FAD12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（1）提供虚假材料谋取成交。</w:t>
      </w:r>
    </w:p>
    <w:p w14:paraId="2BC22E4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（2）与评审专家、采购人、其他供应商或者代理机构工作人员恶意串通。</w:t>
      </w:r>
    </w:p>
    <w:p w14:paraId="16F8D03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（3）向评审专家、采购人或代理机构工作人员行贿或者提供其他不正当利益。</w:t>
      </w:r>
    </w:p>
    <w:p w14:paraId="5B5C227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（4）不满足本磋商文件规定的实质性要求，但在评审过程中未被磋商小组发现。</w:t>
      </w:r>
    </w:p>
    <w:p w14:paraId="146129D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（5）成交后无正当理由拒不与采购人签订政府采购合同或者未按照磋商文件确定的事项签订政府采购合同。</w:t>
      </w:r>
    </w:p>
    <w:p w14:paraId="328FCA59">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（6）将合同标的转包。</w:t>
      </w:r>
    </w:p>
    <w:p w14:paraId="0EE8CA62">
      <w:pPr>
        <w:spacing w:line="360" w:lineRule="auto"/>
        <w:ind w:firstLine="413"/>
        <w:rPr>
          <w:rFonts w:ascii="宋体" w:hAnsi="宋体" w:cs="宋体"/>
          <w:b/>
          <w:bCs/>
          <w:color w:val="auto"/>
          <w:highlight w:val="none"/>
          <w:lang w:val="zh-CN"/>
        </w:rPr>
      </w:pPr>
      <w:r>
        <w:rPr>
          <w:rFonts w:hint="eastAsia" w:ascii="宋体" w:hAnsi="宋体" w:cs="宋体"/>
          <w:b/>
          <w:bCs/>
          <w:color w:val="auto"/>
          <w:highlight w:val="none"/>
        </w:rPr>
        <w:t>23、</w:t>
      </w:r>
      <w:r>
        <w:rPr>
          <w:rFonts w:hint="eastAsia" w:ascii="宋体" w:hAnsi="宋体" w:cs="宋体"/>
          <w:b/>
          <w:bCs/>
          <w:color w:val="auto"/>
          <w:highlight w:val="none"/>
          <w:lang w:val="zh-CN"/>
        </w:rPr>
        <w:t>成交通知书</w:t>
      </w:r>
    </w:p>
    <w:p w14:paraId="74326DD7">
      <w:pPr>
        <w:spacing w:line="360" w:lineRule="auto"/>
        <w:ind w:firstLine="420"/>
        <w:rPr>
          <w:rFonts w:ascii="宋体" w:hAnsi="宋体" w:cs="宋体"/>
          <w:color w:val="auto"/>
          <w:highlight w:val="none"/>
        </w:rPr>
      </w:pPr>
      <w:r>
        <w:rPr>
          <w:rFonts w:hint="eastAsia" w:ascii="宋体" w:hAnsi="宋体" w:cs="宋体"/>
          <w:color w:val="auto"/>
          <w:szCs w:val="21"/>
          <w:highlight w:val="none"/>
        </w:rPr>
        <w:t>23.</w:t>
      </w:r>
      <w:r>
        <w:rPr>
          <w:rFonts w:hint="eastAsia" w:ascii="宋体" w:hAnsi="宋体" w:cs="宋体"/>
          <w:color w:val="auto"/>
          <w:highlight w:val="none"/>
        </w:rPr>
        <w:t>1 供应商在中标(成交)后，</w:t>
      </w:r>
      <w:r>
        <w:rPr>
          <w:rFonts w:hint="eastAsia" w:ascii="宋体" w:hAnsi="宋体" w:cs="宋体"/>
          <w:color w:val="auto"/>
          <w:szCs w:val="21"/>
          <w:highlight w:val="none"/>
          <w:shd w:val="clear" w:color="auto" w:fill="FFFFFF"/>
          <w:lang w:bidi="ar"/>
        </w:rPr>
        <w:t>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color w:val="auto"/>
          <w:highlight w:val="none"/>
        </w:rPr>
        <w:t>。经核验无误后，由采购人或采购代理机构发出中标(成交)通知书。</w:t>
      </w:r>
    </w:p>
    <w:p w14:paraId="37F41196">
      <w:pPr>
        <w:spacing w:line="360" w:lineRule="auto"/>
        <w:ind w:firstLine="420"/>
        <w:rPr>
          <w:rFonts w:ascii="宋体" w:hAnsi="宋体" w:cs="宋体"/>
          <w:b/>
          <w:bCs/>
          <w:color w:val="auto"/>
          <w:highlight w:val="none"/>
          <w:lang w:val="zh-CN"/>
        </w:rPr>
      </w:pPr>
      <w:r>
        <w:rPr>
          <w:rFonts w:hint="eastAsia" w:ascii="宋体" w:hAnsi="宋体" w:cs="宋体"/>
          <w:color w:val="auto"/>
          <w:szCs w:val="21"/>
          <w:highlight w:val="none"/>
        </w:rPr>
        <w:t>23.2 成交供应商确定后将在</w:t>
      </w:r>
      <w:r>
        <w:rPr>
          <w:rFonts w:hint="eastAsia" w:ascii="宋体" w:hAnsi="宋体" w:cs="宋体"/>
          <w:color w:val="auto"/>
          <w:szCs w:val="21"/>
          <w:highlight w:val="none"/>
          <w:lang w:val="zh-CN"/>
        </w:rPr>
        <w:t>原采购公告发布媒体上</w:t>
      </w:r>
      <w:r>
        <w:rPr>
          <w:rFonts w:hint="eastAsia" w:ascii="宋体" w:hAnsi="宋体" w:cs="宋体"/>
          <w:color w:val="auto"/>
          <w:szCs w:val="21"/>
          <w:highlight w:val="none"/>
        </w:rPr>
        <w:t>进行公示，并同时向成交供应商发出成交通知书。成交通知书对采购人和成交供应商具有同等法律效力。</w:t>
      </w:r>
    </w:p>
    <w:p w14:paraId="4D025EB5">
      <w:pPr>
        <w:spacing w:line="360" w:lineRule="auto"/>
        <w:ind w:firstLine="420"/>
        <w:rPr>
          <w:rFonts w:ascii="宋体" w:hAnsi="宋体" w:cs="宋体"/>
          <w:color w:val="auto"/>
          <w:highlight w:val="none"/>
          <w:lang w:val="zh-CN"/>
        </w:rPr>
      </w:pPr>
      <w:r>
        <w:rPr>
          <w:rFonts w:hint="eastAsia" w:ascii="宋体" w:hAnsi="宋体" w:cs="宋体"/>
          <w:color w:val="auto"/>
          <w:highlight w:val="none"/>
        </w:rPr>
        <w:t>23</w:t>
      </w:r>
      <w:r>
        <w:rPr>
          <w:rFonts w:hint="eastAsia" w:ascii="宋体" w:hAnsi="宋体" w:cs="宋体"/>
          <w:color w:val="auto"/>
          <w:highlight w:val="none"/>
          <w:lang w:val="zh-CN"/>
        </w:rPr>
        <w:t>.</w:t>
      </w:r>
      <w:r>
        <w:rPr>
          <w:rFonts w:hint="eastAsia" w:ascii="宋体" w:hAnsi="宋体" w:cs="宋体"/>
          <w:color w:val="auto"/>
          <w:highlight w:val="none"/>
        </w:rPr>
        <w:t>3</w:t>
      </w:r>
      <w:r>
        <w:rPr>
          <w:rFonts w:hint="eastAsia" w:ascii="宋体" w:hAnsi="宋体" w:cs="宋体"/>
          <w:color w:val="auto"/>
          <w:highlight w:val="none"/>
          <w:lang w:val="zh-CN"/>
        </w:rPr>
        <w:t xml:space="preserve"> 在投标有效期期满之前,采购单位将以书面形式通知成交供应商，并确认其磋商响应已被接受。</w:t>
      </w:r>
    </w:p>
    <w:p w14:paraId="4C7719B4">
      <w:pPr>
        <w:spacing w:line="360" w:lineRule="auto"/>
        <w:ind w:firstLine="420"/>
        <w:rPr>
          <w:rFonts w:ascii="宋体" w:hAnsi="宋体" w:cs="宋体"/>
          <w:color w:val="auto"/>
          <w:highlight w:val="none"/>
          <w:lang w:val="zh-CN"/>
        </w:rPr>
      </w:pPr>
      <w:r>
        <w:rPr>
          <w:rFonts w:hint="eastAsia" w:ascii="宋体" w:hAnsi="宋体" w:cs="宋体"/>
          <w:color w:val="auto"/>
          <w:highlight w:val="none"/>
        </w:rPr>
        <w:t>23</w:t>
      </w:r>
      <w:r>
        <w:rPr>
          <w:rFonts w:hint="eastAsia" w:ascii="宋体" w:hAnsi="宋体" w:cs="宋体"/>
          <w:color w:val="auto"/>
          <w:highlight w:val="none"/>
          <w:lang w:val="zh-CN"/>
        </w:rPr>
        <w:t>.</w:t>
      </w:r>
      <w:r>
        <w:rPr>
          <w:rFonts w:hint="eastAsia" w:ascii="宋体" w:hAnsi="宋体" w:cs="宋体"/>
          <w:color w:val="auto"/>
          <w:highlight w:val="none"/>
        </w:rPr>
        <w:t>4</w:t>
      </w:r>
      <w:r>
        <w:rPr>
          <w:rFonts w:hint="eastAsia" w:ascii="宋体" w:hAnsi="宋体" w:cs="宋体"/>
          <w:b/>
          <w:bCs/>
          <w:color w:val="auto"/>
          <w:highlight w:val="none"/>
          <w:lang w:val="zh-CN"/>
        </w:rPr>
        <w:t xml:space="preserve"> </w:t>
      </w:r>
      <w:r>
        <w:rPr>
          <w:rFonts w:hint="eastAsia" w:ascii="宋体" w:hAnsi="宋体" w:cs="宋体"/>
          <w:color w:val="auto"/>
          <w:highlight w:val="none"/>
          <w:lang w:val="zh-CN"/>
        </w:rPr>
        <w:t>成交通知书将是合同的</w:t>
      </w:r>
      <w:r>
        <w:rPr>
          <w:rFonts w:hint="eastAsia" w:ascii="宋体" w:hAnsi="宋体" w:cs="宋体"/>
          <w:color w:val="auto"/>
          <w:highlight w:val="none"/>
        </w:rPr>
        <w:t>依据和</w:t>
      </w:r>
      <w:r>
        <w:rPr>
          <w:rFonts w:hint="eastAsia" w:ascii="宋体" w:hAnsi="宋体" w:cs="宋体"/>
          <w:color w:val="auto"/>
          <w:highlight w:val="none"/>
          <w:lang w:val="zh-CN"/>
        </w:rPr>
        <w:t>组成部分。</w:t>
      </w:r>
    </w:p>
    <w:p w14:paraId="01F2894D">
      <w:pPr>
        <w:spacing w:line="360" w:lineRule="auto"/>
        <w:ind w:firstLine="420"/>
        <w:rPr>
          <w:rFonts w:ascii="宋体" w:hAnsi="宋体" w:cs="宋体"/>
          <w:bCs/>
          <w:color w:val="auto"/>
          <w:highlight w:val="none"/>
          <w:shd w:val="clear" w:color="auto" w:fill="FFFFFF"/>
        </w:rPr>
      </w:pPr>
      <w:r>
        <w:rPr>
          <w:rFonts w:hint="eastAsia" w:ascii="宋体" w:hAnsi="宋体" w:cs="宋体"/>
          <w:b/>
          <w:color w:val="auto"/>
          <w:highlight w:val="none"/>
          <w:shd w:val="clear" w:color="auto" w:fill="FFFFFF"/>
        </w:rPr>
        <w:t>24、签订合同</w:t>
      </w:r>
    </w:p>
    <w:p w14:paraId="7D9D6F22">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24.1 成交供应商应当自成交通知书发出之日起三十日内，与采购单位签订采购合同，所签订的合同不得对磋商文件和磋商响应文件作实质性修改。</w:t>
      </w:r>
    </w:p>
    <w:p w14:paraId="132521A5">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24.2 采购单位不得向成交供应商提出任何不合理的要求作为签订合同的条件，不得与成交供应商私下订立背离合同实质性内容的协议。</w:t>
      </w:r>
    </w:p>
    <w:p w14:paraId="7CB7EE87">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 xml:space="preserve">24.3 </w:t>
      </w:r>
      <w:r>
        <w:rPr>
          <w:rFonts w:hint="eastAsia" w:ascii="宋体" w:hAnsi="宋体" w:cs="宋体"/>
          <w:bCs/>
          <w:color w:val="auto"/>
          <w:highlight w:val="none"/>
          <w:shd w:val="clear" w:color="auto" w:fill="FFFFFF"/>
          <w:lang w:val="zh-CN"/>
        </w:rPr>
        <w:t>成交供应商</w:t>
      </w:r>
      <w:r>
        <w:rPr>
          <w:rFonts w:hint="eastAsia" w:ascii="宋体" w:hAnsi="宋体" w:cs="宋体"/>
          <w:bCs/>
          <w:color w:val="auto"/>
          <w:highlight w:val="none"/>
          <w:shd w:val="clear" w:color="auto" w:fill="FFFFFF"/>
        </w:rPr>
        <w:t>拒绝签订政府采购合同的</w:t>
      </w:r>
      <w:r>
        <w:rPr>
          <w:rFonts w:hint="eastAsia" w:ascii="宋体" w:hAnsi="宋体" w:cs="宋体"/>
          <w:bCs/>
          <w:color w:val="auto"/>
          <w:highlight w:val="none"/>
          <w:shd w:val="clear" w:color="auto" w:fill="FFFFFF"/>
          <w:lang w:val="zh-CN"/>
        </w:rPr>
        <w:t>，采购人可以按照《</w:t>
      </w:r>
      <w:r>
        <w:rPr>
          <w:rFonts w:hint="eastAsia" w:ascii="宋体" w:hAnsi="宋体" w:cs="宋体"/>
          <w:bCs/>
          <w:color w:val="auto"/>
          <w:highlight w:val="none"/>
          <w:shd w:val="clear" w:color="auto" w:fill="FFFFFF"/>
        </w:rPr>
        <w:t>政府采购竞争性磋商采购方式管理暂行办法</w:t>
      </w:r>
      <w:r>
        <w:rPr>
          <w:rFonts w:hint="eastAsia" w:ascii="宋体" w:hAnsi="宋体" w:cs="宋体"/>
          <w:bCs/>
          <w:color w:val="auto"/>
          <w:highlight w:val="none"/>
          <w:shd w:val="clear" w:color="auto" w:fill="FFFFFF"/>
          <w:lang w:val="zh-CN"/>
        </w:rPr>
        <w:t>》第</w:t>
      </w:r>
      <w:r>
        <w:rPr>
          <w:rFonts w:hint="eastAsia" w:ascii="宋体" w:hAnsi="宋体" w:cs="宋体"/>
          <w:bCs/>
          <w:color w:val="auto"/>
          <w:highlight w:val="none"/>
          <w:shd w:val="clear" w:color="auto" w:fill="FFFFFF"/>
        </w:rPr>
        <w:t>三</w:t>
      </w:r>
      <w:r>
        <w:rPr>
          <w:rFonts w:hint="eastAsia" w:ascii="宋体" w:hAnsi="宋体" w:cs="宋体"/>
          <w:bCs/>
          <w:color w:val="auto"/>
          <w:highlight w:val="none"/>
          <w:shd w:val="clear" w:color="auto" w:fill="FFFFFF"/>
          <w:lang w:val="zh-CN"/>
        </w:rPr>
        <w:t>十</w:t>
      </w:r>
      <w:r>
        <w:rPr>
          <w:rFonts w:hint="eastAsia" w:ascii="宋体" w:hAnsi="宋体" w:cs="宋体"/>
          <w:bCs/>
          <w:color w:val="auto"/>
          <w:highlight w:val="none"/>
          <w:shd w:val="clear" w:color="auto" w:fill="FFFFFF"/>
        </w:rPr>
        <w:t>三</w:t>
      </w:r>
      <w:r>
        <w:rPr>
          <w:rFonts w:hint="eastAsia" w:ascii="宋体" w:hAnsi="宋体" w:cs="宋体"/>
          <w:bCs/>
          <w:color w:val="auto"/>
          <w:highlight w:val="none"/>
          <w:shd w:val="clear" w:color="auto" w:fill="FFFFFF"/>
          <w:lang w:val="zh-CN"/>
        </w:rPr>
        <w:t>条规定的原则</w:t>
      </w:r>
      <w:r>
        <w:rPr>
          <w:rFonts w:hint="eastAsia" w:ascii="宋体" w:hAnsi="宋体" w:cs="宋体"/>
          <w:bCs/>
          <w:color w:val="auto"/>
          <w:highlight w:val="none"/>
          <w:shd w:val="clear" w:color="auto" w:fill="FFFFFF"/>
        </w:rPr>
        <w:t>视情与排位在成交供应商之后第一位的成交候选供应商签订政府采购合同</w:t>
      </w:r>
      <w:r>
        <w:rPr>
          <w:rFonts w:hint="eastAsia" w:ascii="宋体" w:hAnsi="宋体" w:cs="宋体"/>
          <w:bCs/>
          <w:color w:val="auto"/>
          <w:highlight w:val="none"/>
          <w:shd w:val="clear" w:color="auto" w:fill="FFFFFF"/>
          <w:lang w:val="zh-CN"/>
        </w:rPr>
        <w:t>，也可以重新开展采购活动。</w:t>
      </w:r>
      <w:r>
        <w:rPr>
          <w:rFonts w:hint="eastAsia" w:ascii="宋体" w:hAnsi="宋体" w:cs="宋体"/>
          <w:bCs/>
          <w:color w:val="auto"/>
          <w:highlight w:val="none"/>
          <w:shd w:val="clear" w:color="auto" w:fill="FFFFFF"/>
        </w:rPr>
        <w:t>放弃或</w:t>
      </w:r>
      <w:r>
        <w:rPr>
          <w:rFonts w:hint="eastAsia" w:ascii="宋体" w:hAnsi="宋体" w:cs="宋体"/>
          <w:bCs/>
          <w:color w:val="auto"/>
          <w:highlight w:val="none"/>
          <w:shd w:val="clear" w:color="auto" w:fill="FFFFFF"/>
          <w:lang w:val="zh-CN"/>
        </w:rPr>
        <w:t>拒绝签订政府采购合同的成交供应商不得参加对该项目重新开展的采购活动，</w:t>
      </w:r>
      <w:r>
        <w:rPr>
          <w:rFonts w:hint="eastAsia" w:ascii="宋体" w:hAnsi="宋体" w:cs="宋体"/>
          <w:bCs/>
          <w:color w:val="auto"/>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7FA9EBD1">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24.4 成交供应商因不可抗力或者自身原因不能履行采购合同的，</w:t>
      </w:r>
      <w:r>
        <w:rPr>
          <w:rFonts w:hint="eastAsia" w:ascii="宋体" w:hAnsi="宋体" w:cs="宋体"/>
          <w:bCs/>
          <w:color w:val="auto"/>
          <w:highlight w:val="none"/>
          <w:shd w:val="clear" w:color="auto" w:fill="FFFFFF"/>
          <w:lang w:val="zh-CN"/>
        </w:rPr>
        <w:t>采购人可以按照《</w:t>
      </w:r>
      <w:r>
        <w:rPr>
          <w:rFonts w:hint="eastAsia" w:ascii="宋体" w:hAnsi="宋体" w:cs="宋体"/>
          <w:bCs/>
          <w:color w:val="auto"/>
          <w:highlight w:val="none"/>
          <w:shd w:val="clear" w:color="auto" w:fill="FFFFFF"/>
        </w:rPr>
        <w:t>政府采购竞争性磋商采购方式管理暂行办法</w:t>
      </w:r>
      <w:r>
        <w:rPr>
          <w:rFonts w:hint="eastAsia" w:ascii="宋体" w:hAnsi="宋体" w:cs="宋体"/>
          <w:bCs/>
          <w:color w:val="auto"/>
          <w:highlight w:val="none"/>
          <w:shd w:val="clear" w:color="auto" w:fill="FFFFFF"/>
          <w:lang w:val="zh-CN"/>
        </w:rPr>
        <w:t>》第</w:t>
      </w:r>
      <w:r>
        <w:rPr>
          <w:rFonts w:hint="eastAsia" w:ascii="宋体" w:hAnsi="宋体" w:cs="宋体"/>
          <w:bCs/>
          <w:color w:val="auto"/>
          <w:highlight w:val="none"/>
          <w:shd w:val="clear" w:color="auto" w:fill="FFFFFF"/>
        </w:rPr>
        <w:t>三</w:t>
      </w:r>
      <w:r>
        <w:rPr>
          <w:rFonts w:hint="eastAsia" w:ascii="宋体" w:hAnsi="宋体" w:cs="宋体"/>
          <w:bCs/>
          <w:color w:val="auto"/>
          <w:highlight w:val="none"/>
          <w:shd w:val="clear" w:color="auto" w:fill="FFFFFF"/>
          <w:lang w:val="zh-CN"/>
        </w:rPr>
        <w:t>十</w:t>
      </w:r>
      <w:r>
        <w:rPr>
          <w:rFonts w:hint="eastAsia" w:ascii="宋体" w:hAnsi="宋体" w:cs="宋体"/>
          <w:bCs/>
          <w:color w:val="auto"/>
          <w:highlight w:val="none"/>
          <w:shd w:val="clear" w:color="auto" w:fill="FFFFFF"/>
        </w:rPr>
        <w:t>三</w:t>
      </w:r>
      <w:r>
        <w:rPr>
          <w:rFonts w:hint="eastAsia" w:ascii="宋体" w:hAnsi="宋体" w:cs="宋体"/>
          <w:bCs/>
          <w:color w:val="auto"/>
          <w:highlight w:val="none"/>
          <w:shd w:val="clear" w:color="auto" w:fill="FFFFFF"/>
          <w:lang w:val="zh-CN"/>
        </w:rPr>
        <w:t>条规定的原则</w:t>
      </w:r>
      <w:r>
        <w:rPr>
          <w:rFonts w:hint="eastAsia" w:ascii="宋体" w:hAnsi="宋体" w:cs="宋体"/>
          <w:bCs/>
          <w:color w:val="auto"/>
          <w:highlight w:val="none"/>
          <w:shd w:val="clear" w:color="auto" w:fill="FFFFFF"/>
        </w:rPr>
        <w:t>视情与排位在成交供应商之后第一位的成交候选供应商签订政府采购合同，</w:t>
      </w:r>
      <w:r>
        <w:rPr>
          <w:rFonts w:hint="eastAsia" w:ascii="宋体" w:hAnsi="宋体" w:cs="宋体"/>
          <w:bCs/>
          <w:color w:val="auto"/>
          <w:highlight w:val="none"/>
          <w:shd w:val="clear" w:color="auto" w:fill="FFFFFF"/>
          <w:lang w:val="zh-CN"/>
        </w:rPr>
        <w:t>也可以重新开展采购活动。</w:t>
      </w:r>
      <w:r>
        <w:rPr>
          <w:rFonts w:hint="eastAsia" w:ascii="宋体" w:hAnsi="宋体" w:cs="宋体"/>
          <w:bCs/>
          <w:color w:val="auto"/>
          <w:highlight w:val="none"/>
          <w:shd w:val="clear" w:color="auto" w:fill="FFFFFF"/>
        </w:rPr>
        <w:t>放弃或</w:t>
      </w:r>
      <w:r>
        <w:rPr>
          <w:rFonts w:hint="eastAsia" w:ascii="宋体" w:hAnsi="宋体" w:cs="宋体"/>
          <w:bCs/>
          <w:color w:val="auto"/>
          <w:highlight w:val="none"/>
          <w:shd w:val="clear" w:color="auto" w:fill="FFFFFF"/>
          <w:lang w:val="zh-CN"/>
        </w:rPr>
        <w:t>拒绝签订政府采购合同的成交供应商不得参加对该项目重新开展的采购活动，</w:t>
      </w:r>
      <w:r>
        <w:rPr>
          <w:rFonts w:hint="eastAsia" w:ascii="宋体" w:hAnsi="宋体" w:cs="宋体"/>
          <w:bCs/>
          <w:color w:val="auto"/>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1701C5DF">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24.5 采购合同履行中，经双方协商一致，在不改变合同其他条款的前提下，可以与成交供应商签订补充合同，但所有补充合同的采购金额不得超过原合同采购金额的百分之十。</w:t>
      </w:r>
    </w:p>
    <w:p w14:paraId="53AB5D40">
      <w:pPr>
        <w:pStyle w:val="395"/>
        <w:spacing w:before="0" w:after="0" w:line="360" w:lineRule="auto"/>
        <w:ind w:left="0" w:firstLine="0"/>
        <w:rPr>
          <w:rFonts w:ascii="宋体" w:hAnsi="宋体" w:eastAsia="宋体" w:cs="宋体"/>
          <w:b/>
          <w:bCs/>
          <w:color w:val="auto"/>
          <w:sz w:val="22"/>
          <w:szCs w:val="21"/>
          <w:highlight w:val="none"/>
        </w:rPr>
      </w:pPr>
      <w:bookmarkStart w:id="77" w:name="_Toc27753"/>
      <w:bookmarkStart w:id="78" w:name="_Toc29506"/>
      <w:bookmarkStart w:id="79" w:name="_Toc26975"/>
      <w:r>
        <w:rPr>
          <w:rFonts w:hint="eastAsia" w:ascii="宋体" w:hAnsi="宋体" w:eastAsia="宋体" w:cs="宋体"/>
          <w:b/>
          <w:bCs/>
          <w:color w:val="auto"/>
          <w:sz w:val="22"/>
          <w:szCs w:val="21"/>
          <w:highlight w:val="none"/>
          <w:lang w:val="en-US"/>
        </w:rPr>
        <w:t>七</w:t>
      </w:r>
      <w:r>
        <w:rPr>
          <w:rFonts w:hint="eastAsia" w:ascii="宋体" w:hAnsi="宋体" w:eastAsia="宋体" w:cs="宋体"/>
          <w:b/>
          <w:bCs/>
          <w:color w:val="auto"/>
          <w:sz w:val="22"/>
          <w:szCs w:val="21"/>
          <w:highlight w:val="none"/>
        </w:rPr>
        <w:t>、质疑和投诉</w:t>
      </w:r>
      <w:bookmarkEnd w:id="77"/>
      <w:bookmarkEnd w:id="78"/>
      <w:bookmarkEnd w:id="79"/>
    </w:p>
    <w:p w14:paraId="6B98F336">
      <w:pPr>
        <w:spacing w:line="360" w:lineRule="auto"/>
        <w:ind w:firstLine="420"/>
        <w:rPr>
          <w:rFonts w:ascii="宋体" w:hAnsi="宋体" w:cs="宋体"/>
          <w:bCs/>
          <w:color w:val="auto"/>
          <w:highlight w:val="none"/>
          <w:shd w:val="clear" w:color="auto" w:fill="FFFFFF"/>
        </w:rPr>
      </w:pPr>
      <w:r>
        <w:rPr>
          <w:rFonts w:hint="eastAsia" w:ascii="宋体" w:hAnsi="宋体" w:cs="宋体"/>
          <w:b/>
          <w:color w:val="auto"/>
          <w:highlight w:val="none"/>
          <w:shd w:val="clear" w:color="auto" w:fill="FFFFFF"/>
        </w:rPr>
        <w:t>23、质疑</w:t>
      </w:r>
    </w:p>
    <w:p w14:paraId="7F5046E2">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23.1 供应商认为采购文件、采购过程、中标或者成交结果使自己的权益受到损害的，可以在知道或者应知其权益受到损害之日起7个工作日内，</w:t>
      </w:r>
      <w:r>
        <w:rPr>
          <w:rFonts w:hint="eastAsia" w:ascii="宋体" w:hAnsi="宋体" w:cs="宋体"/>
          <w:bCs/>
          <w:color w:val="auto"/>
          <w:highlight w:val="none"/>
          <w:shd w:val="clear" w:color="auto" w:fill="FFFFFF"/>
          <w:lang w:val="zh-CN"/>
        </w:rPr>
        <w:t>将质疑文件原件送达南京荣大工程项目管理有限公司</w:t>
      </w:r>
      <w:r>
        <w:rPr>
          <w:rFonts w:hint="eastAsia" w:ascii="宋体" w:hAnsi="宋体" w:cs="宋体"/>
          <w:bCs/>
          <w:color w:val="auto"/>
          <w:highlight w:val="none"/>
          <w:shd w:val="clear" w:color="auto" w:fill="FFFFFF"/>
        </w:rPr>
        <w:t>。</w:t>
      </w:r>
    </w:p>
    <w:p w14:paraId="0A5F9BF2">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23.2 供应商必须在法定质疑期内一次性提出针对同一采购程序环节的质疑，</w:t>
      </w:r>
      <w:r>
        <w:rPr>
          <w:rFonts w:hint="eastAsia" w:ascii="宋体" w:hAnsi="宋体" w:cs="宋体"/>
          <w:bCs/>
          <w:color w:val="auto"/>
          <w:highlight w:val="none"/>
        </w:rPr>
        <w:t>质疑期外提出的质疑，采购代理机构将不予受理</w:t>
      </w:r>
      <w:r>
        <w:rPr>
          <w:rFonts w:hint="eastAsia" w:ascii="宋体" w:hAnsi="宋体" w:cs="宋体"/>
          <w:bCs/>
          <w:color w:val="auto"/>
          <w:highlight w:val="none"/>
          <w:shd w:val="clear" w:color="auto" w:fill="FFFFFF"/>
        </w:rPr>
        <w:t>。</w:t>
      </w:r>
    </w:p>
    <w:p w14:paraId="2A662B12">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23.3 质疑文件应包括以下主要内容，并按照“谁主张、谁举证”的原则，附上相关证明材料。否则，不予受理：</w:t>
      </w:r>
    </w:p>
    <w:p w14:paraId="3E265DA2">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（1）质疑项目名称、项目编号、包号、招标公告发布时间、开标时间；</w:t>
      </w:r>
    </w:p>
    <w:p w14:paraId="3E391576">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（2）具体的质疑事项及事实依据、法律依据（具体条款）；</w:t>
      </w:r>
    </w:p>
    <w:p w14:paraId="423BB993">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（3）质疑相关证明文件或证明材料；</w:t>
      </w:r>
    </w:p>
    <w:p w14:paraId="5DC289F6">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（4）质疑供应商名称、地址、联系方式（包括手机、传真号码）；</w:t>
      </w:r>
    </w:p>
    <w:p w14:paraId="2B8CFC5D">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267C8A7B">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 xml:space="preserve">23.4 </w:t>
      </w:r>
      <w:r>
        <w:rPr>
          <w:rFonts w:hint="eastAsia" w:ascii="宋体" w:hAnsi="宋体" w:cs="宋体"/>
          <w:bCs/>
          <w:color w:val="auto"/>
          <w:highlight w:val="none"/>
          <w:shd w:val="clear" w:color="auto" w:fill="FFFFFF"/>
          <w:lang w:val="zh-CN"/>
        </w:rPr>
        <w:t>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p>
    <w:p w14:paraId="6D661DA9">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23.5</w:t>
      </w:r>
      <w:r>
        <w:rPr>
          <w:rFonts w:hint="eastAsia" w:ascii="宋体" w:hAnsi="宋体" w:cs="宋体"/>
          <w:bCs/>
          <w:color w:val="auto"/>
          <w:szCs w:val="20"/>
          <w:highlight w:val="none"/>
          <w:shd w:val="clear" w:color="auto" w:fill="FFFFFF"/>
        </w:rPr>
        <w:t>质 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55165CA5">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 xml:space="preserve">23.6 </w:t>
      </w:r>
      <w:r>
        <w:rPr>
          <w:rFonts w:hint="eastAsia" w:ascii="宋体" w:hAnsi="宋体" w:cs="宋体"/>
          <w:bCs/>
          <w:color w:val="auto"/>
          <w:highlight w:val="none"/>
          <w:shd w:val="clear" w:color="auto" w:fill="FFFFFF"/>
          <w:lang w:val="zh-CN"/>
        </w:rPr>
        <w:t>采购代理</w:t>
      </w:r>
      <w:r>
        <w:rPr>
          <w:rFonts w:hint="eastAsia" w:ascii="宋体" w:hAnsi="宋体" w:cs="宋体"/>
          <w:bCs/>
          <w:color w:val="auto"/>
          <w:highlight w:val="none"/>
          <w:shd w:val="clear" w:color="auto" w:fill="FFFFFF"/>
        </w:rPr>
        <w:t>在收到供应商的书面质疑后将及时组织调查核实，在</w:t>
      </w:r>
      <w:r>
        <w:rPr>
          <w:rFonts w:hint="eastAsia" w:ascii="宋体" w:hAnsi="宋体" w:cs="宋体"/>
          <w:bCs/>
          <w:color w:val="auto"/>
          <w:highlight w:val="none"/>
          <w:shd w:val="clear" w:color="auto" w:fill="FFFFFF"/>
          <w:lang w:val="zh-CN"/>
        </w:rPr>
        <w:t>七个工作日内作出答复，并以书面通知质疑供应商和其他有关供应商，答复的内容不涉及商业秘密。采购代理</w:t>
      </w:r>
      <w:r>
        <w:rPr>
          <w:rFonts w:hint="eastAsia" w:ascii="宋体" w:hAnsi="宋体" w:cs="宋体"/>
          <w:bCs/>
          <w:color w:val="auto"/>
          <w:highlight w:val="none"/>
          <w:shd w:val="clear" w:color="auto" w:fill="FFFFFF"/>
        </w:rPr>
        <w:t>遵循“谁过错谁负担”的原则，有过错的一方承担调查论证费用。</w:t>
      </w:r>
    </w:p>
    <w:p w14:paraId="0FE07428">
      <w:pPr>
        <w:spacing w:line="360" w:lineRule="auto"/>
        <w:ind w:firstLine="422"/>
        <w:rPr>
          <w:rFonts w:ascii="宋体" w:hAnsi="宋体" w:cs="宋体"/>
          <w:b/>
          <w:color w:val="auto"/>
          <w:szCs w:val="21"/>
          <w:highlight w:val="none"/>
          <w:lang w:bidi="ar"/>
        </w:rPr>
      </w:pPr>
      <w:r>
        <w:rPr>
          <w:rFonts w:hint="eastAsia" w:ascii="宋体" w:hAnsi="宋体" w:cs="宋体"/>
          <w:b/>
          <w:color w:val="auto"/>
          <w:highlight w:val="none"/>
        </w:rPr>
        <w:t>24</w:t>
      </w:r>
      <w:r>
        <w:rPr>
          <w:rFonts w:hint="eastAsia" w:ascii="宋体" w:hAnsi="宋体" w:cs="宋体"/>
          <w:b/>
          <w:color w:val="auto"/>
          <w:highlight w:val="none"/>
          <w:lang w:val="zh-CN"/>
        </w:rPr>
        <w:t>、</w:t>
      </w:r>
      <w:r>
        <w:rPr>
          <w:rFonts w:hint="eastAsia" w:ascii="宋体" w:hAnsi="宋体" w:cs="宋体"/>
          <w:b/>
          <w:color w:val="auto"/>
          <w:szCs w:val="21"/>
          <w:highlight w:val="none"/>
          <w:lang w:bidi="ar"/>
        </w:rPr>
        <w:t>投诉</w:t>
      </w:r>
    </w:p>
    <w:p w14:paraId="561456C5">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质疑供应商对采购单位或代理机构的答复不满意或者采购单位或代理机构未在规定的时间内作出答复的，可以在答复期满后</w:t>
      </w:r>
      <w:r>
        <w:rPr>
          <w:rFonts w:hint="eastAsia" w:ascii="宋体" w:hAnsi="宋体" w:cs="宋体"/>
          <w:color w:val="auto"/>
          <w:szCs w:val="21"/>
          <w:highlight w:val="none"/>
          <w:lang w:val="zh-CN"/>
        </w:rPr>
        <w:t>十五个工作日内向同级政府采购监督管理部门投诉</w:t>
      </w:r>
      <w:r>
        <w:rPr>
          <w:rFonts w:hint="eastAsia" w:ascii="宋体" w:hAnsi="宋体" w:cs="宋体"/>
          <w:bCs/>
          <w:color w:val="auto"/>
          <w:highlight w:val="none"/>
          <w:shd w:val="clear" w:color="auto" w:fill="FFFFFF"/>
        </w:rPr>
        <w:t>。</w:t>
      </w:r>
    </w:p>
    <w:p w14:paraId="1AA94572">
      <w:pPr>
        <w:spacing w:line="360" w:lineRule="auto"/>
        <w:ind w:firstLine="420"/>
        <w:rPr>
          <w:rFonts w:ascii="宋体" w:hAnsi="宋体" w:cs="宋体"/>
          <w:b/>
          <w:color w:val="auto"/>
          <w:highlight w:val="none"/>
          <w:lang w:val="zh-CN"/>
        </w:rPr>
      </w:pPr>
      <w:r>
        <w:rPr>
          <w:rFonts w:hint="eastAsia" w:ascii="宋体" w:hAnsi="宋体" w:cs="宋体"/>
          <w:b/>
          <w:color w:val="auto"/>
          <w:highlight w:val="none"/>
          <w:lang w:val="zh-CN"/>
        </w:rPr>
        <w:t>2</w:t>
      </w:r>
      <w:r>
        <w:rPr>
          <w:rFonts w:hint="eastAsia" w:ascii="宋体" w:hAnsi="宋体" w:cs="宋体"/>
          <w:b/>
          <w:color w:val="auto"/>
          <w:highlight w:val="none"/>
        </w:rPr>
        <w:t>5</w:t>
      </w:r>
      <w:r>
        <w:rPr>
          <w:rFonts w:hint="eastAsia" w:ascii="宋体" w:hAnsi="宋体" w:cs="宋体"/>
          <w:b/>
          <w:color w:val="auto"/>
          <w:highlight w:val="none"/>
          <w:lang w:val="zh-CN"/>
        </w:rPr>
        <w:t>、诚实信用</w:t>
      </w:r>
    </w:p>
    <w:p w14:paraId="53695FBE">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25</w:t>
      </w:r>
      <w:r>
        <w:rPr>
          <w:rFonts w:hint="eastAsia" w:ascii="宋体" w:hAnsi="宋体" w:cs="宋体"/>
          <w:bCs/>
          <w:color w:val="auto"/>
          <w:highlight w:val="none"/>
          <w:shd w:val="clear" w:color="auto" w:fill="FFFFFF"/>
          <w:lang w:val="zh-CN"/>
        </w:rPr>
        <w:t>.1</w:t>
      </w:r>
      <w:r>
        <w:rPr>
          <w:rFonts w:hint="eastAsia" w:ascii="宋体" w:hAnsi="宋体" w:cs="宋体"/>
          <w:bCs/>
          <w:color w:val="auto"/>
          <w:highlight w:val="none"/>
          <w:shd w:val="clear" w:color="auto" w:fill="FFFFFF"/>
        </w:rPr>
        <w:t xml:space="preserve"> </w:t>
      </w:r>
      <w:r>
        <w:rPr>
          <w:rFonts w:hint="eastAsia" w:ascii="宋体" w:hAnsi="宋体" w:cs="宋体"/>
          <w:bCs/>
          <w:color w:val="auto"/>
          <w:highlight w:val="none"/>
          <w:shd w:val="clear" w:color="auto" w:fill="FFFFFF"/>
          <w:lang w:val="zh-CN"/>
        </w:rPr>
        <w:t>供应商之间不得相互串通报价，不得妨碍其他供应商的公平竞争，不得损害采购人和其他供应商的合法权益。</w:t>
      </w:r>
    </w:p>
    <w:p w14:paraId="3C034518">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25</w:t>
      </w:r>
      <w:r>
        <w:rPr>
          <w:rFonts w:hint="eastAsia" w:ascii="宋体" w:hAnsi="宋体" w:cs="宋体"/>
          <w:bCs/>
          <w:color w:val="auto"/>
          <w:highlight w:val="none"/>
          <w:shd w:val="clear" w:color="auto" w:fill="FFFFFF"/>
          <w:lang w:val="zh-CN"/>
        </w:rPr>
        <w:t>.2</w:t>
      </w:r>
      <w:r>
        <w:rPr>
          <w:rFonts w:hint="eastAsia" w:ascii="宋体" w:hAnsi="宋体" w:cs="宋体"/>
          <w:bCs/>
          <w:color w:val="auto"/>
          <w:highlight w:val="none"/>
          <w:shd w:val="clear" w:color="auto" w:fill="FFFFFF"/>
        </w:rPr>
        <w:t xml:space="preserve"> </w:t>
      </w:r>
      <w:r>
        <w:rPr>
          <w:rFonts w:hint="eastAsia" w:ascii="宋体" w:hAnsi="宋体" w:cs="宋体"/>
          <w:bCs/>
          <w:color w:val="auto"/>
          <w:highlight w:val="none"/>
          <w:shd w:val="clear" w:color="auto" w:fill="FFFFFF"/>
          <w:lang w:val="zh-CN"/>
        </w:rPr>
        <w:t>供应商不得以向采购代理工作人员、磋商小组成员行贿或者采取其他不正当手段谋取成交。经查实供应商有此行为的，</w:t>
      </w:r>
      <w:r>
        <w:rPr>
          <w:rFonts w:hint="eastAsia" w:ascii="宋体" w:hAnsi="宋体" w:cs="宋体"/>
          <w:bCs/>
          <w:color w:val="auto"/>
          <w:highlight w:val="none"/>
          <w:shd w:val="clear" w:color="auto" w:fill="FFFFFF"/>
        </w:rPr>
        <w:t>政府采购管理部门将供应商列入不良行为记录名单，按照《政府采购法》有关规定处理。</w:t>
      </w:r>
    </w:p>
    <w:p w14:paraId="0E724AD5">
      <w:pPr>
        <w:spacing w:line="360" w:lineRule="auto"/>
        <w:ind w:firstLine="420"/>
        <w:rPr>
          <w:rFonts w:ascii="宋体" w:hAnsi="宋体" w:cs="宋体"/>
          <w:bCs/>
          <w:color w:val="auto"/>
          <w:highlight w:val="none"/>
          <w:shd w:val="clear" w:color="auto" w:fill="FFFFFF"/>
        </w:rPr>
      </w:pPr>
      <w:r>
        <w:rPr>
          <w:rFonts w:hint="eastAsia" w:ascii="宋体" w:hAnsi="宋体" w:cs="宋体"/>
          <w:bCs/>
          <w:color w:val="auto"/>
          <w:highlight w:val="none"/>
          <w:shd w:val="clear" w:color="auto" w:fill="FFFFFF"/>
        </w:rPr>
        <w:t>25</w:t>
      </w:r>
      <w:r>
        <w:rPr>
          <w:rFonts w:hint="eastAsia" w:ascii="宋体" w:hAnsi="宋体" w:cs="宋体"/>
          <w:bCs/>
          <w:color w:val="auto"/>
          <w:highlight w:val="none"/>
          <w:shd w:val="clear" w:color="auto" w:fill="FFFFFF"/>
          <w:lang w:val="zh-CN"/>
        </w:rPr>
        <w:t>.3</w:t>
      </w:r>
      <w:r>
        <w:rPr>
          <w:rFonts w:hint="eastAsia" w:ascii="宋体" w:hAnsi="宋体" w:cs="宋体"/>
          <w:bCs/>
          <w:color w:val="auto"/>
          <w:highlight w:val="none"/>
          <w:shd w:val="clear" w:color="auto" w:fill="FFFFFF"/>
        </w:rPr>
        <w:t xml:space="preserve"> </w:t>
      </w:r>
      <w:r>
        <w:rPr>
          <w:rFonts w:hint="eastAsia" w:ascii="宋体" w:hAnsi="宋体" w:cs="宋体"/>
          <w:bCs/>
          <w:color w:val="auto"/>
          <w:highlight w:val="none"/>
          <w:shd w:val="clear" w:color="auto" w:fill="FFFFFF"/>
          <w:lang w:val="zh-CN"/>
        </w:rPr>
        <w:t>供应商不得虚假质疑和恶意质疑，并对质疑内容的真实性承担责任。</w:t>
      </w:r>
      <w:r>
        <w:rPr>
          <w:rFonts w:hint="eastAsia" w:ascii="宋体" w:hAnsi="宋体" w:cs="宋体"/>
          <w:bCs/>
          <w:color w:val="auto"/>
          <w:highlight w:val="none"/>
          <w:shd w:val="clear" w:color="auto" w:fill="FFFFFF"/>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6BB59A0E">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25</w:t>
      </w:r>
      <w:r>
        <w:rPr>
          <w:rFonts w:hint="eastAsia" w:ascii="宋体" w:hAnsi="宋体" w:cs="宋体"/>
          <w:bCs/>
          <w:color w:val="auto"/>
          <w:highlight w:val="none"/>
          <w:shd w:val="clear" w:color="auto" w:fill="FFFFFF"/>
          <w:lang w:val="zh-CN"/>
        </w:rPr>
        <w:t>.4</w:t>
      </w:r>
      <w:r>
        <w:rPr>
          <w:rFonts w:hint="eastAsia" w:ascii="宋体" w:hAnsi="宋体" w:cs="宋体"/>
          <w:bCs/>
          <w:color w:val="auto"/>
          <w:highlight w:val="none"/>
          <w:shd w:val="clear" w:color="auto" w:fill="FFFFFF"/>
        </w:rPr>
        <w:t xml:space="preserve"> </w:t>
      </w:r>
      <w:r>
        <w:rPr>
          <w:rFonts w:hint="eastAsia" w:ascii="宋体" w:hAnsi="宋体" w:cs="宋体"/>
          <w:bCs/>
          <w:color w:val="auto"/>
          <w:highlight w:val="none"/>
          <w:shd w:val="clear" w:color="auto" w:fill="FFFFFF"/>
          <w:lang w:val="zh-CN"/>
        </w:rPr>
        <w:t>供应商不得虚假承诺，否则，按照提供虚假材料谋取成交处理。</w:t>
      </w:r>
    </w:p>
    <w:p w14:paraId="13BAD4A8">
      <w:pPr>
        <w:spacing w:line="360" w:lineRule="auto"/>
        <w:ind w:firstLine="420"/>
        <w:rPr>
          <w:rFonts w:ascii="宋体" w:hAnsi="宋体" w:cs="宋体"/>
          <w:bCs/>
          <w:color w:val="auto"/>
          <w:highlight w:val="none"/>
          <w:shd w:val="clear" w:color="auto" w:fill="FFFFFF"/>
          <w:lang w:val="zh-CN"/>
        </w:rPr>
      </w:pPr>
      <w:r>
        <w:rPr>
          <w:rFonts w:hint="eastAsia" w:ascii="宋体" w:hAnsi="宋体" w:cs="宋体"/>
          <w:bCs/>
          <w:color w:val="auto"/>
          <w:highlight w:val="none"/>
          <w:shd w:val="clear" w:color="auto" w:fill="FFFFFF"/>
        </w:rPr>
        <w:t>25</w:t>
      </w:r>
      <w:r>
        <w:rPr>
          <w:rFonts w:hint="eastAsia" w:ascii="宋体" w:hAnsi="宋体" w:cs="宋体"/>
          <w:bCs/>
          <w:color w:val="auto"/>
          <w:highlight w:val="none"/>
          <w:shd w:val="clear" w:color="auto" w:fill="FFFFFF"/>
          <w:lang w:val="zh-CN"/>
        </w:rPr>
        <w:t>.5</w:t>
      </w:r>
      <w:r>
        <w:rPr>
          <w:rFonts w:hint="eastAsia" w:ascii="宋体" w:hAnsi="宋体" w:cs="宋体"/>
          <w:bCs/>
          <w:color w:val="auto"/>
          <w:highlight w:val="none"/>
          <w:shd w:val="clear" w:color="auto" w:fill="FFFFFF"/>
        </w:rPr>
        <w:t xml:space="preserve"> </w:t>
      </w:r>
      <w:r>
        <w:rPr>
          <w:rFonts w:hint="eastAsia" w:ascii="宋体" w:hAnsi="宋体" w:cs="宋体"/>
          <w:bCs/>
          <w:color w:val="auto"/>
          <w:highlight w:val="none"/>
          <w:shd w:val="clear" w:color="auto" w:fill="FFFFFF"/>
          <w:lang w:val="zh-CN"/>
        </w:rPr>
        <w:t>供应商应自觉遵守磋商、评审纪律，扰乱磋商、评审现场秩序的，属于失信行为，根据《江苏省政府采购供应商监督管理暂行办法》，失信行为将被记入供应商诚信档案。</w:t>
      </w:r>
    </w:p>
    <w:p w14:paraId="5645ED21">
      <w:pPr>
        <w:spacing w:line="360" w:lineRule="auto"/>
        <w:ind w:firstLine="420"/>
        <w:rPr>
          <w:rFonts w:ascii="宋体" w:hAnsi="宋体" w:cs="宋体"/>
          <w:color w:val="auto"/>
          <w:highlight w:val="none"/>
          <w:lang w:val="zh-CN"/>
        </w:rPr>
      </w:pPr>
    </w:p>
    <w:p w14:paraId="470C5C1D">
      <w:pPr>
        <w:pStyle w:val="333"/>
        <w:ind w:right="45"/>
        <w:rPr>
          <w:rFonts w:eastAsia="宋体" w:cs="宋体"/>
          <w:b/>
          <w:bCs w:val="0"/>
          <w:color w:val="auto"/>
          <w:highlight w:val="none"/>
        </w:rPr>
      </w:pPr>
      <w:bookmarkStart w:id="80" w:name="_Toc535597871"/>
      <w:r>
        <w:rPr>
          <w:rFonts w:hint="eastAsia" w:eastAsia="宋体" w:cs="宋体"/>
          <w:color w:val="auto"/>
          <w:highlight w:val="none"/>
        </w:rPr>
        <w:br w:type="page" w:clear="all"/>
      </w:r>
      <w:bookmarkStart w:id="81" w:name="_Toc16609"/>
      <w:bookmarkStart w:id="82" w:name="_Toc9945"/>
      <w:r>
        <w:rPr>
          <w:rFonts w:hint="eastAsia" w:eastAsia="宋体" w:cs="宋体"/>
          <w:b/>
          <w:bCs w:val="0"/>
          <w:color w:val="auto"/>
          <w:highlight w:val="none"/>
        </w:rPr>
        <w:t>第三章</w:t>
      </w:r>
      <w:bookmarkStart w:id="83" w:name="_Toc503948574"/>
      <w:bookmarkStart w:id="84" w:name="_Toc503948067"/>
      <w:r>
        <w:rPr>
          <w:rFonts w:hint="eastAsia" w:eastAsia="宋体" w:cs="宋体"/>
          <w:b/>
          <w:bCs w:val="0"/>
          <w:color w:val="auto"/>
          <w:highlight w:val="none"/>
          <w:lang w:val="en-US"/>
        </w:rPr>
        <w:t xml:space="preserve"> </w:t>
      </w:r>
      <w:r>
        <w:rPr>
          <w:rFonts w:hint="eastAsia" w:eastAsia="宋体" w:cs="宋体"/>
          <w:b/>
          <w:bCs w:val="0"/>
          <w:color w:val="auto"/>
          <w:highlight w:val="none"/>
        </w:rPr>
        <w:t>磋商评审标准</w:t>
      </w:r>
      <w:bookmarkEnd w:id="80"/>
      <w:bookmarkEnd w:id="81"/>
      <w:bookmarkEnd w:id="82"/>
      <w:bookmarkEnd w:id="83"/>
      <w:bookmarkEnd w:id="84"/>
    </w:p>
    <w:p w14:paraId="4B8CD2AF">
      <w:pPr>
        <w:spacing w:line="360" w:lineRule="auto"/>
        <w:ind w:firstLine="420" w:firstLineChars="200"/>
        <w:rPr>
          <w:rFonts w:ascii="宋体" w:hAnsi="宋体" w:cs="宋体"/>
          <w:bCs/>
          <w:color w:val="auto"/>
          <w:highlight w:val="none"/>
          <w:shd w:val="clear" w:color="auto" w:fill="FFFFFF"/>
        </w:rPr>
      </w:pPr>
      <w:bookmarkStart w:id="85" w:name="_Toc400722722"/>
      <w:bookmarkStart w:id="86" w:name="_Toc503948575"/>
      <w:bookmarkStart w:id="87" w:name="_Toc535597872"/>
      <w:bookmarkStart w:id="88" w:name="_Toc503948068"/>
      <w:bookmarkStart w:id="89" w:name="_Toc402966376"/>
      <w:r>
        <w:rPr>
          <w:rFonts w:hint="eastAsia" w:ascii="宋体" w:hAnsi="宋体" w:cs="宋体"/>
          <w:bCs/>
          <w:color w:val="auto"/>
          <w:highlight w:val="none"/>
          <w:shd w:val="clear" w:color="auto" w:fill="FFFFFF"/>
        </w:rPr>
        <w:t>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32"/>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550"/>
        <w:gridCol w:w="6108"/>
        <w:gridCol w:w="800"/>
      </w:tblGrid>
      <w:tr w14:paraId="0FB42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blHeader/>
          <w:jc w:val="center"/>
        </w:trPr>
        <w:tc>
          <w:tcPr>
            <w:tcW w:w="708" w:type="dxa"/>
            <w:noWrap/>
            <w:vAlign w:val="center"/>
          </w:tcPr>
          <w:p w14:paraId="418A809E">
            <w:pPr>
              <w:tabs>
                <w:tab w:val="left" w:pos="1440"/>
              </w:tabs>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550" w:type="dxa"/>
            <w:noWrap/>
            <w:vAlign w:val="center"/>
          </w:tcPr>
          <w:p w14:paraId="5CEA082E">
            <w:pPr>
              <w:tabs>
                <w:tab w:val="left" w:pos="1440"/>
              </w:tabs>
              <w:jc w:val="center"/>
              <w:rPr>
                <w:rFonts w:ascii="宋体" w:hAnsi="宋体" w:cs="宋体"/>
                <w:b/>
                <w:bCs/>
                <w:color w:val="auto"/>
                <w:szCs w:val="21"/>
                <w:highlight w:val="none"/>
              </w:rPr>
            </w:pPr>
            <w:r>
              <w:rPr>
                <w:rFonts w:hint="eastAsia" w:ascii="宋体" w:hAnsi="宋体" w:cs="宋体"/>
                <w:b/>
                <w:bCs/>
                <w:color w:val="auto"/>
                <w:szCs w:val="21"/>
                <w:highlight w:val="none"/>
              </w:rPr>
              <w:t>评分因素</w:t>
            </w:r>
          </w:p>
        </w:tc>
        <w:tc>
          <w:tcPr>
            <w:tcW w:w="6108" w:type="dxa"/>
            <w:noWrap/>
            <w:vAlign w:val="center"/>
          </w:tcPr>
          <w:p w14:paraId="25032651">
            <w:pPr>
              <w:tabs>
                <w:tab w:val="left" w:pos="1440"/>
              </w:tabs>
              <w:jc w:val="center"/>
              <w:rPr>
                <w:rFonts w:ascii="宋体" w:hAnsi="宋体" w:cs="宋体"/>
                <w:b/>
                <w:bCs/>
                <w:color w:val="auto"/>
                <w:szCs w:val="21"/>
                <w:highlight w:val="none"/>
              </w:rPr>
            </w:pPr>
            <w:r>
              <w:rPr>
                <w:rFonts w:hint="eastAsia" w:ascii="宋体" w:hAnsi="宋体" w:cs="宋体"/>
                <w:b/>
                <w:bCs/>
                <w:color w:val="auto"/>
                <w:szCs w:val="21"/>
                <w:highlight w:val="none"/>
              </w:rPr>
              <w:t>评审标准</w:t>
            </w:r>
          </w:p>
        </w:tc>
        <w:tc>
          <w:tcPr>
            <w:tcW w:w="800" w:type="dxa"/>
            <w:noWrap/>
            <w:vAlign w:val="center"/>
          </w:tcPr>
          <w:p w14:paraId="2ECDA4DA">
            <w:pPr>
              <w:widowControl/>
              <w:jc w:val="center"/>
              <w:rPr>
                <w:rFonts w:ascii="宋体" w:hAnsi="宋体" w:cs="宋体"/>
                <w:b/>
                <w:bCs/>
                <w:color w:val="auto"/>
                <w:szCs w:val="21"/>
                <w:highlight w:val="none"/>
              </w:rPr>
            </w:pPr>
            <w:r>
              <w:rPr>
                <w:rFonts w:hint="eastAsia" w:ascii="宋体" w:hAnsi="宋体" w:cs="宋体"/>
                <w:b/>
                <w:bCs/>
                <w:color w:val="auto"/>
                <w:szCs w:val="21"/>
                <w:highlight w:val="none"/>
              </w:rPr>
              <w:t>分值</w:t>
            </w:r>
          </w:p>
        </w:tc>
      </w:tr>
      <w:tr w14:paraId="19F7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jc w:val="center"/>
        </w:trPr>
        <w:tc>
          <w:tcPr>
            <w:tcW w:w="708" w:type="dxa"/>
            <w:noWrap/>
            <w:vAlign w:val="center"/>
          </w:tcPr>
          <w:p w14:paraId="1108200F">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1</w:t>
            </w:r>
          </w:p>
        </w:tc>
        <w:tc>
          <w:tcPr>
            <w:tcW w:w="1550" w:type="dxa"/>
            <w:noWrap/>
            <w:vAlign w:val="center"/>
          </w:tcPr>
          <w:p w14:paraId="6B640221">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价格</w:t>
            </w:r>
          </w:p>
        </w:tc>
        <w:tc>
          <w:tcPr>
            <w:tcW w:w="6108" w:type="dxa"/>
            <w:noWrap/>
            <w:vAlign w:val="center"/>
          </w:tcPr>
          <w:p w14:paraId="2A4CA9A7">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采用低价优先法计算，即满足磋商文件要求且最后报价最低的供应商的价格为磋商基准价，其价格分为满分，其他供应商的价格分统一按照下列公式计算：磋商报价得分=(评标基准价/磋商报价)×70（小数点后保留两位）；</w:t>
            </w:r>
          </w:p>
          <w:p w14:paraId="79716DDA">
            <w:pPr>
              <w:tabs>
                <w:tab w:val="left" w:pos="1440"/>
              </w:tabs>
              <w:spacing w:line="360" w:lineRule="auto"/>
              <w:jc w:val="left"/>
              <w:rPr>
                <w:rFonts w:ascii="宋体" w:hAnsi="宋体" w:cs="宋体"/>
                <w:color w:val="auto"/>
                <w:highlight w:val="none"/>
              </w:rPr>
            </w:pPr>
            <w:r>
              <w:rPr>
                <w:rFonts w:hint="eastAsia" w:ascii="宋体" w:hAnsi="宋体" w:cs="宋体"/>
                <w:b/>
                <w:bCs/>
                <w:color w:val="auto"/>
                <w:szCs w:val="21"/>
                <w:highlight w:val="none"/>
              </w:rPr>
              <w:t>本项目执行财库〔2026〕2号《关于推动解决政府采购异常低价问题相关工作的通知》的相关规定，具体详见第二章20.5要求。</w:t>
            </w:r>
          </w:p>
        </w:tc>
        <w:tc>
          <w:tcPr>
            <w:tcW w:w="800" w:type="dxa"/>
            <w:noWrap/>
            <w:vAlign w:val="center"/>
          </w:tcPr>
          <w:p w14:paraId="1791AAFA">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70分</w:t>
            </w:r>
          </w:p>
        </w:tc>
      </w:tr>
      <w:tr w14:paraId="4557A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7" w:hRule="atLeast"/>
          <w:jc w:val="center"/>
        </w:trPr>
        <w:tc>
          <w:tcPr>
            <w:tcW w:w="708" w:type="dxa"/>
            <w:noWrap/>
            <w:vAlign w:val="center"/>
          </w:tcPr>
          <w:p w14:paraId="18AFDF5E">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2</w:t>
            </w:r>
          </w:p>
        </w:tc>
        <w:tc>
          <w:tcPr>
            <w:tcW w:w="1550" w:type="dxa"/>
            <w:noWrap/>
            <w:vAlign w:val="center"/>
          </w:tcPr>
          <w:p w14:paraId="4A2EF467">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企业业绩</w:t>
            </w:r>
          </w:p>
        </w:tc>
        <w:tc>
          <w:tcPr>
            <w:tcW w:w="6108" w:type="dxa"/>
            <w:noWrap/>
            <w:vAlign w:val="center"/>
          </w:tcPr>
          <w:p w14:paraId="3D2C9451">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自2021年8月1日（含）以来供应商承担过类似（道路工程）的市政业绩，有一个得2.5分，最高得10分。（提供中标通知书、业绩合同、竣工验收证明、对应合同的发票（若有多次付款，提供任意一次发票即可，发票另需提供通过国家税务总局全国增值税发票查验平台（https://inv-veri.chinatax.gov.cn/）验证情况的截图或网页打印件并加盖投标人公章；评标委员会在评审过程中，将进行核验。），四者缺一不可，日期以竣工验收证明日期为准，以上提供的证明材料必须能充分反映相关数据和内容，否则视为未提供。）。中标后需提供原件核查，若提供不了则按弄虚作假处理）。</w:t>
            </w:r>
          </w:p>
        </w:tc>
        <w:tc>
          <w:tcPr>
            <w:tcW w:w="800" w:type="dxa"/>
            <w:noWrap/>
            <w:vAlign w:val="center"/>
          </w:tcPr>
          <w:p w14:paraId="4168997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10分</w:t>
            </w:r>
          </w:p>
        </w:tc>
      </w:tr>
      <w:tr w14:paraId="48898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549B1427">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3</w:t>
            </w:r>
          </w:p>
        </w:tc>
        <w:tc>
          <w:tcPr>
            <w:tcW w:w="1550" w:type="dxa"/>
            <w:noWrap/>
            <w:vAlign w:val="center"/>
          </w:tcPr>
          <w:p w14:paraId="0EF84012">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项目负责人及技术负责人</w:t>
            </w:r>
          </w:p>
        </w:tc>
        <w:tc>
          <w:tcPr>
            <w:tcW w:w="6108" w:type="dxa"/>
            <w:noWrap/>
            <w:vAlign w:val="center"/>
          </w:tcPr>
          <w:p w14:paraId="33D69056">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供应商拟投入本项目组成员应包括：</w:t>
            </w:r>
          </w:p>
          <w:p w14:paraId="554FFC93">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1）项目负责人：具备中级及以上职称的得1分。（提供有效期内的证书扫描件加盖电子公章上传至投标文件）</w:t>
            </w:r>
          </w:p>
          <w:p w14:paraId="36355CB3">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2）技术负责人：具备中级及以上职称的得1分。（提供有效期内的证书扫描件加盖电子公章上传至投标文件）</w:t>
            </w:r>
          </w:p>
          <w:p w14:paraId="2F8B58B4">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以上成员不重复计分，以上人员要求在响应文件中证明材料。提供项目组人员须与供应商签订的有效劳动合同及社保机构出具的近三个月内（2026年5月-2026年7月）任意一个月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电子公章上传至投标文件。</w:t>
            </w:r>
          </w:p>
        </w:tc>
        <w:tc>
          <w:tcPr>
            <w:tcW w:w="800" w:type="dxa"/>
            <w:noWrap/>
            <w:vAlign w:val="center"/>
          </w:tcPr>
          <w:p w14:paraId="3F45AB0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2分</w:t>
            </w:r>
          </w:p>
        </w:tc>
      </w:tr>
      <w:tr w14:paraId="6FC45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7FDFFC65">
            <w:pPr>
              <w:jc w:val="center"/>
              <w:rPr>
                <w:rFonts w:ascii="宋体" w:hAnsi="宋体" w:cs="宋体"/>
                <w:b/>
                <w:bCs/>
                <w:color w:val="auto"/>
                <w:szCs w:val="21"/>
                <w:highlight w:val="none"/>
              </w:rPr>
            </w:pPr>
            <w:r>
              <w:rPr>
                <w:rFonts w:hint="eastAsia" w:ascii="宋体" w:hAnsi="宋体" w:cs="宋体"/>
                <w:b/>
                <w:bCs/>
                <w:color w:val="auto"/>
                <w:szCs w:val="21"/>
                <w:highlight w:val="none"/>
              </w:rPr>
              <w:t>4</w:t>
            </w:r>
          </w:p>
        </w:tc>
        <w:tc>
          <w:tcPr>
            <w:tcW w:w="1550" w:type="dxa"/>
            <w:noWrap/>
            <w:vAlign w:val="center"/>
          </w:tcPr>
          <w:p w14:paraId="5D0874C1">
            <w:pPr>
              <w:jc w:val="center"/>
              <w:rPr>
                <w:rFonts w:ascii="宋体" w:hAnsi="宋体" w:cs="宋体"/>
                <w:b/>
                <w:bCs/>
                <w:color w:val="auto"/>
                <w:szCs w:val="21"/>
                <w:highlight w:val="none"/>
              </w:rPr>
            </w:pPr>
            <w:r>
              <w:rPr>
                <w:rFonts w:hint="eastAsia" w:ascii="宋体" w:hAnsi="宋体" w:cs="宋体"/>
                <w:b/>
                <w:bCs/>
                <w:color w:val="auto"/>
                <w:szCs w:val="21"/>
                <w:highlight w:val="none"/>
              </w:rPr>
              <w:t>项目其他人员</w:t>
            </w:r>
          </w:p>
        </w:tc>
        <w:tc>
          <w:tcPr>
            <w:tcW w:w="6108" w:type="dxa"/>
            <w:noWrap/>
            <w:vAlign w:val="center"/>
          </w:tcPr>
          <w:p w14:paraId="788AF566">
            <w:pPr>
              <w:tabs>
                <w:tab w:val="left" w:pos="1440"/>
              </w:tabs>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rPr>
              <w:t>拟投入项目组成员（不含项目负责人、技术负责人）：具有</w:t>
            </w:r>
            <w:r>
              <w:rPr>
                <w:rFonts w:hint="eastAsia" w:ascii="宋体" w:hAnsi="宋体" w:cs="宋体"/>
                <w:color w:val="auto"/>
                <w:szCs w:val="21"/>
                <w:highlight w:val="none"/>
                <w:lang w:val="zh-CN"/>
              </w:rPr>
              <w:t>施工员、质量员、</w:t>
            </w:r>
            <w:r>
              <w:rPr>
                <w:rFonts w:hint="eastAsia" w:ascii="宋体" w:hAnsi="宋体" w:cs="宋体"/>
                <w:color w:val="auto"/>
                <w:szCs w:val="21"/>
                <w:highlight w:val="none"/>
              </w:rPr>
              <w:t>资料员、材料员、造价员（</w:t>
            </w:r>
            <w:r>
              <w:rPr>
                <w:rFonts w:hint="eastAsia" w:ascii="宋体" w:hAnsi="宋体" w:cs="宋体"/>
                <w:color w:val="auto"/>
                <w:szCs w:val="21"/>
                <w:highlight w:val="none"/>
                <w:lang w:val="zh-CN"/>
              </w:rPr>
              <w:t>二级及以上注册造价工程师</w:t>
            </w:r>
            <w:r>
              <w:rPr>
                <w:rFonts w:hint="eastAsia" w:ascii="宋体" w:hAnsi="宋体" w:cs="宋体"/>
                <w:color w:val="auto"/>
                <w:szCs w:val="21"/>
                <w:highlight w:val="none"/>
              </w:rPr>
              <w:t>证书）、</w:t>
            </w:r>
            <w:r>
              <w:rPr>
                <w:rFonts w:hint="eastAsia" w:ascii="宋体" w:hAnsi="宋体" w:cs="宋体"/>
                <w:color w:val="auto"/>
                <w:szCs w:val="21"/>
                <w:highlight w:val="none"/>
                <w:lang w:val="zh-CN"/>
              </w:rPr>
              <w:t>安全员（行政主管部门颁发的安全生产考核合格</w:t>
            </w:r>
            <w:r>
              <w:rPr>
                <w:rFonts w:hint="eastAsia" w:ascii="宋体" w:hAnsi="宋体" w:cs="宋体"/>
                <w:color w:val="auto"/>
                <w:szCs w:val="21"/>
                <w:highlight w:val="none"/>
              </w:rPr>
              <w:t>C类</w:t>
            </w:r>
            <w:r>
              <w:rPr>
                <w:rFonts w:hint="eastAsia" w:ascii="宋体" w:hAnsi="宋体" w:cs="宋体"/>
                <w:color w:val="auto"/>
                <w:szCs w:val="21"/>
                <w:highlight w:val="none"/>
                <w:lang w:val="zh-CN"/>
              </w:rPr>
              <w:t>证书）</w:t>
            </w:r>
            <w:r>
              <w:rPr>
                <w:rFonts w:hint="eastAsia" w:ascii="宋体" w:hAnsi="宋体" w:cs="宋体"/>
                <w:color w:val="auto"/>
                <w:szCs w:val="21"/>
                <w:highlight w:val="none"/>
              </w:rPr>
              <w:t>、建筑电工、建筑焊工，全部满足得4分，不满足不得分</w:t>
            </w:r>
            <w:r>
              <w:rPr>
                <w:rFonts w:hint="eastAsia" w:ascii="宋体" w:hAnsi="宋体" w:cs="宋体"/>
                <w:color w:val="auto"/>
                <w:szCs w:val="21"/>
                <w:highlight w:val="none"/>
                <w:lang w:val="zh-CN"/>
              </w:rPr>
              <w:t>。</w:t>
            </w:r>
          </w:p>
          <w:p w14:paraId="599EFA78">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以上成员不重复计分，以上人员要求在响应文件中提供相关岗位证书、职称证书。提供项目组人员须与供应商签订的有效劳动合同及社保机构出具的近三个月内（2026年5月-2026年7月）任意一个月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电子公章上传至投标文件。</w:t>
            </w:r>
          </w:p>
        </w:tc>
        <w:tc>
          <w:tcPr>
            <w:tcW w:w="800" w:type="dxa"/>
            <w:noWrap/>
            <w:vAlign w:val="center"/>
          </w:tcPr>
          <w:p w14:paraId="2603FC7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4分</w:t>
            </w:r>
          </w:p>
        </w:tc>
      </w:tr>
      <w:tr w14:paraId="401F1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32B1F8A6">
            <w:pP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5</w:t>
            </w:r>
          </w:p>
        </w:tc>
        <w:tc>
          <w:tcPr>
            <w:tcW w:w="1550" w:type="dxa"/>
            <w:noWrap/>
            <w:vAlign w:val="center"/>
          </w:tcPr>
          <w:p w14:paraId="3E863D47">
            <w:pPr>
              <w:tabs>
                <w:tab w:val="left" w:pos="144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设备</w:t>
            </w:r>
          </w:p>
        </w:tc>
        <w:tc>
          <w:tcPr>
            <w:tcW w:w="6108" w:type="dxa"/>
            <w:noWrap/>
          </w:tcPr>
          <w:p w14:paraId="55DED38B">
            <w:pPr>
              <w:tabs>
                <w:tab w:val="left" w:pos="1440"/>
              </w:tabs>
              <w:spacing w:line="360" w:lineRule="auto"/>
              <w:jc w:val="left"/>
              <w:rPr>
                <w:rFonts w:ascii="宋体" w:hAnsi="宋体" w:cs="宋体"/>
                <w:color w:val="auto"/>
                <w:szCs w:val="21"/>
                <w:highlight w:val="none"/>
              </w:rPr>
            </w:pPr>
            <w:r>
              <w:rPr>
                <w:rFonts w:hint="eastAsia" w:ascii="宋体" w:hAnsi="宋体" w:cs="宋体"/>
                <w:color w:val="auto"/>
                <w:szCs w:val="21"/>
                <w:highlight w:val="none"/>
              </w:rPr>
              <w:t>供应商具有挖掘机1台、推土机1台、压路机2台、洒水车1辆、货车1辆、发电机2台、叉车1辆。以上7项设备2分/项，满分14分（自有设备须提供购买发票，租赁设备须提供有效的设备租赁合同（租赁合同的期限应覆盖项目服务期周期）及对应的租赁发票，以上扫描件加盖公章上传至投标文件。）中标后需提供原件核查，若提供不了则按弄虚作假处理。</w:t>
            </w:r>
          </w:p>
        </w:tc>
        <w:tc>
          <w:tcPr>
            <w:tcW w:w="800" w:type="dxa"/>
            <w:noWrap/>
            <w:vAlign w:val="center"/>
          </w:tcPr>
          <w:p w14:paraId="4D36385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14分</w:t>
            </w:r>
          </w:p>
        </w:tc>
      </w:tr>
      <w:tr w14:paraId="60A9D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25F4BA6B">
            <w:pP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6</w:t>
            </w:r>
          </w:p>
        </w:tc>
        <w:tc>
          <w:tcPr>
            <w:tcW w:w="1550" w:type="dxa"/>
            <w:shd w:val="clear" w:color="auto" w:fill="auto"/>
            <w:noWrap/>
            <w:vAlign w:val="center"/>
          </w:tcPr>
          <w:p w14:paraId="7CDEAA0E">
            <w:pP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合计</w:t>
            </w:r>
          </w:p>
        </w:tc>
        <w:tc>
          <w:tcPr>
            <w:tcW w:w="6108" w:type="dxa"/>
            <w:shd w:val="clear" w:color="auto" w:fill="auto"/>
            <w:noWrap/>
          </w:tcPr>
          <w:p w14:paraId="59E70265">
            <w:pPr>
              <w:spacing w:line="360" w:lineRule="auto"/>
              <w:rPr>
                <w:rFonts w:ascii="宋体" w:hAnsi="宋体" w:cs="宋体"/>
                <w:color w:val="auto"/>
                <w:szCs w:val="21"/>
                <w:highlight w:val="none"/>
              </w:rPr>
            </w:pPr>
          </w:p>
        </w:tc>
        <w:tc>
          <w:tcPr>
            <w:tcW w:w="800" w:type="dxa"/>
            <w:shd w:val="clear" w:color="auto" w:fill="auto"/>
            <w:noWrap/>
            <w:vAlign w:val="center"/>
          </w:tcPr>
          <w:p w14:paraId="2A9338E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100分</w:t>
            </w:r>
          </w:p>
        </w:tc>
      </w:tr>
    </w:tbl>
    <w:p w14:paraId="7C75A36D">
      <w:pPr>
        <w:rPr>
          <w:rFonts w:ascii="宋体" w:hAnsi="宋体" w:cs="宋体"/>
          <w:b/>
          <w:color w:val="auto"/>
          <w:highlight w:val="none"/>
        </w:rPr>
      </w:pPr>
      <w:r>
        <w:rPr>
          <w:rFonts w:hint="eastAsia" w:ascii="宋体" w:hAnsi="宋体" w:cs="宋体"/>
          <w:b/>
          <w:color w:val="auto"/>
          <w:highlight w:val="none"/>
        </w:rPr>
        <w:t>说明：</w:t>
      </w:r>
    </w:p>
    <w:p w14:paraId="1DA285E7">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790A418A">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2、政策功能：</w:t>
      </w:r>
    </w:p>
    <w:p w14:paraId="7E039271">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2.1 本项目专门面向中小企业采购，供应商应为中小微企业单位。</w:t>
      </w:r>
    </w:p>
    <w:p w14:paraId="2ADC8C39">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2.2 小企业（含小型、微型企业）应当符合以下条件：</w:t>
      </w:r>
    </w:p>
    <w:p w14:paraId="34A64EC5">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1E090F00">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（2）提供本企业制造的货物、承担的工程或者服务，或者提供其他小企业制造的货物。如果提供的货物为大中型企业注册商标的货物，视同大中型企业。</w:t>
      </w:r>
    </w:p>
    <w:p w14:paraId="5A2A8651">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（3）在货物采购项目中，供应商提供的货物既有中小企业制造货物，也有大型企业制造货物的，不享受本办法规定的中小企业扶持政策。</w:t>
      </w:r>
    </w:p>
    <w:p w14:paraId="796E4373">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（4）以联合体形式参加政府采购活动，联合体各方均为中小企业的，联合体视同中小企业。其中，联合体各方均为小微企业的，联合体视同小微企业。</w:t>
      </w:r>
    </w:p>
    <w:p w14:paraId="42B6CA30">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 xml:space="preserve">2.3 监狱和戒毒企业   </w:t>
      </w:r>
    </w:p>
    <w:p w14:paraId="444E2CAF">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监狱企业需提供由省级以上监狱管理局、戒毒管理局（含新疆生产建设兵团）出具的属于监狱企业的证明文件。监狱企业标准请参照《关于政府采购支持监狱企业发展有关问题的通知》（财库[2014]68 号）。</w:t>
      </w:r>
    </w:p>
    <w:p w14:paraId="47FF7D46">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 xml:space="preserve">2.4 残疾人福利性单位 </w:t>
      </w:r>
    </w:p>
    <w:p w14:paraId="330B2D27">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残疾人福利单位需按照采购文件的要求提供《残疾人福利性单位声明函》。 残疾人福利单位标准请参照《关于促进残疾人就业政府采购政策的通知》（财库〔2017〕141 号）。</w:t>
      </w:r>
    </w:p>
    <w:p w14:paraId="1F114905">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2.5 监狱企业、残疾人福利单位属于小型、微型企业的，不重复享受政策。</w:t>
      </w:r>
    </w:p>
    <w:p w14:paraId="52979BCB">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2.6 价格扣除</w:t>
      </w:r>
    </w:p>
    <w:p w14:paraId="0DA42BBC">
      <w:pPr>
        <w:spacing w:line="360" w:lineRule="auto"/>
        <w:ind w:firstLine="415"/>
        <w:rPr>
          <w:rFonts w:ascii="宋体" w:hAnsi="宋体" w:cs="宋体"/>
          <w:color w:val="auto"/>
          <w:szCs w:val="21"/>
          <w:highlight w:val="none"/>
        </w:rPr>
      </w:pPr>
      <w:r>
        <w:rPr>
          <w:rFonts w:hint="eastAsia" w:ascii="宋体" w:hAnsi="宋体" w:cs="宋体"/>
          <w:color w:val="auto"/>
          <w:szCs w:val="21"/>
          <w:highlight w:val="none"/>
        </w:rPr>
        <w:t>2.6.1 对国家认定的节能产品和环保产品分别给予投标价的5%价格扣除，用扣除后的价格参与评审。</w:t>
      </w:r>
    </w:p>
    <w:p w14:paraId="48BFB414">
      <w:pPr>
        <w:spacing w:line="360" w:lineRule="auto"/>
        <w:ind w:firstLine="415"/>
        <w:rPr>
          <w:rFonts w:ascii="宋体" w:hAnsi="宋体" w:cs="宋体"/>
          <w:color w:val="auto"/>
          <w:szCs w:val="21"/>
          <w:highlight w:val="none"/>
          <w:lang w:val="zh-CN"/>
        </w:rPr>
      </w:pPr>
      <w:r>
        <w:rPr>
          <w:rFonts w:hint="eastAsia" w:ascii="宋体" w:hAnsi="宋体" w:cs="宋体"/>
          <w:color w:val="auto"/>
          <w:szCs w:val="21"/>
          <w:highlight w:val="none"/>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2D47D5DC">
      <w:pPr>
        <w:pStyle w:val="219"/>
        <w:spacing w:line="360" w:lineRule="auto"/>
        <w:ind w:firstLine="0"/>
        <w:rPr>
          <w:rFonts w:cs="宋体"/>
          <w:color w:val="auto"/>
          <w:highlight w:val="none"/>
        </w:rPr>
      </w:pPr>
    </w:p>
    <w:p w14:paraId="319B4C20">
      <w:pPr>
        <w:pStyle w:val="333"/>
        <w:ind w:right="45"/>
        <w:rPr>
          <w:rFonts w:eastAsia="宋体" w:cs="宋体"/>
          <w:b/>
          <w:bCs w:val="0"/>
          <w:color w:val="auto"/>
          <w:highlight w:val="none"/>
          <w:lang w:val="en-US"/>
        </w:rPr>
      </w:pPr>
      <w:r>
        <w:rPr>
          <w:rFonts w:hint="eastAsia" w:eastAsia="宋体" w:cs="宋体"/>
          <w:color w:val="auto"/>
          <w:highlight w:val="none"/>
        </w:rPr>
        <w:br w:type="page" w:clear="all"/>
      </w:r>
      <w:bookmarkStart w:id="90" w:name="_Toc15278"/>
      <w:bookmarkStart w:id="91" w:name="_Toc9452"/>
      <w:r>
        <w:rPr>
          <w:rFonts w:hint="eastAsia" w:eastAsia="宋体" w:cs="宋体"/>
          <w:b/>
          <w:bCs w:val="0"/>
          <w:color w:val="auto"/>
          <w:highlight w:val="none"/>
        </w:rPr>
        <w:t>第四章</w:t>
      </w:r>
      <w:r>
        <w:rPr>
          <w:rFonts w:hint="eastAsia" w:eastAsia="宋体" w:cs="宋体"/>
          <w:b/>
          <w:bCs w:val="0"/>
          <w:color w:val="auto"/>
          <w:highlight w:val="none"/>
          <w:lang w:val="en-US"/>
        </w:rPr>
        <w:t xml:space="preserve"> </w:t>
      </w:r>
      <w:r>
        <w:rPr>
          <w:rFonts w:hint="eastAsia" w:eastAsia="宋体" w:cs="宋体"/>
          <w:b/>
          <w:bCs w:val="0"/>
          <w:color w:val="auto"/>
          <w:highlight w:val="none"/>
        </w:rPr>
        <w:t>采购项目</w:t>
      </w:r>
      <w:bookmarkEnd w:id="85"/>
      <w:bookmarkEnd w:id="86"/>
      <w:bookmarkEnd w:id="87"/>
      <w:bookmarkEnd w:id="88"/>
      <w:bookmarkEnd w:id="89"/>
      <w:bookmarkEnd w:id="90"/>
      <w:bookmarkStart w:id="92" w:name="_Toc479949480"/>
      <w:bookmarkStart w:id="93" w:name="_Toc497829346"/>
      <w:bookmarkStart w:id="94" w:name="_Toc503948071"/>
      <w:bookmarkStart w:id="95" w:name="_Toc503948578"/>
      <w:r>
        <w:rPr>
          <w:rFonts w:hint="eastAsia" w:eastAsia="宋体" w:cs="宋体"/>
          <w:b/>
          <w:bCs w:val="0"/>
          <w:color w:val="auto"/>
          <w:highlight w:val="none"/>
          <w:lang w:val="en-US"/>
        </w:rPr>
        <w:t>需求</w:t>
      </w:r>
      <w:bookmarkEnd w:id="91"/>
    </w:p>
    <w:p w14:paraId="5012B59D">
      <w:pPr>
        <w:pStyle w:val="395"/>
        <w:spacing w:before="0" w:after="0" w:line="360" w:lineRule="auto"/>
        <w:ind w:left="0" w:firstLine="0"/>
        <w:rPr>
          <w:rFonts w:ascii="宋体" w:hAnsi="宋体" w:eastAsia="宋体" w:cs="宋体"/>
          <w:b/>
          <w:bCs/>
          <w:color w:val="auto"/>
          <w:sz w:val="22"/>
          <w:szCs w:val="21"/>
          <w:highlight w:val="none"/>
          <w:lang w:val="en-US"/>
        </w:rPr>
      </w:pPr>
      <w:bookmarkStart w:id="96" w:name="_Toc7683"/>
      <w:bookmarkStart w:id="97" w:name="_Toc19835"/>
      <w:bookmarkStart w:id="98" w:name="_Toc21780"/>
      <w:bookmarkStart w:id="99" w:name="_Toc9243"/>
      <w:bookmarkStart w:id="100" w:name="_Toc22440"/>
      <w:bookmarkStart w:id="101" w:name="_Toc10908"/>
      <w:r>
        <w:rPr>
          <w:rFonts w:hint="eastAsia" w:ascii="宋体" w:hAnsi="宋体" w:eastAsia="宋体" w:cs="宋体"/>
          <w:b/>
          <w:bCs/>
          <w:color w:val="auto"/>
          <w:sz w:val="22"/>
          <w:szCs w:val="21"/>
          <w:highlight w:val="none"/>
          <w:lang w:val="en-US"/>
        </w:rPr>
        <w:t>一、项目概况</w:t>
      </w:r>
      <w:bookmarkEnd w:id="96"/>
      <w:bookmarkEnd w:id="97"/>
      <w:bookmarkEnd w:id="98"/>
      <w:bookmarkEnd w:id="99"/>
      <w:bookmarkEnd w:id="100"/>
      <w:bookmarkEnd w:id="101"/>
    </w:p>
    <w:p w14:paraId="17051396">
      <w:pPr>
        <w:spacing w:line="360" w:lineRule="auto"/>
        <w:ind w:firstLine="420"/>
        <w:rPr>
          <w:rFonts w:ascii="宋体" w:hAnsi="宋体" w:cs="宋体"/>
          <w:color w:val="auto"/>
          <w:highlight w:val="none"/>
        </w:rPr>
      </w:pPr>
      <w:r>
        <w:rPr>
          <w:rFonts w:hint="eastAsia" w:ascii="宋体" w:hAnsi="宋体" w:cs="宋体"/>
          <w:color w:val="auto"/>
          <w:szCs w:val="21"/>
          <w:highlight w:val="none"/>
        </w:rPr>
        <w:t>1.项目名称：</w:t>
      </w:r>
      <w:r>
        <w:rPr>
          <w:rFonts w:hint="eastAsia" w:ascii="宋体" w:hAnsi="宋体" w:cs="宋体"/>
          <w:color w:val="auto"/>
          <w:highlight w:val="none"/>
        </w:rPr>
        <w:t>汤山街道上窑湾引水上山工程</w:t>
      </w:r>
    </w:p>
    <w:p w14:paraId="79D30A1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2.项目内容：本工程的主要内容包括：自来水管道、沥青混凝土道路、泵房改造等工程，</w:t>
      </w:r>
      <w:r>
        <w:rPr>
          <w:rFonts w:hint="eastAsia" w:ascii="宋体" w:hAnsi="宋体" w:cs="宋体"/>
          <w:color w:val="auto"/>
          <w:szCs w:val="21"/>
          <w:highlight w:val="none"/>
          <w:shd w:val="clear" w:color="auto" w:fill="FFFFFF"/>
          <w:lang w:bidi="ar"/>
        </w:rPr>
        <w:t>详见工程量清单</w:t>
      </w:r>
    </w:p>
    <w:p w14:paraId="1C53349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3.合同履行期限：6</w:t>
      </w:r>
      <w:r>
        <w:rPr>
          <w:rFonts w:ascii="宋体" w:hAnsi="宋体" w:cs="宋体"/>
          <w:color w:val="auto"/>
          <w:szCs w:val="21"/>
          <w:highlight w:val="none"/>
        </w:rPr>
        <w:t>0</w:t>
      </w:r>
      <w:r>
        <w:rPr>
          <w:rFonts w:hint="eastAsia" w:ascii="宋体" w:hAnsi="宋体" w:cs="宋体"/>
          <w:color w:val="auto"/>
          <w:szCs w:val="21"/>
          <w:highlight w:val="none"/>
        </w:rPr>
        <w:t>日历天</w:t>
      </w:r>
    </w:p>
    <w:p w14:paraId="5A01ED0C">
      <w:pPr>
        <w:pStyle w:val="252"/>
        <w:spacing w:line="360" w:lineRule="auto"/>
        <w:rPr>
          <w:rFonts w:ascii="宋体" w:hAnsi="宋体" w:cs="宋体"/>
          <w:color w:val="auto"/>
          <w:szCs w:val="21"/>
          <w:highlight w:val="none"/>
        </w:rPr>
      </w:pPr>
      <w:r>
        <w:rPr>
          <w:rFonts w:hint="eastAsia" w:ascii="宋体" w:hAnsi="宋体" w:cs="宋体"/>
          <w:color w:val="auto"/>
          <w:szCs w:val="21"/>
          <w:highlight w:val="none"/>
        </w:rPr>
        <w:t>4.预算金额：105万元  </w:t>
      </w:r>
    </w:p>
    <w:p w14:paraId="3541F048">
      <w:pPr>
        <w:pStyle w:val="252"/>
        <w:spacing w:line="360" w:lineRule="auto"/>
        <w:rPr>
          <w:rFonts w:ascii="宋体" w:hAnsi="宋体" w:cs="宋体"/>
          <w:color w:val="auto"/>
          <w:szCs w:val="21"/>
          <w:highlight w:val="none"/>
        </w:rPr>
      </w:pPr>
      <w:r>
        <w:rPr>
          <w:rFonts w:hint="eastAsia" w:ascii="宋体" w:hAnsi="宋体" w:cs="宋体"/>
          <w:color w:val="auto"/>
          <w:szCs w:val="21"/>
          <w:highlight w:val="none"/>
        </w:rPr>
        <w:t>5.最高限价：104.113288万元（供应商的磋商报价超过最高限价的其响应文件将被作为无效响应处理）</w:t>
      </w:r>
    </w:p>
    <w:p w14:paraId="2E2A750B">
      <w:pPr>
        <w:pStyle w:val="252"/>
        <w:spacing w:line="360" w:lineRule="auto"/>
        <w:rPr>
          <w:rFonts w:ascii="宋体" w:hAnsi="宋体" w:cs="宋体"/>
          <w:color w:val="auto"/>
          <w:szCs w:val="21"/>
          <w:highlight w:val="none"/>
        </w:rPr>
      </w:pPr>
      <w:r>
        <w:rPr>
          <w:rFonts w:hint="eastAsia" w:ascii="宋体" w:hAnsi="宋体" w:cs="宋体"/>
          <w:color w:val="auto"/>
          <w:szCs w:val="21"/>
          <w:highlight w:val="none"/>
        </w:rPr>
        <w:t>6.建设地点：南京市江宁区汤山街道</w:t>
      </w:r>
    </w:p>
    <w:bookmarkEnd w:id="92"/>
    <w:bookmarkEnd w:id="93"/>
    <w:bookmarkEnd w:id="94"/>
    <w:bookmarkEnd w:id="95"/>
    <w:p w14:paraId="0536A086">
      <w:pPr>
        <w:pStyle w:val="395"/>
        <w:spacing w:before="0" w:after="0" w:line="360" w:lineRule="auto"/>
        <w:ind w:left="0" w:firstLine="0"/>
        <w:rPr>
          <w:rFonts w:ascii="宋体" w:hAnsi="宋体" w:eastAsia="宋体" w:cs="宋体"/>
          <w:b/>
          <w:bCs/>
          <w:color w:val="auto"/>
          <w:sz w:val="22"/>
          <w:szCs w:val="21"/>
          <w:highlight w:val="none"/>
          <w:lang w:val="en-US"/>
        </w:rPr>
      </w:pPr>
      <w:bookmarkStart w:id="102" w:name="_Toc9093"/>
      <w:bookmarkStart w:id="103" w:name="_Toc25263"/>
      <w:bookmarkStart w:id="104" w:name="_Toc21193"/>
      <w:bookmarkStart w:id="105" w:name="_Toc18922"/>
      <w:bookmarkStart w:id="106" w:name="_Toc503948584"/>
      <w:bookmarkStart w:id="107" w:name="_Toc535597873"/>
      <w:bookmarkStart w:id="108" w:name="_Toc503948077"/>
      <w:r>
        <w:rPr>
          <w:rFonts w:hint="eastAsia" w:ascii="宋体" w:hAnsi="宋体" w:eastAsia="宋体" w:cs="宋体"/>
          <w:b/>
          <w:bCs/>
          <w:color w:val="auto"/>
          <w:sz w:val="22"/>
          <w:szCs w:val="21"/>
          <w:highlight w:val="none"/>
          <w:lang w:val="en-US"/>
        </w:rPr>
        <w:t>二、工程量清单</w:t>
      </w:r>
      <w:bookmarkEnd w:id="102"/>
      <w:bookmarkEnd w:id="103"/>
      <w:bookmarkEnd w:id="104"/>
      <w:bookmarkEnd w:id="105"/>
    </w:p>
    <w:p w14:paraId="1A15735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另附</w:t>
      </w:r>
    </w:p>
    <w:p w14:paraId="6897EC2B">
      <w:pPr>
        <w:pStyle w:val="395"/>
        <w:spacing w:before="0" w:after="0" w:line="360" w:lineRule="auto"/>
        <w:ind w:left="0" w:firstLine="0"/>
        <w:rPr>
          <w:rFonts w:ascii="宋体" w:hAnsi="宋体" w:eastAsia="宋体" w:cs="宋体"/>
          <w:b/>
          <w:bCs/>
          <w:color w:val="auto"/>
          <w:sz w:val="22"/>
          <w:szCs w:val="21"/>
          <w:highlight w:val="none"/>
          <w:lang w:val="en-US"/>
        </w:rPr>
      </w:pPr>
      <w:bookmarkStart w:id="109" w:name="_Toc21962"/>
      <w:bookmarkStart w:id="110" w:name="_Toc13011"/>
      <w:r>
        <w:rPr>
          <w:rFonts w:hint="eastAsia" w:ascii="宋体" w:hAnsi="宋体" w:eastAsia="宋体" w:cs="宋体"/>
          <w:b/>
          <w:bCs/>
          <w:color w:val="auto"/>
          <w:sz w:val="22"/>
          <w:szCs w:val="21"/>
          <w:highlight w:val="none"/>
          <w:lang w:val="en-US"/>
        </w:rPr>
        <w:t>三、报价说明</w:t>
      </w:r>
      <w:bookmarkEnd w:id="109"/>
      <w:bookmarkEnd w:id="110"/>
    </w:p>
    <w:p w14:paraId="21EA8D1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1.本项目按工程量清单计价模式进行计价。供应商按照采购文件附件《工程量清单》要求报价。 </w:t>
      </w:r>
    </w:p>
    <w:p w14:paraId="2CAAEAA3">
      <w:pPr>
        <w:spacing w:line="360" w:lineRule="auto"/>
        <w:ind w:firstLine="420"/>
        <w:rPr>
          <w:rFonts w:ascii="宋体" w:hAnsi="宋体" w:cs="宋体"/>
          <w:b/>
          <w:color w:val="auto"/>
          <w:szCs w:val="21"/>
          <w:highlight w:val="none"/>
          <w:lang w:val="zh-CN"/>
        </w:rPr>
      </w:pPr>
      <w:r>
        <w:rPr>
          <w:rFonts w:hint="eastAsia" w:ascii="宋体" w:hAnsi="宋体" w:cs="宋体"/>
          <w:bCs/>
          <w:color w:val="auto"/>
          <w:szCs w:val="21"/>
          <w:highlight w:val="none"/>
        </w:rPr>
        <w:t>2.</w:t>
      </w:r>
      <w:r>
        <w:rPr>
          <w:rFonts w:hint="eastAsia" w:ascii="宋体" w:hAnsi="宋体" w:cs="宋体"/>
          <w:bCs/>
          <w:color w:val="auto"/>
          <w:szCs w:val="21"/>
          <w:highlight w:val="none"/>
          <w:lang w:val="zh-CN"/>
        </w:rPr>
        <w:t>本项目执行财库〔2026〕2号《关于推动解决政府采购异常低价问题相关工作的通知》的相关规定。</w:t>
      </w:r>
    </w:p>
    <w:p w14:paraId="565D7B17">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2.1 评审中出现下列情形之一的，评审委员会应当启动异常低价投标（响应）审查程序： </w:t>
      </w:r>
    </w:p>
    <w:p w14:paraId="74684878">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（1）投标（响应）报价低于全部通过符合性审查供应商投标（响应）报价平均值50%的，即投标（响应）报价&lt;全部通过符合性审查供应商投标（响应）报价平均值×50%；</w:t>
      </w:r>
    </w:p>
    <w:p w14:paraId="69B16574">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（2）投标（响应）报价低于通过符合性审查的次低报价供应商投标（响应）报价50%的，即投标（响应）报价&lt;通过符合性审查的次低报价供应商投标（响应）报价×50%；</w:t>
      </w:r>
    </w:p>
    <w:p w14:paraId="7F684228">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（3）投标（响应）报价低于采购项目最高限价</w:t>
      </w:r>
      <w:r>
        <w:rPr>
          <w:rFonts w:ascii="宋体" w:hAnsi="宋体" w:cs="宋体"/>
          <w:bCs/>
          <w:color w:val="auto"/>
          <w:szCs w:val="21"/>
          <w:highlight w:val="none"/>
        </w:rPr>
        <w:t>4</w:t>
      </w:r>
      <w:r>
        <w:rPr>
          <w:rFonts w:hint="eastAsia" w:ascii="宋体" w:hAnsi="宋体" w:cs="宋体"/>
          <w:bCs/>
          <w:color w:val="auto"/>
          <w:szCs w:val="21"/>
          <w:highlight w:val="none"/>
        </w:rPr>
        <w:t>5%的，即投标（响应）报价&lt;采购项目最高限价×</w:t>
      </w:r>
      <w:r>
        <w:rPr>
          <w:rFonts w:ascii="宋体" w:hAnsi="宋体" w:cs="宋体"/>
          <w:bCs/>
          <w:color w:val="auto"/>
          <w:szCs w:val="21"/>
          <w:highlight w:val="none"/>
        </w:rPr>
        <w:t>4</w:t>
      </w:r>
      <w:r>
        <w:rPr>
          <w:rFonts w:hint="eastAsia" w:ascii="宋体" w:hAnsi="宋体" w:cs="宋体"/>
          <w:bCs/>
          <w:color w:val="auto"/>
          <w:szCs w:val="21"/>
          <w:highlight w:val="none"/>
        </w:rPr>
        <w:t>5%；</w:t>
      </w:r>
    </w:p>
    <w:p w14:paraId="470C972E">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（4）评审委员会基于专业判断，认为供应商报价过低，有可能影响产品质量或者不能诚信履约的其他情形。 </w:t>
      </w:r>
    </w:p>
    <w:p w14:paraId="73CAA942">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相关法律法规对供应商报价有规定的，从其规定。 </w:t>
      </w:r>
    </w:p>
    <w:p w14:paraId="5CEFD689">
      <w:pPr>
        <w:pStyle w:val="395"/>
        <w:spacing w:before="0" w:after="0" w:line="360" w:lineRule="auto"/>
        <w:ind w:left="0" w:firstLine="0"/>
        <w:rPr>
          <w:rFonts w:ascii="宋体" w:hAnsi="宋体" w:eastAsia="宋体" w:cs="宋体"/>
          <w:b/>
          <w:bCs/>
          <w:color w:val="auto"/>
          <w:sz w:val="22"/>
          <w:szCs w:val="21"/>
          <w:highlight w:val="none"/>
          <w:lang w:val="en-US"/>
        </w:rPr>
      </w:pPr>
      <w:bookmarkStart w:id="111" w:name="_Toc3826"/>
      <w:r>
        <w:rPr>
          <w:rFonts w:hint="eastAsia" w:ascii="宋体" w:hAnsi="宋体" w:eastAsia="宋体" w:cs="宋体"/>
          <w:b/>
          <w:bCs/>
          <w:color w:val="auto"/>
          <w:sz w:val="22"/>
          <w:szCs w:val="21"/>
          <w:highlight w:val="none"/>
          <w:lang w:val="en-US"/>
        </w:rPr>
        <w:t>四、施工要求</w:t>
      </w:r>
      <w:bookmarkEnd w:id="111"/>
    </w:p>
    <w:p w14:paraId="1F56F9D7">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1.施工单位应做到文明施工，不得扰民，做好施工现场整洁，施工垃圾及时清运，清运手续、费用由施工方自行解决。</w:t>
      </w:r>
    </w:p>
    <w:p w14:paraId="7B8A5EA3">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2.施工单位所提供的施工材料必须符合国家质量检测、环境、安全等有关标准，否则即使成交，采购人和采购代理机构有权取消合同，拒绝接受所供货物，拒绝支付款项，并承担给采购人造成的相应的损失。</w:t>
      </w:r>
    </w:p>
    <w:p w14:paraId="4EDC3585">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3．成交供应商应按约定的时间和要求，完成以下工作：</w:t>
      </w:r>
    </w:p>
    <w:p w14:paraId="28DDEA25">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（1）施工安全保卫工作及夜间施工照明由施工单位全权组织并负责实施。</w:t>
      </w:r>
    </w:p>
    <w:p w14:paraId="3B98AB95">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（2）成交供应商负责办理有关施工场地交通、环卫和施工噪音管理等各项手续、费用自理。</w:t>
      </w:r>
    </w:p>
    <w:p w14:paraId="09092CA4">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（3）工程涉及市政、市容、环保、交通、防火、劳动保护及施工质量、安全等发生的费用均由成交供应商承担。发生安全事故，责任由成交供应商负责。</w:t>
      </w:r>
    </w:p>
    <w:p w14:paraId="5D14FE58">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4．工程质量必须达到《建筑工程施工质量验收统一标准》（GB 50300-2001）的规定。</w:t>
      </w:r>
    </w:p>
    <w:p w14:paraId="1D8B5B40">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5．隐蔽工程和中间验收：凡隐蔽工程进行中间验收，各分部分项工程结束后进行验收。</w:t>
      </w:r>
    </w:p>
    <w:p w14:paraId="1D760CF8">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6．材料设备供应：材料设备必须有合格证，其中开关、电器、控制柜、电力电缆、消防器材等主材采购时，必须要经采购人验收，否则采购人有权拒绝支付材料设备款。</w:t>
      </w:r>
    </w:p>
    <w:p w14:paraId="73949228">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7．工程变更：</w:t>
      </w:r>
    </w:p>
    <w:p w14:paraId="73DBD796">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（1）现场签证必须有采购方现场负责人签字确认方为有效。</w:t>
      </w:r>
    </w:p>
    <w:p w14:paraId="01391CD1">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（2）成交供应商不得对原有工程设计进行变更，因成交供应商自身原因导致的工程变更，成交供应商无权要求追加合同价款的签证，并承担由此给采购方带来的一切损失。</w:t>
      </w:r>
    </w:p>
    <w:p w14:paraId="6847A347">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（3）因工程设计变更引起的工程量增减，且符合价款调整条件的，必须在5日内将量、价申请报告报采购方现场负责人核准、审查确认，如出现逾期不报将视同优惠，任何后补签证的请求将受到采购方的拒绝。</w:t>
      </w:r>
    </w:p>
    <w:p w14:paraId="5AE781A2">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（4）因工程设计变更和工程量的增加，成交供应商提出顺延工期的申请，由采购人根据增加的工程量决定。</w:t>
      </w:r>
    </w:p>
    <w:p w14:paraId="2373E428">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8．竣工验收前成交供应商提供竣工图1套。详细的竣工图纸及相应标识作为验收的重要依据。</w:t>
      </w:r>
    </w:p>
    <w:p w14:paraId="09A63D4C">
      <w:pPr>
        <w:widowControl/>
        <w:shd w:val="clear" w:color="auto" w:fill="FFFFFF"/>
        <w:spacing w:line="360" w:lineRule="auto"/>
        <w:ind w:firstLine="42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9．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p>
    <w:p w14:paraId="2F918085">
      <w:pPr>
        <w:pStyle w:val="395"/>
        <w:spacing w:before="0" w:after="0" w:line="360" w:lineRule="auto"/>
        <w:ind w:left="0" w:firstLine="0"/>
        <w:rPr>
          <w:rFonts w:ascii="宋体" w:hAnsi="宋体" w:eastAsia="宋体" w:cs="宋体"/>
          <w:b/>
          <w:bCs/>
          <w:color w:val="auto"/>
          <w:sz w:val="22"/>
          <w:szCs w:val="21"/>
          <w:highlight w:val="none"/>
          <w:lang w:val="en-US"/>
        </w:rPr>
      </w:pPr>
      <w:bookmarkStart w:id="112" w:name="_Toc1130"/>
      <w:r>
        <w:rPr>
          <w:rFonts w:hint="eastAsia" w:ascii="宋体" w:hAnsi="宋体" w:eastAsia="宋体" w:cs="宋体"/>
          <w:b/>
          <w:bCs/>
          <w:color w:val="auto"/>
          <w:sz w:val="22"/>
          <w:szCs w:val="21"/>
          <w:highlight w:val="none"/>
          <w:lang w:val="en-US"/>
        </w:rPr>
        <w:t>五、项目承诺书</w:t>
      </w:r>
      <w:bookmarkEnd w:id="112"/>
    </w:p>
    <w:p w14:paraId="6F97CB81">
      <w:pPr>
        <w:spacing w:line="360" w:lineRule="auto"/>
        <w:ind w:firstLine="420" w:firstLineChars="200"/>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1.项目经理及项目组成员每月在施工现场的时间要求：每天不少于8小时，每周不少于5天在本工程现场工作；项目经理及项目组成员未经批准，擅自离开施工现场的违约责任:发包人每发现1次处违约金2000元/天，可从工程款中扣抵，并保留解除合同的权利；发包人发现项目经理及项目组成员未经批准，擅自离开施工现场超过5次，发包人有权直接解除合同。项目经理无故不参加工程例会，承包人向发包人支付2000元/次，三次以上，发包人有权解除合同，并追究违约责任，由发包人代表签发处罚指令。</w:t>
      </w:r>
      <w:r>
        <w:rPr>
          <w:rFonts w:hint="eastAsia" w:ascii="宋体" w:hAnsi="宋体" w:cs="宋体"/>
          <w:b/>
          <w:bCs/>
          <w:color w:val="auto"/>
          <w:szCs w:val="21"/>
          <w:highlight w:val="none"/>
          <w:shd w:val="clear" w:color="auto" w:fill="FFFFFF"/>
        </w:rPr>
        <w:t>（提供承诺书原件，格式自拟）</w:t>
      </w:r>
    </w:p>
    <w:p w14:paraId="25CA28AD">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2.项目经理无在建工程，须满足以下条件之一：</w:t>
      </w:r>
      <w:r>
        <w:rPr>
          <w:rFonts w:hint="eastAsia" w:ascii="宋体" w:hAnsi="宋体" w:cs="宋体"/>
          <w:b/>
          <w:bCs/>
          <w:color w:val="auto"/>
          <w:szCs w:val="21"/>
          <w:highlight w:val="none"/>
          <w:shd w:val="clear" w:color="auto" w:fill="FFFFFF"/>
        </w:rPr>
        <w:t>（提供承诺书原件，格式自拟）</w:t>
      </w:r>
    </w:p>
    <w:p w14:paraId="510D0B20">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a、项目经理未变更的，以合同工程通过完工验收或竣工验收为准；</w:t>
      </w:r>
    </w:p>
    <w:p w14:paraId="5849AB5F">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p>
    <w:p w14:paraId="37F1B97F">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c、项目负责人无行贿犯罪行为记录（此项提供查询截图加盖单位公章）。</w:t>
      </w:r>
    </w:p>
    <w:p w14:paraId="2F730980">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3.供应商承诺不得出现以下情况：</w:t>
      </w:r>
    </w:p>
    <w:p w14:paraId="298120A5">
      <w:pPr>
        <w:spacing w:line="360" w:lineRule="auto"/>
        <w:ind w:firstLine="210" w:firstLineChars="1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（1）成交后无正当理由放弃成交资格；</w:t>
      </w:r>
    </w:p>
    <w:p w14:paraId="5DD8CF0A">
      <w:pPr>
        <w:spacing w:line="360" w:lineRule="auto"/>
        <w:ind w:firstLine="210" w:firstLineChars="1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（2）不与采购人签订政府采购合同；</w:t>
      </w:r>
    </w:p>
    <w:p w14:paraId="0E9EE0C8">
      <w:pPr>
        <w:spacing w:line="360" w:lineRule="auto"/>
        <w:ind w:firstLine="210" w:firstLineChars="1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（3）签订政府采购合同后无正当理由不履行合同。</w:t>
      </w:r>
    </w:p>
    <w:p w14:paraId="2C427EED">
      <w:pPr>
        <w:spacing w:line="360" w:lineRule="auto"/>
        <w:ind w:firstLine="420" w:firstLineChars="200"/>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如出现以上情况之一，则自愿接受采购人及相关监管部门的处罚，采购人保留追究其法律责任的权利。</w:t>
      </w:r>
      <w:r>
        <w:rPr>
          <w:rFonts w:hint="eastAsia" w:ascii="宋体" w:hAnsi="宋体" w:cs="宋体"/>
          <w:b/>
          <w:bCs/>
          <w:color w:val="auto"/>
          <w:szCs w:val="21"/>
          <w:highlight w:val="none"/>
          <w:shd w:val="clear" w:color="auto" w:fill="FFFFFF"/>
        </w:rPr>
        <w:t>（提供承诺书原件，格式自拟）</w:t>
      </w:r>
    </w:p>
    <w:p w14:paraId="29678020">
      <w:pPr>
        <w:pStyle w:val="395"/>
        <w:spacing w:before="0" w:after="0" w:line="360" w:lineRule="auto"/>
        <w:ind w:left="0" w:firstLine="0"/>
        <w:rPr>
          <w:rFonts w:ascii="宋体" w:hAnsi="宋体" w:eastAsia="宋体" w:cs="宋体"/>
          <w:b/>
          <w:bCs/>
          <w:color w:val="auto"/>
          <w:sz w:val="22"/>
          <w:szCs w:val="21"/>
          <w:highlight w:val="none"/>
          <w:lang w:val="en-US"/>
        </w:rPr>
      </w:pPr>
      <w:bookmarkStart w:id="113" w:name="_Toc20151"/>
      <w:r>
        <w:rPr>
          <w:rFonts w:hint="eastAsia" w:ascii="宋体" w:hAnsi="宋体" w:eastAsia="宋体" w:cs="宋体"/>
          <w:b/>
          <w:bCs/>
          <w:color w:val="auto"/>
          <w:sz w:val="22"/>
          <w:szCs w:val="21"/>
          <w:highlight w:val="none"/>
          <w:lang w:val="en-US"/>
        </w:rPr>
        <w:t>★六、本项目要求供应商据项目特点及项目需求编制编制施工组织设计，未提供或内容有缺失按无效响应处理：</w:t>
      </w:r>
      <w:bookmarkEnd w:id="113"/>
    </w:p>
    <w:p w14:paraId="5F6946AC">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1.施工组织设计至少包括以下几点，供应商须逐项进行应答并符合具体要求，未逐项进行应答并符合具体要求视为无效投标：</w:t>
      </w:r>
    </w:p>
    <w:p w14:paraId="0122AA2D">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施工进度计划和各阶段进度的保证措施；具体要求：影响进度的关键因素分析准确、关键线路保证措施合理可行，无明显瑕疵；劳动力安排合理可行、能满足进度要求，有施工进度计划及劳动力安排图（或表），机械设备配备和材料投入合理可行、能满足进度要求，无明显瑕疵。</w:t>
      </w:r>
    </w:p>
    <w:p w14:paraId="44F22D2D">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（2）、安全管理体系和措施；具体要求：安全管理体系、制度、岗位职责健全，无明显瑕疵；安全保证措施、投入计划科学合理，无明显瑕疵。</w:t>
      </w:r>
    </w:p>
    <w:p w14:paraId="68EA0BD3">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质量管理体系和措施；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p>
    <w:p w14:paraId="0C5FAE78">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（4）、各分部分项工程的施工方案及质量保证措施；具体要求：内容完整、总体方案合理可行、技术措施有针对性，无明显瑕疵。</w:t>
      </w:r>
    </w:p>
    <w:p w14:paraId="68D42E4A">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（5）、文明施工及环境保护措施：具体要求：文明施工总体计划周密、制度完善，措施可行，无明显瑕疵；环境保护制度完善，措施可行，经费落实，无明显瑕疵。</w:t>
      </w:r>
    </w:p>
    <w:p w14:paraId="5E688A37">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（6）、关键施工技术、工艺及工程项目实施的重点、难点和解决方案；具体要求：关键施工技术、工艺及工程项目实施的重点、难点和解决方案科学、可行、全面、有针对性，无明显瑕疵。</w:t>
      </w:r>
    </w:p>
    <w:p w14:paraId="2E83D0A5">
      <w:pPr>
        <w:pStyle w:val="395"/>
        <w:spacing w:before="0" w:after="0" w:line="360" w:lineRule="auto"/>
        <w:ind w:left="0" w:firstLine="0"/>
        <w:rPr>
          <w:rFonts w:ascii="宋体" w:hAnsi="宋体" w:eastAsia="宋体" w:cs="宋体"/>
          <w:b/>
          <w:bCs/>
          <w:color w:val="auto"/>
          <w:sz w:val="22"/>
          <w:szCs w:val="21"/>
          <w:highlight w:val="none"/>
          <w:lang w:val="en-US"/>
        </w:rPr>
      </w:pPr>
      <w:bookmarkStart w:id="114" w:name="_Toc22311"/>
      <w:r>
        <w:rPr>
          <w:rFonts w:hint="eastAsia" w:ascii="宋体" w:hAnsi="宋体" w:eastAsia="宋体" w:cs="宋体"/>
          <w:b/>
          <w:bCs/>
          <w:color w:val="auto"/>
          <w:sz w:val="22"/>
          <w:szCs w:val="21"/>
          <w:highlight w:val="none"/>
          <w:lang w:val="en-US"/>
        </w:rPr>
        <w:t>七、其他要求</w:t>
      </w:r>
      <w:bookmarkEnd w:id="114"/>
    </w:p>
    <w:p w14:paraId="13D6801E">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1.技术规范：执行国家和行业最新规范。</w:t>
      </w:r>
    </w:p>
    <w:p w14:paraId="14774ECF">
      <w:pPr>
        <w:spacing w:line="360" w:lineRule="auto"/>
        <w:ind w:firstLine="420" w:firstLineChars="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2.供应商</w:t>
      </w:r>
      <w:r>
        <w:rPr>
          <w:rFonts w:hint="eastAsia" w:ascii="宋体" w:hAnsi="宋体" w:cs="宋体"/>
          <w:color w:val="auto"/>
          <w:szCs w:val="21"/>
          <w:highlight w:val="none"/>
          <w:shd w:val="clear" w:color="auto" w:fill="FFFFFF"/>
          <w:lang w:val="zh-CN"/>
        </w:rPr>
        <w:t>不得做出恶意低价竞标政府采购项目无意诚信履约，只是利用政府采购的低价优先原则，以报出不合理低价为手段，以占据低价优势或牟取中标为条件，以损害</w:t>
      </w:r>
      <w:r>
        <w:rPr>
          <w:rFonts w:hint="eastAsia" w:ascii="宋体" w:hAnsi="宋体" w:cs="宋体"/>
          <w:color w:val="auto"/>
          <w:szCs w:val="21"/>
          <w:highlight w:val="none"/>
          <w:shd w:val="clear" w:color="auto" w:fill="FFFFFF"/>
        </w:rPr>
        <w:t>采购人</w:t>
      </w:r>
      <w:r>
        <w:rPr>
          <w:rFonts w:hint="eastAsia" w:ascii="宋体" w:hAnsi="宋体" w:cs="宋体"/>
          <w:color w:val="auto"/>
          <w:szCs w:val="21"/>
          <w:highlight w:val="none"/>
          <w:shd w:val="clear" w:color="auto" w:fill="FFFFFF"/>
          <w:lang w:val="zh-CN"/>
        </w:rPr>
        <w:t>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color w:val="auto"/>
          <w:szCs w:val="21"/>
          <w:highlight w:val="none"/>
          <w:shd w:val="clear" w:color="auto" w:fill="FFFFFF"/>
        </w:rPr>
        <w:t>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p>
    <w:p w14:paraId="1E60BFD1">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特别说明：本章所有内容均为实质性要求，不接受负偏离（负偏离作无效投标处理）</w:t>
      </w:r>
    </w:p>
    <w:p w14:paraId="5BBEA74F">
      <w:pPr>
        <w:spacing w:line="360" w:lineRule="auto"/>
        <w:ind w:firstLine="420"/>
        <w:rPr>
          <w:rFonts w:ascii="宋体" w:hAnsi="宋体" w:cs="宋体"/>
          <w:b/>
          <w:color w:val="auto"/>
          <w:szCs w:val="21"/>
          <w:highlight w:val="none"/>
        </w:rPr>
      </w:pPr>
      <w:r>
        <w:rPr>
          <w:rFonts w:hint="eastAsia" w:ascii="宋体" w:hAnsi="宋体" w:cs="宋体"/>
          <w:b/>
          <w:color w:val="auto"/>
          <w:szCs w:val="21"/>
          <w:highlight w:val="none"/>
        </w:rPr>
        <w:t>如对采购需求有任何疑问，请在规定的截止时间前与采购人联系。</w:t>
      </w:r>
    </w:p>
    <w:p w14:paraId="1D842D6C">
      <w:pPr>
        <w:rPr>
          <w:rFonts w:ascii="宋体" w:hAnsi="宋体" w:cs="宋体"/>
          <w:color w:val="auto"/>
          <w:highlight w:val="none"/>
        </w:rPr>
      </w:pPr>
      <w:r>
        <w:rPr>
          <w:rFonts w:hint="eastAsia" w:ascii="宋体" w:hAnsi="宋体" w:cs="宋体"/>
          <w:color w:val="auto"/>
          <w:highlight w:val="none"/>
        </w:rPr>
        <w:br w:type="page"/>
      </w:r>
    </w:p>
    <w:p w14:paraId="5DD35C86">
      <w:pPr>
        <w:rPr>
          <w:rFonts w:ascii="宋体" w:hAnsi="宋体" w:cs="宋体"/>
          <w:color w:val="auto"/>
          <w:highlight w:val="none"/>
          <w:lang w:val="zh-CN"/>
        </w:rPr>
      </w:pPr>
    </w:p>
    <w:p w14:paraId="644BCA56">
      <w:pPr>
        <w:pStyle w:val="333"/>
        <w:ind w:right="45"/>
        <w:rPr>
          <w:rFonts w:eastAsia="宋体" w:cs="宋体"/>
          <w:b/>
          <w:bCs w:val="0"/>
          <w:color w:val="auto"/>
          <w:highlight w:val="none"/>
        </w:rPr>
      </w:pPr>
      <w:bookmarkStart w:id="115" w:name="_Toc30037"/>
      <w:bookmarkStart w:id="116" w:name="_Toc4481"/>
      <w:r>
        <w:rPr>
          <w:rFonts w:hint="eastAsia" w:eastAsia="宋体" w:cs="宋体"/>
          <w:b/>
          <w:bCs w:val="0"/>
          <w:color w:val="auto"/>
          <w:highlight w:val="none"/>
        </w:rPr>
        <w:t>第五章</w:t>
      </w:r>
      <w:r>
        <w:rPr>
          <w:rFonts w:hint="eastAsia" w:eastAsia="宋体" w:cs="宋体"/>
          <w:b/>
          <w:bCs w:val="0"/>
          <w:color w:val="auto"/>
          <w:highlight w:val="none"/>
          <w:lang w:val="en-US"/>
        </w:rPr>
        <w:t xml:space="preserve"> </w:t>
      </w:r>
      <w:r>
        <w:rPr>
          <w:rFonts w:hint="eastAsia" w:eastAsia="宋体" w:cs="宋体"/>
          <w:b/>
          <w:bCs w:val="0"/>
          <w:color w:val="auto"/>
          <w:highlight w:val="none"/>
        </w:rPr>
        <w:t>合同主要条款及格式</w:t>
      </w:r>
      <w:bookmarkEnd w:id="106"/>
      <w:bookmarkEnd w:id="107"/>
      <w:bookmarkEnd w:id="108"/>
      <w:bookmarkEnd w:id="115"/>
      <w:bookmarkEnd w:id="116"/>
    </w:p>
    <w:p w14:paraId="6867EDF7">
      <w:pPr>
        <w:widowControl/>
        <w:shd w:val="clear" w:color="auto" w:fill="FFFFFF"/>
        <w:spacing w:line="360" w:lineRule="auto"/>
        <w:ind w:firstLine="560"/>
        <w:jc w:val="left"/>
        <w:rPr>
          <w:rFonts w:ascii="宋体" w:hAnsi="宋体" w:cs="宋体"/>
          <w:color w:val="auto"/>
          <w:sz w:val="28"/>
          <w:szCs w:val="28"/>
          <w:highlight w:val="none"/>
        </w:rPr>
      </w:pPr>
    </w:p>
    <w:p w14:paraId="1B5CA0CE">
      <w:pPr>
        <w:widowControl/>
        <w:shd w:val="clear" w:color="auto" w:fill="FFFFFF"/>
        <w:spacing w:line="360" w:lineRule="auto"/>
        <w:jc w:val="center"/>
        <w:rPr>
          <w:rFonts w:ascii="宋体" w:hAnsi="宋体" w:cs="宋体"/>
          <w:color w:val="auto"/>
          <w:sz w:val="52"/>
          <w:szCs w:val="52"/>
          <w:highlight w:val="none"/>
        </w:rPr>
      </w:pPr>
    </w:p>
    <w:p w14:paraId="02C6EE37">
      <w:pPr>
        <w:widowControl/>
        <w:shd w:val="clear" w:color="auto" w:fill="FFFFFF"/>
        <w:spacing w:line="360" w:lineRule="auto"/>
        <w:jc w:val="center"/>
        <w:rPr>
          <w:rFonts w:ascii="宋体" w:hAnsi="宋体" w:cs="宋体"/>
          <w:color w:val="auto"/>
          <w:szCs w:val="21"/>
          <w:highlight w:val="none"/>
        </w:rPr>
      </w:pPr>
      <w:r>
        <w:rPr>
          <w:rFonts w:hint="eastAsia" w:ascii="宋体" w:hAnsi="宋体" w:cs="宋体"/>
          <w:color w:val="auto"/>
          <w:sz w:val="52"/>
          <w:szCs w:val="52"/>
          <w:highlight w:val="none"/>
        </w:rPr>
        <w:t>南京市政府采购合同</w:t>
      </w:r>
    </w:p>
    <w:p w14:paraId="5FDE0AD5">
      <w:pPr>
        <w:widowControl/>
        <w:shd w:val="clear" w:color="auto" w:fill="FFFFFF"/>
        <w:spacing w:line="360" w:lineRule="auto"/>
        <w:ind w:firstLine="315"/>
        <w:jc w:val="center"/>
        <w:rPr>
          <w:rFonts w:ascii="宋体" w:hAnsi="宋体" w:cs="宋体"/>
          <w:color w:val="auto"/>
          <w:szCs w:val="21"/>
          <w:highlight w:val="none"/>
        </w:rPr>
      </w:pPr>
      <w:r>
        <w:rPr>
          <w:rFonts w:hint="eastAsia" w:ascii="宋体" w:hAnsi="宋体" w:cs="宋体"/>
          <w:color w:val="auto"/>
          <w:sz w:val="32"/>
          <w:szCs w:val="32"/>
          <w:highlight w:val="none"/>
        </w:rPr>
        <w:t>（仅供参考）</w:t>
      </w:r>
    </w:p>
    <w:p w14:paraId="341C2CD1">
      <w:pPr>
        <w:widowControl/>
        <w:shd w:val="clear" w:color="auto" w:fill="FFFFFF"/>
        <w:spacing w:line="360" w:lineRule="auto"/>
        <w:ind w:firstLine="315"/>
        <w:rPr>
          <w:rFonts w:ascii="宋体" w:hAnsi="宋体" w:cs="宋体"/>
          <w:b/>
          <w:bCs/>
          <w:color w:val="auto"/>
          <w:sz w:val="36"/>
          <w:szCs w:val="36"/>
          <w:highlight w:val="none"/>
        </w:rPr>
      </w:pPr>
      <w:r>
        <w:rPr>
          <w:rFonts w:hint="eastAsia" w:ascii="宋体" w:hAnsi="宋体" w:cs="宋体"/>
          <w:color w:val="auto"/>
          <w:sz w:val="32"/>
          <w:szCs w:val="32"/>
          <w:highlight w:val="none"/>
        </w:rPr>
        <w:t> </w:t>
      </w:r>
    </w:p>
    <w:p w14:paraId="75DF45AA">
      <w:pPr>
        <w:widowControl/>
        <w:shd w:val="clear" w:color="auto" w:fill="FFFFFF"/>
        <w:spacing w:line="360" w:lineRule="auto"/>
        <w:ind w:firstLine="315"/>
        <w:rPr>
          <w:rFonts w:ascii="宋体" w:hAnsi="宋体" w:cs="宋体"/>
          <w:color w:val="auto"/>
          <w:szCs w:val="21"/>
          <w:highlight w:val="none"/>
        </w:rPr>
      </w:pPr>
    </w:p>
    <w:p w14:paraId="4C58422C">
      <w:pPr>
        <w:widowControl/>
        <w:shd w:val="clear" w:color="auto" w:fill="FFFFFF"/>
        <w:spacing w:line="360" w:lineRule="auto"/>
        <w:ind w:firstLine="315"/>
        <w:rPr>
          <w:rFonts w:ascii="宋体" w:hAnsi="宋体" w:cs="宋体"/>
          <w:color w:val="auto"/>
          <w:szCs w:val="21"/>
          <w:highlight w:val="none"/>
        </w:rPr>
      </w:pPr>
      <w:r>
        <w:rPr>
          <w:rFonts w:hint="eastAsia" w:ascii="宋体" w:hAnsi="宋体" w:cs="宋体"/>
          <w:b/>
          <w:bCs/>
          <w:color w:val="auto"/>
          <w:sz w:val="36"/>
          <w:szCs w:val="36"/>
          <w:highlight w:val="none"/>
        </w:rPr>
        <w:t> </w:t>
      </w:r>
    </w:p>
    <w:p w14:paraId="1E37EEDE">
      <w:pPr>
        <w:widowControl/>
        <w:shd w:val="clear" w:color="auto" w:fill="FFFFFF"/>
        <w:spacing w:line="360" w:lineRule="auto"/>
        <w:ind w:firstLine="843" w:firstLineChars="300"/>
        <w:jc w:val="left"/>
        <w:rPr>
          <w:rFonts w:ascii="宋体" w:hAnsi="宋体" w:cs="宋体"/>
          <w:color w:val="auto"/>
          <w:sz w:val="28"/>
          <w:szCs w:val="28"/>
          <w:highlight w:val="none"/>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u w:val="single"/>
        </w:rPr>
        <w:t>                    </w:t>
      </w:r>
    </w:p>
    <w:p w14:paraId="7EF9F62C">
      <w:pPr>
        <w:widowControl/>
        <w:shd w:val="clear" w:color="auto" w:fill="FFFFFF"/>
        <w:spacing w:line="360" w:lineRule="auto"/>
        <w:ind w:firstLine="843" w:firstLineChars="300"/>
        <w:jc w:val="left"/>
        <w:rPr>
          <w:rFonts w:ascii="宋体" w:hAnsi="宋体" w:cs="宋体"/>
          <w:color w:val="auto"/>
          <w:sz w:val="28"/>
          <w:szCs w:val="28"/>
          <w:highlight w:val="none"/>
        </w:rPr>
      </w:pPr>
      <w:r>
        <w:rPr>
          <w:rFonts w:hint="eastAsia" w:ascii="宋体" w:hAnsi="宋体" w:cs="宋体"/>
          <w:b/>
          <w:bCs/>
          <w:color w:val="auto"/>
          <w:sz w:val="28"/>
          <w:szCs w:val="28"/>
          <w:highlight w:val="none"/>
        </w:rPr>
        <w:t>项目名称：</w:t>
      </w:r>
      <w:r>
        <w:rPr>
          <w:rFonts w:hint="eastAsia" w:ascii="宋体" w:hAnsi="宋体" w:cs="宋体"/>
          <w:b/>
          <w:bCs/>
          <w:color w:val="auto"/>
          <w:sz w:val="28"/>
          <w:szCs w:val="28"/>
          <w:highlight w:val="none"/>
          <w:u w:val="single"/>
        </w:rPr>
        <w:t>                    </w:t>
      </w:r>
    </w:p>
    <w:p w14:paraId="461CB7A8">
      <w:pPr>
        <w:widowControl/>
        <w:shd w:val="clear" w:color="auto" w:fill="FFFFFF"/>
        <w:spacing w:line="360" w:lineRule="auto"/>
        <w:ind w:firstLine="843" w:firstLineChars="300"/>
        <w:jc w:val="left"/>
        <w:rPr>
          <w:rFonts w:ascii="宋体" w:hAnsi="宋体" w:cs="宋体"/>
          <w:color w:val="auto"/>
          <w:sz w:val="28"/>
          <w:szCs w:val="28"/>
          <w:highlight w:val="none"/>
        </w:rPr>
      </w:pPr>
      <w:r>
        <w:rPr>
          <w:rFonts w:hint="eastAsia" w:ascii="宋体" w:hAnsi="宋体" w:cs="宋体"/>
          <w:b/>
          <w:bCs/>
          <w:color w:val="auto"/>
          <w:sz w:val="28"/>
          <w:szCs w:val="28"/>
          <w:highlight w:val="none"/>
        </w:rPr>
        <w:t>采购单位：</w:t>
      </w:r>
      <w:r>
        <w:rPr>
          <w:rFonts w:hint="eastAsia" w:ascii="宋体" w:hAnsi="宋体" w:cs="宋体"/>
          <w:b/>
          <w:bCs/>
          <w:color w:val="auto"/>
          <w:sz w:val="28"/>
          <w:szCs w:val="28"/>
          <w:highlight w:val="none"/>
          <w:u w:val="single"/>
        </w:rPr>
        <w:t>                    </w:t>
      </w:r>
    </w:p>
    <w:p w14:paraId="2D23938F">
      <w:pPr>
        <w:widowControl/>
        <w:shd w:val="clear" w:color="auto" w:fill="FFFFFF"/>
        <w:spacing w:line="360" w:lineRule="auto"/>
        <w:ind w:firstLine="843" w:firstLineChars="300"/>
        <w:jc w:val="left"/>
        <w:rPr>
          <w:rFonts w:ascii="宋体" w:hAnsi="宋体" w:cs="宋体"/>
          <w:color w:val="auto"/>
          <w:sz w:val="28"/>
          <w:szCs w:val="28"/>
          <w:highlight w:val="none"/>
        </w:rPr>
      </w:pPr>
      <w:r>
        <w:rPr>
          <w:rFonts w:hint="eastAsia" w:ascii="宋体" w:hAnsi="宋体" w:cs="宋体"/>
          <w:b/>
          <w:bCs/>
          <w:color w:val="auto"/>
          <w:sz w:val="28"/>
          <w:szCs w:val="28"/>
          <w:highlight w:val="none"/>
        </w:rPr>
        <w:t>成交单位：</w:t>
      </w:r>
      <w:r>
        <w:rPr>
          <w:rFonts w:hint="eastAsia" w:ascii="宋体" w:hAnsi="宋体" w:cs="宋体"/>
          <w:b/>
          <w:bCs/>
          <w:color w:val="auto"/>
          <w:sz w:val="28"/>
          <w:szCs w:val="28"/>
          <w:highlight w:val="none"/>
          <w:u w:val="single"/>
        </w:rPr>
        <w:t>                    </w:t>
      </w:r>
    </w:p>
    <w:p w14:paraId="3C28B677">
      <w:pPr>
        <w:widowControl/>
        <w:shd w:val="clear" w:color="auto" w:fill="FFFFFF"/>
        <w:spacing w:line="360" w:lineRule="auto"/>
        <w:ind w:firstLine="843" w:firstLineChars="300"/>
        <w:jc w:val="left"/>
        <w:rPr>
          <w:rFonts w:ascii="宋体" w:hAnsi="宋体" w:cs="宋体"/>
          <w:color w:val="auto"/>
          <w:sz w:val="28"/>
          <w:szCs w:val="28"/>
          <w:highlight w:val="none"/>
        </w:rPr>
      </w:pPr>
      <w:r>
        <w:rPr>
          <w:rFonts w:hint="eastAsia" w:ascii="宋体" w:hAnsi="宋体" w:cs="宋体"/>
          <w:b/>
          <w:bCs/>
          <w:color w:val="auto"/>
          <w:sz w:val="28"/>
          <w:szCs w:val="28"/>
          <w:highlight w:val="none"/>
        </w:rPr>
        <w:t>签订日期：</w:t>
      </w:r>
      <w:r>
        <w:rPr>
          <w:rFonts w:hint="eastAsia" w:ascii="宋体" w:hAnsi="宋体" w:cs="宋体"/>
          <w:b/>
          <w:bCs/>
          <w:color w:val="auto"/>
          <w:sz w:val="28"/>
          <w:szCs w:val="28"/>
          <w:highlight w:val="none"/>
          <w:u w:val="single"/>
        </w:rPr>
        <w:t>                    </w:t>
      </w:r>
    </w:p>
    <w:p w14:paraId="798B04D7">
      <w:pPr>
        <w:widowControl/>
        <w:shd w:val="clear" w:color="auto" w:fill="FFFFFF"/>
        <w:spacing w:line="360" w:lineRule="auto"/>
        <w:rPr>
          <w:rFonts w:ascii="宋体" w:hAnsi="宋体" w:cs="宋体"/>
          <w:color w:val="auto"/>
          <w:szCs w:val="21"/>
          <w:highlight w:val="none"/>
        </w:rPr>
      </w:pPr>
      <w:r>
        <w:rPr>
          <w:rFonts w:hint="eastAsia" w:ascii="宋体" w:hAnsi="宋体" w:cs="宋体"/>
          <w:color w:val="auto"/>
          <w:sz w:val="36"/>
          <w:szCs w:val="36"/>
          <w:highlight w:val="none"/>
        </w:rPr>
        <w:t>      </w:t>
      </w:r>
      <w:r>
        <w:rPr>
          <w:rFonts w:hint="eastAsia" w:ascii="宋体" w:hAnsi="宋体" w:cs="宋体"/>
          <w:b/>
          <w:bCs/>
          <w:color w:val="auto"/>
          <w:sz w:val="36"/>
          <w:szCs w:val="36"/>
          <w:highlight w:val="none"/>
        </w:rPr>
        <w:t> </w:t>
      </w:r>
    </w:p>
    <w:p w14:paraId="75AFD6BD">
      <w:pPr>
        <w:widowControl/>
        <w:shd w:val="clear" w:color="auto" w:fill="FFFFFF"/>
        <w:spacing w:line="360" w:lineRule="auto"/>
        <w:ind w:firstLine="2984"/>
        <w:rPr>
          <w:rFonts w:ascii="宋体" w:hAnsi="宋体" w:cs="宋体"/>
          <w:color w:val="auto"/>
          <w:szCs w:val="21"/>
          <w:highlight w:val="none"/>
        </w:rPr>
      </w:pPr>
      <w:r>
        <w:rPr>
          <w:rFonts w:hint="eastAsia" w:ascii="宋体" w:hAnsi="宋体" w:cs="宋体"/>
          <w:b/>
          <w:bCs/>
          <w:color w:val="auto"/>
          <w:sz w:val="36"/>
          <w:szCs w:val="36"/>
          <w:highlight w:val="none"/>
        </w:rPr>
        <w:t>  </w:t>
      </w:r>
    </w:p>
    <w:p w14:paraId="00B2B456">
      <w:pPr>
        <w:widowControl/>
        <w:shd w:val="clear" w:color="auto" w:fill="FFFFFF"/>
        <w:spacing w:line="360" w:lineRule="auto"/>
        <w:ind w:firstLine="2984"/>
        <w:rPr>
          <w:rFonts w:ascii="宋体" w:hAnsi="宋体" w:cs="宋体"/>
          <w:color w:val="auto"/>
          <w:szCs w:val="21"/>
          <w:highlight w:val="none"/>
        </w:rPr>
      </w:pPr>
      <w:r>
        <w:rPr>
          <w:rFonts w:hint="eastAsia" w:ascii="宋体" w:hAnsi="宋体" w:cs="宋体"/>
          <w:b/>
          <w:bCs/>
          <w:color w:val="auto"/>
          <w:sz w:val="36"/>
          <w:szCs w:val="36"/>
          <w:highlight w:val="none"/>
        </w:rPr>
        <w:t> </w:t>
      </w:r>
    </w:p>
    <w:p w14:paraId="1EEA3949">
      <w:pPr>
        <w:widowControl/>
        <w:shd w:val="clear" w:color="auto" w:fill="FFFFFF"/>
        <w:spacing w:line="360" w:lineRule="auto"/>
        <w:ind w:firstLine="2984"/>
        <w:rPr>
          <w:rFonts w:ascii="宋体" w:hAnsi="宋体" w:cs="宋体"/>
          <w:color w:val="auto"/>
          <w:szCs w:val="21"/>
          <w:highlight w:val="none"/>
        </w:rPr>
      </w:pPr>
      <w:r>
        <w:rPr>
          <w:rFonts w:hint="eastAsia" w:ascii="宋体" w:hAnsi="宋体" w:cs="宋体"/>
          <w:b/>
          <w:bCs/>
          <w:color w:val="auto"/>
          <w:sz w:val="36"/>
          <w:szCs w:val="36"/>
          <w:highlight w:val="none"/>
        </w:rPr>
        <w:t> </w:t>
      </w:r>
    </w:p>
    <w:p w14:paraId="2F353053">
      <w:pPr>
        <w:tabs>
          <w:tab w:val="left" w:pos="3120"/>
        </w:tabs>
        <w:spacing w:line="360" w:lineRule="auto"/>
        <w:jc w:val="center"/>
        <w:rPr>
          <w:rFonts w:ascii="宋体" w:hAnsi="宋体" w:cs="宋体"/>
          <w:b/>
          <w:bCs/>
          <w:color w:val="auto"/>
          <w:sz w:val="28"/>
          <w:szCs w:val="30"/>
          <w:highlight w:val="none"/>
        </w:rPr>
      </w:pPr>
      <w:bookmarkStart w:id="117" w:name="_Toc503948585"/>
      <w:bookmarkStart w:id="118" w:name="_Toc535597874"/>
      <w:bookmarkStart w:id="119" w:name="_Toc503948078"/>
    </w:p>
    <w:p w14:paraId="2A33726F">
      <w:pPr>
        <w:rPr>
          <w:rFonts w:ascii="宋体" w:hAnsi="宋体" w:cs="宋体"/>
          <w:b/>
          <w:color w:val="auto"/>
          <w:sz w:val="32"/>
          <w:highlight w:val="none"/>
        </w:rPr>
      </w:pPr>
      <w:bookmarkStart w:id="120" w:name="_Toc26778847"/>
      <w:bookmarkStart w:id="121" w:name="_Toc40862137"/>
      <w:r>
        <w:rPr>
          <w:rFonts w:hint="eastAsia" w:ascii="宋体" w:hAnsi="宋体" w:cs="宋体"/>
          <w:b/>
          <w:color w:val="auto"/>
          <w:sz w:val="32"/>
          <w:highlight w:val="none"/>
        </w:rPr>
        <w:br w:type="page"/>
      </w:r>
    </w:p>
    <w:bookmarkEnd w:id="120"/>
    <w:bookmarkEnd w:id="121"/>
    <w:p w14:paraId="599D5EB7">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第一部分 合同协议书</w:t>
      </w:r>
    </w:p>
    <w:p w14:paraId="49A728D2">
      <w:pPr>
        <w:snapToGrid w:val="0"/>
        <w:spacing w:line="360" w:lineRule="auto"/>
        <w:jc w:val="left"/>
        <w:rPr>
          <w:rStyle w:val="35"/>
          <w:rFonts w:ascii="宋体" w:hAnsi="宋体" w:cs="宋体"/>
          <w:color w:val="auto"/>
          <w:szCs w:val="21"/>
          <w:highlight w:val="none"/>
        </w:rPr>
      </w:pPr>
      <w:r>
        <w:rPr>
          <w:rFonts w:hint="eastAsia" w:ascii="宋体" w:hAnsi="宋体" w:cs="宋体"/>
          <w:b/>
          <w:color w:val="auto"/>
          <w:szCs w:val="21"/>
          <w:highlight w:val="none"/>
        </w:rPr>
        <w:t>发包人（全称）：</w:t>
      </w:r>
      <w:r>
        <w:rPr>
          <w:rFonts w:hint="eastAsia" w:ascii="宋体" w:hAnsi="宋体" w:cs="宋体"/>
          <w:color w:val="auto"/>
          <w:szCs w:val="21"/>
          <w:highlight w:val="none"/>
          <w:u w:val="single"/>
        </w:rPr>
        <w:t xml:space="preserve">                                       </w:t>
      </w:r>
    </w:p>
    <w:p w14:paraId="46EB9BD0">
      <w:pPr>
        <w:snapToGrid w:val="0"/>
        <w:spacing w:line="360" w:lineRule="auto"/>
        <w:jc w:val="left"/>
        <w:rPr>
          <w:rFonts w:ascii="宋体" w:hAnsi="宋体" w:cs="宋体"/>
          <w:b/>
          <w:color w:val="auto"/>
          <w:szCs w:val="21"/>
          <w:highlight w:val="none"/>
          <w:u w:val="single"/>
        </w:rPr>
      </w:pPr>
      <w:r>
        <w:rPr>
          <w:rFonts w:hint="eastAsia" w:ascii="宋体" w:hAnsi="宋体" w:cs="宋体"/>
          <w:b/>
          <w:color w:val="auto"/>
          <w:szCs w:val="21"/>
          <w:highlight w:val="none"/>
        </w:rPr>
        <w:t>承包人（全称）：</w:t>
      </w:r>
      <w:r>
        <w:rPr>
          <w:rFonts w:hint="eastAsia" w:ascii="宋体" w:hAnsi="宋体" w:cs="宋体"/>
          <w:color w:val="auto"/>
          <w:szCs w:val="21"/>
          <w:highlight w:val="none"/>
          <w:u w:val="single"/>
        </w:rPr>
        <w:t xml:space="preserve">                                       </w:t>
      </w:r>
    </w:p>
    <w:p w14:paraId="03B70AFC">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施工及有关事项协商一致，共同达成如下协议：</w:t>
      </w:r>
    </w:p>
    <w:p w14:paraId="2DE6E3A6">
      <w:pPr>
        <w:tabs>
          <w:tab w:val="left" w:pos="4409"/>
        </w:tabs>
        <w:snapToGrid w:val="0"/>
        <w:spacing w:line="360" w:lineRule="auto"/>
        <w:jc w:val="left"/>
        <w:rPr>
          <w:rFonts w:ascii="宋体" w:hAnsi="宋体" w:cs="宋体"/>
          <w:color w:val="auto"/>
          <w:szCs w:val="21"/>
          <w:highlight w:val="none"/>
        </w:rPr>
      </w:pPr>
      <w:bookmarkStart w:id="122" w:name="_Toc351203481"/>
      <w:r>
        <w:rPr>
          <w:rFonts w:hint="eastAsia" w:ascii="宋体" w:hAnsi="宋体" w:cs="宋体"/>
          <w:b/>
          <w:color w:val="auto"/>
          <w:szCs w:val="21"/>
          <w:highlight w:val="none"/>
        </w:rPr>
        <w:t>一、工程概况</w:t>
      </w:r>
      <w:bookmarkEnd w:id="122"/>
    </w:p>
    <w:p w14:paraId="5AD41009">
      <w:pPr>
        <w:snapToGrid w:val="0"/>
        <w:spacing w:line="360" w:lineRule="auto"/>
        <w:ind w:firstLine="411" w:firstLineChars="196"/>
        <w:jc w:val="left"/>
        <w:rPr>
          <w:rStyle w:val="35"/>
          <w:rFonts w:ascii="宋体" w:hAnsi="宋体" w:cs="宋体"/>
          <w:b w:val="0"/>
          <w:color w:val="auto"/>
          <w:szCs w:val="21"/>
          <w:highlight w:val="non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bCs/>
          <w:color w:val="auto"/>
          <w:szCs w:val="21"/>
          <w:highlight w:val="none"/>
          <w:u w:val="single"/>
        </w:rPr>
        <w:t xml:space="preserve">               ；</w:t>
      </w:r>
    </w:p>
    <w:p w14:paraId="33F406CC">
      <w:pPr>
        <w:snapToGrid w:val="0"/>
        <w:spacing w:line="360" w:lineRule="auto"/>
        <w:ind w:firstLine="411" w:firstLineChars="196"/>
        <w:jc w:val="left"/>
        <w:rPr>
          <w:rFonts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bCs/>
          <w:color w:val="auto"/>
          <w:szCs w:val="21"/>
          <w:highlight w:val="none"/>
          <w:u w:val="single"/>
        </w:rPr>
        <w:t xml:space="preserve">           ；</w:t>
      </w:r>
    </w:p>
    <w:p w14:paraId="1E2FE341">
      <w:pPr>
        <w:snapToGrid w:val="0"/>
        <w:spacing w:line="360" w:lineRule="auto"/>
        <w:ind w:firstLine="411" w:firstLineChars="196"/>
        <w:jc w:val="left"/>
        <w:rPr>
          <w:rFonts w:ascii="宋体" w:hAnsi="宋体" w:cs="宋体"/>
          <w:b/>
          <w:color w:val="auto"/>
          <w:szCs w:val="21"/>
          <w:highlight w:val="none"/>
          <w:u w:val="single"/>
        </w:rPr>
      </w:pPr>
      <w:r>
        <w:rPr>
          <w:rFonts w:hint="eastAsia" w:ascii="宋体" w:hAnsi="宋体" w:cs="宋体"/>
          <w:bCs/>
          <w:color w:val="auto"/>
          <w:szCs w:val="21"/>
          <w:highlight w:val="none"/>
        </w:rPr>
        <w:t>3.工程立项批准文号：</w:t>
      </w:r>
      <w:r>
        <w:rPr>
          <w:rFonts w:hint="eastAsia" w:ascii="宋体" w:hAnsi="宋体" w:cs="宋体"/>
          <w:bCs/>
          <w:color w:val="auto"/>
          <w:szCs w:val="21"/>
          <w:highlight w:val="none"/>
          <w:u w:val="single"/>
          <w:shd w:val="clear" w:color="auto" w:fill="FFFFFF"/>
        </w:rPr>
        <w:t xml:space="preserve">              </w:t>
      </w:r>
      <w:r>
        <w:rPr>
          <w:rFonts w:hint="eastAsia" w:ascii="宋体" w:hAnsi="宋体" w:cs="宋体"/>
          <w:bCs/>
          <w:color w:val="auto"/>
          <w:szCs w:val="21"/>
          <w:highlight w:val="none"/>
        </w:rPr>
        <w:t xml:space="preserve"> ；</w:t>
      </w:r>
    </w:p>
    <w:p w14:paraId="51E7B538">
      <w:pPr>
        <w:snapToGrid w:val="0"/>
        <w:spacing w:line="360" w:lineRule="auto"/>
        <w:ind w:firstLine="411" w:firstLineChars="196"/>
        <w:jc w:val="left"/>
        <w:rPr>
          <w:rFonts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color w:val="auto"/>
          <w:szCs w:val="21"/>
          <w:highlight w:val="none"/>
          <w:u w:val="single"/>
        </w:rPr>
        <w:t xml:space="preserve">          ；</w:t>
      </w:r>
    </w:p>
    <w:p w14:paraId="0FF2B90A">
      <w:pPr>
        <w:snapToGrid w:val="0"/>
        <w:spacing w:line="360" w:lineRule="auto"/>
        <w:ind w:firstLine="411" w:firstLineChars="196"/>
        <w:jc w:val="left"/>
        <w:rPr>
          <w:rFonts w:ascii="宋体" w:hAnsi="宋体" w:cs="宋体"/>
          <w:color w:val="auto"/>
          <w:szCs w:val="21"/>
          <w:highlight w:val="none"/>
          <w:u w:val="single"/>
        </w:rPr>
      </w:pPr>
      <w:r>
        <w:rPr>
          <w:rFonts w:hint="eastAsia" w:ascii="宋体" w:hAnsi="宋体" w:cs="宋体"/>
          <w:bCs/>
          <w:color w:val="auto"/>
          <w:szCs w:val="21"/>
          <w:highlight w:val="none"/>
        </w:rPr>
        <w:t>5.工程内容：</w:t>
      </w:r>
      <w:r>
        <w:rPr>
          <w:rFonts w:hint="eastAsia" w:ascii="宋体" w:hAnsi="宋体" w:cs="宋体"/>
          <w:bCs/>
          <w:color w:val="auto"/>
          <w:szCs w:val="21"/>
          <w:highlight w:val="none"/>
          <w:u w:val="single"/>
        </w:rPr>
        <w:t xml:space="preserve">          ；</w:t>
      </w:r>
    </w:p>
    <w:p w14:paraId="4A23C77E">
      <w:pPr>
        <w:snapToGrid w:val="0"/>
        <w:spacing w:line="360" w:lineRule="auto"/>
        <w:ind w:firstLine="411" w:firstLineChars="196"/>
        <w:jc w:val="left"/>
        <w:rPr>
          <w:rStyle w:val="35"/>
          <w:rFonts w:ascii="宋体" w:hAnsi="宋体" w:cs="宋体"/>
          <w:color w:val="auto"/>
          <w:szCs w:val="21"/>
          <w:highlight w:val="none"/>
        </w:rPr>
      </w:pPr>
      <w:r>
        <w:rPr>
          <w:rFonts w:hint="eastAsia" w:ascii="宋体" w:hAnsi="宋体" w:cs="宋体"/>
          <w:bCs/>
          <w:color w:val="auto"/>
          <w:szCs w:val="21"/>
          <w:highlight w:val="none"/>
        </w:rPr>
        <w:t>6.工程承包范围：</w:t>
      </w:r>
      <w:r>
        <w:rPr>
          <w:rFonts w:hint="eastAsia" w:ascii="宋体" w:hAnsi="宋体" w:cs="宋体"/>
          <w:bCs/>
          <w:color w:val="auto"/>
          <w:szCs w:val="21"/>
          <w:highlight w:val="none"/>
          <w:u w:val="single"/>
        </w:rPr>
        <w:t xml:space="preserve"> 详见工程量清单 ；</w:t>
      </w:r>
    </w:p>
    <w:p w14:paraId="7CFA1779">
      <w:pPr>
        <w:tabs>
          <w:tab w:val="left" w:pos="4409"/>
        </w:tabs>
        <w:snapToGrid w:val="0"/>
        <w:spacing w:line="360" w:lineRule="auto"/>
        <w:jc w:val="left"/>
        <w:rPr>
          <w:rFonts w:ascii="宋体" w:hAnsi="宋体" w:cs="宋体"/>
          <w:b/>
          <w:color w:val="auto"/>
          <w:szCs w:val="21"/>
          <w:highlight w:val="none"/>
        </w:rPr>
      </w:pPr>
      <w:bookmarkStart w:id="123" w:name="_Toc351203482"/>
      <w:r>
        <w:rPr>
          <w:rFonts w:hint="eastAsia" w:ascii="宋体" w:hAnsi="宋体" w:cs="宋体"/>
          <w:b/>
          <w:color w:val="auto"/>
          <w:szCs w:val="21"/>
          <w:highlight w:val="none"/>
        </w:rPr>
        <w:t>二、合同工期</w:t>
      </w:r>
      <w:bookmarkEnd w:id="123"/>
    </w:p>
    <w:p w14:paraId="619A6D70">
      <w:pPr>
        <w:snapToGrid w:val="0"/>
        <w:spacing w:line="360" w:lineRule="auto"/>
        <w:ind w:firstLine="459"/>
        <w:jc w:val="left"/>
        <w:rPr>
          <w:rFonts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D2350EB">
      <w:pPr>
        <w:snapToGrid w:val="0"/>
        <w:spacing w:line="360" w:lineRule="auto"/>
        <w:ind w:firstLine="459"/>
        <w:jc w:val="left"/>
        <w:rPr>
          <w:rFonts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1C6B66D">
      <w:pPr>
        <w:snapToGrid w:val="0"/>
        <w:spacing w:line="360" w:lineRule="auto"/>
        <w:ind w:firstLine="459"/>
        <w:jc w:val="left"/>
        <w:rPr>
          <w:rFonts w:ascii="宋体" w:hAnsi="宋体" w:cs="宋体"/>
          <w:color w:val="auto"/>
          <w:szCs w:val="21"/>
          <w:highlight w:val="none"/>
        </w:rPr>
      </w:pPr>
      <w:r>
        <w:rPr>
          <w:rFonts w:hint="eastAsia" w:ascii="宋体" w:hAnsi="宋体" w:cs="宋体"/>
          <w:color w:val="auto"/>
          <w:szCs w:val="21"/>
          <w:highlight w:val="none"/>
        </w:rPr>
        <w:t>工期总日历天数：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天。工期总日历天数与根据前述计划开竣工日期计算的工期天数不一致的，以工期总日历天数为准。</w:t>
      </w:r>
    </w:p>
    <w:p w14:paraId="47F73C47">
      <w:pPr>
        <w:tabs>
          <w:tab w:val="left" w:pos="4409"/>
        </w:tabs>
        <w:snapToGrid w:val="0"/>
        <w:spacing w:line="360" w:lineRule="auto"/>
        <w:jc w:val="left"/>
        <w:rPr>
          <w:rFonts w:ascii="宋体" w:hAnsi="宋体" w:cs="宋体"/>
          <w:color w:val="auto"/>
          <w:szCs w:val="21"/>
          <w:highlight w:val="none"/>
        </w:rPr>
      </w:pPr>
      <w:bookmarkStart w:id="124" w:name="_Toc351203483"/>
      <w:r>
        <w:rPr>
          <w:rFonts w:hint="eastAsia" w:ascii="宋体" w:hAnsi="宋体" w:cs="宋体"/>
          <w:b/>
          <w:color w:val="auto"/>
          <w:szCs w:val="21"/>
          <w:highlight w:val="none"/>
        </w:rPr>
        <w:t>三、质量标准</w:t>
      </w:r>
      <w:bookmarkEnd w:id="124"/>
    </w:p>
    <w:p w14:paraId="2D7926B0">
      <w:pPr>
        <w:snapToGrid w:val="0"/>
        <w:spacing w:line="360" w:lineRule="auto"/>
        <w:ind w:firstLine="459"/>
        <w:jc w:val="left"/>
        <w:rPr>
          <w:rFonts w:ascii="宋体" w:hAnsi="宋体" w:cs="宋体"/>
          <w:color w:val="auto"/>
          <w:szCs w:val="21"/>
          <w:highlight w:val="none"/>
        </w:rPr>
      </w:pPr>
      <w:r>
        <w:rPr>
          <w:rFonts w:hint="eastAsia" w:ascii="宋体" w:hAnsi="宋体" w:cs="宋体"/>
          <w:color w:val="auto"/>
          <w:szCs w:val="21"/>
          <w:highlight w:val="none"/>
        </w:rPr>
        <w:t>工程质量符合</w:t>
      </w:r>
      <w:r>
        <w:rPr>
          <w:rFonts w:hint="eastAsia" w:ascii="宋体" w:hAnsi="宋体" w:cs="宋体"/>
          <w:color w:val="auto"/>
          <w:szCs w:val="21"/>
          <w:highlight w:val="none"/>
          <w:u w:val="single"/>
        </w:rPr>
        <w:t>国家验收质量</w:t>
      </w:r>
      <w:r>
        <w:rPr>
          <w:rFonts w:hint="eastAsia" w:ascii="宋体" w:hAnsi="宋体" w:cs="宋体"/>
          <w:color w:val="auto"/>
          <w:szCs w:val="21"/>
          <w:highlight w:val="none"/>
        </w:rPr>
        <w:t>标准。</w:t>
      </w:r>
    </w:p>
    <w:p w14:paraId="1EC59715">
      <w:pPr>
        <w:tabs>
          <w:tab w:val="left" w:pos="4409"/>
        </w:tabs>
        <w:snapToGrid w:val="0"/>
        <w:spacing w:line="360" w:lineRule="auto"/>
        <w:jc w:val="left"/>
        <w:rPr>
          <w:rFonts w:ascii="宋体" w:hAnsi="宋体" w:cs="宋体"/>
          <w:color w:val="auto"/>
          <w:szCs w:val="21"/>
          <w:highlight w:val="none"/>
        </w:rPr>
      </w:pPr>
      <w:bookmarkStart w:id="125" w:name="_Toc351203484"/>
      <w:r>
        <w:rPr>
          <w:rFonts w:hint="eastAsia" w:ascii="宋体" w:hAnsi="宋体" w:cs="宋体"/>
          <w:b/>
          <w:color w:val="auto"/>
          <w:szCs w:val="21"/>
          <w:highlight w:val="none"/>
        </w:rPr>
        <w:t>四、签约合同价与合同价格形式</w:t>
      </w:r>
      <w:bookmarkEnd w:id="125"/>
      <w:r>
        <w:rPr>
          <w:rFonts w:hint="eastAsia" w:ascii="宋体" w:hAnsi="宋体" w:cs="宋体"/>
          <w:b/>
          <w:color w:val="auto"/>
          <w:szCs w:val="21"/>
          <w:highlight w:val="none"/>
        </w:rPr>
        <w:tab/>
      </w:r>
    </w:p>
    <w:p w14:paraId="5093C93C">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1.签约合同价为：</w:t>
      </w:r>
    </w:p>
    <w:p w14:paraId="126EFC28">
      <w:pPr>
        <w:snapToGrid w:val="0"/>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元)（含税）；</w:t>
      </w:r>
    </w:p>
    <w:p w14:paraId="3861E660">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其中：</w:t>
      </w:r>
    </w:p>
    <w:p w14:paraId="4C24C4E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（1）安全文明施工费：</w:t>
      </w:r>
    </w:p>
    <w:p w14:paraId="4166D7B0">
      <w:pPr>
        <w:snapToGrid w:val="0"/>
        <w:spacing w:line="360" w:lineRule="auto"/>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6142DE5B">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（2）材料和工程设备暂估价金额：</w:t>
      </w:r>
    </w:p>
    <w:p w14:paraId="07056C5E">
      <w:pPr>
        <w:snapToGrid w:val="0"/>
        <w:spacing w:line="360" w:lineRule="auto"/>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154B0B6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（3）专业工程暂估价金额：</w:t>
      </w:r>
    </w:p>
    <w:p w14:paraId="4BA4F0B5">
      <w:pPr>
        <w:snapToGrid w:val="0"/>
        <w:spacing w:line="360" w:lineRule="auto"/>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57BE647D">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（4）暂列金额：</w:t>
      </w:r>
    </w:p>
    <w:p w14:paraId="22782D3E">
      <w:pPr>
        <w:snapToGrid w:val="0"/>
        <w:spacing w:line="360" w:lineRule="auto"/>
        <w:ind w:firstLine="945" w:firstLineChars="450"/>
        <w:jc w:val="left"/>
        <w:rPr>
          <w:rFonts w:ascii="宋体" w:hAnsi="宋体" w:cs="宋体"/>
          <w:color w:val="auto"/>
          <w:szCs w:val="21"/>
          <w:highlight w:val="none"/>
          <w:u w:val="singl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7345C8A1">
      <w:pPr>
        <w:snapToGrid w:val="0"/>
        <w:spacing w:line="360" w:lineRule="auto"/>
        <w:ind w:left="412" w:leftChars="196"/>
        <w:jc w:val="left"/>
        <w:rPr>
          <w:rFonts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color w:val="auto"/>
          <w:szCs w:val="21"/>
          <w:highlight w:val="none"/>
          <w:u w:val="single"/>
        </w:rPr>
        <w:t xml:space="preserve"> 单价合同 </w:t>
      </w:r>
      <w:r>
        <w:rPr>
          <w:rFonts w:hint="eastAsia" w:ascii="宋体" w:hAnsi="宋体" w:cs="宋体"/>
          <w:color w:val="auto"/>
          <w:szCs w:val="21"/>
          <w:highlight w:val="none"/>
        </w:rPr>
        <w:t>。</w:t>
      </w:r>
    </w:p>
    <w:p w14:paraId="72DA9419">
      <w:pPr>
        <w:tabs>
          <w:tab w:val="left" w:pos="4409"/>
        </w:tabs>
        <w:snapToGrid w:val="0"/>
        <w:spacing w:line="360" w:lineRule="auto"/>
        <w:jc w:val="left"/>
        <w:rPr>
          <w:rFonts w:ascii="宋体" w:hAnsi="宋体" w:cs="宋体"/>
          <w:b/>
          <w:color w:val="auto"/>
          <w:szCs w:val="21"/>
          <w:highlight w:val="none"/>
        </w:rPr>
      </w:pPr>
      <w:bookmarkStart w:id="126" w:name="_Toc351203485"/>
      <w:r>
        <w:rPr>
          <w:rFonts w:hint="eastAsia" w:ascii="宋体" w:hAnsi="宋体" w:cs="宋体"/>
          <w:b/>
          <w:color w:val="auto"/>
          <w:szCs w:val="21"/>
          <w:highlight w:val="none"/>
        </w:rPr>
        <w:t>五、</w:t>
      </w:r>
      <w:bookmarkEnd w:id="126"/>
      <w:r>
        <w:rPr>
          <w:rFonts w:hint="eastAsia" w:ascii="宋体" w:hAnsi="宋体" w:cs="宋体"/>
          <w:b/>
          <w:color w:val="auto"/>
          <w:szCs w:val="21"/>
          <w:highlight w:val="none"/>
        </w:rPr>
        <w:t>项目负责人</w:t>
      </w:r>
    </w:p>
    <w:p w14:paraId="08C44C10">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承包人项目负责人：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注册编号：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B9AECB9">
      <w:pPr>
        <w:tabs>
          <w:tab w:val="left" w:pos="4409"/>
        </w:tabs>
        <w:snapToGrid w:val="0"/>
        <w:spacing w:line="360" w:lineRule="auto"/>
        <w:jc w:val="left"/>
        <w:rPr>
          <w:rFonts w:ascii="宋体" w:hAnsi="宋体" w:cs="宋体"/>
          <w:b/>
          <w:color w:val="auto"/>
          <w:szCs w:val="21"/>
          <w:highlight w:val="none"/>
        </w:rPr>
      </w:pPr>
      <w:bookmarkStart w:id="127" w:name="_Toc351203486"/>
      <w:r>
        <w:rPr>
          <w:rFonts w:hint="eastAsia" w:ascii="宋体" w:hAnsi="宋体" w:cs="宋体"/>
          <w:b/>
          <w:color w:val="auto"/>
          <w:szCs w:val="21"/>
          <w:highlight w:val="none"/>
        </w:rPr>
        <w:t>六、合同文件构成</w:t>
      </w:r>
      <w:bookmarkEnd w:id="127"/>
    </w:p>
    <w:p w14:paraId="5F28C0FB">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0F3AB1B2">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（1）中标通知书（如果有）；</w:t>
      </w:r>
    </w:p>
    <w:p w14:paraId="3B5D7BF4">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（2）投标函及其附录（如果有）； </w:t>
      </w:r>
    </w:p>
    <w:p w14:paraId="672DB884">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（3）专用合同条款及其附件；</w:t>
      </w:r>
    </w:p>
    <w:p w14:paraId="49FE8EDB">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（4）通用合同条款；</w:t>
      </w:r>
    </w:p>
    <w:p w14:paraId="0F9C364E">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（5）技术标准和要求；</w:t>
      </w:r>
    </w:p>
    <w:p w14:paraId="274D143C">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（6）图纸；</w:t>
      </w:r>
    </w:p>
    <w:p w14:paraId="3EE0DA44">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（7）已标价工程量清单或预算书；</w:t>
      </w:r>
    </w:p>
    <w:p w14:paraId="30EA6B60">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（8）其他合同文件。</w:t>
      </w:r>
    </w:p>
    <w:p w14:paraId="223F97C4">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在合同订立及履行过程中形成的与合同有关的文件均构成合同文件组成部分。如发生冲突以以上顺序为主要解释顺序。</w:t>
      </w:r>
    </w:p>
    <w:p w14:paraId="3B891677">
      <w:pPr>
        <w:autoSpaceDE w:val="0"/>
        <w:autoSpaceDN w:val="0"/>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bookmarkStart w:id="128" w:name="_Toc351203487"/>
    </w:p>
    <w:p w14:paraId="4D98EE7D">
      <w:pPr>
        <w:tabs>
          <w:tab w:val="left" w:pos="4409"/>
        </w:tabs>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七、承诺</w:t>
      </w:r>
      <w:bookmarkEnd w:id="128"/>
    </w:p>
    <w:p w14:paraId="2E8DC535">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10A997F7">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1D9622D5">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736BA755">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4.</w:t>
      </w:r>
      <w:r>
        <w:rPr>
          <w:rFonts w:hint="eastAsia" w:ascii="宋体" w:hAnsi="宋体" w:cs="宋体"/>
          <w:bCs/>
          <w:color w:val="auto"/>
          <w:szCs w:val="21"/>
          <w:highlight w:val="none"/>
          <w:u w:val="single"/>
        </w:rPr>
        <w:t>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p>
    <w:p w14:paraId="430821CF">
      <w:pPr>
        <w:snapToGrid w:val="0"/>
        <w:spacing w:line="360" w:lineRule="auto"/>
        <w:ind w:firstLine="420" w:firstLineChars="200"/>
        <w:jc w:val="left"/>
        <w:rPr>
          <w:rFonts w:ascii="宋体" w:hAnsi="宋体" w:cs="宋体"/>
          <w:bCs/>
          <w:color w:val="auto"/>
          <w:szCs w:val="21"/>
          <w:highlight w:val="none"/>
        </w:rPr>
      </w:pPr>
    </w:p>
    <w:p w14:paraId="4B78B665">
      <w:pPr>
        <w:tabs>
          <w:tab w:val="left" w:pos="4409"/>
        </w:tabs>
        <w:snapToGrid w:val="0"/>
        <w:spacing w:line="360" w:lineRule="auto"/>
        <w:jc w:val="left"/>
        <w:rPr>
          <w:rFonts w:ascii="宋体" w:hAnsi="宋体" w:cs="宋体"/>
          <w:b/>
          <w:color w:val="auto"/>
          <w:szCs w:val="21"/>
          <w:highlight w:val="none"/>
        </w:rPr>
      </w:pPr>
      <w:bookmarkStart w:id="129" w:name="_Toc351203488"/>
      <w:r>
        <w:rPr>
          <w:rFonts w:hint="eastAsia" w:ascii="宋体" w:hAnsi="宋体" w:cs="宋体"/>
          <w:b/>
          <w:color w:val="auto"/>
          <w:szCs w:val="21"/>
          <w:highlight w:val="none"/>
        </w:rPr>
        <w:t>八、词语含义</w:t>
      </w:r>
      <w:bookmarkEnd w:id="129"/>
    </w:p>
    <w:p w14:paraId="4AEB6424">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589DEB9C">
      <w:pPr>
        <w:tabs>
          <w:tab w:val="left" w:pos="4409"/>
        </w:tabs>
        <w:snapToGrid w:val="0"/>
        <w:spacing w:line="360" w:lineRule="auto"/>
        <w:jc w:val="left"/>
        <w:rPr>
          <w:rFonts w:ascii="宋体" w:hAnsi="宋体" w:cs="宋体"/>
          <w:b/>
          <w:color w:val="auto"/>
          <w:szCs w:val="21"/>
          <w:highlight w:val="none"/>
        </w:rPr>
      </w:pPr>
      <w:bookmarkStart w:id="130" w:name="_Toc351203489"/>
      <w:r>
        <w:rPr>
          <w:rFonts w:hint="eastAsia" w:ascii="宋体" w:hAnsi="宋体" w:cs="宋体"/>
          <w:b/>
          <w:color w:val="auto"/>
          <w:szCs w:val="21"/>
          <w:highlight w:val="none"/>
        </w:rPr>
        <w:t>九、签订时间</w:t>
      </w:r>
      <w:bookmarkEnd w:id="130"/>
    </w:p>
    <w:p w14:paraId="787F707B">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本合同于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日签订。</w:t>
      </w:r>
    </w:p>
    <w:p w14:paraId="7EF7C3F1">
      <w:pPr>
        <w:tabs>
          <w:tab w:val="left" w:pos="4409"/>
        </w:tabs>
        <w:snapToGrid w:val="0"/>
        <w:spacing w:line="360" w:lineRule="auto"/>
        <w:jc w:val="left"/>
        <w:rPr>
          <w:rFonts w:ascii="宋体" w:hAnsi="宋体" w:cs="宋体"/>
          <w:b/>
          <w:color w:val="auto"/>
          <w:szCs w:val="21"/>
          <w:highlight w:val="none"/>
        </w:rPr>
      </w:pPr>
      <w:bookmarkStart w:id="131" w:name="_Toc351203490"/>
      <w:r>
        <w:rPr>
          <w:rFonts w:hint="eastAsia" w:ascii="宋体" w:hAnsi="宋体" w:cs="宋体"/>
          <w:b/>
          <w:color w:val="auto"/>
          <w:szCs w:val="21"/>
          <w:highlight w:val="none"/>
        </w:rPr>
        <w:t>十、签订地点</w:t>
      </w:r>
      <w:bookmarkEnd w:id="131"/>
    </w:p>
    <w:p w14:paraId="7A1E2CBA">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本合同在</w:t>
      </w:r>
      <w:r>
        <w:rPr>
          <w:rFonts w:hint="eastAsia" w:ascii="宋体" w:hAnsi="宋体" w:cs="宋体"/>
          <w:bCs/>
          <w:color w:val="auto"/>
          <w:szCs w:val="21"/>
          <w:highlight w:val="none"/>
          <w:u w:val="single"/>
        </w:rPr>
        <w:t xml:space="preserve">   发包人处     </w:t>
      </w:r>
      <w:r>
        <w:rPr>
          <w:rFonts w:hint="eastAsia" w:ascii="宋体" w:hAnsi="宋体" w:cs="宋体"/>
          <w:bCs/>
          <w:color w:val="auto"/>
          <w:szCs w:val="21"/>
          <w:highlight w:val="none"/>
        </w:rPr>
        <w:t>签订。</w:t>
      </w:r>
      <w:bookmarkStart w:id="132" w:name="_Toc351203491"/>
    </w:p>
    <w:p w14:paraId="0E79BC27">
      <w:pPr>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十一、补充协议</w:t>
      </w:r>
      <w:bookmarkEnd w:id="132"/>
    </w:p>
    <w:p w14:paraId="749CBFEE">
      <w:pPr>
        <w:snapToGrid w:val="0"/>
        <w:spacing w:line="360" w:lineRule="auto"/>
        <w:ind w:firstLine="420" w:firstLineChars="200"/>
        <w:jc w:val="left"/>
        <w:rPr>
          <w:rFonts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r>
        <w:rPr>
          <w:rFonts w:hint="eastAsia" w:ascii="宋体" w:hAnsi="宋体"/>
          <w:bCs/>
          <w:color w:val="auto"/>
          <w:szCs w:val="21"/>
          <w:highlight w:val="none"/>
        </w:rPr>
        <w:t>与本合同具有同等法律效力。</w:t>
      </w:r>
      <w:r>
        <w:rPr>
          <w:rFonts w:hint="eastAsia" w:ascii="宋体" w:hAnsi="宋体" w:cs="宋体"/>
          <w:bCs/>
          <w:color w:val="auto"/>
          <w:szCs w:val="21"/>
          <w:highlight w:val="none"/>
        </w:rPr>
        <w:t>。</w:t>
      </w:r>
    </w:p>
    <w:p w14:paraId="3753F1F3">
      <w:pPr>
        <w:snapToGrid w:val="0"/>
        <w:spacing w:line="360" w:lineRule="auto"/>
        <w:jc w:val="left"/>
        <w:rPr>
          <w:rFonts w:ascii="宋体" w:hAnsi="宋体" w:cs="宋体"/>
          <w:b/>
          <w:color w:val="auto"/>
          <w:szCs w:val="21"/>
          <w:highlight w:val="none"/>
        </w:rPr>
      </w:pPr>
      <w:bookmarkStart w:id="133" w:name="_Toc351203492"/>
      <w:r>
        <w:rPr>
          <w:rFonts w:hint="eastAsia" w:ascii="宋体" w:hAnsi="宋体" w:cs="宋体"/>
          <w:b/>
          <w:color w:val="auto"/>
          <w:szCs w:val="21"/>
          <w:highlight w:val="none"/>
        </w:rPr>
        <w:t>十二、合同生效</w:t>
      </w:r>
      <w:bookmarkEnd w:id="133"/>
    </w:p>
    <w:p w14:paraId="1BF01E68">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Cs/>
          <w:color w:val="auto"/>
          <w:szCs w:val="21"/>
          <w:highlight w:val="none"/>
          <w:u w:val="single"/>
        </w:rPr>
        <w:t xml:space="preserve">   双方盖章签字后  </w:t>
      </w:r>
      <w:r>
        <w:rPr>
          <w:rFonts w:hint="eastAsia" w:ascii="宋体" w:hAnsi="宋体" w:cs="宋体"/>
          <w:bCs/>
          <w:color w:val="auto"/>
          <w:szCs w:val="21"/>
          <w:highlight w:val="none"/>
        </w:rPr>
        <w:t>生效。</w:t>
      </w:r>
    </w:p>
    <w:p w14:paraId="71C86B92">
      <w:pPr>
        <w:snapToGrid w:val="0"/>
        <w:spacing w:line="360" w:lineRule="auto"/>
        <w:jc w:val="left"/>
        <w:rPr>
          <w:rFonts w:ascii="宋体" w:hAnsi="宋体" w:cs="宋体"/>
          <w:b/>
          <w:color w:val="auto"/>
          <w:szCs w:val="21"/>
          <w:highlight w:val="none"/>
        </w:rPr>
      </w:pPr>
      <w:bookmarkStart w:id="134" w:name="_Toc351203493"/>
      <w:r>
        <w:rPr>
          <w:rFonts w:hint="eastAsia" w:ascii="宋体" w:hAnsi="宋体" w:cs="宋体"/>
          <w:b/>
          <w:color w:val="auto"/>
          <w:szCs w:val="21"/>
          <w:highlight w:val="none"/>
        </w:rPr>
        <w:t>十三、合同份数</w:t>
      </w:r>
      <w:bookmarkEnd w:id="134"/>
    </w:p>
    <w:p w14:paraId="6CE8D665">
      <w:pPr>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本合同一式</w:t>
      </w:r>
      <w:r>
        <w:rPr>
          <w:rFonts w:hint="eastAsia" w:ascii="宋体" w:hAnsi="宋体" w:cs="宋体"/>
          <w:bCs/>
          <w:color w:val="auto"/>
          <w:szCs w:val="21"/>
          <w:highlight w:val="none"/>
          <w:u w:val="single"/>
        </w:rPr>
        <w:t xml:space="preserve"> 陆 </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 xml:space="preserve"> 叁 </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 xml:space="preserve"> 叁 </w:t>
      </w:r>
      <w:r>
        <w:rPr>
          <w:rFonts w:hint="eastAsia" w:ascii="宋体" w:hAnsi="宋体" w:cs="宋体"/>
          <w:bCs/>
          <w:color w:val="auto"/>
          <w:szCs w:val="21"/>
          <w:highlight w:val="none"/>
        </w:rPr>
        <w:t>份。</w:t>
      </w:r>
    </w:p>
    <w:p w14:paraId="2C4C8512">
      <w:pPr>
        <w:snapToGrid w:val="0"/>
        <w:spacing w:line="360" w:lineRule="auto"/>
        <w:rPr>
          <w:rFonts w:ascii="宋体" w:hAnsi="宋体" w:cs="宋体"/>
          <w:color w:val="auto"/>
          <w:sz w:val="18"/>
          <w:szCs w:val="18"/>
          <w:highlight w:val="none"/>
        </w:rPr>
      </w:pPr>
    </w:p>
    <w:p w14:paraId="32C02023">
      <w:pPr>
        <w:snapToGrid w:val="0"/>
        <w:spacing w:line="360" w:lineRule="auto"/>
        <w:rPr>
          <w:rFonts w:ascii="宋体" w:hAnsi="宋体" w:cs="宋体"/>
          <w:color w:val="auto"/>
          <w:sz w:val="18"/>
          <w:szCs w:val="18"/>
          <w:highlight w:val="none"/>
        </w:rPr>
      </w:pPr>
    </w:p>
    <w:p w14:paraId="0ADAFFA3">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发包人：  (公章)                     发包人：  (公章)                     承包人：  (公章)</w:t>
      </w:r>
    </w:p>
    <w:p w14:paraId="2EA73AF0">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法定代表人或其委托代理人：（签字）  法定代表人或其委托代理人：（签字）    法定代表人或其委托代理人：（签字）</w:t>
      </w:r>
    </w:p>
    <w:p w14:paraId="3AF40E93">
      <w:pPr>
        <w:tabs>
          <w:tab w:val="left" w:pos="4410"/>
        </w:tabs>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组织机构代码：                       组织机构代码：                       组织机构代码：</w:t>
      </w:r>
    </w:p>
    <w:p w14:paraId="3D8975E4">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地  址：                             地  址：                             地  址：</w:t>
      </w:r>
    </w:p>
    <w:p w14:paraId="5E3E9BE1">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邮政编码：                           邮政编码：                           邮政编码：</w:t>
      </w:r>
    </w:p>
    <w:p w14:paraId="1E31176B">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法定代表人：                         法定代表人：                         法定代表人：</w:t>
      </w:r>
    </w:p>
    <w:p w14:paraId="177D3EAC">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委托代理人：                         委托代理人：                         委托代理人：</w:t>
      </w:r>
    </w:p>
    <w:p w14:paraId="2D8FBF16">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电  话：                             电  话：                             电  话：</w:t>
      </w:r>
    </w:p>
    <w:p w14:paraId="5FE57961">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传  真：                             传  真：                             传  真：</w:t>
      </w:r>
    </w:p>
    <w:p w14:paraId="64D5A170">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开户银行：                           开户银行：                           开户银行：</w:t>
      </w:r>
    </w:p>
    <w:p w14:paraId="6FAFAB34">
      <w:pPr>
        <w:snapToGrid w:val="0"/>
        <w:spacing w:line="360" w:lineRule="auto"/>
        <w:rPr>
          <w:rFonts w:ascii="宋体" w:hAnsi="宋体" w:cs="宋体"/>
          <w:color w:val="auto"/>
          <w:sz w:val="17"/>
          <w:szCs w:val="17"/>
          <w:highlight w:val="none"/>
        </w:rPr>
      </w:pPr>
      <w:r>
        <w:rPr>
          <w:rFonts w:hint="eastAsia" w:ascii="宋体" w:hAnsi="宋体" w:cs="宋体"/>
          <w:color w:val="auto"/>
          <w:sz w:val="17"/>
          <w:szCs w:val="17"/>
          <w:highlight w:val="none"/>
        </w:rPr>
        <w:t>账  号：                             账  号：                             账  号：</w:t>
      </w:r>
      <w:bookmarkStart w:id="135" w:name="_Toc351203494"/>
    </w:p>
    <w:p w14:paraId="2B820640">
      <w:pPr>
        <w:spacing w:line="360" w:lineRule="auto"/>
        <w:jc w:val="center"/>
        <w:rPr>
          <w:rFonts w:ascii="宋体" w:hAnsi="宋体" w:cs="宋体"/>
          <w:b/>
          <w:color w:val="auto"/>
          <w:sz w:val="24"/>
          <w:highlight w:val="none"/>
        </w:rPr>
      </w:pPr>
      <w:r>
        <w:rPr>
          <w:rFonts w:hint="eastAsia" w:ascii="宋体" w:hAnsi="宋体" w:cs="宋体"/>
          <w:b/>
          <w:color w:val="auto"/>
          <w:szCs w:val="21"/>
          <w:highlight w:val="none"/>
        </w:rPr>
        <w:br w:type="page"/>
      </w:r>
      <w:r>
        <w:rPr>
          <w:rFonts w:hint="eastAsia" w:ascii="宋体" w:hAnsi="宋体" w:cs="宋体"/>
          <w:b/>
          <w:color w:val="auto"/>
          <w:sz w:val="24"/>
          <w:highlight w:val="none"/>
        </w:rPr>
        <w:t>第二部分 通用合同条款</w:t>
      </w:r>
      <w:bookmarkEnd w:id="135"/>
      <w:bookmarkStart w:id="136" w:name="_Toc337558727"/>
    </w:p>
    <w:p w14:paraId="47AB9023">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此部分采用《建设工程施工合同》范本（GF-2017-0201）中《第二部分 通用合同条款》</w:t>
      </w:r>
    </w:p>
    <w:bookmarkEnd w:id="136"/>
    <w:p w14:paraId="27488F8D">
      <w:pPr>
        <w:spacing w:line="360" w:lineRule="auto"/>
        <w:jc w:val="center"/>
        <w:rPr>
          <w:rFonts w:ascii="宋体" w:hAnsi="宋体" w:cs="宋体"/>
          <w:b/>
          <w:color w:val="auto"/>
          <w:szCs w:val="21"/>
          <w:highlight w:val="none"/>
        </w:rPr>
      </w:pPr>
    </w:p>
    <w:p w14:paraId="18A110F5">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第三部分 专用合同条款</w:t>
      </w:r>
    </w:p>
    <w:p w14:paraId="37651CF4">
      <w:pPr>
        <w:tabs>
          <w:tab w:val="left" w:pos="4409"/>
        </w:tabs>
        <w:adjustRightInd w:val="0"/>
        <w:snapToGrid w:val="0"/>
        <w:spacing w:line="360" w:lineRule="auto"/>
        <w:jc w:val="left"/>
        <w:rPr>
          <w:rFonts w:ascii="宋体" w:hAnsi="宋体" w:cs="宋体"/>
          <w:b/>
          <w:color w:val="auto"/>
          <w:szCs w:val="21"/>
          <w:highlight w:val="none"/>
        </w:rPr>
      </w:pPr>
      <w:bookmarkStart w:id="137" w:name="_Toc351203633"/>
      <w:r>
        <w:rPr>
          <w:rFonts w:hint="eastAsia" w:ascii="宋体" w:hAnsi="宋体" w:cs="宋体"/>
          <w:b/>
          <w:color w:val="auto"/>
          <w:szCs w:val="21"/>
          <w:highlight w:val="none"/>
        </w:rPr>
        <w:t>1</w:t>
      </w:r>
      <w:bookmarkStart w:id="138" w:name="_Toc296890984"/>
      <w:bookmarkStart w:id="139" w:name="_Toc296891196"/>
      <w:bookmarkStart w:id="140" w:name="_Toc297048342"/>
      <w:bookmarkStart w:id="141" w:name="_Toc297120456"/>
      <w:bookmarkStart w:id="142" w:name="_Toc296944495"/>
      <w:bookmarkStart w:id="143" w:name="_Toc296503156"/>
      <w:bookmarkStart w:id="144" w:name="_Toc292559361"/>
      <w:bookmarkStart w:id="145" w:name="_Toc292559866"/>
      <w:bookmarkStart w:id="146" w:name="_Toc296346657"/>
      <w:bookmarkStart w:id="147" w:name="_Toc296347155"/>
      <w:r>
        <w:rPr>
          <w:rFonts w:hint="eastAsia" w:ascii="宋体" w:hAnsi="宋体" w:cs="宋体"/>
          <w:b/>
          <w:color w:val="auto"/>
          <w:szCs w:val="21"/>
          <w:highlight w:val="none"/>
        </w:rPr>
        <w:t>. 一般约定</w:t>
      </w:r>
      <w:bookmarkEnd w:id="137"/>
    </w:p>
    <w:bookmarkEnd w:id="138"/>
    <w:bookmarkEnd w:id="139"/>
    <w:bookmarkEnd w:id="140"/>
    <w:bookmarkEnd w:id="141"/>
    <w:bookmarkEnd w:id="142"/>
    <w:bookmarkEnd w:id="143"/>
    <w:bookmarkEnd w:id="144"/>
    <w:bookmarkEnd w:id="145"/>
    <w:bookmarkEnd w:id="146"/>
    <w:bookmarkEnd w:id="147"/>
    <w:p w14:paraId="3FD4EC7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 词语定义</w:t>
      </w:r>
    </w:p>
    <w:p w14:paraId="4F20464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1.1.1合同</w:t>
      </w:r>
    </w:p>
    <w:p w14:paraId="48E58E9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1.1.1.10其他合同文件包括：</w:t>
      </w:r>
      <w:r>
        <w:rPr>
          <w:rFonts w:hint="eastAsia" w:ascii="宋体" w:hAnsi="宋体" w:cs="宋体"/>
          <w:color w:val="auto"/>
          <w:szCs w:val="21"/>
          <w:highlight w:val="none"/>
          <w:u w:val="single"/>
        </w:rPr>
        <w:t>（1）合同协议书；（2）明确双方权利、义务的纪要、补充协议；（3）中标通知书；（4）投标函及其附录；（5）专用合同条款及其附件；（6）通用合同条款；（7）标准、规范及有关技术文件、技术要求；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cs="宋体"/>
          <w:color w:val="auto"/>
          <w:szCs w:val="21"/>
          <w:highlight w:val="none"/>
        </w:rPr>
        <w:t>。</w:t>
      </w:r>
    </w:p>
    <w:p w14:paraId="4F21E3F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1.1.2 合同当事人及其他相关方</w:t>
      </w:r>
    </w:p>
    <w:p w14:paraId="7F71ABB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1.1.2.4监理人：</w:t>
      </w:r>
    </w:p>
    <w:p w14:paraId="10821A3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559C53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4DF5E5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p>
    <w:p w14:paraId="3AA8D3E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C88699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EBD8DE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1.1.2.5 设计人：</w:t>
      </w:r>
    </w:p>
    <w:p w14:paraId="594E2E7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0F3E8DB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资质类别和等级：</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4D6F51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119E9A3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29654FC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77FD53F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1.1.3 工程和设备</w:t>
      </w:r>
    </w:p>
    <w:p w14:paraId="3E0A06F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1.1.3.7 作为施工现场组成部分的其他场所包括：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8615C0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1.1.3.9 永久占地包括：</w:t>
      </w:r>
      <w:r>
        <w:rPr>
          <w:rFonts w:hint="eastAsia" w:ascii="宋体" w:hAnsi="宋体" w:cs="宋体"/>
          <w:color w:val="auto"/>
          <w:szCs w:val="21"/>
          <w:highlight w:val="none"/>
          <w:u w:val="single"/>
        </w:rPr>
        <w:t xml:space="preserve">  规划红线范围内的土地</w:t>
      </w:r>
      <w:r>
        <w:rPr>
          <w:rFonts w:hint="eastAsia" w:ascii="宋体" w:hAnsi="宋体" w:cs="宋体"/>
          <w:color w:val="auto"/>
          <w:szCs w:val="21"/>
          <w:highlight w:val="none"/>
        </w:rPr>
        <w:t>。</w:t>
      </w:r>
    </w:p>
    <w:p w14:paraId="16A5627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1.1.3.10 临时占地包括：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ADE186E">
      <w:pPr>
        <w:pStyle w:val="30"/>
        <w:snapToGrid w:val="0"/>
        <w:spacing w:before="0" w:beforeAutospacing="0" w:after="0" w:afterAutospacing="0" w:line="360" w:lineRule="auto"/>
        <w:ind w:firstLine="420" w:firstLineChars="200"/>
        <w:rPr>
          <w:color w:val="auto"/>
          <w:sz w:val="21"/>
          <w:szCs w:val="21"/>
          <w:highlight w:val="none"/>
        </w:rPr>
      </w:pPr>
      <w:r>
        <w:rPr>
          <w:rStyle w:val="451"/>
          <w:rFonts w:hint="eastAsia" w:ascii="宋体" w:hAnsi="宋体"/>
          <w:color w:val="auto"/>
          <w:sz w:val="21"/>
          <w:szCs w:val="21"/>
          <w:highlight w:val="none"/>
        </w:rPr>
        <w:t>1.1.5 合同价格和费用</w:t>
      </w:r>
    </w:p>
    <w:p w14:paraId="6ABB6671">
      <w:pPr>
        <w:widowControl/>
        <w:snapToGrid w:val="0"/>
        <w:spacing w:line="360" w:lineRule="auto"/>
        <w:jc w:val="left"/>
        <w:rPr>
          <w:rFonts w:ascii="宋体" w:hAnsi="宋体" w:cs="宋体"/>
          <w:color w:val="auto"/>
          <w:szCs w:val="21"/>
          <w:highlight w:val="none"/>
          <w:u w:val="single"/>
        </w:rPr>
      </w:pPr>
      <w:r>
        <w:rPr>
          <w:rStyle w:val="451"/>
          <w:rFonts w:hint="eastAsia" w:ascii="宋体" w:hAnsi="宋体" w:cs="宋体"/>
          <w:color w:val="auto"/>
          <w:szCs w:val="21"/>
          <w:highlight w:val="none"/>
        </w:rPr>
        <w:t>1.1.5.1 签约合同价：</w:t>
      </w:r>
      <w:r>
        <w:rPr>
          <w:rStyle w:val="461"/>
          <w:rFonts w:hint="eastAsia" w:ascii="宋体" w:hAnsi="宋体" w:cs="宋体"/>
          <w:color w:val="auto"/>
          <w:szCs w:val="21"/>
          <w:highlight w:val="none"/>
        </w:rPr>
        <w:t>本项目招标投标时已按</w:t>
      </w:r>
      <w:r>
        <w:rPr>
          <w:rFonts w:hint="eastAsia" w:ascii="宋体" w:hAnsi="宋体" w:cs="宋体"/>
          <w:color w:val="auto"/>
          <w:szCs w:val="21"/>
          <w:highlight w:val="none"/>
          <w:u w:val="single"/>
        </w:rPr>
        <w:t>省住建厅《江苏省住房城乡建设厅关于调整建设工程计价增值税税率的通知》（苏建函价〔2019〕178号）文件</w:t>
      </w:r>
      <w:r>
        <w:rPr>
          <w:rStyle w:val="461"/>
          <w:rFonts w:hint="eastAsia" w:ascii="宋体" w:hAnsi="宋体" w:cs="宋体"/>
          <w:color w:val="auto"/>
          <w:szCs w:val="21"/>
          <w:highlight w:val="none"/>
        </w:rPr>
        <w:t>规定执行，本项目增值税采用一般计税方法，工程造价=税前工程造价×（1+9%）。</w:t>
      </w:r>
    </w:p>
    <w:p w14:paraId="1E93866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1.3法律 </w:t>
      </w:r>
    </w:p>
    <w:p w14:paraId="68172B7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适用于合同的其他规范性文件：</w:t>
      </w:r>
      <w:r>
        <w:rPr>
          <w:rFonts w:hint="eastAsia" w:ascii="宋体" w:hAnsi="宋体"/>
          <w:color w:val="auto"/>
          <w:szCs w:val="21"/>
          <w:highlight w:val="none"/>
          <w:u w:val="single"/>
        </w:rPr>
        <w:t>现行国家、江苏省、南京市、江宁区政府及其行政主管部门颁布的有关建设工程法律、法规、政策性文件</w:t>
      </w:r>
      <w:r>
        <w:rPr>
          <w:rFonts w:hint="eastAsia" w:ascii="宋体" w:hAnsi="宋体"/>
          <w:color w:val="auto"/>
          <w:szCs w:val="21"/>
          <w:highlight w:val="none"/>
        </w:rPr>
        <w:t>。</w:t>
      </w:r>
    </w:p>
    <w:p w14:paraId="74C9798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 标准和规范</w:t>
      </w:r>
    </w:p>
    <w:p w14:paraId="617FBE1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1.4.1适用于工程的标准规范包括：</w:t>
      </w:r>
      <w:r>
        <w:rPr>
          <w:rFonts w:hint="eastAsia" w:ascii="宋体" w:hAnsi="宋体" w:cs="宋体"/>
          <w:color w:val="auto"/>
          <w:szCs w:val="21"/>
          <w:highlight w:val="none"/>
          <w:u w:val="single"/>
        </w:rPr>
        <w:t>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color w:val="auto"/>
          <w:szCs w:val="21"/>
          <w:highlight w:val="none"/>
        </w:rPr>
        <w:t>。</w:t>
      </w:r>
    </w:p>
    <w:p w14:paraId="762A72B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1.4.2 发包人提供国外标准、规范的名称：</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2279B56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发包人提供国外标准、规范的份数：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976136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发包人提供国外标准、规范的名称：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AEC08F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1.4.3发包人对工程的技术标准和功能要求的特殊要求：</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2BD0C2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 合同文件的优先顺序</w:t>
      </w:r>
    </w:p>
    <w:p w14:paraId="2BB9C029">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合同文件组成及优先顺序为：</w:t>
      </w:r>
      <w:r>
        <w:rPr>
          <w:rFonts w:hint="eastAsia" w:ascii="宋体" w:hAnsi="宋体" w:cs="宋体"/>
          <w:color w:val="auto"/>
          <w:szCs w:val="21"/>
          <w:highlight w:val="none"/>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cs="宋体"/>
          <w:color w:val="auto"/>
          <w:szCs w:val="21"/>
          <w:highlight w:val="none"/>
        </w:rPr>
        <w:t xml:space="preserve">  </w:t>
      </w:r>
    </w:p>
    <w:p w14:paraId="1EC882CE">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u w:val="single"/>
        </w:rPr>
        <w:t>上述各项合同文件包括合同当事人就该项合同文件所作出的补充和修改，属于同一类内容的文件，应以最新签署的为准，如果合同出现模糊、矛盾或不一致之处（本合同另有约定的除外），以发包人的解释和澄清为准。</w:t>
      </w:r>
    </w:p>
    <w:p w14:paraId="50F228A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 图纸和承包人文件</w:t>
      </w:r>
      <w:r>
        <w:rPr>
          <w:rFonts w:hint="eastAsia" w:ascii="宋体" w:hAnsi="宋体" w:cs="宋体"/>
          <w:color w:val="auto"/>
          <w:szCs w:val="21"/>
          <w:highlight w:val="none"/>
        </w:rPr>
        <w:tab/>
      </w:r>
    </w:p>
    <w:p w14:paraId="069DCA7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 图纸的提供</w:t>
      </w:r>
    </w:p>
    <w:p w14:paraId="3E1BBB5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发包人向承包人提供图纸的期限：</w:t>
      </w:r>
      <w:r>
        <w:rPr>
          <w:rFonts w:hint="eastAsia" w:ascii="宋体" w:hAnsi="宋体" w:cs="宋体"/>
          <w:color w:val="auto"/>
          <w:szCs w:val="21"/>
          <w:highlight w:val="none"/>
          <w:u w:val="single"/>
        </w:rPr>
        <w:t xml:space="preserve"> 开工前7天 </w:t>
      </w:r>
      <w:r>
        <w:rPr>
          <w:rFonts w:hint="eastAsia" w:ascii="宋体" w:hAnsi="宋体" w:cs="宋体"/>
          <w:color w:val="auto"/>
          <w:szCs w:val="21"/>
          <w:highlight w:val="none"/>
        </w:rPr>
        <w:t>；</w:t>
      </w:r>
    </w:p>
    <w:p w14:paraId="2DD1339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发包人向承包人提供图纸的数量：</w:t>
      </w:r>
      <w:r>
        <w:rPr>
          <w:rFonts w:hint="eastAsia" w:ascii="宋体" w:hAnsi="宋体" w:cs="宋体"/>
          <w:color w:val="auto"/>
          <w:szCs w:val="21"/>
          <w:highlight w:val="none"/>
          <w:u w:val="single"/>
        </w:rPr>
        <w:t xml:space="preserve"> 开工前提供6套施工图纸，承包人如需增加图纸份数，发包人可代为复制，复制费用由承包人承担</w:t>
      </w:r>
      <w:r>
        <w:rPr>
          <w:rFonts w:hint="eastAsia" w:ascii="宋体" w:hAnsi="宋体" w:cs="宋体"/>
          <w:color w:val="auto"/>
          <w:szCs w:val="21"/>
          <w:highlight w:val="none"/>
        </w:rPr>
        <w:t>。</w:t>
      </w:r>
    </w:p>
    <w:p w14:paraId="7D70F233">
      <w:pPr>
        <w:adjustRightInd w:val="0"/>
        <w:snapToGrid w:val="0"/>
        <w:spacing w:line="360" w:lineRule="auto"/>
        <w:ind w:firstLine="2"/>
        <w:jc w:val="left"/>
        <w:rPr>
          <w:rFonts w:ascii="宋体" w:hAnsi="宋体" w:cs="宋体"/>
          <w:color w:val="auto"/>
          <w:szCs w:val="21"/>
          <w:highlight w:val="none"/>
        </w:rPr>
      </w:pPr>
      <w:r>
        <w:rPr>
          <w:rFonts w:hint="eastAsia" w:ascii="宋体" w:hAnsi="宋体" w:cs="宋体"/>
          <w:color w:val="auto"/>
          <w:szCs w:val="21"/>
          <w:highlight w:val="none"/>
        </w:rPr>
        <w:t xml:space="preserve">    发包人对图纸的保密要求：</w:t>
      </w:r>
      <w:r>
        <w:rPr>
          <w:rFonts w:hint="eastAsia" w:ascii="宋体" w:hAnsi="宋体" w:cs="宋体"/>
          <w:color w:val="auto"/>
          <w:szCs w:val="21"/>
          <w:highlight w:val="none"/>
          <w:u w:val="single"/>
        </w:rPr>
        <w:t>保密，不可向第三人提供本项目图纸</w:t>
      </w:r>
      <w:r>
        <w:rPr>
          <w:rFonts w:hint="eastAsia" w:ascii="宋体" w:hAnsi="宋体" w:cs="宋体"/>
          <w:color w:val="auto"/>
          <w:szCs w:val="21"/>
          <w:highlight w:val="none"/>
        </w:rPr>
        <w:t>。 </w:t>
      </w:r>
    </w:p>
    <w:p w14:paraId="1CD9540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发包人向承包人提供图纸的内容：</w:t>
      </w:r>
      <w:r>
        <w:rPr>
          <w:rFonts w:hint="eastAsia" w:ascii="宋体" w:hAnsi="宋体" w:cs="宋体"/>
          <w:color w:val="auto"/>
          <w:szCs w:val="21"/>
          <w:highlight w:val="none"/>
          <w:u w:val="single"/>
        </w:rPr>
        <w:t>所涉及施工范围内的施工图。在整个施工过程中承包人需根据各专业图纸的增加和变更，及时做好图纸的汇总和更新</w:t>
      </w:r>
      <w:r>
        <w:rPr>
          <w:rFonts w:hint="eastAsia" w:ascii="宋体" w:hAnsi="宋体" w:cs="宋体"/>
          <w:color w:val="auto"/>
          <w:szCs w:val="21"/>
          <w:highlight w:val="none"/>
        </w:rPr>
        <w:t>。 </w:t>
      </w:r>
    </w:p>
    <w:p w14:paraId="7BEC217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1.6.4 承包人文件</w:t>
      </w:r>
    </w:p>
    <w:p w14:paraId="221113C2">
      <w:pPr>
        <w:adjustRightInd w:val="0"/>
        <w:snapToGrid w:val="0"/>
        <w:spacing w:line="360" w:lineRule="auto"/>
        <w:ind w:firstLine="2"/>
        <w:jc w:val="left"/>
        <w:rPr>
          <w:rFonts w:ascii="宋体" w:hAnsi="宋体" w:cs="宋体"/>
          <w:color w:val="auto"/>
          <w:szCs w:val="21"/>
          <w:highlight w:val="none"/>
          <w:u w:val="single"/>
        </w:rPr>
      </w:pPr>
      <w:r>
        <w:rPr>
          <w:rFonts w:hint="eastAsia" w:ascii="宋体" w:hAnsi="宋体" w:cs="宋体"/>
          <w:color w:val="auto"/>
          <w:szCs w:val="21"/>
          <w:highlight w:val="none"/>
        </w:rPr>
        <w:t xml:space="preserve">    需要由承包人提供的文件，包括：</w:t>
      </w:r>
      <w:r>
        <w:rPr>
          <w:rFonts w:hint="eastAsia" w:ascii="宋体" w:hAnsi="宋体" w:cs="宋体"/>
          <w:color w:val="auto"/>
          <w:szCs w:val="21"/>
          <w:highlight w:val="none"/>
          <w:u w:val="single"/>
        </w:rPr>
        <w:t>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cs="宋体"/>
          <w:color w:val="auto"/>
          <w:szCs w:val="21"/>
          <w:highlight w:val="none"/>
        </w:rPr>
        <w:t>；</w:t>
      </w:r>
    </w:p>
    <w:p w14:paraId="397F421A">
      <w:pPr>
        <w:adjustRightInd w:val="0"/>
        <w:snapToGrid w:val="0"/>
        <w:spacing w:line="360" w:lineRule="auto"/>
        <w:ind w:firstLine="2"/>
        <w:jc w:val="left"/>
        <w:rPr>
          <w:rFonts w:ascii="宋体" w:hAnsi="宋体" w:cs="宋体"/>
          <w:color w:val="auto"/>
          <w:szCs w:val="21"/>
          <w:highlight w:val="none"/>
          <w:u w:val="single"/>
        </w:rPr>
      </w:pPr>
      <w:r>
        <w:rPr>
          <w:rFonts w:hint="eastAsia" w:ascii="宋体" w:hAnsi="宋体" w:cs="宋体"/>
          <w:color w:val="auto"/>
          <w:szCs w:val="21"/>
          <w:highlight w:val="none"/>
        </w:rPr>
        <w:t xml:space="preserve">    承包人提供的文件的期限为：</w:t>
      </w:r>
      <w:r>
        <w:rPr>
          <w:rFonts w:hint="eastAsia" w:ascii="宋体" w:hAnsi="宋体" w:cs="宋体"/>
          <w:color w:val="auto"/>
          <w:szCs w:val="21"/>
          <w:highlight w:val="none"/>
          <w:u w:val="single"/>
        </w:rPr>
        <w:t>（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cs="宋体"/>
          <w:color w:val="auto"/>
          <w:szCs w:val="21"/>
          <w:highlight w:val="none"/>
        </w:rPr>
        <w:t>。</w:t>
      </w:r>
    </w:p>
    <w:p w14:paraId="3092BE6E">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承包人提供的文件的数量为：</w:t>
      </w:r>
      <w:r>
        <w:rPr>
          <w:rFonts w:hint="eastAsia" w:ascii="宋体" w:hAnsi="宋体" w:cs="宋体"/>
          <w:color w:val="auto"/>
          <w:szCs w:val="21"/>
          <w:highlight w:val="none"/>
          <w:u w:val="single"/>
        </w:rPr>
        <w:t>上述文件书面资料不少于一式三份，如提供的份数无法满足需求，承包人需无偿另行提供，承包人需一并提供上述资料的电子版文件</w:t>
      </w:r>
      <w:r>
        <w:rPr>
          <w:rFonts w:hint="eastAsia" w:ascii="宋体" w:hAnsi="宋体" w:cs="宋体"/>
          <w:color w:val="auto"/>
          <w:szCs w:val="21"/>
          <w:highlight w:val="none"/>
        </w:rPr>
        <w:t>；</w:t>
      </w:r>
    </w:p>
    <w:p w14:paraId="577C85C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承包人提供的文件的形式为：</w:t>
      </w:r>
      <w:r>
        <w:rPr>
          <w:rFonts w:hint="eastAsia" w:ascii="宋体" w:hAnsi="宋体" w:cs="宋体"/>
          <w:color w:val="auto"/>
          <w:szCs w:val="21"/>
          <w:highlight w:val="none"/>
          <w:u w:val="single"/>
        </w:rPr>
        <w:t>书面形式</w:t>
      </w:r>
      <w:r>
        <w:rPr>
          <w:rFonts w:hint="eastAsia" w:ascii="宋体" w:hAnsi="宋体" w:cs="宋体"/>
          <w:color w:val="auto"/>
          <w:szCs w:val="21"/>
          <w:highlight w:val="none"/>
        </w:rPr>
        <w:t>；</w:t>
      </w:r>
    </w:p>
    <w:p w14:paraId="694CF945">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发包人审批承包人文件的期限：</w:t>
      </w:r>
      <w:r>
        <w:rPr>
          <w:rFonts w:hint="eastAsia" w:ascii="宋体" w:hAnsi="宋体" w:cs="宋体"/>
          <w:color w:val="auto"/>
          <w:szCs w:val="21"/>
          <w:highlight w:val="none"/>
          <w:u w:val="single"/>
        </w:rPr>
        <w:t xml:space="preserve">收到文件后14天 </w:t>
      </w:r>
      <w:r>
        <w:rPr>
          <w:rFonts w:hint="eastAsia" w:ascii="宋体" w:hAnsi="宋体" w:cs="宋体"/>
          <w:color w:val="auto"/>
          <w:szCs w:val="21"/>
          <w:highlight w:val="none"/>
        </w:rPr>
        <w:t>。</w:t>
      </w:r>
    </w:p>
    <w:p w14:paraId="7CA4AD87">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1.6.5 现场图纸准备</w:t>
      </w:r>
    </w:p>
    <w:p w14:paraId="1736E74D">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关于现场图纸准备的约定：</w:t>
      </w:r>
      <w:r>
        <w:rPr>
          <w:rFonts w:hint="eastAsia" w:ascii="宋体" w:hAnsi="宋体" w:cs="宋体"/>
          <w:color w:val="auto"/>
          <w:szCs w:val="21"/>
          <w:highlight w:val="none"/>
          <w:u w:val="single"/>
        </w:rPr>
        <w:t>承包人应在施工现场另外保存一套完整的图纸和承包人文件，供发包人、监理人及有关人员进行工程检查时使用；另外保存四套完整图纸用于做竣工备案资料</w:t>
      </w:r>
      <w:r>
        <w:rPr>
          <w:rFonts w:hint="eastAsia" w:ascii="宋体" w:hAnsi="宋体" w:cs="宋体"/>
          <w:color w:val="auto"/>
          <w:szCs w:val="21"/>
          <w:highlight w:val="none"/>
        </w:rPr>
        <w:t>。</w:t>
      </w:r>
    </w:p>
    <w:p w14:paraId="2AB6FCB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 联络</w:t>
      </w:r>
    </w:p>
    <w:p w14:paraId="4C9EA24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1.7.1发包人和承包人应当在</w:t>
      </w:r>
      <w:r>
        <w:rPr>
          <w:rFonts w:hint="eastAsia" w:ascii="宋体" w:hAnsi="宋体" w:cs="宋体"/>
          <w:color w:val="auto"/>
          <w:szCs w:val="21"/>
          <w:highlight w:val="none"/>
          <w:u w:val="single"/>
        </w:rPr>
        <w:t xml:space="preserve"> 7 </w:t>
      </w:r>
      <w:r>
        <w:rPr>
          <w:rFonts w:hint="eastAsia" w:ascii="宋体" w:hAnsi="宋体" w:cs="宋体"/>
          <w:color w:val="auto"/>
          <w:szCs w:val="21"/>
          <w:highlight w:val="none"/>
        </w:rPr>
        <w:t>天内将与合同有关的通知、批准、证明、证书、指示、指令、要求、请求、书面同意、意见、确定和决定等书面函件送达对方当事人。</w:t>
      </w:r>
    </w:p>
    <w:p w14:paraId="04AA582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1.7.2 发包人接收文件的地点：</w:t>
      </w:r>
      <w:r>
        <w:rPr>
          <w:rFonts w:hint="eastAsia" w:ascii="宋体" w:hAnsi="宋体" w:cs="宋体"/>
          <w:color w:val="auto"/>
          <w:szCs w:val="21"/>
          <w:highlight w:val="none"/>
          <w:u w:val="single"/>
        </w:rPr>
        <w:t xml:space="preserve"> 项目现场发包人项目部或发包人办公室 </w:t>
      </w:r>
      <w:r>
        <w:rPr>
          <w:rFonts w:hint="eastAsia" w:ascii="宋体" w:hAnsi="宋体" w:cs="宋体"/>
          <w:color w:val="auto"/>
          <w:szCs w:val="21"/>
          <w:highlight w:val="none"/>
        </w:rPr>
        <w:t>；</w:t>
      </w:r>
    </w:p>
    <w:p w14:paraId="251CD20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发包人指定的接收人为：</w:t>
      </w:r>
      <w:r>
        <w:rPr>
          <w:rFonts w:hint="eastAsia" w:ascii="宋体" w:hAnsi="宋体" w:cs="宋体"/>
          <w:color w:val="auto"/>
          <w:szCs w:val="21"/>
          <w:highlight w:val="none"/>
          <w:u w:val="single"/>
        </w:rPr>
        <w:t xml:space="preserve"> 现场代表</w:t>
      </w:r>
      <w:r>
        <w:rPr>
          <w:rFonts w:hint="eastAsia" w:ascii="宋体" w:hAnsi="宋体" w:cs="宋体"/>
          <w:color w:val="auto"/>
          <w:szCs w:val="21"/>
          <w:highlight w:val="none"/>
        </w:rPr>
        <w:t>。</w:t>
      </w:r>
    </w:p>
    <w:p w14:paraId="0AE524D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承包人接收文件的地点：</w:t>
      </w:r>
      <w:r>
        <w:rPr>
          <w:rFonts w:hint="eastAsia" w:ascii="宋体" w:hAnsi="宋体" w:cs="宋体"/>
          <w:color w:val="auto"/>
          <w:szCs w:val="21"/>
          <w:highlight w:val="none"/>
          <w:u w:val="single"/>
        </w:rPr>
        <w:t xml:space="preserve"> 项目现场承包人项目部或承包人办公室 </w:t>
      </w:r>
      <w:r>
        <w:rPr>
          <w:rFonts w:hint="eastAsia" w:ascii="宋体" w:hAnsi="宋体" w:cs="宋体"/>
          <w:color w:val="auto"/>
          <w:szCs w:val="21"/>
          <w:highlight w:val="none"/>
        </w:rPr>
        <w:t>；</w:t>
      </w:r>
    </w:p>
    <w:p w14:paraId="6DF089C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承包人指定的接收人为：</w:t>
      </w:r>
      <w:r>
        <w:rPr>
          <w:rFonts w:hint="eastAsia" w:ascii="宋体" w:hAnsi="宋体" w:cs="宋体"/>
          <w:color w:val="auto"/>
          <w:szCs w:val="21"/>
          <w:highlight w:val="none"/>
          <w:u w:val="single"/>
        </w:rPr>
        <w:t xml:space="preserve">  项目负责人</w:t>
      </w:r>
      <w:r>
        <w:rPr>
          <w:rFonts w:hint="eastAsia" w:ascii="宋体" w:hAnsi="宋体" w:cs="宋体"/>
          <w:color w:val="auto"/>
          <w:szCs w:val="21"/>
          <w:highlight w:val="none"/>
        </w:rPr>
        <w:t>。</w:t>
      </w:r>
    </w:p>
    <w:p w14:paraId="1FB08F6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监理人接收文件的地点：</w:t>
      </w:r>
      <w:r>
        <w:rPr>
          <w:rFonts w:hint="eastAsia" w:ascii="宋体" w:hAnsi="宋体" w:cs="宋体"/>
          <w:color w:val="auto"/>
          <w:szCs w:val="21"/>
          <w:highlight w:val="none"/>
          <w:u w:val="single"/>
        </w:rPr>
        <w:t xml:space="preserve"> 项目现场监理项目部或监理人办公室 </w:t>
      </w:r>
      <w:r>
        <w:rPr>
          <w:rFonts w:hint="eastAsia" w:ascii="宋体" w:hAnsi="宋体" w:cs="宋体"/>
          <w:color w:val="auto"/>
          <w:szCs w:val="21"/>
          <w:highlight w:val="none"/>
        </w:rPr>
        <w:t>；</w:t>
      </w:r>
    </w:p>
    <w:p w14:paraId="533853C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监理人指定的接收人为：</w:t>
      </w:r>
      <w:r>
        <w:rPr>
          <w:rFonts w:hint="eastAsia" w:ascii="宋体" w:hAnsi="宋体" w:cs="宋体"/>
          <w:color w:val="auto"/>
          <w:szCs w:val="21"/>
          <w:highlight w:val="none"/>
          <w:u w:val="single"/>
        </w:rPr>
        <w:t xml:space="preserve"> 总监</w:t>
      </w:r>
      <w:r>
        <w:rPr>
          <w:rFonts w:hint="eastAsia" w:ascii="宋体" w:hAnsi="宋体" w:cs="宋体"/>
          <w:color w:val="auto"/>
          <w:szCs w:val="21"/>
          <w:highlight w:val="none"/>
        </w:rPr>
        <w:t>。</w:t>
      </w:r>
    </w:p>
    <w:p w14:paraId="396532C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1.10 交通运输</w:t>
      </w:r>
    </w:p>
    <w:p w14:paraId="3E5E4B4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148" w:name="_Toc300934943"/>
      <w:bookmarkStart w:id="149" w:name="_Toc304295521"/>
      <w:bookmarkStart w:id="150" w:name="_Toc318581155"/>
      <w:bookmarkStart w:id="151" w:name="_Toc303539100"/>
      <w:bookmarkStart w:id="152" w:name="_Toc312677986"/>
      <w:r>
        <w:rPr>
          <w:rFonts w:hint="eastAsia" w:ascii="宋体" w:hAnsi="宋体" w:cs="宋体"/>
          <w:color w:val="auto"/>
          <w:szCs w:val="21"/>
          <w:highlight w:val="none"/>
        </w:rPr>
        <w:t>.10.1 出入现场的权利</w:t>
      </w:r>
    </w:p>
    <w:p w14:paraId="6B913BEB">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关于出入现场的权利的约定：</w:t>
      </w:r>
      <w:r>
        <w:rPr>
          <w:rFonts w:hint="eastAsia" w:ascii="宋体" w:hAnsi="宋体" w:cs="宋体"/>
          <w:color w:val="auto"/>
          <w:szCs w:val="21"/>
          <w:highlight w:val="none"/>
          <w:u w:val="single"/>
        </w:rPr>
        <w:t>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p>
    <w:bookmarkEnd w:id="148"/>
    <w:bookmarkEnd w:id="149"/>
    <w:bookmarkEnd w:id="150"/>
    <w:bookmarkEnd w:id="151"/>
    <w:bookmarkEnd w:id="152"/>
    <w:p w14:paraId="2D3C395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153" w:name="_Toc318581156"/>
      <w:bookmarkStart w:id="154" w:name="_Toc303539101"/>
      <w:bookmarkStart w:id="155" w:name="_Toc312677987"/>
      <w:bookmarkStart w:id="156" w:name="_Toc304295522"/>
      <w:bookmarkStart w:id="157" w:name="_Toc300934944"/>
      <w:r>
        <w:rPr>
          <w:rFonts w:hint="eastAsia" w:ascii="宋体" w:hAnsi="宋体" w:cs="宋体"/>
          <w:color w:val="auto"/>
          <w:szCs w:val="21"/>
          <w:highlight w:val="none"/>
        </w:rPr>
        <w:t>.10.3 场内交通</w:t>
      </w:r>
    </w:p>
    <w:p w14:paraId="795337B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关于场外交通和场内交通的边界的约定：</w:t>
      </w:r>
      <w:r>
        <w:rPr>
          <w:rFonts w:hint="eastAsia" w:ascii="宋体" w:hAnsi="宋体" w:cs="宋体"/>
          <w:color w:val="auto"/>
          <w:szCs w:val="21"/>
          <w:highlight w:val="none"/>
          <w:u w:val="single"/>
        </w:rPr>
        <w:t>规划红线内为场内交通，规划红线外为场外交通</w:t>
      </w:r>
      <w:r>
        <w:rPr>
          <w:rFonts w:hint="eastAsia" w:ascii="宋体" w:hAnsi="宋体" w:cs="宋体"/>
          <w:color w:val="auto"/>
          <w:szCs w:val="21"/>
          <w:highlight w:val="none"/>
        </w:rPr>
        <w:t>。</w:t>
      </w:r>
    </w:p>
    <w:p w14:paraId="73E2094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关于发包人向承包人免费提供满足工程施工需要的场内道路和交通设施的约定：</w:t>
      </w:r>
      <w:r>
        <w:rPr>
          <w:rFonts w:hint="eastAsia" w:ascii="宋体" w:hAnsi="宋体" w:cs="宋体"/>
          <w:color w:val="auto"/>
          <w:szCs w:val="21"/>
          <w:highlight w:val="none"/>
          <w:u w:val="single"/>
        </w:rPr>
        <w:t>投标前承包人应已勘察施工现场，施工过程中可能发生的此部分费用已包含在签约合同价中，发包人不再另行提供</w:t>
      </w:r>
      <w:r>
        <w:rPr>
          <w:rFonts w:hint="eastAsia" w:ascii="宋体" w:hAnsi="宋体" w:cs="宋体"/>
          <w:color w:val="auto"/>
          <w:szCs w:val="21"/>
          <w:highlight w:val="none"/>
        </w:rPr>
        <w:t>。</w:t>
      </w:r>
      <w:bookmarkEnd w:id="153"/>
      <w:bookmarkEnd w:id="154"/>
      <w:bookmarkEnd w:id="155"/>
      <w:bookmarkEnd w:id="156"/>
      <w:bookmarkEnd w:id="157"/>
      <w:bookmarkStart w:id="158" w:name="_Toc318581157"/>
    </w:p>
    <w:p w14:paraId="21D1313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1.10.4超大件和超重件的运输</w:t>
      </w:r>
    </w:p>
    <w:p w14:paraId="31CD526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运输超大件或超重件所需的道路和桥梁临时加固改造费用和其他有关费用由</w:t>
      </w:r>
      <w:r>
        <w:rPr>
          <w:rFonts w:hint="eastAsia" w:ascii="宋体" w:hAnsi="宋体" w:cs="宋体"/>
          <w:color w:val="auto"/>
          <w:szCs w:val="21"/>
          <w:highlight w:val="none"/>
          <w:u w:val="single"/>
        </w:rPr>
        <w:t xml:space="preserve"> 承包人 </w:t>
      </w:r>
      <w:r>
        <w:rPr>
          <w:rFonts w:hint="eastAsia" w:ascii="宋体" w:hAnsi="宋体" w:cs="宋体"/>
          <w:color w:val="auto"/>
          <w:szCs w:val="21"/>
          <w:highlight w:val="none"/>
        </w:rPr>
        <w:t>承担。</w:t>
      </w:r>
    </w:p>
    <w:bookmarkEnd w:id="158"/>
    <w:p w14:paraId="6542143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1.11 知识产权</w:t>
      </w:r>
    </w:p>
    <w:p w14:paraId="54B785B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归发包人所有 </w:t>
      </w:r>
      <w:r>
        <w:rPr>
          <w:rFonts w:hint="eastAsia" w:ascii="宋体" w:hAnsi="宋体" w:cs="宋体"/>
          <w:color w:val="auto"/>
          <w:szCs w:val="21"/>
          <w:highlight w:val="none"/>
        </w:rPr>
        <w:t>。</w:t>
      </w:r>
    </w:p>
    <w:p w14:paraId="27D45DBD">
      <w:pPr>
        <w:adjustRightInd w:val="0"/>
        <w:snapToGrid w:val="0"/>
        <w:spacing w:line="360" w:lineRule="auto"/>
        <w:ind w:firstLine="506" w:firstLineChars="241"/>
        <w:jc w:val="left"/>
        <w:rPr>
          <w:rFonts w:ascii="宋体" w:hAnsi="宋体" w:cs="宋体"/>
          <w:color w:val="auto"/>
          <w:szCs w:val="21"/>
          <w:highlight w:val="none"/>
          <w:u w:val="single"/>
        </w:rPr>
      </w:pPr>
      <w:r>
        <w:rPr>
          <w:rFonts w:hint="eastAsia" w:ascii="宋体" w:hAnsi="宋体" w:cs="宋体"/>
          <w:color w:val="auto"/>
          <w:szCs w:val="21"/>
          <w:highlight w:val="none"/>
        </w:rPr>
        <w:t>关于发包人提供的上述文件的使用限制的要求：</w:t>
      </w:r>
      <w:r>
        <w:rPr>
          <w:rFonts w:hint="eastAsia" w:ascii="宋体" w:hAnsi="宋体" w:cs="宋体"/>
          <w:color w:val="auto"/>
          <w:szCs w:val="21"/>
          <w:highlight w:val="none"/>
          <w:u w:val="single"/>
        </w:rPr>
        <w:t>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color w:val="auto"/>
          <w:szCs w:val="21"/>
          <w:highlight w:val="none"/>
          <w:u w:val="single"/>
        </w:rPr>
        <w:t>否则构成违约，需要赔偿给发包人造成的实际损失，并消除对发包人的不利影响。</w:t>
      </w:r>
    </w:p>
    <w:p w14:paraId="4D73FF75">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1.11.2 关于承包人为实施工程所编制文件的著作权的归属：</w:t>
      </w:r>
      <w:r>
        <w:rPr>
          <w:rFonts w:hint="eastAsia" w:ascii="宋体" w:hAnsi="宋体" w:cs="宋体"/>
          <w:color w:val="auto"/>
          <w:szCs w:val="21"/>
          <w:highlight w:val="none"/>
          <w:u w:val="single"/>
        </w:rPr>
        <w:t>除署名权以外的著作权归发包人所有</w:t>
      </w:r>
      <w:r>
        <w:rPr>
          <w:rFonts w:hint="eastAsia" w:ascii="宋体" w:hAnsi="宋体" w:cs="宋体"/>
          <w:color w:val="auto"/>
          <w:szCs w:val="21"/>
          <w:highlight w:val="none"/>
        </w:rPr>
        <w:t>。</w:t>
      </w:r>
    </w:p>
    <w:p w14:paraId="11F9D4CD">
      <w:pPr>
        <w:adjustRightInd w:val="0"/>
        <w:snapToGrid w:val="0"/>
        <w:spacing w:line="360" w:lineRule="auto"/>
        <w:ind w:firstLine="506" w:firstLineChars="241"/>
        <w:jc w:val="left"/>
        <w:rPr>
          <w:rFonts w:ascii="宋体" w:hAnsi="宋体" w:cs="宋体"/>
          <w:color w:val="auto"/>
          <w:szCs w:val="21"/>
          <w:highlight w:val="none"/>
          <w:u w:val="single"/>
        </w:rPr>
      </w:pPr>
      <w:r>
        <w:rPr>
          <w:rFonts w:hint="eastAsia" w:ascii="宋体" w:hAnsi="宋体" w:cs="宋体"/>
          <w:color w:val="auto"/>
          <w:szCs w:val="21"/>
          <w:highlight w:val="none"/>
        </w:rPr>
        <w:t>关于承包人提供的上述文件的使用限制的要求：</w:t>
      </w:r>
      <w:r>
        <w:rPr>
          <w:rFonts w:hint="eastAsia" w:ascii="宋体" w:hAnsi="宋体" w:cs="宋体"/>
          <w:color w:val="auto"/>
          <w:szCs w:val="21"/>
          <w:highlight w:val="none"/>
          <w:u w:val="single"/>
        </w:rPr>
        <w:t>承包人可因实施工程的运行、调试、维修、改造等目的而复制、使用此类文件，但不能用于与合同无关的其他事项。未经发包人书面书面同意，承包人及其工作人员不得为了合同以外的目的而复制、使用上述文件或将之提供给任何第三方。</w:t>
      </w:r>
      <w:r>
        <w:rPr>
          <w:rFonts w:hint="eastAsia" w:ascii="宋体" w:hAnsi="宋体"/>
          <w:color w:val="auto"/>
          <w:szCs w:val="21"/>
          <w:highlight w:val="none"/>
          <w:u w:val="single"/>
        </w:rPr>
        <w:t>否则构成违约，需要赔偿给发包人造成的实际损失，并消除对发包人的不利影响。</w:t>
      </w:r>
    </w:p>
    <w:p w14:paraId="4EDA90A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1.11.4 承包人在施工过程中所采用的专利、专有技术、技术秘密的使用费的承担方式：</w:t>
      </w:r>
      <w:r>
        <w:rPr>
          <w:rFonts w:hint="eastAsia" w:ascii="宋体" w:hAnsi="宋体" w:cs="宋体"/>
          <w:color w:val="auto"/>
          <w:szCs w:val="21"/>
          <w:highlight w:val="none"/>
          <w:u w:val="single"/>
        </w:rPr>
        <w:t>已包含在合同价中，结算不予调整。若合同变更、终止、解除，本条款依然有效。</w:t>
      </w:r>
    </w:p>
    <w:p w14:paraId="466375C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1.13工程量清单错误的修正</w:t>
      </w:r>
    </w:p>
    <w:p w14:paraId="37E06F7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出现工程量清单错误时，是否调整合同价格：</w:t>
      </w:r>
      <w:r>
        <w:rPr>
          <w:rFonts w:hint="eastAsia" w:ascii="宋体" w:hAnsi="宋体" w:cs="宋体"/>
          <w:color w:val="auto"/>
          <w:szCs w:val="21"/>
          <w:highlight w:val="none"/>
          <w:u w:val="single"/>
        </w:rPr>
        <w:t xml:space="preserve"> 调整 </w:t>
      </w:r>
      <w:r>
        <w:rPr>
          <w:rFonts w:hint="eastAsia" w:ascii="宋体" w:hAnsi="宋体" w:cs="宋体"/>
          <w:color w:val="auto"/>
          <w:szCs w:val="21"/>
          <w:highlight w:val="none"/>
        </w:rPr>
        <w:t>。</w:t>
      </w:r>
    </w:p>
    <w:p w14:paraId="620BCD18">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允许调整合同价格的工程量偏差范围：</w:t>
      </w:r>
      <w:r>
        <w:rPr>
          <w:rFonts w:hint="eastAsia" w:ascii="宋体" w:hAnsi="宋体" w:cs="宋体"/>
          <w:color w:val="auto"/>
          <w:szCs w:val="21"/>
          <w:highlight w:val="none"/>
          <w:u w:val="single"/>
        </w:rPr>
        <w:t>（1）对承包人超出设计图纸（含设计变更）范围和因承包人原因造成返工的工程量，发包人不予计量</w:t>
      </w:r>
      <w:r>
        <w:rPr>
          <w:rFonts w:hint="eastAsia" w:ascii="宋体" w:hAnsi="宋体" w:cs="宋体"/>
          <w:color w:val="auto"/>
          <w:szCs w:val="21"/>
          <w:highlight w:val="none"/>
        </w:rPr>
        <w:t>； </w:t>
      </w:r>
    </w:p>
    <w:p w14:paraId="35596EA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（2）工程量清单存在缺项、漏项的</w:t>
      </w:r>
      <w:r>
        <w:rPr>
          <w:rFonts w:hint="eastAsia" w:ascii="宋体" w:hAnsi="宋体" w:cs="宋体"/>
          <w:color w:val="auto"/>
          <w:szCs w:val="21"/>
          <w:highlight w:val="none"/>
        </w:rPr>
        <w:t>；</w:t>
      </w:r>
    </w:p>
    <w:p w14:paraId="5A15B4A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（3）未按照国家现行计价规范强制性规定计量的</w:t>
      </w:r>
      <w:r>
        <w:rPr>
          <w:rFonts w:hint="eastAsia" w:ascii="宋体" w:hAnsi="宋体" w:cs="宋体"/>
          <w:color w:val="auto"/>
          <w:szCs w:val="21"/>
          <w:highlight w:val="none"/>
        </w:rPr>
        <w:t>；</w:t>
      </w:r>
    </w:p>
    <w:p w14:paraId="2A8A2CC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（4）当工程量清单项目工程量的</w:t>
      </w:r>
      <w:bookmarkStart w:id="159" w:name="_Toc351203634"/>
      <w:r>
        <w:rPr>
          <w:rFonts w:hint="eastAsia" w:ascii="宋体" w:hAnsi="宋体" w:cs="宋体"/>
          <w:color w:val="auto"/>
          <w:szCs w:val="21"/>
          <w:highlight w:val="none"/>
          <w:u w:val="single"/>
        </w:rPr>
        <w:t>偏差超过15%时，其综合单价以及对应的措施费（如有）可进行调整，由承包人对增加的工程量或减少后剩余的工程量提出新的综合单价和措施项目费，经发包人书面确定后调整</w:t>
      </w:r>
      <w:r>
        <w:rPr>
          <w:rFonts w:hint="eastAsia" w:ascii="宋体" w:hAnsi="宋体" w:cs="宋体"/>
          <w:color w:val="auto"/>
          <w:szCs w:val="21"/>
          <w:highlight w:val="none"/>
        </w:rPr>
        <w:t xml:space="preserve">。           </w:t>
      </w:r>
    </w:p>
    <w:p w14:paraId="7757925D">
      <w:pPr>
        <w:tabs>
          <w:tab w:val="left" w:pos="4409"/>
        </w:tabs>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2</w:t>
      </w:r>
      <w:bookmarkStart w:id="160" w:name="_Toc296891197"/>
      <w:bookmarkStart w:id="161" w:name="_Toc297048343"/>
      <w:bookmarkStart w:id="162" w:name="_Toc297120457"/>
      <w:bookmarkStart w:id="163" w:name="_Toc296503157"/>
      <w:bookmarkStart w:id="164" w:name="_Toc296346658"/>
      <w:bookmarkStart w:id="165" w:name="_Toc296347156"/>
      <w:bookmarkStart w:id="166" w:name="_Toc296890985"/>
      <w:bookmarkStart w:id="167" w:name="_Toc292559867"/>
      <w:bookmarkStart w:id="168" w:name="_Toc296944496"/>
      <w:bookmarkStart w:id="169" w:name="_Toc292559362"/>
      <w:r>
        <w:rPr>
          <w:rFonts w:hint="eastAsia" w:ascii="宋体" w:hAnsi="宋体" w:cs="宋体"/>
          <w:b/>
          <w:color w:val="auto"/>
          <w:szCs w:val="21"/>
          <w:highlight w:val="none"/>
        </w:rPr>
        <w:t>. 发包人</w:t>
      </w:r>
      <w:bookmarkEnd w:id="159"/>
    </w:p>
    <w:bookmarkEnd w:id="160"/>
    <w:bookmarkEnd w:id="161"/>
    <w:bookmarkEnd w:id="162"/>
    <w:bookmarkEnd w:id="163"/>
    <w:bookmarkEnd w:id="164"/>
    <w:bookmarkEnd w:id="165"/>
    <w:bookmarkEnd w:id="166"/>
    <w:bookmarkEnd w:id="167"/>
    <w:bookmarkEnd w:id="168"/>
    <w:bookmarkEnd w:id="169"/>
    <w:p w14:paraId="6D4AF1F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 发包人代表</w:t>
      </w:r>
    </w:p>
    <w:p w14:paraId="029DC08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发包人代表：</w:t>
      </w:r>
    </w:p>
    <w:p w14:paraId="66A6CDB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9A1BAA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277FB3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职    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D98941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DE264D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BD0D8C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3F4A19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发包人对发包人代表的授权范围如下：</w:t>
      </w:r>
      <w:r>
        <w:rPr>
          <w:rFonts w:hint="eastAsia" w:ascii="宋体" w:hAnsi="宋体" w:cs="宋体"/>
          <w:color w:val="auto"/>
          <w:szCs w:val="21"/>
          <w:highlight w:val="none"/>
          <w:u w:val="single"/>
        </w:rPr>
        <w:t>（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p>
    <w:p w14:paraId="6D47F1D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 施工现场、施工条件和基础资料的提供</w:t>
      </w:r>
    </w:p>
    <w:p w14:paraId="48F295F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2.4.1 提供施工现场</w:t>
      </w:r>
    </w:p>
    <w:p w14:paraId="43A2EAF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关于发包人移交施工现场的期限要求：</w:t>
      </w:r>
      <w:r>
        <w:rPr>
          <w:rFonts w:hint="eastAsia" w:ascii="宋体" w:hAnsi="宋体" w:cs="宋体"/>
          <w:color w:val="auto"/>
          <w:szCs w:val="21"/>
          <w:highlight w:val="none"/>
          <w:u w:val="single"/>
        </w:rPr>
        <w:t>开工日期7天前。场地移交可以全部或分段移交，以基本满足本工程合同总工期，各节点施工工期为前提；所移交的场地能基本满足施工要求</w:t>
      </w:r>
      <w:r>
        <w:rPr>
          <w:rFonts w:hint="eastAsia" w:ascii="宋体" w:hAnsi="宋体" w:cs="宋体"/>
          <w:color w:val="auto"/>
          <w:szCs w:val="21"/>
          <w:highlight w:val="none"/>
        </w:rPr>
        <w:t>。</w:t>
      </w:r>
    </w:p>
    <w:p w14:paraId="2BC4A60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2.4.2 提供施工条件</w:t>
      </w:r>
    </w:p>
    <w:p w14:paraId="0177132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关于发包人应负责提供施工所需要的条件，包括：</w:t>
      </w:r>
    </w:p>
    <w:p w14:paraId="46F2D0D7">
      <w:pPr>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u w:val="single"/>
        </w:rPr>
        <w:t>（1）发包人负责提供电源接口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cs="宋体"/>
          <w:color w:val="auto"/>
          <w:szCs w:val="21"/>
          <w:highlight w:val="none"/>
        </w:rPr>
        <w:t>。</w:t>
      </w:r>
    </w:p>
    <w:p w14:paraId="3CAC2CDD">
      <w:pPr>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u w:val="single"/>
        </w:rPr>
        <w:t>（2）发包人负责提供总水源接口 (已按图纸明确)，承包人负责接入施工现场，并由本工程承包人单独装表计量。从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cs="宋体"/>
          <w:color w:val="auto"/>
          <w:szCs w:val="21"/>
          <w:highlight w:val="none"/>
        </w:rPr>
        <w:t>。</w:t>
      </w:r>
    </w:p>
    <w:p w14:paraId="3BDF2D3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cs="宋体"/>
          <w:color w:val="auto"/>
          <w:szCs w:val="21"/>
          <w:highlight w:val="none"/>
        </w:rPr>
        <w:t>。</w:t>
      </w:r>
    </w:p>
    <w:p w14:paraId="648790C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cs="宋体"/>
          <w:color w:val="auto"/>
          <w:szCs w:val="21"/>
          <w:highlight w:val="none"/>
        </w:rPr>
        <w:t>。</w:t>
      </w:r>
    </w:p>
    <w:p w14:paraId="174F649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2.5 资金来源证明及支付担保</w:t>
      </w:r>
    </w:p>
    <w:p w14:paraId="0D543D1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发包人提供资金来源证明的期限要求：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B9D3A6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发包人是否提供支付担保：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9766A4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8D7A1D4">
      <w:pPr>
        <w:tabs>
          <w:tab w:val="left" w:pos="4409"/>
        </w:tabs>
        <w:adjustRightInd w:val="0"/>
        <w:snapToGrid w:val="0"/>
        <w:spacing w:line="360" w:lineRule="auto"/>
        <w:jc w:val="left"/>
        <w:rPr>
          <w:rFonts w:ascii="宋体" w:hAnsi="宋体" w:cs="宋体"/>
          <w:b/>
          <w:color w:val="auto"/>
          <w:szCs w:val="21"/>
          <w:highlight w:val="none"/>
        </w:rPr>
      </w:pPr>
      <w:bookmarkStart w:id="170" w:name="_Toc351203635"/>
      <w:r>
        <w:rPr>
          <w:rFonts w:hint="eastAsia" w:ascii="宋体" w:hAnsi="宋体" w:cs="宋体"/>
          <w:b/>
          <w:color w:val="auto"/>
          <w:szCs w:val="21"/>
          <w:highlight w:val="none"/>
        </w:rPr>
        <w:t>3</w:t>
      </w:r>
      <w:bookmarkStart w:id="171" w:name="_Toc296944497"/>
      <w:bookmarkStart w:id="172" w:name="_Toc297120458"/>
      <w:bookmarkStart w:id="173" w:name="_Toc292559868"/>
      <w:bookmarkStart w:id="174" w:name="_Toc297048344"/>
      <w:bookmarkStart w:id="175" w:name="_Toc296346659"/>
      <w:bookmarkStart w:id="176" w:name="_Toc296891198"/>
      <w:bookmarkStart w:id="177" w:name="_Toc296503158"/>
      <w:bookmarkStart w:id="178" w:name="_Toc296347157"/>
      <w:bookmarkStart w:id="179" w:name="_Toc296890986"/>
      <w:bookmarkStart w:id="180" w:name="_Toc292559363"/>
      <w:r>
        <w:rPr>
          <w:rFonts w:hint="eastAsia" w:ascii="宋体" w:hAnsi="宋体" w:cs="宋体"/>
          <w:b/>
          <w:color w:val="auto"/>
          <w:szCs w:val="21"/>
          <w:highlight w:val="none"/>
        </w:rPr>
        <w:t>. 承包人</w:t>
      </w:r>
      <w:bookmarkEnd w:id="170"/>
    </w:p>
    <w:bookmarkEnd w:id="171"/>
    <w:bookmarkEnd w:id="172"/>
    <w:bookmarkEnd w:id="173"/>
    <w:bookmarkEnd w:id="174"/>
    <w:bookmarkEnd w:id="175"/>
    <w:bookmarkEnd w:id="176"/>
    <w:bookmarkEnd w:id="177"/>
    <w:bookmarkEnd w:id="178"/>
    <w:bookmarkEnd w:id="179"/>
    <w:bookmarkEnd w:id="180"/>
    <w:p w14:paraId="3C23F35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3.1 承包人的一般义务</w:t>
      </w:r>
    </w:p>
    <w:p w14:paraId="03EB906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（5）承包人提交的竣工资料的内容：</w:t>
      </w:r>
      <w:r>
        <w:rPr>
          <w:rFonts w:hint="eastAsia" w:ascii="宋体" w:hAnsi="宋体" w:cs="宋体"/>
          <w:color w:val="auto"/>
          <w:szCs w:val="21"/>
          <w:highlight w:val="none"/>
          <w:u w:val="single"/>
        </w:rPr>
        <w:t>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cs="宋体"/>
          <w:color w:val="auto"/>
          <w:szCs w:val="21"/>
          <w:highlight w:val="none"/>
        </w:rPr>
        <w:t>。 </w:t>
      </w:r>
    </w:p>
    <w:p w14:paraId="43C5171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承包人提供竣工图的约定：Auto CAD计算软件绘制的反映各类变更和工程实际状况的竣工图4份，光盘2份</w:t>
      </w:r>
      <w:r>
        <w:rPr>
          <w:rFonts w:hint="eastAsia" w:ascii="宋体" w:hAnsi="宋体" w:cs="宋体"/>
          <w:color w:val="auto"/>
          <w:szCs w:val="21"/>
          <w:highlight w:val="none"/>
        </w:rPr>
        <w:t>。</w:t>
      </w:r>
    </w:p>
    <w:p w14:paraId="2453D12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承包人需要提交的竣工资料套数：</w:t>
      </w:r>
      <w:r>
        <w:rPr>
          <w:rFonts w:hint="eastAsia" w:ascii="宋体" w:hAnsi="宋体" w:cs="宋体"/>
          <w:color w:val="auto"/>
          <w:szCs w:val="21"/>
          <w:highlight w:val="none"/>
          <w:u w:val="single"/>
        </w:rPr>
        <w:t xml:space="preserve"> 6套（含原件壹套）</w:t>
      </w:r>
      <w:r>
        <w:rPr>
          <w:rFonts w:hint="eastAsia" w:ascii="宋体" w:hAnsi="宋体" w:cs="宋体"/>
          <w:color w:val="auto"/>
          <w:szCs w:val="21"/>
          <w:highlight w:val="none"/>
        </w:rPr>
        <w:t>。</w:t>
      </w:r>
    </w:p>
    <w:p w14:paraId="5093057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承包人提交的竣工资料的费用承担：</w:t>
      </w:r>
      <w:r>
        <w:rPr>
          <w:rFonts w:hint="eastAsia" w:ascii="宋体" w:hAnsi="宋体" w:cs="宋体"/>
          <w:color w:val="auto"/>
          <w:szCs w:val="21"/>
          <w:highlight w:val="none"/>
          <w:u w:val="single"/>
        </w:rPr>
        <w:t xml:space="preserve"> 由承包人自行承担，包含在签约合同价内，结算时不予调整</w:t>
      </w:r>
      <w:r>
        <w:rPr>
          <w:rFonts w:hint="eastAsia" w:ascii="宋体" w:hAnsi="宋体" w:cs="宋体"/>
          <w:color w:val="auto"/>
          <w:szCs w:val="21"/>
          <w:highlight w:val="none"/>
        </w:rPr>
        <w:t>。</w:t>
      </w:r>
    </w:p>
    <w:p w14:paraId="2C4B829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承包人提交的竣工资料移交时间：</w:t>
      </w:r>
      <w:r>
        <w:rPr>
          <w:rFonts w:hint="eastAsia" w:ascii="宋体" w:hAnsi="宋体" w:cs="宋体"/>
          <w:color w:val="auto"/>
          <w:szCs w:val="21"/>
          <w:highlight w:val="none"/>
          <w:u w:val="single"/>
        </w:rPr>
        <w:t>与竣工验收申请报告同时提交。工程竣工验收合格后，承包人应在28天内向发包人递交竣工结算报告和完整的结算资料</w:t>
      </w:r>
      <w:r>
        <w:rPr>
          <w:rFonts w:hint="eastAsia" w:ascii="宋体" w:hAnsi="宋体" w:cs="宋体"/>
          <w:color w:val="auto"/>
          <w:szCs w:val="21"/>
          <w:highlight w:val="none"/>
        </w:rPr>
        <w:t>。</w:t>
      </w:r>
    </w:p>
    <w:p w14:paraId="149E312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承包人提交的竣工资料形式要求：</w:t>
      </w:r>
      <w:r>
        <w:rPr>
          <w:rFonts w:hint="eastAsia" w:ascii="宋体" w:hAnsi="宋体" w:cs="宋体"/>
          <w:color w:val="auto"/>
          <w:szCs w:val="21"/>
          <w:highlight w:val="none"/>
          <w:u w:val="single"/>
        </w:rPr>
        <w:t>以书面形式提交并提供电子版</w:t>
      </w:r>
      <w:r>
        <w:rPr>
          <w:rFonts w:hint="eastAsia" w:ascii="宋体" w:hAnsi="宋体" w:cs="宋体"/>
          <w:color w:val="auto"/>
          <w:szCs w:val="21"/>
          <w:highlight w:val="none"/>
        </w:rPr>
        <w:t xml:space="preserve">。  </w:t>
      </w:r>
    </w:p>
    <w:p w14:paraId="552B350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承包人提交的竣工资料形式要求：</w:t>
      </w:r>
      <w:r>
        <w:rPr>
          <w:rFonts w:hint="eastAsia" w:ascii="宋体" w:hAnsi="宋体" w:cs="宋体"/>
          <w:color w:val="auto"/>
          <w:szCs w:val="21"/>
          <w:highlight w:val="none"/>
          <w:u w:val="single"/>
        </w:rPr>
        <w:t xml:space="preserve">纸质件（盖章、签字）和电子件 </w:t>
      </w:r>
      <w:r>
        <w:rPr>
          <w:rFonts w:hint="eastAsia" w:ascii="宋体" w:hAnsi="宋体" w:cs="宋体"/>
          <w:color w:val="auto"/>
          <w:szCs w:val="21"/>
          <w:highlight w:val="none"/>
        </w:rPr>
        <w:t>。</w:t>
      </w:r>
    </w:p>
    <w:p w14:paraId="0061D7E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承包人需要按照现形政策要求完成监管部门的验收，确保顺利通过验收工作</w:t>
      </w:r>
    </w:p>
    <w:p w14:paraId="5C97A69C">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（6）承包人应履行的其他义务：</w:t>
      </w:r>
      <w:r>
        <w:rPr>
          <w:rFonts w:hint="eastAsia" w:ascii="宋体" w:hAnsi="宋体" w:cs="宋体"/>
          <w:color w:val="auto"/>
          <w:szCs w:val="21"/>
          <w:highlight w:val="none"/>
          <w:u w:val="single"/>
        </w:rPr>
        <w:t>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宋体"/>
          <w:color w:val="auto"/>
          <w:szCs w:val="21"/>
          <w:highlight w:val="none"/>
        </w:rPr>
        <w:t>。 </w:t>
      </w:r>
    </w:p>
    <w:p w14:paraId="396869D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2）需由承包人完成的设计文件提交时间：合同签订后15日内</w:t>
      </w:r>
      <w:r>
        <w:rPr>
          <w:rFonts w:hint="eastAsia" w:ascii="宋体" w:hAnsi="宋体" w:cs="宋体"/>
          <w:color w:val="auto"/>
          <w:szCs w:val="21"/>
          <w:highlight w:val="none"/>
        </w:rPr>
        <w:t>。</w:t>
      </w:r>
    </w:p>
    <w:p w14:paraId="0F80593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3）关于工程施工过程中决议、指令的执行：</w:t>
      </w:r>
    </w:p>
    <w:p w14:paraId="04B7618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①发包人/监理人发出的会议纪要中的决议部分，承包人应将其视为指令执行，如对决议内容有异议，应在收到会议纪要24小时内向发包人/监理人提出书面意见</w:t>
      </w:r>
      <w:r>
        <w:rPr>
          <w:rFonts w:hint="eastAsia" w:ascii="宋体" w:hAnsi="宋体" w:cs="宋体"/>
          <w:color w:val="auto"/>
          <w:szCs w:val="21"/>
          <w:highlight w:val="none"/>
        </w:rPr>
        <w:t>。</w:t>
      </w:r>
    </w:p>
    <w:p w14:paraId="220ACE1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宋体"/>
          <w:color w:val="auto"/>
          <w:szCs w:val="21"/>
          <w:highlight w:val="none"/>
        </w:rPr>
        <w:t>。</w:t>
      </w:r>
    </w:p>
    <w:p w14:paraId="384447C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宋体"/>
          <w:color w:val="auto"/>
          <w:szCs w:val="21"/>
          <w:highlight w:val="none"/>
        </w:rPr>
        <w:t>。</w:t>
      </w:r>
    </w:p>
    <w:p w14:paraId="1F8AE6B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w:t>
      </w:r>
      <w:r>
        <w:rPr>
          <w:rFonts w:hint="eastAsia" w:ascii="宋体" w:hAnsi="宋体"/>
          <w:color w:val="auto"/>
          <w:szCs w:val="21"/>
          <w:highlight w:val="none"/>
          <w:u w:val="single"/>
        </w:rPr>
        <w:t>承包人应按发包人要求完成工程造价控制目标，并如实进行结算申报，不得高估冒算，若承包人申报的结算经最终审计，核减额（承包人送审价与审定价之差）超过承包人送审价的15%时（包括材料核价等一切中途变更审计内容），视为虚报行为，由施工方单位承担工程造价咨询单位收费的100%，该费用在经街道审计所复审定案后，在出具工程结算审定单时在工程结算造价中扣除。</w:t>
      </w:r>
    </w:p>
    <w:p w14:paraId="6A6598C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6）关于检测、检验、试验：</w:t>
      </w:r>
    </w:p>
    <w:p w14:paraId="3B21AF5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p>
    <w:p w14:paraId="5E86DD4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②甲供材的进场质量须由承包人进行把关，如遇因质量不合格材料的使用而引起的返工所造成的费用损失及工期延误由承包人负责。</w:t>
      </w:r>
    </w:p>
    <w:p w14:paraId="4E65E35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③工程各分部分项一次检测不合格，承包人除承担返工费用外，还需承担后续检测费用以及因延期交付给发包人造成的直接和间接损失的相关费用。</w:t>
      </w:r>
    </w:p>
    <w:p w14:paraId="11DD5F9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7）关于周边环境关系的协调：</w:t>
      </w:r>
    </w:p>
    <w:p w14:paraId="0EE518D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①承包人必须积极配合发包人的相关宣传报道、形象展示行为。承包人若以任何名义作任何关于该项目的宣传报道，须事先经发包人书面同意。</w:t>
      </w:r>
    </w:p>
    <w:p w14:paraId="4D949A2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宋体" w:hAnsi="宋体" w:cs="宋体"/>
          <w:color w:val="auto"/>
          <w:szCs w:val="21"/>
          <w:highlight w:val="none"/>
        </w:rPr>
        <w:t>。</w:t>
      </w:r>
    </w:p>
    <w:p w14:paraId="6BB2579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8）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ascii="宋体" w:hAnsi="宋体" w:cs="宋体"/>
          <w:color w:val="auto"/>
          <w:szCs w:val="21"/>
          <w:highlight w:val="none"/>
        </w:rPr>
        <w:t>。</w:t>
      </w:r>
    </w:p>
    <w:p w14:paraId="6C174F7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①总承包服务费：</w:t>
      </w:r>
    </w:p>
    <w:p w14:paraId="0827BBE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宋体"/>
          <w:color w:val="auto"/>
          <w:szCs w:val="21"/>
          <w:highlight w:val="none"/>
        </w:rPr>
        <w:t>。</w:t>
      </w:r>
    </w:p>
    <w:p w14:paraId="5D86B1B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宋体"/>
          <w:color w:val="auto"/>
          <w:szCs w:val="21"/>
          <w:highlight w:val="none"/>
        </w:rPr>
        <w:t>。</w:t>
      </w:r>
    </w:p>
    <w:p w14:paraId="648CD31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②专业工程承包人与总承包人的施工协调与配合的内容：/</w:t>
      </w:r>
    </w:p>
    <w:p w14:paraId="0A4E28C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③总承包人应负责办理工程竣工备案等相关手续</w:t>
      </w:r>
      <w:r>
        <w:rPr>
          <w:rFonts w:hint="eastAsia" w:ascii="宋体" w:hAnsi="宋体" w:cs="宋体"/>
          <w:color w:val="auto"/>
          <w:szCs w:val="21"/>
          <w:highlight w:val="none"/>
        </w:rPr>
        <w:t xml:space="preserve">。  </w:t>
      </w:r>
    </w:p>
    <w:p w14:paraId="3DC2AE0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 项目负责人</w:t>
      </w:r>
    </w:p>
    <w:p w14:paraId="52C89A5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3.2.1 项目负责人：</w:t>
      </w:r>
    </w:p>
    <w:p w14:paraId="1E08541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F1D925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C823E0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建造师执业资格等级：</w:t>
      </w:r>
      <w:r>
        <w:rPr>
          <w:rStyle w:val="452"/>
          <w:rFonts w:hint="eastAsia" w:ascii="宋体" w:hAnsi="宋体" w:cs="宋体"/>
          <w:color w:val="auto"/>
          <w:szCs w:val="21"/>
          <w:highlight w:val="none"/>
        </w:rPr>
        <w:t xml:space="preserve">                      </w:t>
      </w:r>
      <w:r>
        <w:rPr>
          <w:rFonts w:hint="eastAsia" w:ascii="宋体" w:hAnsi="宋体" w:cs="宋体"/>
          <w:color w:val="auto"/>
          <w:szCs w:val="21"/>
          <w:highlight w:val="none"/>
        </w:rPr>
        <w:t>；</w:t>
      </w:r>
    </w:p>
    <w:p w14:paraId="409E10B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建造师注册证书号：</w:t>
      </w:r>
      <w:r>
        <w:rPr>
          <w:rStyle w:val="452"/>
          <w:rFonts w:hint="eastAsia" w:ascii="宋体" w:hAnsi="宋体" w:cs="宋体"/>
          <w:color w:val="auto"/>
          <w:szCs w:val="21"/>
          <w:highlight w:val="none"/>
        </w:rPr>
        <w:t xml:space="preserve">                        </w:t>
      </w:r>
      <w:r>
        <w:rPr>
          <w:rFonts w:hint="eastAsia" w:ascii="宋体" w:hAnsi="宋体" w:cs="宋体"/>
          <w:color w:val="auto"/>
          <w:szCs w:val="21"/>
          <w:highlight w:val="none"/>
        </w:rPr>
        <w:t>；</w:t>
      </w:r>
    </w:p>
    <w:p w14:paraId="0A54DC1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建造师执业印章号：</w:t>
      </w:r>
      <w:r>
        <w:rPr>
          <w:rStyle w:val="452"/>
          <w:rFonts w:hint="eastAsia" w:ascii="宋体" w:hAnsi="宋体" w:cs="宋体"/>
          <w:color w:val="auto"/>
          <w:szCs w:val="21"/>
          <w:highlight w:val="none"/>
        </w:rPr>
        <w:t xml:space="preserve">                        </w:t>
      </w:r>
      <w:r>
        <w:rPr>
          <w:rFonts w:hint="eastAsia" w:ascii="宋体" w:hAnsi="宋体" w:cs="宋体"/>
          <w:color w:val="auto"/>
          <w:szCs w:val="21"/>
          <w:highlight w:val="none"/>
        </w:rPr>
        <w:t>；</w:t>
      </w:r>
    </w:p>
    <w:p w14:paraId="4E2D0E1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D8D488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453410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A4FCD8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1ABC04E">
      <w:pPr>
        <w:pStyle w:val="30"/>
        <w:widowControl w:val="0"/>
        <w:adjustRightInd w:val="0"/>
        <w:snapToGrid w:val="0"/>
        <w:spacing w:before="0" w:beforeAutospacing="0" w:after="0" w:afterAutospacing="0" w:line="360" w:lineRule="auto"/>
        <w:rPr>
          <w:rStyle w:val="451"/>
          <w:rFonts w:ascii="宋体" w:hAnsi="宋体"/>
          <w:color w:val="auto"/>
          <w:sz w:val="21"/>
          <w:szCs w:val="21"/>
          <w:highlight w:val="none"/>
        </w:rPr>
      </w:pPr>
      <w:r>
        <w:rPr>
          <w:rFonts w:hint="eastAsia"/>
          <w:color w:val="auto"/>
          <w:sz w:val="21"/>
          <w:szCs w:val="21"/>
          <w:highlight w:val="none"/>
        </w:rPr>
        <w:t xml:space="preserve">    承包人对项目负责人的授权范围如下：</w:t>
      </w:r>
      <w:r>
        <w:rPr>
          <w:rStyle w:val="452"/>
          <w:rFonts w:hint="eastAsia" w:ascii="宋体" w:hAnsi="宋体" w:cs="宋体"/>
          <w:color w:val="auto"/>
          <w:sz w:val="21"/>
          <w:szCs w:val="21"/>
          <w:highlight w:val="none"/>
        </w:rPr>
        <w:t>代表承包人履行合同。按合同约定组织工程实施；在合同约定范围内主持承包人有关施工、技术、工程进度、现场管理、安全生产、质量检验、竣工交付、结算等方面工作 </w:t>
      </w:r>
      <w:r>
        <w:rPr>
          <w:rStyle w:val="451"/>
          <w:rFonts w:hint="eastAsia" w:ascii="宋体" w:hAnsi="宋体"/>
          <w:color w:val="auto"/>
          <w:sz w:val="21"/>
          <w:szCs w:val="21"/>
          <w:highlight w:val="none"/>
        </w:rPr>
        <w:t>。</w:t>
      </w:r>
    </w:p>
    <w:p w14:paraId="4BD3B6D7">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关于项目负责人每月在施工现场的时间要求：</w:t>
      </w:r>
      <w:r>
        <w:rPr>
          <w:rStyle w:val="452"/>
          <w:rFonts w:hint="eastAsia" w:ascii="宋体" w:hAnsi="宋体" w:cs="宋体"/>
          <w:color w:val="auto"/>
          <w:sz w:val="21"/>
          <w:szCs w:val="21"/>
          <w:highlight w:val="none"/>
        </w:rPr>
        <w:t>每天不少于8小时，每周不少于5天，如有夜间施工的情况，项目负责人必须全程在施工现场。</w:t>
      </w:r>
    </w:p>
    <w:p w14:paraId="0261A8D2">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承包人未提交劳动合同，以及没有为项目负责人缴纳社会保险证明的违约责任：</w:t>
      </w:r>
      <w:r>
        <w:rPr>
          <w:rStyle w:val="452"/>
          <w:rFonts w:hint="eastAsia" w:ascii="宋体" w:hAnsi="宋体" w:cs="宋体"/>
          <w:color w:val="auto"/>
          <w:sz w:val="21"/>
          <w:szCs w:val="21"/>
          <w:highlight w:val="none"/>
        </w:rPr>
        <w:t xml:space="preserve"> 一经发现，</w:t>
      </w:r>
      <w:r>
        <w:rPr>
          <w:rFonts w:hint="eastAsia"/>
          <w:color w:val="auto"/>
          <w:sz w:val="21"/>
          <w:szCs w:val="21"/>
          <w:highlight w:val="none"/>
          <w:u w:val="single"/>
        </w:rPr>
        <w:t>承包人需支付违约金</w:t>
      </w:r>
      <w:r>
        <w:rPr>
          <w:rStyle w:val="452"/>
          <w:rFonts w:hint="eastAsia" w:ascii="宋体" w:hAnsi="宋体" w:cs="宋体"/>
          <w:color w:val="auto"/>
          <w:sz w:val="21"/>
          <w:szCs w:val="21"/>
          <w:highlight w:val="none"/>
        </w:rPr>
        <w:t>500元，并要求在一周内签订劳动合同和缴纳社会保险，如未履行，每延迟一天，承包人需支付违约金1000元 。</w:t>
      </w:r>
    </w:p>
    <w:p w14:paraId="707974D4">
      <w:pPr>
        <w:pStyle w:val="30"/>
        <w:widowControl w:val="0"/>
        <w:adjustRightInd w:val="0"/>
        <w:snapToGrid w:val="0"/>
        <w:spacing w:before="0" w:beforeAutospacing="0" w:after="0" w:afterAutospacing="0" w:line="360" w:lineRule="auto"/>
        <w:rPr>
          <w:rStyle w:val="452"/>
          <w:rFonts w:ascii="宋体" w:hAnsi="宋体" w:cs="宋体"/>
          <w:color w:val="auto"/>
          <w:sz w:val="21"/>
          <w:szCs w:val="21"/>
          <w:highlight w:val="none"/>
        </w:rPr>
      </w:pPr>
      <w:r>
        <w:rPr>
          <w:rStyle w:val="451"/>
          <w:rFonts w:hint="eastAsia" w:ascii="宋体" w:hAnsi="宋体"/>
          <w:color w:val="auto"/>
          <w:sz w:val="21"/>
          <w:szCs w:val="21"/>
          <w:highlight w:val="none"/>
        </w:rPr>
        <w:t xml:space="preserve">    项目负责人未经批准，擅自离开施工现场的违约责任：</w:t>
      </w:r>
      <w:r>
        <w:rPr>
          <w:rStyle w:val="452"/>
          <w:rFonts w:hint="eastAsia" w:ascii="宋体" w:hAnsi="宋体" w:cs="宋体"/>
          <w:color w:val="auto"/>
          <w:sz w:val="21"/>
          <w:szCs w:val="21"/>
          <w:highlight w:val="none"/>
        </w:rPr>
        <w:t>发包人每发现1次处违约金1000元/天，可从工程款中扣抵，超过10次发包人有权解除合同，</w:t>
      </w:r>
      <w:r>
        <w:rPr>
          <w:rFonts w:hint="eastAsia"/>
          <w:color w:val="auto"/>
          <w:sz w:val="21"/>
          <w:szCs w:val="21"/>
          <w:highlight w:val="none"/>
          <w:u w:val="single"/>
        </w:rPr>
        <w:t>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452"/>
          <w:rFonts w:hint="eastAsia" w:ascii="宋体" w:hAnsi="宋体" w:cs="宋体"/>
          <w:color w:val="auto"/>
          <w:sz w:val="21"/>
          <w:szCs w:val="21"/>
          <w:highlight w:val="none"/>
        </w:rPr>
        <w:t xml:space="preserve">。 </w:t>
      </w:r>
    </w:p>
    <w:p w14:paraId="5806796C">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3.2.3 承包人擅自更换项目负责人的违约责任：</w:t>
      </w:r>
      <w:r>
        <w:rPr>
          <w:rStyle w:val="452"/>
          <w:rFonts w:hint="eastAsia" w:ascii="宋体" w:hAnsi="宋体" w:cs="宋体"/>
          <w:color w:val="auto"/>
          <w:sz w:val="21"/>
          <w:szCs w:val="21"/>
          <w:highlight w:val="none"/>
        </w:rPr>
        <w:t xml:space="preserve"> 处违约金1万元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p>
    <w:p w14:paraId="647DE8DC">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3.2.4 承包人无正当理由拒绝更换项目负责人的违约责任：</w:t>
      </w:r>
      <w:r>
        <w:rPr>
          <w:rFonts w:hint="eastAsia"/>
          <w:color w:val="auto"/>
          <w:sz w:val="21"/>
          <w:szCs w:val="21"/>
          <w:highlight w:val="none"/>
          <w:u w:val="single"/>
        </w:rPr>
        <w:t>逾期更换的，每逾期1天，承包人需支付1万元违约金。逾期超过7天的，发包人有权解除本合同</w:t>
      </w:r>
      <w:r>
        <w:rPr>
          <w:rStyle w:val="452"/>
          <w:rFonts w:hint="eastAsia" w:ascii="宋体" w:hAnsi="宋体" w:cs="宋体"/>
          <w:color w:val="auto"/>
          <w:sz w:val="21"/>
          <w:szCs w:val="21"/>
          <w:highlight w:val="none"/>
        </w:rPr>
        <w:t>。合同解除后七天内若承包人不完成退场，发包人有权清场</w:t>
      </w:r>
      <w:r>
        <w:rPr>
          <w:rFonts w:hint="eastAsia"/>
          <w:color w:val="auto"/>
          <w:sz w:val="21"/>
          <w:szCs w:val="21"/>
          <w:highlight w:val="none"/>
        </w:rPr>
        <w:t>。</w:t>
      </w:r>
      <w:r>
        <w:rPr>
          <w:rFonts w:hint="eastAsia"/>
          <w:color w:val="auto"/>
          <w:sz w:val="21"/>
          <w:szCs w:val="21"/>
          <w:highlight w:val="none"/>
          <w:u w:val="single"/>
        </w:rPr>
        <w:t>承包人必须承担由此而给发包人造成所有损失的赔偿责任。</w:t>
      </w:r>
    </w:p>
    <w:p w14:paraId="58F770A1">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3.3 承包人人员</w:t>
      </w:r>
    </w:p>
    <w:p w14:paraId="62B0DCB6">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3.3.1 承包人提交项目管理机构及施工现场管理人员安排报告的期限：</w:t>
      </w:r>
      <w:r>
        <w:rPr>
          <w:rStyle w:val="452"/>
          <w:rFonts w:hint="eastAsia" w:ascii="宋体" w:hAnsi="宋体" w:cs="宋体"/>
          <w:color w:val="auto"/>
          <w:sz w:val="21"/>
          <w:szCs w:val="21"/>
          <w:highlight w:val="none"/>
        </w:rPr>
        <w:t>接到开工通知后7天内。</w:t>
      </w:r>
    </w:p>
    <w:p w14:paraId="7EA0C52B">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3.3.3 承包人无正当理由拒绝撤换主要施工管理人员的违约责任：</w:t>
      </w:r>
      <w:r>
        <w:rPr>
          <w:rStyle w:val="452"/>
          <w:rFonts w:hint="eastAsia" w:ascii="宋体" w:hAnsi="宋体" w:cs="宋体"/>
          <w:color w:val="auto"/>
          <w:sz w:val="21"/>
          <w:szCs w:val="21"/>
          <w:highlight w:val="none"/>
        </w:rPr>
        <w:t>每次每人每拖延一天处违约金1000元，从工程款中直接扣抵</w:t>
      </w:r>
      <w:r>
        <w:rPr>
          <w:rStyle w:val="451"/>
          <w:rFonts w:hint="eastAsia" w:ascii="宋体" w:hAnsi="宋体"/>
          <w:color w:val="auto"/>
          <w:sz w:val="21"/>
          <w:szCs w:val="21"/>
          <w:highlight w:val="none"/>
        </w:rPr>
        <w:t>。</w:t>
      </w:r>
    </w:p>
    <w:p w14:paraId="5B250944">
      <w:pPr>
        <w:pStyle w:val="30"/>
        <w:widowControl w:val="0"/>
        <w:adjustRightInd w:val="0"/>
        <w:snapToGrid w:val="0"/>
        <w:spacing w:before="0" w:beforeAutospacing="0" w:after="0" w:afterAutospacing="0" w:line="360" w:lineRule="auto"/>
        <w:rPr>
          <w:color w:val="auto"/>
          <w:sz w:val="21"/>
          <w:szCs w:val="21"/>
          <w:highlight w:val="none"/>
        </w:rPr>
      </w:pPr>
      <w:r>
        <w:rPr>
          <w:rStyle w:val="451"/>
          <w:rFonts w:hint="eastAsia" w:ascii="宋体" w:hAnsi="宋体"/>
          <w:color w:val="auto"/>
          <w:sz w:val="21"/>
          <w:szCs w:val="21"/>
          <w:highlight w:val="none"/>
        </w:rPr>
        <w:t xml:space="preserve">    3.3.4 承包人主要施工管理人员离开施工现场的批准要求：</w:t>
      </w:r>
      <w:r>
        <w:rPr>
          <w:rStyle w:val="451"/>
          <w:rFonts w:hint="eastAsia" w:ascii="宋体" w:hAnsi="宋体"/>
          <w:color w:val="auto"/>
          <w:sz w:val="21"/>
          <w:szCs w:val="21"/>
          <w:highlight w:val="none"/>
          <w:u w:val="single"/>
        </w:rPr>
        <w:t>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452"/>
          <w:rFonts w:hint="eastAsia" w:ascii="宋体" w:hAnsi="宋体" w:cs="宋体"/>
          <w:color w:val="auto"/>
          <w:sz w:val="21"/>
          <w:szCs w:val="21"/>
          <w:highlight w:val="none"/>
        </w:rPr>
        <w:t>。</w:t>
      </w:r>
    </w:p>
    <w:p w14:paraId="3461BEF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3.3.5承包人擅自更换主要施工管理人员的违约责任：</w:t>
      </w:r>
      <w:r>
        <w:rPr>
          <w:rStyle w:val="452"/>
          <w:rFonts w:hint="eastAsia" w:ascii="宋体" w:hAnsi="宋体" w:cs="宋体"/>
          <w:color w:val="auto"/>
          <w:szCs w:val="21"/>
          <w:highlight w:val="none"/>
        </w:rPr>
        <w:t>每次每人每天处违约金1000元，从工程款中直接扣抵</w:t>
      </w:r>
      <w:r>
        <w:rPr>
          <w:rFonts w:hint="eastAsia" w:ascii="宋体" w:hAnsi="宋体" w:cs="宋体"/>
          <w:color w:val="auto"/>
          <w:szCs w:val="21"/>
          <w:highlight w:val="none"/>
          <w:u w:val="single"/>
        </w:rPr>
        <w:t>，并追究由此给发包人带来的一切损失</w:t>
      </w:r>
      <w:r>
        <w:rPr>
          <w:rStyle w:val="452"/>
          <w:rFonts w:hint="eastAsia" w:ascii="宋体" w:hAnsi="宋体" w:cs="宋体"/>
          <w:color w:val="auto"/>
          <w:szCs w:val="21"/>
          <w:highlight w:val="none"/>
        </w:rPr>
        <w:t>。同时</w:t>
      </w:r>
      <w:r>
        <w:rPr>
          <w:rFonts w:hint="eastAsia" w:ascii="宋体" w:hAnsi="宋体" w:cs="宋体"/>
          <w:color w:val="auto"/>
          <w:szCs w:val="21"/>
          <w:highlight w:val="none"/>
          <w:u w:val="single"/>
        </w:rPr>
        <w:t>发包人保留解除合同的权利</w:t>
      </w:r>
      <w:r>
        <w:rPr>
          <w:rFonts w:hint="eastAsia" w:ascii="宋体" w:hAnsi="宋体" w:cs="宋体"/>
          <w:color w:val="auto"/>
          <w:szCs w:val="21"/>
          <w:highlight w:val="none"/>
        </w:rPr>
        <w:t>。</w:t>
      </w:r>
    </w:p>
    <w:p w14:paraId="5A9A5BF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承包人主要施工管理人员擅自离开施工现场的违约责任：</w:t>
      </w:r>
      <w:r>
        <w:rPr>
          <w:rStyle w:val="452"/>
          <w:rFonts w:hint="eastAsia" w:ascii="宋体" w:hAnsi="宋体" w:cs="宋体"/>
          <w:color w:val="auto"/>
          <w:szCs w:val="21"/>
          <w:highlight w:val="none"/>
        </w:rPr>
        <w:t>每次每人每天处违约金1000元，从工程款中直接扣抵，</w:t>
      </w:r>
      <w:r>
        <w:rPr>
          <w:rFonts w:hint="eastAsia" w:ascii="宋体" w:hAnsi="宋体" w:cs="宋体"/>
          <w:color w:val="auto"/>
          <w:szCs w:val="21"/>
          <w:highlight w:val="none"/>
          <w:u w:val="single"/>
        </w:rPr>
        <w:t>并追究由此给发包人带来的一切损失</w:t>
      </w:r>
      <w:r>
        <w:rPr>
          <w:rStyle w:val="452"/>
          <w:rFonts w:hint="eastAsia" w:ascii="宋体" w:hAnsi="宋体" w:cs="宋体"/>
          <w:color w:val="auto"/>
          <w:szCs w:val="21"/>
          <w:highlight w:val="none"/>
        </w:rPr>
        <w:t>。同时发包人保留解除合同的权利</w:t>
      </w:r>
      <w:r>
        <w:rPr>
          <w:rFonts w:hint="eastAsia" w:ascii="宋体" w:hAnsi="宋体" w:cs="宋体"/>
          <w:color w:val="auto"/>
          <w:szCs w:val="21"/>
          <w:highlight w:val="none"/>
        </w:rPr>
        <w:t>。</w:t>
      </w:r>
    </w:p>
    <w:p w14:paraId="12CCE6A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w:t>
      </w:r>
      <w:bookmarkStart w:id="181" w:name="_Toc297216151"/>
      <w:bookmarkStart w:id="182" w:name="_Toc300934945"/>
      <w:bookmarkStart w:id="183" w:name="_Toc297120459"/>
      <w:bookmarkStart w:id="184" w:name="_Toc297048345"/>
      <w:bookmarkStart w:id="185" w:name="_Toc296346660"/>
      <w:bookmarkStart w:id="186" w:name="_Toc296890987"/>
      <w:bookmarkStart w:id="187" w:name="_Toc296503159"/>
      <w:bookmarkStart w:id="188" w:name="_Toc296944498"/>
      <w:bookmarkStart w:id="189" w:name="_Toc292559364"/>
      <w:bookmarkStart w:id="190" w:name="_Toc296347158"/>
      <w:bookmarkStart w:id="191" w:name="_Toc312677988"/>
      <w:bookmarkStart w:id="192" w:name="_Toc292559869"/>
      <w:bookmarkStart w:id="193" w:name="_Toc304295523"/>
      <w:bookmarkStart w:id="194" w:name="_Toc296891199"/>
      <w:bookmarkStart w:id="195" w:name="_Toc303539102"/>
      <w:bookmarkStart w:id="196" w:name="_Toc297123492"/>
      <w:r>
        <w:rPr>
          <w:rFonts w:hint="eastAsia" w:ascii="宋体" w:hAnsi="宋体" w:cs="宋体"/>
          <w:color w:val="auto"/>
          <w:szCs w:val="21"/>
          <w:highlight w:val="none"/>
        </w:rPr>
        <w:t>.5 分包</w:t>
      </w:r>
    </w:p>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14:paraId="5455F20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w:t>
      </w:r>
      <w:bookmarkStart w:id="197" w:name="_Toc296347159"/>
      <w:bookmarkStart w:id="198" w:name="_Toc296503160"/>
      <w:bookmarkStart w:id="199" w:name="_Toc296346661"/>
      <w:bookmarkStart w:id="200" w:name="_Toc297216152"/>
      <w:bookmarkStart w:id="201" w:name="_Toc296890988"/>
      <w:bookmarkStart w:id="202" w:name="_Toc303539103"/>
      <w:bookmarkStart w:id="203" w:name="_Toc292559870"/>
      <w:bookmarkStart w:id="204" w:name="_Toc297048346"/>
      <w:bookmarkStart w:id="205" w:name="_Toc300934946"/>
      <w:bookmarkStart w:id="206" w:name="_Toc296944499"/>
      <w:bookmarkStart w:id="207" w:name="_Toc297123493"/>
      <w:bookmarkStart w:id="208" w:name="_Toc304295524"/>
      <w:bookmarkStart w:id="209" w:name="_Toc292559365"/>
      <w:bookmarkStart w:id="210" w:name="_Toc297120460"/>
      <w:bookmarkStart w:id="211" w:name="_Toc296891200"/>
      <w:bookmarkStart w:id="212" w:name="_Toc312677989"/>
      <w:bookmarkStart w:id="213" w:name="_Toc318581158"/>
      <w:r>
        <w:rPr>
          <w:rFonts w:hint="eastAsia" w:ascii="宋体" w:hAnsi="宋体" w:cs="宋体"/>
          <w:color w:val="auto"/>
          <w:szCs w:val="21"/>
          <w:highlight w:val="none"/>
        </w:rPr>
        <w:t>.5.1 分包的一般约定</w:t>
      </w:r>
    </w:p>
    <w:p w14:paraId="67296AE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禁止分包的工程包括：</w:t>
      </w:r>
      <w:r>
        <w:rPr>
          <w:rFonts w:hint="eastAsia" w:ascii="宋体" w:hAnsi="宋体" w:cs="宋体"/>
          <w:color w:val="auto"/>
          <w:szCs w:val="21"/>
          <w:highlight w:val="none"/>
          <w:u w:val="single"/>
        </w:rPr>
        <w:t>主体结构、关键性工作</w:t>
      </w:r>
      <w:r>
        <w:rPr>
          <w:rFonts w:hint="eastAsia" w:ascii="宋体" w:hAnsi="宋体" w:cs="宋体"/>
          <w:color w:val="auto"/>
          <w:szCs w:val="21"/>
          <w:highlight w:val="none"/>
        </w:rPr>
        <w:t>。</w:t>
      </w:r>
    </w:p>
    <w:p w14:paraId="5E78065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主体结构、关键性工作的范围：</w:t>
      </w:r>
      <w:r>
        <w:rPr>
          <w:rFonts w:hint="eastAsia" w:ascii="宋体" w:hAnsi="宋体" w:cs="宋体"/>
          <w:color w:val="auto"/>
          <w:szCs w:val="21"/>
          <w:highlight w:val="none"/>
          <w:u w:val="single"/>
        </w:rPr>
        <w:t>本协议约定的所有施工内容</w:t>
      </w:r>
      <w:r>
        <w:rPr>
          <w:rFonts w:hint="eastAsia" w:ascii="宋体" w:hAnsi="宋体" w:cs="宋体"/>
          <w:color w:val="auto"/>
          <w:szCs w:val="21"/>
          <w:highlight w:val="none"/>
        </w:rPr>
        <w:t>。</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Start w:id="214" w:name="_Toc304295525"/>
      <w:bookmarkStart w:id="215" w:name="_Toc296891201"/>
      <w:bookmarkStart w:id="216" w:name="_Toc303539104"/>
      <w:bookmarkStart w:id="217" w:name="_Toc296944500"/>
      <w:bookmarkStart w:id="218" w:name="_Toc297216153"/>
      <w:bookmarkStart w:id="219" w:name="_Toc297120461"/>
      <w:bookmarkStart w:id="220" w:name="_Toc297123494"/>
      <w:bookmarkStart w:id="221" w:name="_Toc296890989"/>
      <w:bookmarkStart w:id="222" w:name="_Toc296503161"/>
      <w:bookmarkStart w:id="223" w:name="_Toc297048347"/>
      <w:bookmarkStart w:id="224" w:name="_Toc300934947"/>
      <w:bookmarkStart w:id="225" w:name="_Toc296347160"/>
      <w:bookmarkStart w:id="226" w:name="_Toc296346662"/>
    </w:p>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14:paraId="28C79176">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3</w:t>
      </w:r>
      <w:bookmarkStart w:id="227" w:name="_Toc318581159"/>
      <w:bookmarkStart w:id="228" w:name="_Toc312677990"/>
      <w:r>
        <w:rPr>
          <w:rFonts w:hint="eastAsia" w:ascii="宋体" w:hAnsi="宋体" w:cs="宋体"/>
          <w:color w:val="auto"/>
          <w:szCs w:val="21"/>
          <w:highlight w:val="none"/>
        </w:rPr>
        <w:t>.5.2分包的确定</w:t>
      </w:r>
    </w:p>
    <w:p w14:paraId="5F1F4AD2">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允许分包的专业工程包括：</w:t>
      </w:r>
      <w:r>
        <w:rPr>
          <w:rFonts w:hint="eastAsia" w:ascii="宋体" w:hAnsi="宋体" w:cs="宋体"/>
          <w:color w:val="auto"/>
          <w:szCs w:val="21"/>
          <w:highlight w:val="none"/>
          <w:u w:val="single"/>
        </w:rPr>
        <w:t>非主体结构、关键性工作但未经发包人书面书面同意，承包人不得擅自分包</w:t>
      </w:r>
      <w:r>
        <w:rPr>
          <w:rFonts w:hint="eastAsia" w:ascii="宋体" w:hAnsi="宋体" w:cs="宋体"/>
          <w:color w:val="auto"/>
          <w:szCs w:val="21"/>
          <w:highlight w:val="none"/>
        </w:rPr>
        <w:t>。</w:t>
      </w:r>
    </w:p>
    <w:p w14:paraId="368D1BEB">
      <w:pPr>
        <w:pStyle w:val="30"/>
        <w:widowControl w:val="0"/>
        <w:adjustRightInd w:val="0"/>
        <w:snapToGrid w:val="0"/>
        <w:spacing w:before="0" w:beforeAutospacing="0" w:after="0" w:afterAutospacing="0" w:line="360" w:lineRule="auto"/>
        <w:ind w:firstLine="480"/>
        <w:rPr>
          <w:rStyle w:val="451"/>
          <w:rFonts w:ascii="宋体" w:hAnsi="宋体"/>
          <w:color w:val="auto"/>
          <w:sz w:val="21"/>
          <w:szCs w:val="21"/>
          <w:highlight w:val="none"/>
        </w:rPr>
      </w:pPr>
      <w:r>
        <w:rPr>
          <w:rFonts w:hint="eastAsia"/>
          <w:color w:val="auto"/>
          <w:sz w:val="21"/>
          <w:szCs w:val="21"/>
          <w:highlight w:val="none"/>
        </w:rPr>
        <w:t>其他关于分包的约定：</w:t>
      </w:r>
      <w:r>
        <w:rPr>
          <w:rFonts w:hint="eastAsia"/>
          <w:color w:val="auto"/>
          <w:sz w:val="21"/>
          <w:szCs w:val="21"/>
          <w:highlight w:val="none"/>
          <w:u w:val="single"/>
        </w:rPr>
        <w:t>（</w:t>
      </w:r>
      <w:r>
        <w:rPr>
          <w:rStyle w:val="451"/>
          <w:rFonts w:hint="eastAsia" w:ascii="宋体" w:hAnsi="宋体"/>
          <w:color w:val="auto"/>
          <w:sz w:val="21"/>
          <w:szCs w:val="21"/>
          <w:highlight w:val="none"/>
          <w:u w:val="single"/>
        </w:rPr>
        <w:t>1）分包人具有相应的资质和能力，工程分包不减轻或免除承包人的责任和义务，承包人和分包人就分包工程向发包人承担连带责任</w:t>
      </w:r>
      <w:r>
        <w:rPr>
          <w:rStyle w:val="451"/>
          <w:rFonts w:hint="eastAsia" w:ascii="宋体" w:hAnsi="宋体"/>
          <w:color w:val="auto"/>
          <w:sz w:val="21"/>
          <w:szCs w:val="21"/>
          <w:highlight w:val="none"/>
        </w:rPr>
        <w:t>。</w:t>
      </w:r>
    </w:p>
    <w:p w14:paraId="64E78B9B">
      <w:pPr>
        <w:adjustRightInd w:val="0"/>
        <w:snapToGrid w:val="0"/>
        <w:spacing w:line="360"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u w:val="single"/>
        </w:rPr>
        <w:t>（2）分包合同签订前，承包人须将拟定的分包人以及分包合同报经监理人和发包人审核书面同意；承包人应在分包合同签订后 7 天内向发包人和监理人提交分包合同副本</w:t>
      </w:r>
      <w:r>
        <w:rPr>
          <w:rFonts w:hint="eastAsia" w:ascii="宋体" w:hAnsi="宋体" w:cs="宋体"/>
          <w:color w:val="auto"/>
          <w:szCs w:val="21"/>
          <w:highlight w:val="none"/>
        </w:rPr>
        <w:t>。</w:t>
      </w:r>
    </w:p>
    <w:p w14:paraId="4B986319">
      <w:pPr>
        <w:adjustRightInd w:val="0"/>
        <w:snapToGrid w:val="0"/>
        <w:spacing w:line="360"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u w:val="single"/>
        </w:rPr>
        <w:t>（3）承包人不得将其承包的全部工程转包给第三人，或将其承包的全部工程肢解后以分包的名义转包给第三人</w:t>
      </w:r>
      <w:r>
        <w:rPr>
          <w:rFonts w:hint="eastAsia" w:ascii="宋体" w:hAnsi="宋体" w:cs="宋体"/>
          <w:color w:val="auto"/>
          <w:szCs w:val="21"/>
          <w:highlight w:val="none"/>
        </w:rPr>
        <w:t>。</w:t>
      </w:r>
    </w:p>
    <w:p w14:paraId="61BD9445">
      <w:pPr>
        <w:adjustRightInd w:val="0"/>
        <w:snapToGrid w:val="0"/>
        <w:spacing w:line="360" w:lineRule="auto"/>
        <w:ind w:firstLine="315" w:firstLineChars="150"/>
        <w:jc w:val="left"/>
        <w:rPr>
          <w:rFonts w:ascii="宋体" w:hAnsi="宋体" w:cs="宋体"/>
          <w:color w:val="auto"/>
          <w:szCs w:val="21"/>
          <w:highlight w:val="none"/>
          <w:u w:val="single"/>
        </w:rPr>
      </w:pPr>
      <w:r>
        <w:rPr>
          <w:rFonts w:hint="eastAsia" w:ascii="宋体" w:hAnsi="宋体" w:cs="宋体"/>
          <w:color w:val="auto"/>
          <w:szCs w:val="21"/>
          <w:highlight w:val="none"/>
        </w:rPr>
        <w:t>（4）</w:t>
      </w:r>
      <w:r>
        <w:rPr>
          <w:rFonts w:hint="eastAsia" w:ascii="宋体" w:hAnsi="宋体" w:cs="宋体"/>
          <w:color w:val="auto"/>
          <w:szCs w:val="21"/>
          <w:highlight w:val="none"/>
          <w:u w:val="single"/>
        </w:rPr>
        <w:t>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p>
    <w:p w14:paraId="6B011785">
      <w:pPr>
        <w:adjustRightInd w:val="0"/>
        <w:snapToGrid w:val="0"/>
        <w:spacing w:line="360" w:lineRule="auto"/>
        <w:jc w:val="left"/>
        <w:rPr>
          <w:rStyle w:val="451"/>
          <w:rFonts w:ascii="宋体" w:hAnsi="宋体" w:cs="宋体"/>
          <w:color w:val="auto"/>
          <w:szCs w:val="21"/>
          <w:highlight w:val="none"/>
        </w:rPr>
      </w:pPr>
      <w:r>
        <w:rPr>
          <w:rStyle w:val="451"/>
          <w:rFonts w:hint="eastAsia" w:ascii="宋体" w:hAnsi="宋体" w:cs="宋体"/>
          <w:color w:val="auto"/>
          <w:szCs w:val="21"/>
          <w:highlight w:val="none"/>
        </w:rPr>
        <w:t>3.5.4 分包合同价款</w:t>
      </w:r>
    </w:p>
    <w:p w14:paraId="68C0933B">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rPr>
        <w:t xml:space="preserve">    关于分包合同价款支付的约定：</w:t>
      </w:r>
      <w:r>
        <w:rPr>
          <w:rStyle w:val="451"/>
          <w:rFonts w:hint="eastAsia" w:ascii="宋体" w:hAnsi="宋体" w:cs="宋体"/>
          <w:color w:val="auto"/>
          <w:szCs w:val="21"/>
          <w:highlight w:val="none"/>
          <w:u w:val="single"/>
        </w:rPr>
        <w:t>由承包人与分包人结算，发包人有监督权。</w:t>
      </w:r>
    </w:p>
    <w:bookmarkEnd w:id="227"/>
    <w:bookmarkEnd w:id="228"/>
    <w:p w14:paraId="602507CF">
      <w:pPr>
        <w:adjustRightInd w:val="0"/>
        <w:snapToGrid w:val="0"/>
        <w:spacing w:line="360" w:lineRule="auto"/>
        <w:jc w:val="left"/>
        <w:rPr>
          <w:rStyle w:val="451"/>
          <w:rFonts w:ascii="宋体" w:hAnsi="宋体" w:cs="宋体"/>
          <w:color w:val="auto"/>
          <w:szCs w:val="21"/>
          <w:highlight w:val="none"/>
        </w:rPr>
      </w:pPr>
      <w:r>
        <w:rPr>
          <w:rStyle w:val="451"/>
          <w:rFonts w:hint="eastAsia" w:ascii="宋体" w:hAnsi="宋体" w:cs="宋体"/>
          <w:color w:val="auto"/>
          <w:szCs w:val="21"/>
          <w:highlight w:val="none"/>
        </w:rPr>
        <w:t>3.6 工程照管与成品、半成品保护</w:t>
      </w:r>
    </w:p>
    <w:p w14:paraId="78DC0019">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rPr>
        <w:t xml:space="preserve">    承包人负责照管工程及工程相关的材料、工程设备的起始时间：</w:t>
      </w:r>
      <w:r>
        <w:rPr>
          <w:rStyle w:val="451"/>
          <w:rFonts w:hint="eastAsia" w:ascii="宋体" w:hAnsi="宋体" w:cs="宋体"/>
          <w:color w:val="auto"/>
          <w:szCs w:val="21"/>
          <w:highlight w:val="none"/>
          <w:u w:val="single"/>
        </w:rPr>
        <w:t>（1）自发包人向承包人移交施工现场之日起，承包人应负责照管工程及工程相关的材料、工程设备，直到颁发工程接收证明之日止</w:t>
      </w:r>
      <w:r>
        <w:rPr>
          <w:rStyle w:val="451"/>
          <w:rFonts w:hint="eastAsia" w:ascii="宋体" w:hAnsi="宋体" w:cs="宋体"/>
          <w:color w:val="auto"/>
          <w:szCs w:val="21"/>
          <w:highlight w:val="none"/>
        </w:rPr>
        <w:t>。</w:t>
      </w:r>
    </w:p>
    <w:p w14:paraId="4A42B05F">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（2）在承包人负责照管期间，造成工程、材料、工程设备损坏的，由承包人负责修复或更换，并承担由此增加费用和（或）延误工期的责任</w:t>
      </w:r>
      <w:r>
        <w:rPr>
          <w:rStyle w:val="451"/>
          <w:rFonts w:hint="eastAsia" w:ascii="宋体" w:hAnsi="宋体" w:cs="宋体"/>
          <w:color w:val="auto"/>
          <w:szCs w:val="21"/>
          <w:highlight w:val="none"/>
        </w:rPr>
        <w:t>。</w:t>
      </w:r>
    </w:p>
    <w:p w14:paraId="7BA79D3C">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（3）对合同内分期完成的成品和半成品，在工程接收证书颁发前，由承包人承担保护责任。造成成品或半成品损坏的，由承包人负责修复或更换，并承担由此增加的费用和（或）延误的工期</w:t>
      </w:r>
      <w:r>
        <w:rPr>
          <w:rStyle w:val="451"/>
          <w:rFonts w:hint="eastAsia" w:ascii="宋体" w:hAnsi="宋体" w:cs="宋体"/>
          <w:color w:val="auto"/>
          <w:szCs w:val="21"/>
          <w:highlight w:val="none"/>
        </w:rPr>
        <w:t>。</w:t>
      </w:r>
    </w:p>
    <w:p w14:paraId="35E824E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color="000000"/>
        </w:rPr>
        <w:t>（4）在工程交付后，发包人要求承包人继续保护，费用另行商定</w:t>
      </w:r>
      <w:r>
        <w:rPr>
          <w:rFonts w:hint="eastAsia" w:ascii="宋体" w:hAnsi="宋体" w:cs="宋体"/>
          <w:color w:val="auto"/>
          <w:szCs w:val="21"/>
          <w:highlight w:val="none"/>
        </w:rPr>
        <w:t>。</w:t>
      </w:r>
    </w:p>
    <w:p w14:paraId="6BABE2C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3.7 履约担保</w:t>
      </w:r>
    </w:p>
    <w:p w14:paraId="4D23270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承包人是否提供履约担保：</w:t>
      </w:r>
      <w:r>
        <w:rPr>
          <w:rFonts w:hint="eastAsia" w:ascii="宋体" w:hAnsi="宋体" w:cs="宋体"/>
          <w:color w:val="auto"/>
          <w:szCs w:val="21"/>
          <w:highlight w:val="none"/>
          <w:u w:val="single" w:color="000000"/>
        </w:rPr>
        <w:t>不釆用</w:t>
      </w:r>
      <w:r>
        <w:rPr>
          <w:rFonts w:hint="eastAsia" w:ascii="宋体" w:hAnsi="宋体" w:cs="宋体"/>
          <w:color w:val="auto"/>
          <w:szCs w:val="21"/>
          <w:highlight w:val="none"/>
        </w:rPr>
        <w:t>。</w:t>
      </w:r>
    </w:p>
    <w:p w14:paraId="2644BD34">
      <w:pPr>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承包人提供履约担保的形式、金额及期限的：</w:t>
      </w:r>
      <w:r>
        <w:rPr>
          <w:rFonts w:hint="eastAsia" w:ascii="宋体" w:hAnsi="宋体" w:cs="宋体"/>
          <w:color w:val="auto"/>
          <w:szCs w:val="21"/>
          <w:highlight w:val="none"/>
          <w:u w:val="single"/>
        </w:rPr>
        <w:t>/ 。</w:t>
      </w:r>
    </w:p>
    <w:p w14:paraId="1604558D">
      <w:pPr>
        <w:tabs>
          <w:tab w:val="left" w:pos="4409"/>
        </w:tabs>
        <w:adjustRightInd w:val="0"/>
        <w:snapToGrid w:val="0"/>
        <w:spacing w:line="360" w:lineRule="auto"/>
        <w:jc w:val="left"/>
        <w:rPr>
          <w:rFonts w:ascii="宋体" w:hAnsi="宋体" w:cs="宋体"/>
          <w:b/>
          <w:color w:val="auto"/>
          <w:szCs w:val="21"/>
          <w:highlight w:val="none"/>
        </w:rPr>
      </w:pPr>
      <w:bookmarkStart w:id="229" w:name="_Toc351203636"/>
      <w:r>
        <w:rPr>
          <w:rFonts w:hint="eastAsia" w:ascii="宋体" w:hAnsi="宋体" w:cs="宋体"/>
          <w:b/>
          <w:color w:val="auto"/>
          <w:szCs w:val="21"/>
          <w:highlight w:val="none"/>
        </w:rPr>
        <w:t>4</w:t>
      </w:r>
      <w:bookmarkStart w:id="230" w:name="_Toc267251413"/>
      <w:bookmarkStart w:id="231" w:name="_Toc296890990"/>
      <w:bookmarkStart w:id="232" w:name="_Toc296347161"/>
      <w:bookmarkStart w:id="233" w:name="_Toc296944501"/>
      <w:bookmarkStart w:id="234" w:name="_Toc296503162"/>
      <w:bookmarkStart w:id="235" w:name="_Toc296346663"/>
      <w:bookmarkStart w:id="236" w:name="_Toc292559366"/>
      <w:bookmarkStart w:id="237" w:name="_Toc292559871"/>
      <w:bookmarkStart w:id="238" w:name="_Toc297120462"/>
      <w:bookmarkStart w:id="239" w:name="_Toc296891202"/>
      <w:bookmarkStart w:id="240" w:name="_Toc297048348"/>
      <w:r>
        <w:rPr>
          <w:rFonts w:hint="eastAsia" w:ascii="宋体" w:hAnsi="宋体" w:cs="宋体"/>
          <w:b/>
          <w:color w:val="auto"/>
          <w:szCs w:val="21"/>
          <w:highlight w:val="none"/>
        </w:rPr>
        <w:t>. 监</w:t>
      </w:r>
      <w:bookmarkEnd w:id="230"/>
      <w:bookmarkEnd w:id="231"/>
      <w:bookmarkEnd w:id="232"/>
      <w:bookmarkEnd w:id="233"/>
      <w:bookmarkEnd w:id="234"/>
      <w:bookmarkEnd w:id="235"/>
      <w:bookmarkEnd w:id="236"/>
      <w:bookmarkEnd w:id="237"/>
      <w:bookmarkEnd w:id="238"/>
      <w:bookmarkEnd w:id="239"/>
      <w:bookmarkEnd w:id="240"/>
      <w:r>
        <w:rPr>
          <w:rFonts w:hint="eastAsia" w:ascii="宋体" w:hAnsi="宋体" w:cs="宋体"/>
          <w:b/>
          <w:color w:val="auto"/>
          <w:szCs w:val="21"/>
          <w:highlight w:val="none"/>
        </w:rPr>
        <w:t>理人</w:t>
      </w:r>
      <w:bookmarkEnd w:id="229"/>
    </w:p>
    <w:p w14:paraId="3D65DD5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4.1监理人的一般规定</w:t>
      </w:r>
    </w:p>
    <w:p w14:paraId="7DF0BF7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关于监理人的监理内容：</w:t>
      </w:r>
      <w:r>
        <w:rPr>
          <w:rFonts w:hint="eastAsia" w:ascii="宋体" w:hAnsi="宋体" w:cs="宋体"/>
          <w:color w:val="auto"/>
          <w:szCs w:val="21"/>
          <w:highlight w:val="none"/>
          <w:u w:val="single"/>
        </w:rPr>
        <w:t>工程施工及保修阶段全过程的监理，对工程质量控制、进度控制、安全控制、投资控制、信息管理、合同管理、现场协调</w:t>
      </w:r>
      <w:r>
        <w:rPr>
          <w:rFonts w:hint="eastAsia" w:ascii="宋体" w:hAnsi="宋体" w:cs="宋体"/>
          <w:color w:val="auto"/>
          <w:szCs w:val="21"/>
          <w:highlight w:val="none"/>
        </w:rPr>
        <w:t>。</w:t>
      </w:r>
    </w:p>
    <w:p w14:paraId="2817C78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关于监理人的监理权限：</w:t>
      </w:r>
    </w:p>
    <w:p w14:paraId="32BD5D1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（1）对工程分包人的资质、能力判别权</w:t>
      </w:r>
      <w:r>
        <w:rPr>
          <w:rFonts w:hint="eastAsia" w:ascii="宋体" w:hAnsi="宋体" w:cs="宋体"/>
          <w:color w:val="auto"/>
          <w:szCs w:val="21"/>
          <w:highlight w:val="none"/>
        </w:rPr>
        <w:t>；</w:t>
      </w:r>
    </w:p>
    <w:p w14:paraId="2E482B1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cs="宋体"/>
          <w:color w:val="auto"/>
          <w:szCs w:val="21"/>
          <w:highlight w:val="none"/>
        </w:rPr>
        <w:t>；</w:t>
      </w:r>
    </w:p>
    <w:p w14:paraId="157EFC5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（3）审核工程施工组织设计和技术方案或设计变更，按照保质量、保工期、降低成本的原则，优化或修正承包人施工组织设计和技术方案，并向发包人提出书面报告</w:t>
      </w:r>
      <w:r>
        <w:rPr>
          <w:rFonts w:hint="eastAsia" w:ascii="宋体" w:hAnsi="宋体" w:cs="宋体"/>
          <w:color w:val="auto"/>
          <w:szCs w:val="21"/>
          <w:highlight w:val="none"/>
        </w:rPr>
        <w:t>；</w:t>
      </w:r>
    </w:p>
    <w:p w14:paraId="7448A59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（4）主持工程建设的组织协调工作，重要协调事项需事先向发包人报告</w:t>
      </w:r>
      <w:r>
        <w:rPr>
          <w:rFonts w:hint="eastAsia" w:ascii="宋体" w:hAnsi="宋体" w:cs="宋体"/>
          <w:color w:val="auto"/>
          <w:szCs w:val="21"/>
          <w:highlight w:val="none"/>
        </w:rPr>
        <w:t>；</w:t>
      </w:r>
    </w:p>
    <w:p w14:paraId="0CFF0D3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（5）征得发包人书面书面同意，监理工程师有权发布开工令、停工令、复工令</w:t>
      </w:r>
      <w:r>
        <w:rPr>
          <w:rFonts w:hint="eastAsia" w:ascii="宋体" w:hAnsi="宋体" w:cs="宋体"/>
          <w:color w:val="auto"/>
          <w:szCs w:val="21"/>
          <w:highlight w:val="none"/>
        </w:rPr>
        <w:t>；</w:t>
      </w:r>
    </w:p>
    <w:p w14:paraId="5BB61DA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s="宋体"/>
          <w:color w:val="auto"/>
          <w:szCs w:val="21"/>
          <w:highlight w:val="none"/>
        </w:rPr>
        <w:t>；</w:t>
      </w:r>
    </w:p>
    <w:p w14:paraId="2DC0ED7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（7）对工程施工的质量、安全文明、进度的检查、监督权</w:t>
      </w:r>
      <w:r>
        <w:rPr>
          <w:rFonts w:hint="eastAsia" w:ascii="宋体" w:hAnsi="宋体" w:cs="宋体"/>
          <w:color w:val="auto"/>
          <w:szCs w:val="21"/>
          <w:highlight w:val="none"/>
        </w:rPr>
        <w:t>；</w:t>
      </w:r>
    </w:p>
    <w:p w14:paraId="571FB8E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（8）对工程施工过程中费用索赔或工程延期的</w:t>
      </w:r>
      <w:r>
        <w:rPr>
          <w:rStyle w:val="452"/>
          <w:rFonts w:hint="eastAsia" w:ascii="宋体" w:hAnsi="宋体" w:cs="宋体"/>
          <w:color w:val="auto"/>
          <w:szCs w:val="21"/>
          <w:highlight w:val="none"/>
        </w:rPr>
        <w:t>签认</w:t>
      </w:r>
      <w:r>
        <w:rPr>
          <w:rFonts w:hint="eastAsia" w:ascii="宋体" w:hAnsi="宋体" w:cs="宋体"/>
          <w:color w:val="auto"/>
          <w:szCs w:val="21"/>
          <w:highlight w:val="none"/>
          <w:u w:val="single"/>
        </w:rPr>
        <w:t>权</w:t>
      </w:r>
      <w:r>
        <w:rPr>
          <w:rFonts w:hint="eastAsia" w:ascii="宋体" w:hAnsi="宋体" w:cs="宋体"/>
          <w:color w:val="auto"/>
          <w:szCs w:val="21"/>
          <w:highlight w:val="none"/>
        </w:rPr>
        <w:t>；</w:t>
      </w:r>
    </w:p>
    <w:p w14:paraId="68DADFA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（9）在合同约定的工程价格范围内，对工程款支付的</w:t>
      </w:r>
      <w:r>
        <w:rPr>
          <w:rStyle w:val="452"/>
          <w:rFonts w:hint="eastAsia" w:ascii="宋体" w:hAnsi="宋体" w:cs="宋体"/>
          <w:color w:val="auto"/>
          <w:szCs w:val="21"/>
          <w:highlight w:val="none"/>
        </w:rPr>
        <w:t>签认</w:t>
      </w:r>
      <w:r>
        <w:rPr>
          <w:rFonts w:hint="eastAsia" w:ascii="宋体" w:hAnsi="宋体" w:cs="宋体"/>
          <w:color w:val="auto"/>
          <w:szCs w:val="21"/>
          <w:highlight w:val="none"/>
          <w:u w:val="single"/>
        </w:rPr>
        <w:t>权，以及工程结算的复查权与否决权</w:t>
      </w:r>
      <w:r>
        <w:rPr>
          <w:rFonts w:hint="eastAsia" w:ascii="宋体" w:hAnsi="宋体" w:cs="宋体"/>
          <w:color w:val="auto"/>
          <w:szCs w:val="21"/>
          <w:highlight w:val="none"/>
        </w:rPr>
        <w:t>；</w:t>
      </w:r>
    </w:p>
    <w:p w14:paraId="5871AF3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（10）经发包人书面同意后，监理工程师有权要求承包人撤换那些不能胜任本职工作或行为不端或玩忽职守的施工现场人员</w:t>
      </w:r>
      <w:r>
        <w:rPr>
          <w:rFonts w:hint="eastAsia" w:ascii="宋体" w:hAnsi="宋体" w:cs="宋体"/>
          <w:color w:val="auto"/>
          <w:szCs w:val="21"/>
          <w:highlight w:val="none"/>
        </w:rPr>
        <w:t>；</w:t>
      </w:r>
    </w:p>
    <w:p w14:paraId="32A674D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（11）除合同内有明确约定或经发包人书面同意外，负责的监理工程师无权免除本合同约定的承包人的任何权利与义务</w:t>
      </w:r>
      <w:r>
        <w:rPr>
          <w:rFonts w:hint="eastAsia" w:ascii="宋体" w:hAnsi="宋体" w:cs="宋体"/>
          <w:color w:val="auto"/>
          <w:szCs w:val="21"/>
          <w:highlight w:val="none"/>
        </w:rPr>
        <w:t>。</w:t>
      </w:r>
    </w:p>
    <w:p w14:paraId="55C331E2">
      <w:pPr>
        <w:snapToGrid w:val="0"/>
        <w:spacing w:line="360" w:lineRule="auto"/>
        <w:ind w:firstLine="420" w:firstLineChars="200"/>
        <w:jc w:val="left"/>
        <w:rPr>
          <w:rStyle w:val="452"/>
          <w:rFonts w:ascii="宋体" w:hAnsi="宋体" w:cs="宋体"/>
          <w:color w:val="auto"/>
          <w:szCs w:val="21"/>
          <w:highlight w:val="none"/>
        </w:rPr>
      </w:pPr>
      <w:r>
        <w:rPr>
          <w:rStyle w:val="452"/>
          <w:rFonts w:hint="eastAsia" w:ascii="宋体" w:hAnsi="宋体" w:cs="宋体"/>
          <w:color w:val="auto"/>
          <w:szCs w:val="21"/>
          <w:highlight w:val="none"/>
        </w:rPr>
        <w:t>需要取得发包人批准才能行使的职权：分包单位的确定、施工中或图纸中的建议、设计变更、签证、工期延期、开工令、停工令、复工令，以及工程施工过程中将会导致造价变化的一切事宜 。</w:t>
      </w:r>
    </w:p>
    <w:p w14:paraId="320B997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关于监理人在施工现场的办公场所、生活场所的提供和费用承担的约定：</w:t>
      </w:r>
      <w:r>
        <w:rPr>
          <w:rFonts w:hint="eastAsia" w:ascii="宋体" w:hAnsi="宋体" w:cs="宋体"/>
          <w:color w:val="auto"/>
          <w:szCs w:val="21"/>
          <w:highlight w:val="none"/>
          <w:u w:val="single"/>
        </w:rPr>
        <w:t>施工现场的办公场所、生活场所由承包人提供，所发生费用由承包人承担。监理人相关办公、生活费用由监理人自行承担</w:t>
      </w:r>
      <w:r>
        <w:rPr>
          <w:rFonts w:hint="eastAsia" w:ascii="宋体" w:hAnsi="宋体" w:cs="宋体"/>
          <w:color w:val="auto"/>
          <w:szCs w:val="21"/>
          <w:highlight w:val="none"/>
        </w:rPr>
        <w:t>。</w:t>
      </w:r>
    </w:p>
    <w:p w14:paraId="7DB4484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4.2 监理人员</w:t>
      </w:r>
    </w:p>
    <w:p w14:paraId="52EF930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总监理工程师：</w:t>
      </w:r>
    </w:p>
    <w:p w14:paraId="2FECAF9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562208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职    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2DACD7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7D38F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D78BFF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26D2E1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7D3672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关于监理人的其他约定：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4BFBB1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4.4 商定或确定</w:t>
      </w:r>
    </w:p>
    <w:p w14:paraId="15676712">
      <w:pPr>
        <w:snapToGrid w:val="0"/>
        <w:spacing w:line="360" w:lineRule="auto"/>
        <w:ind w:firstLine="420" w:firstLineChars="200"/>
        <w:jc w:val="left"/>
        <w:rPr>
          <w:rFonts w:ascii="宋体" w:hAnsi="宋体" w:cs="宋体"/>
          <w:color w:val="auto"/>
          <w:szCs w:val="21"/>
          <w:highlight w:val="none"/>
        </w:rPr>
      </w:pPr>
      <w:bookmarkStart w:id="241" w:name="_Toc267251418"/>
      <w:r>
        <w:rPr>
          <w:rFonts w:hint="eastAsia" w:ascii="宋体" w:hAnsi="宋体" w:cs="宋体"/>
          <w:color w:val="auto"/>
          <w:szCs w:val="21"/>
          <w:highlight w:val="none"/>
        </w:rPr>
        <w:t>在发包人和承包人不能通过协商达成一致意见时，发包人授权监理人对以下事项进行确定：</w:t>
      </w:r>
      <w:r>
        <w:rPr>
          <w:rFonts w:hint="eastAsia" w:ascii="宋体" w:hAnsi="宋体" w:cs="宋体"/>
          <w:color w:val="auto"/>
          <w:szCs w:val="21"/>
          <w:highlight w:val="none"/>
          <w:u w:val="single"/>
        </w:rPr>
        <w:t>工程质量、安全文明施工、分部分项施工工艺或施工方案、材料设备等的检查、检验、验收</w:t>
      </w:r>
      <w:r>
        <w:rPr>
          <w:rFonts w:hint="eastAsia" w:ascii="宋体" w:hAnsi="宋体" w:cs="宋体"/>
          <w:color w:val="auto"/>
          <w:szCs w:val="21"/>
          <w:highlight w:val="none"/>
        </w:rPr>
        <w:t>。</w:t>
      </w:r>
    </w:p>
    <w:p w14:paraId="539D4B4D">
      <w:pPr>
        <w:tabs>
          <w:tab w:val="left" w:pos="4409"/>
        </w:tabs>
        <w:adjustRightInd w:val="0"/>
        <w:snapToGrid w:val="0"/>
        <w:spacing w:line="360" w:lineRule="auto"/>
        <w:jc w:val="left"/>
        <w:rPr>
          <w:rFonts w:ascii="宋体" w:hAnsi="宋体" w:cs="宋体"/>
          <w:b/>
          <w:color w:val="auto"/>
          <w:szCs w:val="21"/>
          <w:highlight w:val="none"/>
        </w:rPr>
      </w:pPr>
      <w:bookmarkStart w:id="242" w:name="_Toc351203637"/>
      <w:r>
        <w:rPr>
          <w:rFonts w:hint="eastAsia" w:ascii="宋体" w:hAnsi="宋体" w:cs="宋体"/>
          <w:b/>
          <w:color w:val="auto"/>
          <w:szCs w:val="21"/>
          <w:highlight w:val="none"/>
        </w:rPr>
        <w:t>5</w:t>
      </w:r>
      <w:bookmarkEnd w:id="241"/>
      <w:bookmarkStart w:id="243" w:name="_Toc297048349"/>
      <w:bookmarkStart w:id="244" w:name="_Toc296891203"/>
      <w:bookmarkStart w:id="245" w:name="_Toc297120463"/>
      <w:bookmarkStart w:id="246" w:name="_Toc292559367"/>
      <w:bookmarkStart w:id="247" w:name="_Toc296347162"/>
      <w:bookmarkStart w:id="248" w:name="_Toc296944502"/>
      <w:bookmarkStart w:id="249" w:name="_Toc296503163"/>
      <w:bookmarkStart w:id="250" w:name="_Toc296890991"/>
      <w:bookmarkStart w:id="251" w:name="_Toc292559872"/>
      <w:bookmarkStart w:id="252" w:name="_Toc296346664"/>
      <w:r>
        <w:rPr>
          <w:rFonts w:hint="eastAsia" w:ascii="宋体" w:hAnsi="宋体" w:cs="宋体"/>
          <w:b/>
          <w:color w:val="auto"/>
          <w:szCs w:val="21"/>
          <w:highlight w:val="none"/>
        </w:rPr>
        <w:t>. 工程质量</w:t>
      </w:r>
      <w:bookmarkEnd w:id="242"/>
    </w:p>
    <w:p w14:paraId="23BAA240">
      <w:pPr>
        <w:adjustRightInd w:val="0"/>
        <w:snapToGrid w:val="0"/>
        <w:spacing w:line="360" w:lineRule="auto"/>
        <w:ind w:firstLine="420" w:firstLineChars="200"/>
        <w:jc w:val="left"/>
        <w:rPr>
          <w:rFonts w:ascii="宋体" w:hAnsi="宋体" w:cs="宋体"/>
          <w:color w:val="auto"/>
          <w:szCs w:val="21"/>
          <w:highlight w:val="none"/>
        </w:rPr>
      </w:pPr>
      <w:bookmarkStart w:id="253" w:name="_Toc318581164"/>
      <w:bookmarkStart w:id="254" w:name="_Toc303539106"/>
      <w:bookmarkStart w:id="255" w:name="_Toc312677997"/>
      <w:bookmarkStart w:id="256" w:name="_Toc304295527"/>
      <w:bookmarkStart w:id="257" w:name="_Toc300934949"/>
      <w:bookmarkStart w:id="258" w:name="_Toc297123496"/>
      <w:bookmarkStart w:id="259" w:name="_Toc297216155"/>
      <w:r>
        <w:rPr>
          <w:rFonts w:hint="eastAsia" w:ascii="宋体" w:hAnsi="宋体" w:cs="宋体"/>
          <w:color w:val="auto"/>
          <w:szCs w:val="21"/>
          <w:highlight w:val="none"/>
        </w:rPr>
        <w:t>5.1 质量要求</w:t>
      </w:r>
    </w:p>
    <w:p w14:paraId="777162D5">
      <w:pPr>
        <w:adjustRightInd w:val="0"/>
        <w:snapToGrid w:val="0"/>
        <w:spacing w:line="360" w:lineRule="auto"/>
        <w:ind w:firstLine="420" w:firstLineChars="200"/>
        <w:jc w:val="left"/>
        <w:rPr>
          <w:rStyle w:val="451"/>
          <w:rFonts w:ascii="宋体" w:hAnsi="宋体" w:cs="宋体"/>
          <w:color w:val="auto"/>
          <w:szCs w:val="21"/>
          <w:highlight w:val="none"/>
          <w:u w:val="single"/>
        </w:rPr>
      </w:pPr>
      <w:r>
        <w:rPr>
          <w:rFonts w:hint="eastAsia" w:ascii="宋体" w:hAnsi="宋体" w:cs="宋体"/>
          <w:color w:val="auto"/>
          <w:szCs w:val="21"/>
          <w:highlight w:val="none"/>
        </w:rPr>
        <w:t>5.1.1 特殊质量标准和要求：符合《建筑工程施工质量验收统一标准》（GB50300-2013），</w:t>
      </w:r>
      <w:r>
        <w:rPr>
          <w:rFonts w:hint="eastAsia" w:ascii="宋体" w:hAnsi="宋体" w:cs="宋体"/>
          <w:color w:val="auto"/>
          <w:szCs w:val="21"/>
          <w:highlight w:val="none"/>
          <w:u w:val="single"/>
        </w:rPr>
        <w:t>对不符合国家质量验收标准及图纸要求，所发生的一切返工费用以及由此给发包人造成的经济损失由承包人承担。</w:t>
      </w:r>
    </w:p>
    <w:p w14:paraId="42C9FB3C">
      <w:pPr>
        <w:adjustRightInd w:val="0"/>
        <w:snapToGrid w:val="0"/>
        <w:spacing w:line="360" w:lineRule="auto"/>
        <w:ind w:firstLine="420" w:firstLineChars="200"/>
        <w:jc w:val="left"/>
        <w:rPr>
          <w:rStyle w:val="451"/>
          <w:rFonts w:ascii="宋体" w:hAnsi="宋体" w:cs="宋体"/>
          <w:color w:val="auto"/>
          <w:szCs w:val="21"/>
          <w:highlight w:val="none"/>
          <w:u w:val="single"/>
        </w:rPr>
      </w:pPr>
      <w:r>
        <w:rPr>
          <w:rFonts w:hint="eastAsia" w:ascii="宋体" w:hAnsi="宋体" w:cs="宋体"/>
          <w:color w:val="auto"/>
          <w:szCs w:val="21"/>
          <w:highlight w:val="none"/>
        </w:rPr>
        <w:t>关于工程奖项的约定：</w:t>
      </w:r>
      <w:r>
        <w:rPr>
          <w:rStyle w:val="451"/>
          <w:rFonts w:hint="eastAsia" w:ascii="宋体" w:hAnsi="宋体" w:cs="宋体"/>
          <w:color w:val="auto"/>
          <w:szCs w:val="21"/>
          <w:highlight w:val="none"/>
          <w:u w:val="single"/>
        </w:rPr>
        <w:t>/。</w:t>
      </w:r>
    </w:p>
    <w:p w14:paraId="5E35EAE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5.3 隐蔽工程检查</w:t>
      </w:r>
    </w:p>
    <w:p w14:paraId="00AE916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5.3.1承包人提前通知监理人隐蔽工程检查的期限的约定：</w:t>
      </w:r>
      <w:r>
        <w:rPr>
          <w:rFonts w:hint="eastAsia" w:ascii="宋体" w:hAnsi="宋体" w:cs="宋体"/>
          <w:color w:val="auto"/>
          <w:szCs w:val="21"/>
          <w:highlight w:val="none"/>
          <w:u w:val="single"/>
        </w:rPr>
        <w:t>承包人至少须提前24小时通知监理人</w:t>
      </w:r>
      <w:r>
        <w:rPr>
          <w:rFonts w:hint="eastAsia" w:ascii="宋体" w:hAnsi="宋体" w:cs="宋体"/>
          <w:color w:val="auto"/>
          <w:szCs w:val="21"/>
          <w:highlight w:val="none"/>
        </w:rPr>
        <w:t>。</w:t>
      </w:r>
    </w:p>
    <w:p w14:paraId="1D801E6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监理人不能按时进行检查时，应提前</w:t>
      </w:r>
      <w:r>
        <w:rPr>
          <w:rFonts w:hint="eastAsia" w:ascii="宋体" w:hAnsi="宋体" w:cs="宋体"/>
          <w:color w:val="auto"/>
          <w:szCs w:val="21"/>
          <w:highlight w:val="none"/>
          <w:u w:val="single"/>
        </w:rPr>
        <w:t xml:space="preserve"> 12 </w:t>
      </w:r>
      <w:r>
        <w:rPr>
          <w:rFonts w:hint="eastAsia" w:ascii="宋体" w:hAnsi="宋体" w:cs="宋体"/>
          <w:color w:val="auto"/>
          <w:szCs w:val="21"/>
          <w:highlight w:val="none"/>
        </w:rPr>
        <w:t>小时提交书面延期要求。</w:t>
      </w:r>
    </w:p>
    <w:p w14:paraId="29EAD78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w:t>
      </w:r>
    </w:p>
    <w:p w14:paraId="62189225">
      <w:pPr>
        <w:tabs>
          <w:tab w:val="left" w:pos="4409"/>
        </w:tabs>
        <w:adjustRightInd w:val="0"/>
        <w:snapToGrid w:val="0"/>
        <w:spacing w:line="360" w:lineRule="auto"/>
        <w:jc w:val="left"/>
        <w:rPr>
          <w:rFonts w:ascii="宋体" w:hAnsi="宋体" w:cs="宋体"/>
          <w:b/>
          <w:color w:val="auto"/>
          <w:szCs w:val="21"/>
          <w:highlight w:val="none"/>
        </w:rPr>
      </w:pPr>
      <w:bookmarkStart w:id="260" w:name="_Toc351203638"/>
      <w:r>
        <w:rPr>
          <w:rFonts w:hint="eastAsia" w:ascii="宋体" w:hAnsi="宋体" w:cs="宋体"/>
          <w:b/>
          <w:color w:val="auto"/>
          <w:szCs w:val="21"/>
          <w:highlight w:val="none"/>
        </w:rPr>
        <w:t>6.安全文明施工与环境保护</w:t>
      </w:r>
      <w:bookmarkEnd w:id="260"/>
    </w:p>
    <w:p w14:paraId="76449889">
      <w:pPr>
        <w:tabs>
          <w:tab w:val="left" w:pos="4409"/>
        </w:tabs>
        <w:adjustRightInd w:val="0"/>
        <w:snapToGrid w:val="0"/>
        <w:spacing w:line="360" w:lineRule="auto"/>
        <w:jc w:val="left"/>
        <w:rPr>
          <w:rFonts w:ascii="宋体" w:hAnsi="宋体" w:cs="宋体"/>
          <w:bCs/>
          <w:color w:val="auto"/>
          <w:szCs w:val="21"/>
          <w:highlight w:val="none"/>
        </w:rPr>
      </w:pPr>
      <w:r>
        <w:rPr>
          <w:rFonts w:hint="eastAsia" w:ascii="宋体" w:hAnsi="宋体" w:cs="宋体"/>
          <w:bCs/>
          <w:color w:val="auto"/>
          <w:szCs w:val="21"/>
          <w:highlight w:val="none"/>
        </w:rPr>
        <w:t>6.1安全文明施工</w:t>
      </w:r>
    </w:p>
    <w:p w14:paraId="1D6BD644">
      <w:pPr>
        <w:adjustRightInd w:val="0"/>
        <w:snapToGrid w:val="0"/>
        <w:spacing w:line="360" w:lineRule="auto"/>
        <w:ind w:firstLine="315" w:firstLineChars="150"/>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rPr>
        <w:t xml:space="preserve"> 6.1.1 项目安全生产的达标目标及相应事项的约定：</w:t>
      </w:r>
      <w:r>
        <w:rPr>
          <w:rStyle w:val="451"/>
          <w:rFonts w:hint="eastAsia" w:ascii="宋体" w:hAnsi="宋体" w:cs="宋体"/>
          <w:color w:val="auto"/>
          <w:szCs w:val="21"/>
          <w:highlight w:val="none"/>
          <w:u w:val="single"/>
        </w:rPr>
        <w:t>（1）承包人应遵守国家、地方现行工程建设安全生产有关管理规定，严格按安全标准实行文明施工管理，并随时接受行政监督机构及其安全检查人员依法实施的监督检查。</w:t>
      </w:r>
      <w:r>
        <w:rPr>
          <w:rFonts w:hint="eastAsia" w:ascii="宋体" w:hAnsi="宋体" w:cs="宋体"/>
          <w:color w:val="auto"/>
          <w:szCs w:val="21"/>
          <w:highlight w:val="none"/>
          <w:u w:val="single"/>
        </w:rPr>
        <w:t>承包人必须服从发包人现场安全考核管理办法。</w:t>
      </w:r>
      <w:r>
        <w:rPr>
          <w:rStyle w:val="451"/>
          <w:rFonts w:hint="eastAsia" w:ascii="宋体" w:hAnsi="宋体" w:cs="宋体"/>
          <w:color w:val="auto"/>
          <w:szCs w:val="21"/>
          <w:highlight w:val="none"/>
          <w:u w:val="single"/>
        </w:rPr>
        <w:t xml:space="preserve">总承包单位对施工现场的安全施工负总责，专业工程承包单位应当服从总承包单位的安全施工管理 </w:t>
      </w:r>
      <w:r>
        <w:rPr>
          <w:rStyle w:val="451"/>
          <w:rFonts w:hint="eastAsia" w:ascii="宋体" w:hAnsi="宋体" w:cs="宋体"/>
          <w:color w:val="auto"/>
          <w:szCs w:val="21"/>
          <w:highlight w:val="none"/>
        </w:rPr>
        <w:t>。</w:t>
      </w:r>
    </w:p>
    <w:p w14:paraId="24B845AF">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（2）承包人负责施工现场的第三方人身财产安全。发包人和承包人需携带标示或胸牌或由发包人和承包人带领下方能出入现场，否则一律不得随意出入</w:t>
      </w:r>
      <w:r>
        <w:rPr>
          <w:rStyle w:val="451"/>
          <w:rFonts w:hint="eastAsia" w:ascii="宋体" w:hAnsi="宋体" w:cs="宋体"/>
          <w:color w:val="auto"/>
          <w:szCs w:val="21"/>
          <w:highlight w:val="none"/>
        </w:rPr>
        <w:t>。</w:t>
      </w:r>
    </w:p>
    <w:p w14:paraId="28CEBC9C">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451"/>
          <w:rFonts w:hint="eastAsia" w:ascii="宋体" w:hAnsi="宋体" w:cs="宋体"/>
          <w:color w:val="auto"/>
          <w:szCs w:val="21"/>
          <w:highlight w:val="none"/>
        </w:rPr>
        <w:t>。 </w:t>
      </w:r>
    </w:p>
    <w:p w14:paraId="0462A955">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（4）发包人不得要求承包人违反安全管理的规定进行施工。因发包人原因导致的安全事故，由发包人承担相应责任及费用。</w:t>
      </w:r>
      <w:r>
        <w:rPr>
          <w:rFonts w:hint="eastAsia" w:ascii="宋体" w:hAnsi="宋体" w:cs="宋体"/>
          <w:color w:val="auto"/>
          <w:szCs w:val="21"/>
          <w:highlight w:val="none"/>
          <w:u w:val="single"/>
        </w:rPr>
        <w:t>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451"/>
          <w:rFonts w:hint="eastAsia" w:ascii="宋体" w:hAnsi="宋体" w:cs="宋体"/>
          <w:color w:val="auto"/>
          <w:szCs w:val="21"/>
          <w:highlight w:val="none"/>
          <w:u w:val="single"/>
        </w:rPr>
        <w:t>因承包人原因造成人员伤亡或机具损坏而导致停工，承包人承担1000元/天的违约金，且工期不予顺延，同时发包人还保留进一步索赔的权利</w:t>
      </w:r>
      <w:r>
        <w:rPr>
          <w:rStyle w:val="451"/>
          <w:rFonts w:hint="eastAsia" w:ascii="宋体" w:hAnsi="宋体" w:cs="宋体"/>
          <w:color w:val="auto"/>
          <w:szCs w:val="21"/>
          <w:highlight w:val="none"/>
        </w:rPr>
        <w:t>。</w:t>
      </w:r>
    </w:p>
    <w:p w14:paraId="09D062B2">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（5）实施爆破作业，使用毒害性、腐蚀性物品施工时，承包人应在施工前7天以书面通知发包人和监理人，并向相关管理部门报送相应的安全防护措施，经审查认可后实施</w:t>
      </w:r>
      <w:r>
        <w:rPr>
          <w:rStyle w:val="451"/>
          <w:rFonts w:hint="eastAsia" w:ascii="宋体" w:hAnsi="宋体" w:cs="宋体"/>
          <w:color w:val="auto"/>
          <w:szCs w:val="21"/>
          <w:highlight w:val="none"/>
        </w:rPr>
        <w:t>。</w:t>
      </w:r>
    </w:p>
    <w:p w14:paraId="65861A5E">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u w:val="single"/>
        </w:rPr>
        <w:t>（6）需单独编制危险性较大分部分项专项工程施工方案的，及要求进行专家论证的分部分项工程，承包人应及时编制和组织论证，由此产生的费用由承包人承担。方案经过论证方可实施</w:t>
      </w:r>
      <w:r>
        <w:rPr>
          <w:rStyle w:val="451"/>
          <w:rFonts w:hint="eastAsia" w:ascii="宋体" w:hAnsi="宋体" w:cs="宋体"/>
          <w:color w:val="auto"/>
          <w:szCs w:val="21"/>
          <w:highlight w:val="none"/>
        </w:rPr>
        <w:t>。</w:t>
      </w:r>
    </w:p>
    <w:p w14:paraId="57EAD298">
      <w:pPr>
        <w:adjustRightInd w:val="0"/>
        <w:snapToGrid w:val="0"/>
        <w:spacing w:line="360" w:lineRule="auto"/>
        <w:jc w:val="left"/>
        <w:rPr>
          <w:rStyle w:val="451"/>
          <w:rFonts w:ascii="宋体" w:hAnsi="宋体" w:cs="宋体"/>
          <w:color w:val="auto"/>
          <w:szCs w:val="21"/>
          <w:highlight w:val="none"/>
          <w:u w:val="single"/>
        </w:rPr>
      </w:pPr>
      <w:r>
        <w:rPr>
          <w:rStyle w:val="451"/>
          <w:rFonts w:hint="eastAsia" w:ascii="宋体" w:hAnsi="宋体" w:cs="宋体"/>
          <w:color w:val="auto"/>
          <w:szCs w:val="21"/>
          <w:highlight w:val="none"/>
        </w:rPr>
        <w:t xml:space="preserve">    6.1.4 关于治安保卫的特别约定：</w:t>
      </w:r>
      <w:r>
        <w:rPr>
          <w:rStyle w:val="451"/>
          <w:rFonts w:hint="eastAsia" w:ascii="宋体" w:hAnsi="宋体" w:cs="宋体"/>
          <w:color w:val="auto"/>
          <w:szCs w:val="21"/>
          <w:highlight w:val="none"/>
          <w:u w:val="single"/>
        </w:rPr>
        <w:t>承包人应保证在整个合同履行期间中不发生治安或刑事案件，妥善保护好施工现场人员人身及财产安全</w:t>
      </w:r>
      <w:r>
        <w:rPr>
          <w:rStyle w:val="451"/>
          <w:rFonts w:hint="eastAsia" w:ascii="宋体" w:hAnsi="宋体" w:cs="宋体"/>
          <w:color w:val="auto"/>
          <w:szCs w:val="21"/>
          <w:highlight w:val="none"/>
        </w:rPr>
        <w:t>。</w:t>
      </w:r>
    </w:p>
    <w:p w14:paraId="454C272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cs="宋体"/>
          <w:color w:val="auto"/>
          <w:szCs w:val="21"/>
          <w:highlight w:val="none"/>
        </w:rPr>
        <w:t>。</w:t>
      </w:r>
    </w:p>
    <w:p w14:paraId="12D663F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cs="宋体"/>
          <w:color w:val="auto"/>
          <w:szCs w:val="21"/>
          <w:highlight w:val="none"/>
        </w:rPr>
        <w:t xml:space="preserve">。  </w:t>
      </w:r>
    </w:p>
    <w:p w14:paraId="3D94308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（3）承包人应负责处理有关施工扰民与民扰问题。因场地管理不善引发的一切纠纷由承包人自行解决，发包人不承担任何责任</w:t>
      </w:r>
      <w:r>
        <w:rPr>
          <w:rFonts w:hint="eastAsia" w:ascii="宋体" w:hAnsi="宋体" w:cs="宋体"/>
          <w:color w:val="auto"/>
          <w:szCs w:val="21"/>
          <w:highlight w:val="none"/>
        </w:rPr>
        <w:t>。</w:t>
      </w:r>
    </w:p>
    <w:p w14:paraId="151F87D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关于编制施工场地治安管理计划的约定：</w:t>
      </w:r>
      <w:r>
        <w:rPr>
          <w:rFonts w:hint="eastAsia" w:ascii="宋体" w:hAnsi="宋体" w:cs="宋体"/>
          <w:color w:val="auto"/>
          <w:szCs w:val="21"/>
          <w:highlight w:val="none"/>
          <w:u w:val="single"/>
        </w:rPr>
        <w:t>关于编制施工场地治安管理计划的约定：在工程开工后7天内编制并向发包人提交施工场地治安管理计划和应对突发治安事件的紧急预案</w:t>
      </w:r>
      <w:r>
        <w:rPr>
          <w:rFonts w:hint="eastAsia" w:ascii="宋体" w:hAnsi="宋体" w:cs="宋体"/>
          <w:color w:val="auto"/>
          <w:szCs w:val="21"/>
          <w:highlight w:val="none"/>
        </w:rPr>
        <w:t>。</w:t>
      </w:r>
    </w:p>
    <w:p w14:paraId="3F64CE9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6.1.5 文明施工</w:t>
      </w:r>
    </w:p>
    <w:p w14:paraId="763C3E5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合同当事人对文明施工的要求：</w:t>
      </w:r>
      <w:r>
        <w:rPr>
          <w:rFonts w:hint="eastAsia" w:ascii="宋体" w:hAnsi="宋体" w:cs="宋体"/>
          <w:color w:val="auto"/>
          <w:szCs w:val="21"/>
          <w:highlight w:val="none"/>
          <w:u w:val="single"/>
        </w:rPr>
        <w:t>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p>
    <w:p w14:paraId="1CCEFC4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（1）整个施工期间杜绝一切人身伤亡和重大质量安全事故，如发生上述事故，则发包人可视为承包人违约，承包人需承担相关责任并赔偿所有损失同时支付违约金20000元/次</w:t>
      </w:r>
      <w:r>
        <w:rPr>
          <w:rFonts w:hint="eastAsia" w:ascii="宋体" w:hAnsi="宋体" w:cs="宋体"/>
          <w:color w:val="auto"/>
          <w:szCs w:val="21"/>
          <w:highlight w:val="none"/>
        </w:rPr>
        <w:t>。</w:t>
      </w:r>
    </w:p>
    <w:p w14:paraId="180E0BD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cs="宋体"/>
          <w:color w:val="auto"/>
          <w:szCs w:val="21"/>
          <w:highlight w:val="none"/>
        </w:rPr>
        <w:t>。</w:t>
      </w:r>
    </w:p>
    <w:p w14:paraId="3C0566A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施工过程中涉及到交通、市容、城建城管、消防、治安、人口管理等需办理相关手续的由承包人负责按规定办理有关手续、承担有关费用，该费用已含在签约合同价中。需发包人配合的，发包人提供必要的配合。</w:t>
      </w:r>
    </w:p>
    <w:p w14:paraId="6D28029F">
      <w:pPr>
        <w:adjustRightInd w:val="0"/>
        <w:snapToGrid w:val="0"/>
        <w:spacing w:line="360" w:lineRule="auto"/>
        <w:ind w:firstLine="375" w:firstLineChars="150"/>
        <w:jc w:val="left"/>
        <w:rPr>
          <w:rFonts w:ascii="宋体" w:hAnsi="宋体" w:cs="宋体"/>
          <w:color w:val="auto"/>
          <w:szCs w:val="21"/>
          <w:highlight w:val="none"/>
          <w:u w:val="single"/>
        </w:rPr>
      </w:pPr>
      <w:r>
        <w:rPr>
          <w:rFonts w:hint="eastAsia" w:ascii="宋体" w:hAnsi="宋体" w:cs="宋体"/>
          <w:color w:val="auto"/>
          <w:spacing w:val="20"/>
          <w:szCs w:val="21"/>
          <w:highlight w:val="none"/>
          <w:u w:val="single"/>
        </w:rPr>
        <w:t>（4）环境保护税（原工程排污费）：签约合同价中已按0.1%计入，结算时，按南京市环保、税务部门实际规定调整，发包人不再为此支付额外费用。</w:t>
      </w:r>
    </w:p>
    <w:p w14:paraId="6E25139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（5）施工现场清洁文明的要求： </w:t>
      </w:r>
    </w:p>
    <w:p w14:paraId="5A8DD50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A、承包人所有人员进入工地后必须遵守市容等有关主管部门及发包人管理规定，做到文明施工、规范施工。承包人违反规定造成的损失和罚款由承包人负责</w:t>
      </w:r>
      <w:r>
        <w:rPr>
          <w:rFonts w:hint="eastAsia" w:ascii="宋体" w:hAnsi="宋体" w:cs="宋体"/>
          <w:color w:val="auto"/>
          <w:szCs w:val="21"/>
          <w:highlight w:val="none"/>
        </w:rPr>
        <w:t>。</w:t>
      </w:r>
    </w:p>
    <w:p w14:paraId="0891851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cs="宋体"/>
          <w:color w:val="auto"/>
          <w:szCs w:val="21"/>
          <w:highlight w:val="none"/>
        </w:rPr>
        <w:t>。</w:t>
      </w:r>
    </w:p>
    <w:p w14:paraId="34B32D5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p>
    <w:p w14:paraId="71E11797">
      <w:pPr>
        <w:adjustRightInd w:val="0"/>
        <w:snapToGrid w:val="0"/>
        <w:spacing w:line="360" w:lineRule="auto"/>
        <w:ind w:firstLine="315" w:firstLineChars="15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p>
    <w:p w14:paraId="158BA8A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E、施工期间产生的生活垃圾等，承包人必须跟清管所签订协议，依据清管所的要求和规定清运垃圾，费用由承包人承担，结算时不作调整。</w:t>
      </w:r>
    </w:p>
    <w:p w14:paraId="6662DB7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F、现场的临时设施等，由承包人负责建设，在退场前7个工作日前自行拆除遗留的临时设施等并清理外运，在原地进行素土回填。费用由承包人承担，结算时不作调整。</w:t>
      </w:r>
    </w:p>
    <w:p w14:paraId="6406ADA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（6）承包人必须服从发包人现场安全考核管理办法。总承包单位对施工现场的文明施工负总责，专业工程承包单位应当服从总承包单位的文明施工管理。</w:t>
      </w:r>
    </w:p>
    <w:p w14:paraId="29385126">
      <w:pPr>
        <w:adjustRightInd w:val="0"/>
        <w:snapToGrid w:val="0"/>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6.1.6 关于安全文明施工费支付比例和支付期限的约定：</w:t>
      </w:r>
      <w:bookmarkEnd w:id="253"/>
      <w:bookmarkEnd w:id="254"/>
      <w:bookmarkEnd w:id="255"/>
      <w:bookmarkEnd w:id="256"/>
      <w:bookmarkEnd w:id="257"/>
      <w:bookmarkEnd w:id="258"/>
      <w:bookmarkEnd w:id="259"/>
      <w:bookmarkStart w:id="261" w:name="_Toc351203639"/>
      <w:r>
        <w:rPr>
          <w:rFonts w:hint="eastAsia" w:ascii="宋体" w:hAnsi="宋体" w:cs="宋体"/>
          <w:color w:val="auto"/>
          <w:szCs w:val="21"/>
          <w:highlight w:val="none"/>
        </w:rPr>
        <w:t>根据苏建价(2005)349号《江苏省建设工程现场安全文明施工措施费计价管理办法》，</w:t>
      </w:r>
      <w:r>
        <w:rPr>
          <w:rFonts w:hint="eastAsia" w:ascii="宋体" w:hAnsi="宋体" w:cs="宋体"/>
          <w:color w:val="auto"/>
          <w:szCs w:val="21"/>
          <w:highlight w:val="none"/>
          <w:u w:val="single"/>
        </w:rPr>
        <w:t>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宋体"/>
          <w:color w:val="auto"/>
          <w:szCs w:val="21"/>
          <w:highlight w:val="none"/>
        </w:rPr>
        <w:t>。</w:t>
      </w:r>
    </w:p>
    <w:p w14:paraId="41D5BF59">
      <w:pPr>
        <w:tabs>
          <w:tab w:val="left" w:pos="4409"/>
        </w:tabs>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7. 工期和进度</w:t>
      </w:r>
      <w:bookmarkEnd w:id="261"/>
    </w:p>
    <w:p w14:paraId="3F1513B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 施工组织设计</w:t>
      </w:r>
    </w:p>
    <w:p w14:paraId="3769A00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7.1.1 合同当事人约定的施工组织设计应包括的其他内容：</w:t>
      </w:r>
      <w:r>
        <w:rPr>
          <w:rFonts w:hint="eastAsia" w:ascii="宋体" w:hAnsi="宋体" w:cs="宋体"/>
          <w:color w:val="auto"/>
          <w:szCs w:val="21"/>
          <w:highlight w:val="none"/>
          <w:u w:val="single"/>
        </w:rPr>
        <w:t>按通用条款执行</w:t>
      </w:r>
      <w:r>
        <w:rPr>
          <w:rFonts w:hint="eastAsia" w:ascii="宋体" w:hAnsi="宋体" w:cs="宋体"/>
          <w:color w:val="auto"/>
          <w:szCs w:val="21"/>
          <w:highlight w:val="none"/>
        </w:rPr>
        <w:t>。</w:t>
      </w:r>
    </w:p>
    <w:p w14:paraId="2B9B303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7.1.2 施工组织设计的提交和修改</w:t>
      </w:r>
    </w:p>
    <w:p w14:paraId="1D872A8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承包人提交详细施工组织设计的期限的约定：</w:t>
      </w:r>
      <w:r>
        <w:rPr>
          <w:rFonts w:hint="eastAsia" w:ascii="宋体" w:hAnsi="宋体" w:cs="宋体"/>
          <w:color w:val="auto"/>
          <w:szCs w:val="21"/>
          <w:highlight w:val="none"/>
          <w:u w:val="single"/>
        </w:rPr>
        <w:t xml:space="preserve">承包人应开工前七天提交详细的施工组织设计及文明施工标化现场方案报监理人和发包人 </w:t>
      </w:r>
      <w:r>
        <w:rPr>
          <w:rFonts w:hint="eastAsia" w:ascii="宋体" w:hAnsi="宋体" w:cs="宋体"/>
          <w:color w:val="auto"/>
          <w:szCs w:val="21"/>
          <w:highlight w:val="none"/>
        </w:rPr>
        <w:t>。</w:t>
      </w:r>
    </w:p>
    <w:p w14:paraId="59D85C8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发包人和监理人在收到详细的施工组织设计后确认或提出修改意见的期限：</w:t>
      </w:r>
      <w:r>
        <w:rPr>
          <w:rFonts w:hint="eastAsia" w:ascii="宋体" w:hAnsi="宋体" w:cs="宋体"/>
          <w:color w:val="auto"/>
          <w:szCs w:val="21"/>
          <w:highlight w:val="none"/>
          <w:u w:val="single"/>
        </w:rPr>
        <w:t>收到意见书后7天</w:t>
      </w:r>
      <w:r>
        <w:rPr>
          <w:rFonts w:hint="eastAsia" w:ascii="宋体" w:hAnsi="宋体" w:cs="宋体"/>
          <w:color w:val="auto"/>
          <w:szCs w:val="21"/>
          <w:highlight w:val="none"/>
        </w:rPr>
        <w:t>。</w:t>
      </w:r>
    </w:p>
    <w:p w14:paraId="63C7082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262" w:name="_Toc312678005"/>
      <w:bookmarkStart w:id="263" w:name="_Toc312677479"/>
      <w:bookmarkStart w:id="264" w:name="_Toc303539123"/>
      <w:bookmarkStart w:id="265" w:name="_Toc300934966"/>
      <w:bookmarkStart w:id="266" w:name="_Toc304295541"/>
      <w:bookmarkStart w:id="267" w:name="_Toc297216173"/>
      <w:bookmarkStart w:id="268" w:name="_Toc297123514"/>
      <w:r>
        <w:rPr>
          <w:rFonts w:hint="eastAsia" w:ascii="宋体" w:hAnsi="宋体" w:cs="宋体"/>
          <w:color w:val="auto"/>
          <w:szCs w:val="21"/>
          <w:highlight w:val="none"/>
        </w:rPr>
        <w:t>.2 施工进度计划</w:t>
      </w:r>
    </w:p>
    <w:p w14:paraId="502CD3E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7.2.2 施工进度计划的修订</w:t>
      </w:r>
    </w:p>
    <w:p w14:paraId="45F6AF6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发包人和监理人在收到修订的施工进度计划后确认或提出修改意见的期限：</w:t>
      </w:r>
      <w:r>
        <w:rPr>
          <w:rFonts w:hint="eastAsia" w:ascii="宋体" w:hAnsi="宋体" w:cs="宋体"/>
          <w:color w:val="auto"/>
          <w:szCs w:val="21"/>
          <w:highlight w:val="none"/>
          <w:u w:val="single"/>
        </w:rPr>
        <w:t>收到意见书后7天</w:t>
      </w:r>
      <w:r>
        <w:rPr>
          <w:rFonts w:hint="eastAsia" w:ascii="宋体" w:hAnsi="宋体" w:cs="宋体"/>
          <w:color w:val="auto"/>
          <w:szCs w:val="21"/>
          <w:highlight w:val="none"/>
        </w:rPr>
        <w:t>。</w:t>
      </w:r>
    </w:p>
    <w:p w14:paraId="281BC4C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7.3 开工</w:t>
      </w:r>
    </w:p>
    <w:p w14:paraId="43FC571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7.3.1 开工准备</w:t>
      </w:r>
    </w:p>
    <w:p w14:paraId="7D891222">
      <w:pPr>
        <w:adjustRightInd w:val="0"/>
        <w:snapToGrid w:val="0"/>
        <w:spacing w:line="360" w:lineRule="auto"/>
        <w:ind w:firstLine="645"/>
        <w:jc w:val="left"/>
        <w:rPr>
          <w:rFonts w:ascii="宋体" w:hAnsi="宋体" w:cs="宋体"/>
          <w:color w:val="auto"/>
          <w:szCs w:val="21"/>
          <w:highlight w:val="none"/>
          <w:u w:val="single"/>
        </w:rPr>
      </w:pPr>
      <w:r>
        <w:rPr>
          <w:rFonts w:hint="eastAsia" w:ascii="宋体" w:hAnsi="宋体" w:cs="宋体"/>
          <w:color w:val="auto"/>
          <w:szCs w:val="21"/>
          <w:highlight w:val="none"/>
        </w:rPr>
        <w:t>关于承包人提交工程开工报审表的期限：</w:t>
      </w:r>
      <w:r>
        <w:rPr>
          <w:rFonts w:hint="eastAsia" w:ascii="宋体" w:hAnsi="宋体" w:cs="宋体"/>
          <w:color w:val="auto"/>
          <w:szCs w:val="21"/>
          <w:highlight w:val="none"/>
          <w:u w:val="single"/>
        </w:rPr>
        <w:t xml:space="preserve">计划开工前10日内 </w:t>
      </w:r>
      <w:r>
        <w:rPr>
          <w:rFonts w:hint="eastAsia" w:ascii="宋体" w:hAnsi="宋体" w:cs="宋体"/>
          <w:color w:val="auto"/>
          <w:szCs w:val="21"/>
          <w:highlight w:val="none"/>
        </w:rPr>
        <w:t>。</w:t>
      </w:r>
    </w:p>
    <w:p w14:paraId="03834EEF">
      <w:pPr>
        <w:adjustRightInd w:val="0"/>
        <w:snapToGrid w:val="0"/>
        <w:spacing w:line="360" w:lineRule="auto"/>
        <w:ind w:firstLine="645"/>
        <w:jc w:val="left"/>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color w:val="auto"/>
          <w:szCs w:val="21"/>
          <w:highlight w:val="none"/>
          <w:u w:val="single"/>
        </w:rPr>
        <w:t>双方协商办理</w:t>
      </w:r>
      <w:r>
        <w:rPr>
          <w:rFonts w:hint="eastAsia" w:ascii="宋体" w:hAnsi="宋体" w:cs="宋体"/>
          <w:color w:val="auto"/>
          <w:szCs w:val="21"/>
          <w:highlight w:val="none"/>
        </w:rPr>
        <w:t>。</w:t>
      </w:r>
    </w:p>
    <w:p w14:paraId="1940048C">
      <w:pPr>
        <w:adjustRightInd w:val="0"/>
        <w:snapToGrid w:val="0"/>
        <w:spacing w:line="360" w:lineRule="auto"/>
        <w:ind w:firstLine="525" w:firstLineChars="250"/>
        <w:jc w:val="left"/>
        <w:rPr>
          <w:rFonts w:ascii="宋体" w:hAnsi="宋体" w:cs="宋体"/>
          <w:color w:val="auto"/>
          <w:szCs w:val="21"/>
          <w:highlight w:val="none"/>
          <w:u w:val="single"/>
        </w:rPr>
      </w:pPr>
      <w:r>
        <w:rPr>
          <w:rFonts w:hint="eastAsia" w:ascii="宋体" w:hAnsi="宋体" w:cs="宋体"/>
          <w:color w:val="auto"/>
          <w:szCs w:val="21"/>
          <w:highlight w:val="none"/>
        </w:rPr>
        <w:t>关于承包人应完成的其他开工准备工作及期限：</w:t>
      </w:r>
      <w:r>
        <w:rPr>
          <w:rFonts w:hint="eastAsia" w:ascii="宋体" w:hAnsi="宋体" w:cs="宋体"/>
          <w:color w:val="auto"/>
          <w:szCs w:val="21"/>
          <w:highlight w:val="none"/>
          <w:u w:val="single"/>
        </w:rPr>
        <w:t>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p>
    <w:p w14:paraId="15B5E87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7.3.2开工通知</w:t>
      </w:r>
    </w:p>
    <w:p w14:paraId="795C14D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因发包人原因造成监理人未能在计划开工日期之日起</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天内发出开工通知的，承包人有权提出价格调整要求，或者解除合同。</w:t>
      </w:r>
    </w:p>
    <w:bookmarkEnd w:id="262"/>
    <w:bookmarkEnd w:id="263"/>
    <w:bookmarkEnd w:id="264"/>
    <w:bookmarkEnd w:id="265"/>
    <w:bookmarkEnd w:id="266"/>
    <w:bookmarkEnd w:id="267"/>
    <w:bookmarkEnd w:id="268"/>
    <w:p w14:paraId="70D3126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7.4 测量放线</w:t>
      </w:r>
    </w:p>
    <w:p w14:paraId="5AB231EB">
      <w:pPr>
        <w:pStyle w:val="30"/>
        <w:snapToGrid w:val="0"/>
        <w:spacing w:before="0" w:beforeAutospacing="0" w:after="0" w:afterAutospacing="0" w:line="360" w:lineRule="auto"/>
        <w:ind w:firstLine="420" w:firstLineChars="200"/>
        <w:rPr>
          <w:color w:val="auto"/>
          <w:kern w:val="2"/>
          <w:sz w:val="21"/>
          <w:szCs w:val="21"/>
          <w:highlight w:val="none"/>
          <w:u w:val="single"/>
        </w:rPr>
      </w:pPr>
      <w:r>
        <w:rPr>
          <w:rFonts w:hint="eastAsia"/>
          <w:color w:val="auto"/>
          <w:sz w:val="21"/>
          <w:szCs w:val="21"/>
          <w:highlight w:val="none"/>
        </w:rPr>
        <w:t>7.4.1发包人通过监理人向承包人提供测量基准点、基准线和水准点及其书面资料的期限：</w:t>
      </w:r>
      <w:r>
        <w:rPr>
          <w:rFonts w:hint="eastAsia"/>
          <w:color w:val="auto"/>
          <w:kern w:val="2"/>
          <w:sz w:val="21"/>
          <w:szCs w:val="21"/>
          <w:highlight w:val="none"/>
          <w:u w:val="single"/>
        </w:rPr>
        <w:t>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color w:val="auto"/>
          <w:kern w:val="2"/>
          <w:sz w:val="21"/>
          <w:szCs w:val="21"/>
          <w:highlight w:val="none"/>
        </w:rPr>
        <w:t>。</w:t>
      </w:r>
    </w:p>
    <w:p w14:paraId="5034694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269" w:name="_Toc304295546"/>
      <w:bookmarkStart w:id="270" w:name="_Toc312678010"/>
      <w:bookmarkStart w:id="271" w:name="_Toc297123516"/>
      <w:bookmarkStart w:id="272" w:name="_Toc312677484"/>
      <w:bookmarkStart w:id="273" w:name="_Toc300934968"/>
      <w:bookmarkStart w:id="274" w:name="_Toc297216175"/>
      <w:bookmarkStart w:id="275" w:name="_Toc303539125"/>
      <w:r>
        <w:rPr>
          <w:rFonts w:hint="eastAsia" w:ascii="宋体" w:hAnsi="宋体" w:cs="宋体"/>
          <w:color w:val="auto"/>
          <w:szCs w:val="21"/>
          <w:highlight w:val="none"/>
        </w:rPr>
        <w:t>.5 工期延误</w:t>
      </w:r>
    </w:p>
    <w:bookmarkEnd w:id="269"/>
    <w:bookmarkEnd w:id="270"/>
    <w:bookmarkEnd w:id="271"/>
    <w:bookmarkEnd w:id="272"/>
    <w:bookmarkEnd w:id="273"/>
    <w:bookmarkEnd w:id="274"/>
    <w:bookmarkEnd w:id="275"/>
    <w:p w14:paraId="72318B0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7.5.1 因发包人原因导致工期延误</w:t>
      </w:r>
    </w:p>
    <w:p w14:paraId="7F85062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（7）因发包人原因导致工期延误的其他情形：</w:t>
      </w:r>
      <w:r>
        <w:rPr>
          <w:rFonts w:hint="eastAsia" w:ascii="宋体" w:hAnsi="宋体" w:cs="宋体"/>
          <w:color w:val="auto"/>
          <w:szCs w:val="21"/>
          <w:highlight w:val="none"/>
          <w:u w:val="single"/>
        </w:rPr>
        <w:t>因发包人原因或者政府相关政策、要求等原因造成暂停施工的，承包人应积极配合发包人做好施工计划调整，并合理调整人员和施工机械，工期顺延，发包人不承担由此造成的损失，也不调增费用。</w:t>
      </w:r>
    </w:p>
    <w:p w14:paraId="71DD9B5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276" w:name="_Toc312678012"/>
      <w:bookmarkStart w:id="277" w:name="_Toc318581169"/>
      <w:bookmarkStart w:id="278" w:name="_Toc312677486"/>
      <w:bookmarkStart w:id="279" w:name="_Toc300934970"/>
      <w:bookmarkStart w:id="280" w:name="_Toc303539127"/>
      <w:bookmarkStart w:id="281" w:name="_Toc304295548"/>
      <w:bookmarkStart w:id="282" w:name="_Toc297216177"/>
      <w:bookmarkStart w:id="283" w:name="_Toc297123518"/>
      <w:r>
        <w:rPr>
          <w:rFonts w:hint="eastAsia" w:ascii="宋体" w:hAnsi="宋体" w:cs="宋体"/>
          <w:color w:val="auto"/>
          <w:szCs w:val="21"/>
          <w:highlight w:val="none"/>
        </w:rPr>
        <w:t>.5.2 因承包人原因导致工期延误</w:t>
      </w:r>
    </w:p>
    <w:bookmarkEnd w:id="276"/>
    <w:bookmarkEnd w:id="277"/>
    <w:bookmarkEnd w:id="278"/>
    <w:p w14:paraId="1FEF6D0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因</w:t>
      </w:r>
      <w:bookmarkStart w:id="284" w:name="_Toc318581170"/>
      <w:bookmarkStart w:id="285" w:name="_Toc312678013"/>
      <w:bookmarkStart w:id="286" w:name="_Toc312677487"/>
      <w:r>
        <w:rPr>
          <w:rFonts w:hint="eastAsia" w:ascii="宋体" w:hAnsi="宋体" w:cs="宋体"/>
          <w:color w:val="auto"/>
          <w:szCs w:val="21"/>
          <w:highlight w:val="none"/>
        </w:rPr>
        <w:t>承包人原因造成工期延误，逾期竣工违约金的计算方法为：</w:t>
      </w:r>
      <w:bookmarkEnd w:id="279"/>
      <w:bookmarkEnd w:id="280"/>
      <w:bookmarkEnd w:id="281"/>
      <w:bookmarkEnd w:id="282"/>
      <w:bookmarkEnd w:id="283"/>
      <w:bookmarkEnd w:id="284"/>
      <w:bookmarkEnd w:id="285"/>
      <w:bookmarkEnd w:id="286"/>
      <w:bookmarkStart w:id="287" w:name="_Toc312678014"/>
      <w:bookmarkStart w:id="288" w:name="_Toc318581171"/>
      <w:r>
        <w:rPr>
          <w:rFonts w:hint="eastAsia" w:ascii="宋体" w:hAnsi="宋体" w:cs="宋体"/>
          <w:color w:val="auto"/>
          <w:szCs w:val="21"/>
          <w:highlight w:val="none"/>
          <w:u w:val="single"/>
        </w:rPr>
        <w:t>违约金为合同价格的万分之三/天向发包人支付逾期竣工违约金，非发包人原因工期延误1/3总工期天以上，发包人有权解除合同并追究承包人延误工期由此造成的一切责任。</w:t>
      </w:r>
    </w:p>
    <w:p w14:paraId="0530DED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因承包人原因造成工期延误，逾期竣工违约金的上限：</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bookmarkEnd w:id="287"/>
    <w:bookmarkEnd w:id="288"/>
    <w:p w14:paraId="2C0A7F7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289" w:name="_Toc297123519"/>
      <w:bookmarkStart w:id="290" w:name="_Toc312678015"/>
      <w:bookmarkStart w:id="291" w:name="_Toc304295549"/>
      <w:bookmarkStart w:id="292" w:name="_Toc297216178"/>
      <w:bookmarkStart w:id="293" w:name="_Toc300934971"/>
      <w:bookmarkStart w:id="294" w:name="_Toc303539128"/>
      <w:r>
        <w:rPr>
          <w:rFonts w:hint="eastAsia" w:ascii="宋体" w:hAnsi="宋体" w:cs="宋体"/>
          <w:color w:val="auto"/>
          <w:szCs w:val="21"/>
          <w:highlight w:val="none"/>
        </w:rPr>
        <w:t>.6 不</w:t>
      </w:r>
      <w:bookmarkEnd w:id="289"/>
      <w:bookmarkEnd w:id="290"/>
      <w:bookmarkEnd w:id="291"/>
      <w:bookmarkEnd w:id="292"/>
      <w:bookmarkEnd w:id="293"/>
      <w:bookmarkEnd w:id="294"/>
      <w:r>
        <w:rPr>
          <w:rFonts w:hint="eastAsia" w:ascii="宋体" w:hAnsi="宋体" w:cs="宋体"/>
          <w:color w:val="auto"/>
          <w:szCs w:val="21"/>
          <w:highlight w:val="none"/>
        </w:rPr>
        <w:t>利物质条件</w:t>
      </w:r>
    </w:p>
    <w:p w14:paraId="458CD250">
      <w:pPr>
        <w:adjustRightInd w:val="0"/>
        <w:snapToGrid w:val="0"/>
        <w:spacing w:line="360" w:lineRule="auto"/>
        <w:ind w:firstLine="420" w:firstLineChars="200"/>
        <w:jc w:val="left"/>
        <w:rPr>
          <w:rFonts w:ascii="宋体" w:hAnsi="宋体" w:cs="宋体"/>
          <w:color w:val="auto"/>
          <w:szCs w:val="21"/>
          <w:highlight w:val="none"/>
        </w:rPr>
      </w:pPr>
      <w:bookmarkStart w:id="295" w:name="_Toc297123520"/>
      <w:bookmarkStart w:id="296" w:name="_Toc303539129"/>
      <w:bookmarkStart w:id="297" w:name="_Toc304295550"/>
      <w:bookmarkStart w:id="298" w:name="_Toc297216179"/>
      <w:bookmarkStart w:id="299" w:name="_Toc318581172"/>
      <w:bookmarkStart w:id="300" w:name="_Toc300934972"/>
      <w:bookmarkStart w:id="301" w:name="_Toc312678016"/>
      <w:r>
        <w:rPr>
          <w:rFonts w:hint="eastAsia" w:ascii="宋体" w:hAnsi="宋体" w:cs="宋体"/>
          <w:color w:val="auto"/>
          <w:szCs w:val="21"/>
          <w:highlight w:val="none"/>
        </w:rPr>
        <w:t>不利物质条件的其他情形和有关约定：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bookmarkEnd w:id="295"/>
    <w:bookmarkEnd w:id="296"/>
    <w:bookmarkEnd w:id="297"/>
    <w:bookmarkEnd w:id="298"/>
    <w:bookmarkEnd w:id="299"/>
    <w:bookmarkEnd w:id="300"/>
    <w:bookmarkEnd w:id="301"/>
    <w:p w14:paraId="29C4D3B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w:t>
      </w:r>
      <w:bookmarkStart w:id="302" w:name="_Toc297123521"/>
      <w:bookmarkStart w:id="303" w:name="_Toc304295551"/>
      <w:bookmarkStart w:id="304" w:name="_Toc297216180"/>
      <w:bookmarkStart w:id="305" w:name="_Toc303539130"/>
      <w:bookmarkStart w:id="306" w:name="_Toc300934973"/>
      <w:bookmarkStart w:id="307" w:name="_Toc312678017"/>
      <w:r>
        <w:rPr>
          <w:rFonts w:hint="eastAsia" w:ascii="宋体" w:hAnsi="宋体" w:cs="宋体"/>
          <w:color w:val="auto"/>
          <w:szCs w:val="21"/>
          <w:highlight w:val="none"/>
        </w:rPr>
        <w:t>.7异常恶劣的气候条件</w:t>
      </w:r>
    </w:p>
    <w:bookmarkEnd w:id="302"/>
    <w:bookmarkEnd w:id="303"/>
    <w:bookmarkEnd w:id="304"/>
    <w:bookmarkEnd w:id="305"/>
    <w:bookmarkEnd w:id="306"/>
    <w:bookmarkEnd w:id="307"/>
    <w:p w14:paraId="3D173AF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发包人和承包人书面同意以下情形视为异常恶劣的气候条件：</w:t>
      </w:r>
    </w:p>
    <w:p w14:paraId="6BACC28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（1）6级以上持续24小时的大风 </w:t>
      </w:r>
      <w:r>
        <w:rPr>
          <w:rFonts w:hint="eastAsia" w:ascii="宋体" w:hAnsi="宋体" w:cs="宋体"/>
          <w:color w:val="auto"/>
          <w:szCs w:val="21"/>
          <w:highlight w:val="none"/>
        </w:rPr>
        <w:t>；</w:t>
      </w:r>
    </w:p>
    <w:p w14:paraId="4C8EEB3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（2）持续降雨24小时且降雨量200 mm以上；持续降雪24小时且降雪量30mm以上 </w:t>
      </w:r>
      <w:r>
        <w:rPr>
          <w:rFonts w:hint="eastAsia" w:ascii="宋体" w:hAnsi="宋体" w:cs="宋体"/>
          <w:color w:val="auto"/>
          <w:szCs w:val="21"/>
          <w:highlight w:val="none"/>
        </w:rPr>
        <w:t>；</w:t>
      </w:r>
    </w:p>
    <w:p w14:paraId="660BC77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（3）40℃及以上持续24小时的高温 </w:t>
      </w:r>
      <w:r>
        <w:rPr>
          <w:rFonts w:hint="eastAsia" w:ascii="宋体" w:hAnsi="宋体" w:cs="宋体"/>
          <w:color w:val="auto"/>
          <w:szCs w:val="21"/>
          <w:highlight w:val="none"/>
        </w:rPr>
        <w:t>；</w:t>
      </w:r>
    </w:p>
    <w:p w14:paraId="2D7A55C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（4）日降雨量大于50mm的雨日超过1天 </w:t>
      </w:r>
      <w:r>
        <w:rPr>
          <w:rFonts w:hint="eastAsia" w:ascii="宋体" w:hAnsi="宋体" w:cs="宋体"/>
          <w:color w:val="auto"/>
          <w:szCs w:val="21"/>
          <w:highlight w:val="none"/>
        </w:rPr>
        <w:t>；</w:t>
      </w:r>
    </w:p>
    <w:p w14:paraId="5738579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（5）日气温超过38℃ 的高温大于3天或低于-20 ℃ 的严寒大于3天 </w:t>
      </w:r>
      <w:r>
        <w:rPr>
          <w:rFonts w:hint="eastAsia" w:ascii="宋体" w:hAnsi="宋体" w:cs="宋体"/>
          <w:color w:val="auto"/>
          <w:szCs w:val="21"/>
          <w:highlight w:val="none"/>
        </w:rPr>
        <w:t>；</w:t>
      </w:r>
    </w:p>
    <w:p w14:paraId="7CE660C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 xml:space="preserve">（6）造成工程损坏的冰雹和大雪灾害：日降雪量10mm及以上 </w:t>
      </w:r>
      <w:r>
        <w:rPr>
          <w:rFonts w:hint="eastAsia" w:ascii="宋体" w:hAnsi="宋体" w:cs="宋体"/>
          <w:color w:val="auto"/>
          <w:szCs w:val="21"/>
          <w:highlight w:val="none"/>
        </w:rPr>
        <w:t>。</w:t>
      </w:r>
    </w:p>
    <w:p w14:paraId="6D2B012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7.9 提前竣工的奖励</w:t>
      </w:r>
    </w:p>
    <w:p w14:paraId="0ECD3B6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7.9.2提前竣工的奖励：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31888D8">
      <w:pPr>
        <w:tabs>
          <w:tab w:val="left" w:pos="4409"/>
        </w:tabs>
        <w:adjustRightInd w:val="0"/>
        <w:snapToGrid w:val="0"/>
        <w:spacing w:line="360" w:lineRule="auto"/>
        <w:jc w:val="left"/>
        <w:rPr>
          <w:rFonts w:ascii="宋体" w:hAnsi="宋体" w:cs="宋体"/>
          <w:b/>
          <w:color w:val="auto"/>
          <w:szCs w:val="21"/>
          <w:highlight w:val="none"/>
        </w:rPr>
      </w:pPr>
      <w:bookmarkStart w:id="308" w:name="_Toc351203640"/>
      <w:r>
        <w:rPr>
          <w:rFonts w:hint="eastAsia" w:ascii="宋体" w:hAnsi="宋体" w:cs="宋体"/>
          <w:b/>
          <w:color w:val="auto"/>
          <w:szCs w:val="21"/>
          <w:highlight w:val="none"/>
        </w:rPr>
        <w:t>8. 材料与设备</w:t>
      </w:r>
      <w:bookmarkEnd w:id="308"/>
    </w:p>
    <w:bookmarkEnd w:id="243"/>
    <w:bookmarkEnd w:id="244"/>
    <w:bookmarkEnd w:id="245"/>
    <w:bookmarkEnd w:id="246"/>
    <w:bookmarkEnd w:id="247"/>
    <w:bookmarkEnd w:id="248"/>
    <w:bookmarkEnd w:id="249"/>
    <w:bookmarkEnd w:id="250"/>
    <w:bookmarkEnd w:id="251"/>
    <w:bookmarkEnd w:id="252"/>
    <w:p w14:paraId="2003E37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w:t>
      </w:r>
      <w:bookmarkStart w:id="309" w:name="_Toc312677493"/>
      <w:bookmarkStart w:id="310" w:name="_Toc300934979"/>
      <w:bookmarkStart w:id="311" w:name="_Toc297216186"/>
      <w:bookmarkStart w:id="312" w:name="_Toc304295556"/>
      <w:bookmarkStart w:id="313" w:name="_Toc297123527"/>
      <w:bookmarkStart w:id="314" w:name="_Toc296891207"/>
      <w:bookmarkStart w:id="315" w:name="_Toc297120467"/>
      <w:bookmarkStart w:id="316" w:name="_Toc296890995"/>
      <w:bookmarkStart w:id="317" w:name="_Toc297048353"/>
      <w:bookmarkStart w:id="318" w:name="_Toc303539136"/>
      <w:bookmarkStart w:id="319" w:name="_Toc292559877"/>
      <w:bookmarkStart w:id="320" w:name="_Toc292559372"/>
      <w:bookmarkStart w:id="321" w:name="_Toc296944506"/>
      <w:bookmarkStart w:id="322" w:name="_Toc312678019"/>
      <w:bookmarkStart w:id="323" w:name="_Toc296503167"/>
      <w:bookmarkStart w:id="324" w:name="_Toc296347166"/>
      <w:bookmarkStart w:id="325" w:name="_Toc296346668"/>
      <w:bookmarkStart w:id="326" w:name="_Toc280868654"/>
      <w:bookmarkStart w:id="327" w:name="_Toc280868656"/>
      <w:bookmarkStart w:id="328" w:name="_Toc280868655"/>
      <w:bookmarkStart w:id="329" w:name="_Toc267251424"/>
      <w:r>
        <w:rPr>
          <w:rFonts w:hint="eastAsia" w:ascii="宋体" w:hAnsi="宋体" w:cs="宋体"/>
          <w:color w:val="auto"/>
          <w:szCs w:val="21"/>
          <w:highlight w:val="none"/>
        </w:rPr>
        <w:t>.4材料与工程设备的保管与使用</w:t>
      </w:r>
    </w:p>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14:paraId="695AA5C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8</w:t>
      </w:r>
      <w:bookmarkStart w:id="330" w:name="_Toc292559878"/>
      <w:bookmarkStart w:id="331" w:name="_Toc292559373"/>
      <w:bookmarkStart w:id="332" w:name="_Toc312678020"/>
      <w:bookmarkStart w:id="333" w:name="_Toc303539137"/>
      <w:bookmarkStart w:id="334" w:name="_Toc297120468"/>
      <w:bookmarkStart w:id="335" w:name="_Toc318581173"/>
      <w:bookmarkStart w:id="336" w:name="_Toc297123528"/>
      <w:bookmarkStart w:id="337" w:name="_Toc304295557"/>
      <w:bookmarkStart w:id="338" w:name="_Toc296890996"/>
      <w:bookmarkStart w:id="339" w:name="_Toc296944507"/>
      <w:bookmarkStart w:id="340" w:name="_Toc296503168"/>
      <w:bookmarkStart w:id="341" w:name="_Toc297048354"/>
      <w:bookmarkStart w:id="342" w:name="_Toc297216187"/>
      <w:bookmarkStart w:id="343" w:name="_Toc296891208"/>
      <w:bookmarkStart w:id="344" w:name="_Toc300934980"/>
      <w:bookmarkStart w:id="345" w:name="_Toc296347167"/>
      <w:bookmarkStart w:id="346" w:name="_Toc312677494"/>
      <w:bookmarkStart w:id="347" w:name="_Toc296346669"/>
      <w:r>
        <w:rPr>
          <w:rFonts w:hint="eastAsia" w:ascii="宋体" w:hAnsi="宋体" w:cs="宋体"/>
          <w:color w:val="auto"/>
          <w:szCs w:val="21"/>
          <w:highlight w:val="none"/>
        </w:rPr>
        <w:t>.4.1发包人供应的材料设备的保管费用的承担：</w:t>
      </w:r>
      <w:bookmarkEnd w:id="330"/>
      <w:bookmarkEnd w:id="331"/>
      <w:r>
        <w:rPr>
          <w:rFonts w:hint="eastAsia" w:ascii="宋体" w:hAnsi="宋体" w:cs="宋体"/>
          <w:color w:val="auto"/>
          <w:szCs w:val="21"/>
          <w:highlight w:val="none"/>
          <w:u w:val="single"/>
        </w:rPr>
        <w:t xml:space="preserve">发包人供应的材料和工程设备，承包人清点后由承包人妥善保管，保管费用由发包人承担，保管费用为发包人供应的材料和工程设备价的1% </w:t>
      </w:r>
      <w:r>
        <w:rPr>
          <w:rFonts w:hint="eastAsia" w:ascii="宋体" w:hAnsi="宋体" w:cs="宋体"/>
          <w:color w:val="auto"/>
          <w:szCs w:val="21"/>
          <w:highlight w:val="none"/>
        </w:rPr>
        <w:t>。</w:t>
      </w:r>
    </w:p>
    <w:p w14:paraId="758B015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因承包人原因发生丢失毁损的，由承包人负责赔偿；发包人未通知承包人清点的，承包人不负责材料和工程设备的保管，由此导致丢失毁损的由发包人负责</w:t>
      </w:r>
      <w:r>
        <w:rPr>
          <w:rFonts w:hint="eastAsia" w:ascii="宋体" w:hAnsi="宋体" w:cs="宋体"/>
          <w:color w:val="auto"/>
          <w:szCs w:val="21"/>
          <w:highlight w:val="none"/>
        </w:rPr>
        <w:t>。</w:t>
      </w:r>
    </w:p>
    <w:p w14:paraId="1BAD10A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8.6 样品</w:t>
      </w:r>
    </w:p>
    <w:p w14:paraId="5F76AB8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8.6.1样品的报送与封存</w:t>
      </w:r>
    </w:p>
    <w:p w14:paraId="0604CC0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需要承包人报送样品的材料或工程设备，样品的种类、名称、规格、数量要求：</w:t>
      </w:r>
      <w:r>
        <w:rPr>
          <w:rFonts w:hint="eastAsia" w:ascii="宋体" w:hAnsi="宋体" w:cs="宋体"/>
          <w:color w:val="auto"/>
          <w:szCs w:val="21"/>
          <w:highlight w:val="none"/>
          <w:u w:val="single"/>
        </w:rPr>
        <w:t xml:space="preserve"> 按发包人需求确定</w:t>
      </w:r>
      <w:r>
        <w:rPr>
          <w:rFonts w:hint="eastAsia" w:ascii="宋体" w:hAnsi="宋体" w:cs="宋体"/>
          <w:color w:val="auto"/>
          <w:szCs w:val="21"/>
          <w:highlight w:val="none"/>
        </w:rPr>
        <w:t>。</w:t>
      </w:r>
    </w:p>
    <w:p w14:paraId="3CDFAED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cs="宋体"/>
          <w:color w:val="auto"/>
          <w:szCs w:val="21"/>
          <w:highlight w:val="none"/>
        </w:rPr>
        <w:t>。</w:t>
      </w:r>
    </w:p>
    <w:p w14:paraId="4AE9625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宋体"/>
          <w:color w:val="auto"/>
          <w:szCs w:val="21"/>
          <w:highlight w:val="none"/>
        </w:rPr>
        <w:t>。</w:t>
      </w:r>
    </w:p>
    <w:p w14:paraId="237CF25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宋体"/>
          <w:color w:val="auto"/>
          <w:szCs w:val="21"/>
          <w:highlight w:val="none"/>
        </w:rPr>
        <w:t>。</w:t>
      </w:r>
    </w:p>
    <w:p w14:paraId="0D7EA79C">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u w:val="single"/>
        </w:rPr>
        <w:t>（4）材料设备按标准、规范和设计文件要求的检验报告、质量合格证书及使用、维修说明书等其他相关技术文件应要求供应商与货物同时交付，并作为交工文件的一部分妥善保存，以备竣工时移交发包人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宋体"/>
          <w:color w:val="auto"/>
          <w:szCs w:val="21"/>
          <w:highlight w:val="none"/>
        </w:rPr>
        <w:t>。</w:t>
      </w:r>
    </w:p>
    <w:p w14:paraId="626570A9">
      <w:pPr>
        <w:tabs>
          <w:tab w:val="left" w:pos="360"/>
          <w:tab w:val="left" w:pos="540"/>
        </w:tabs>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p>
    <w:p w14:paraId="76B20BB4">
      <w:pPr>
        <w:tabs>
          <w:tab w:val="left" w:pos="360"/>
          <w:tab w:val="left" w:pos="540"/>
        </w:tabs>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p>
    <w:p w14:paraId="7117C01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8.8 施工设备和临时设施</w:t>
      </w:r>
    </w:p>
    <w:p w14:paraId="23B298E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8.8.1 承包人提供的施工设备和临时设施</w:t>
      </w:r>
    </w:p>
    <w:p w14:paraId="6420C87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关于修建临时设施费用承担的约定：</w:t>
      </w:r>
      <w:r>
        <w:rPr>
          <w:rFonts w:hint="eastAsia" w:ascii="宋体" w:hAnsi="宋体" w:cs="宋体"/>
          <w:color w:val="auto"/>
          <w:szCs w:val="21"/>
          <w:highlight w:val="none"/>
          <w:u w:val="single"/>
        </w:rPr>
        <w:t xml:space="preserve">承包人自行承担，包含在签约合同价内，结算时不予调整 </w:t>
      </w:r>
      <w:r>
        <w:rPr>
          <w:rFonts w:hint="eastAsia" w:ascii="宋体" w:hAnsi="宋体" w:cs="宋体"/>
          <w:color w:val="auto"/>
          <w:szCs w:val="21"/>
          <w:highlight w:val="none"/>
        </w:rPr>
        <w:t>。</w:t>
      </w: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14:paraId="03DE77E2">
      <w:pPr>
        <w:tabs>
          <w:tab w:val="left" w:pos="4409"/>
        </w:tabs>
        <w:adjustRightInd w:val="0"/>
        <w:snapToGrid w:val="0"/>
        <w:spacing w:line="360" w:lineRule="auto"/>
        <w:jc w:val="left"/>
        <w:rPr>
          <w:rFonts w:ascii="宋体" w:hAnsi="宋体" w:cs="宋体"/>
          <w:b/>
          <w:color w:val="auto"/>
          <w:szCs w:val="21"/>
          <w:highlight w:val="none"/>
        </w:rPr>
      </w:pPr>
      <w:bookmarkStart w:id="348" w:name="_Toc351203641"/>
      <w:r>
        <w:rPr>
          <w:rFonts w:hint="eastAsia" w:ascii="宋体" w:hAnsi="宋体" w:cs="宋体"/>
          <w:b/>
          <w:color w:val="auto"/>
          <w:szCs w:val="21"/>
          <w:highlight w:val="none"/>
        </w:rPr>
        <w:t>9</w:t>
      </w:r>
      <w:bookmarkEnd w:id="327"/>
      <w:bookmarkEnd w:id="328"/>
      <w:bookmarkEnd w:id="329"/>
      <w:bookmarkStart w:id="349" w:name="_Toc304295559"/>
      <w:bookmarkStart w:id="350" w:name="_Toc312678021"/>
      <w:bookmarkStart w:id="351" w:name="_Toc303539139"/>
      <w:bookmarkStart w:id="352" w:name="_Toc297123533"/>
      <w:bookmarkStart w:id="353" w:name="_Toc297216192"/>
      <w:bookmarkStart w:id="354" w:name="_Toc312677495"/>
      <w:bookmarkStart w:id="355" w:name="_Toc300934982"/>
      <w:bookmarkStart w:id="356" w:name="_Toc296503173"/>
      <w:bookmarkStart w:id="357" w:name="_Toc296891213"/>
      <w:bookmarkStart w:id="358" w:name="_Toc267251427"/>
      <w:bookmarkStart w:id="359" w:name="_Toc297120473"/>
      <w:bookmarkStart w:id="360" w:name="_Toc296944512"/>
      <w:bookmarkStart w:id="361" w:name="_Toc297048359"/>
      <w:bookmarkStart w:id="362" w:name="_Toc292559883"/>
      <w:bookmarkStart w:id="363" w:name="_Toc296891001"/>
      <w:bookmarkStart w:id="364" w:name="_Toc292559378"/>
      <w:bookmarkStart w:id="365" w:name="_Toc296346674"/>
      <w:bookmarkStart w:id="366" w:name="_Toc296347172"/>
      <w:bookmarkStart w:id="367" w:name="_Toc267251428"/>
      <w:r>
        <w:rPr>
          <w:rFonts w:hint="eastAsia" w:ascii="宋体" w:hAnsi="宋体" w:cs="宋体"/>
          <w:b/>
          <w:color w:val="auto"/>
          <w:szCs w:val="21"/>
          <w:highlight w:val="none"/>
        </w:rPr>
        <w:t>. 试验与检验</w:t>
      </w:r>
      <w:bookmarkEnd w:id="348"/>
    </w:p>
    <w:bookmarkEnd w:id="349"/>
    <w:bookmarkEnd w:id="350"/>
    <w:bookmarkEnd w:id="351"/>
    <w:bookmarkEnd w:id="352"/>
    <w:bookmarkEnd w:id="353"/>
    <w:bookmarkEnd w:id="354"/>
    <w:bookmarkEnd w:id="355"/>
    <w:p w14:paraId="57EDE67B">
      <w:pPr>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 xml:space="preserve">    9</w:t>
      </w:r>
      <w:bookmarkStart w:id="368" w:name="_Toc303539140"/>
      <w:bookmarkStart w:id="369" w:name="_Toc312677496"/>
      <w:bookmarkStart w:id="370" w:name="_Toc297216193"/>
      <w:bookmarkStart w:id="371" w:name="_Toc297123534"/>
      <w:bookmarkStart w:id="372" w:name="_Toc312678022"/>
      <w:bookmarkStart w:id="373" w:name="_Toc304295560"/>
      <w:bookmarkStart w:id="374" w:name="_Toc300934983"/>
      <w:r>
        <w:rPr>
          <w:rFonts w:hint="eastAsia" w:ascii="宋体" w:hAnsi="宋体" w:cs="宋体"/>
          <w:b/>
          <w:bCs/>
          <w:color w:val="auto"/>
          <w:szCs w:val="21"/>
          <w:highlight w:val="none"/>
        </w:rPr>
        <w:t>.1试验设备与试验人员</w:t>
      </w:r>
    </w:p>
    <w:bookmarkEnd w:id="368"/>
    <w:bookmarkEnd w:id="369"/>
    <w:bookmarkEnd w:id="370"/>
    <w:bookmarkEnd w:id="371"/>
    <w:bookmarkEnd w:id="372"/>
    <w:bookmarkEnd w:id="373"/>
    <w:bookmarkEnd w:id="374"/>
    <w:p w14:paraId="40A881F7">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9</w:t>
      </w:r>
      <w:bookmarkStart w:id="375" w:name="_Toc304295561"/>
      <w:bookmarkStart w:id="376" w:name="_Toc297216194"/>
      <w:bookmarkStart w:id="377" w:name="_Toc312677497"/>
      <w:bookmarkStart w:id="378" w:name="_Toc312678023"/>
      <w:bookmarkStart w:id="379" w:name="_Toc300934984"/>
      <w:bookmarkStart w:id="380" w:name="_Toc297123535"/>
      <w:bookmarkStart w:id="381" w:name="_Toc303539141"/>
      <w:bookmarkStart w:id="382" w:name="_Toc318581174"/>
      <w:r>
        <w:rPr>
          <w:rFonts w:hint="eastAsia" w:ascii="宋体" w:hAnsi="宋体" w:cs="宋体"/>
          <w:color w:val="auto"/>
          <w:szCs w:val="21"/>
          <w:highlight w:val="none"/>
        </w:rPr>
        <w:t>.1.2 试验设备</w:t>
      </w:r>
    </w:p>
    <w:p w14:paraId="7C5E3177">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施工现场需要配置的试验场所：</w:t>
      </w:r>
      <w:bookmarkEnd w:id="375"/>
      <w:bookmarkEnd w:id="376"/>
      <w:bookmarkEnd w:id="377"/>
      <w:bookmarkEnd w:id="378"/>
      <w:bookmarkEnd w:id="379"/>
      <w:bookmarkEnd w:id="380"/>
      <w:bookmarkEnd w:id="381"/>
      <w:bookmarkStart w:id="383" w:name="_Toc312678024"/>
      <w:bookmarkStart w:id="384" w:name="_Toc300934985"/>
      <w:bookmarkStart w:id="385" w:name="_Toc297216195"/>
      <w:bookmarkStart w:id="386" w:name="_Toc312677498"/>
      <w:bookmarkStart w:id="387" w:name="_Toc297123536"/>
      <w:bookmarkStart w:id="388" w:name="_Toc304295562"/>
      <w:bookmarkStart w:id="389" w:name="_Toc303539142"/>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p>
    <w:p w14:paraId="7F93D98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施工现场需要配备的试验设备：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CB7C3F7">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施工现场需要具备的其他试验条件：</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614131E">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9.4 现场工艺试验 </w:t>
      </w:r>
    </w:p>
    <w:p w14:paraId="7276D1A0">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现场工艺试验的有关约定：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bookmarkEnd w:id="382"/>
    <w:bookmarkEnd w:id="383"/>
    <w:bookmarkEnd w:id="384"/>
    <w:bookmarkEnd w:id="385"/>
    <w:bookmarkEnd w:id="386"/>
    <w:bookmarkEnd w:id="387"/>
    <w:bookmarkEnd w:id="388"/>
    <w:bookmarkEnd w:id="389"/>
    <w:p w14:paraId="222374C0">
      <w:pPr>
        <w:tabs>
          <w:tab w:val="left" w:pos="4409"/>
        </w:tabs>
        <w:adjustRightInd w:val="0"/>
        <w:snapToGrid w:val="0"/>
        <w:spacing w:line="360" w:lineRule="auto"/>
        <w:jc w:val="left"/>
        <w:rPr>
          <w:rFonts w:ascii="宋体" w:hAnsi="宋体" w:cs="宋体"/>
          <w:b/>
          <w:color w:val="auto"/>
          <w:szCs w:val="21"/>
          <w:highlight w:val="none"/>
        </w:rPr>
      </w:pPr>
      <w:bookmarkStart w:id="390" w:name="_Toc351203642"/>
      <w:r>
        <w:rPr>
          <w:rFonts w:hint="eastAsia" w:ascii="宋体" w:hAnsi="宋体" w:cs="宋体"/>
          <w:b/>
          <w:color w:val="auto"/>
          <w:szCs w:val="21"/>
          <w:highlight w:val="none"/>
        </w:rPr>
        <w:t>1</w:t>
      </w:r>
      <w:bookmarkEnd w:id="356"/>
      <w:bookmarkEnd w:id="357"/>
      <w:bookmarkEnd w:id="358"/>
      <w:bookmarkEnd w:id="359"/>
      <w:bookmarkEnd w:id="360"/>
      <w:bookmarkEnd w:id="361"/>
      <w:bookmarkEnd w:id="362"/>
      <w:bookmarkEnd w:id="363"/>
      <w:bookmarkEnd w:id="364"/>
      <w:bookmarkEnd w:id="365"/>
      <w:bookmarkEnd w:id="366"/>
      <w:bookmarkEnd w:id="367"/>
      <w:bookmarkStart w:id="391" w:name="_Toc292559398"/>
      <w:bookmarkStart w:id="392" w:name="_Toc296503193"/>
      <w:bookmarkStart w:id="393" w:name="_Toc297216199"/>
      <w:bookmarkStart w:id="394" w:name="_Toc304295566"/>
      <w:bookmarkStart w:id="395" w:name="_Toc303539146"/>
      <w:bookmarkStart w:id="396" w:name="_Toc300934989"/>
      <w:bookmarkStart w:id="397" w:name="_Toc296891233"/>
      <w:bookmarkStart w:id="398" w:name="_Toc297120493"/>
      <w:bookmarkStart w:id="399" w:name="_Toc296891021"/>
      <w:bookmarkStart w:id="400" w:name="_Toc296347192"/>
      <w:bookmarkStart w:id="401" w:name="_Toc292559903"/>
      <w:bookmarkStart w:id="402" w:name="_Toc297123540"/>
      <w:bookmarkStart w:id="403" w:name="_Toc296944532"/>
      <w:bookmarkStart w:id="404" w:name="_Toc297048379"/>
      <w:bookmarkStart w:id="405" w:name="_Toc296346694"/>
      <w:bookmarkStart w:id="406" w:name="_Toc312678025"/>
      <w:bookmarkStart w:id="407" w:name="_Toc312677499"/>
      <w:bookmarkStart w:id="408" w:name="_Toc267251433"/>
      <w:bookmarkStart w:id="409" w:name="_Toc267251439"/>
      <w:bookmarkStart w:id="410" w:name="_Toc267251435"/>
      <w:bookmarkStart w:id="411" w:name="_Toc267251441"/>
      <w:bookmarkStart w:id="412" w:name="_Toc267251440"/>
      <w:bookmarkStart w:id="413" w:name="_Toc267251437"/>
      <w:bookmarkStart w:id="414" w:name="_Toc267251442"/>
      <w:r>
        <w:rPr>
          <w:rFonts w:hint="eastAsia" w:ascii="宋体" w:hAnsi="宋体" w:cs="宋体"/>
          <w:b/>
          <w:color w:val="auto"/>
          <w:szCs w:val="21"/>
          <w:highlight w:val="none"/>
        </w:rPr>
        <w:t>0. 变更</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bookmarkEnd w:id="406"/>
    <w:bookmarkEnd w:id="407"/>
    <w:p w14:paraId="754FBE2E">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w:t>
      </w:r>
      <w:bookmarkStart w:id="415" w:name="_Toc292559904"/>
      <w:bookmarkStart w:id="416" w:name="_Toc297123541"/>
      <w:bookmarkStart w:id="417" w:name="_Toc292559399"/>
      <w:bookmarkStart w:id="418" w:name="_Toc296503194"/>
      <w:bookmarkStart w:id="419" w:name="_Toc300934990"/>
      <w:bookmarkStart w:id="420" w:name="_Toc296891022"/>
      <w:bookmarkStart w:id="421" w:name="_Toc296891234"/>
      <w:bookmarkStart w:id="422" w:name="_Toc296347193"/>
      <w:bookmarkStart w:id="423" w:name="_Toc296944533"/>
      <w:bookmarkStart w:id="424" w:name="_Toc312678026"/>
      <w:bookmarkStart w:id="425" w:name="_Toc297216200"/>
      <w:bookmarkStart w:id="426" w:name="_Toc304295567"/>
      <w:bookmarkStart w:id="427" w:name="_Toc303539147"/>
      <w:bookmarkStart w:id="428" w:name="_Toc297120494"/>
      <w:bookmarkStart w:id="429" w:name="_Toc296346695"/>
      <w:bookmarkStart w:id="430" w:name="_Toc312677500"/>
      <w:bookmarkStart w:id="431" w:name="_Toc297048380"/>
      <w:r>
        <w:rPr>
          <w:rFonts w:hint="eastAsia" w:ascii="宋体" w:hAnsi="宋体" w:cs="宋体"/>
          <w:color w:val="auto"/>
          <w:szCs w:val="21"/>
          <w:highlight w:val="none"/>
        </w:rPr>
        <w:t>0.1变更的范围</w:t>
      </w:r>
    </w:p>
    <w:p w14:paraId="62ABA91D">
      <w:pPr>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关于变更的范围的约定：</w:t>
      </w:r>
      <w:r>
        <w:rPr>
          <w:rFonts w:hint="eastAsia" w:ascii="宋体" w:hAnsi="宋体" w:cs="宋体"/>
          <w:color w:val="auto"/>
          <w:szCs w:val="21"/>
          <w:highlight w:val="none"/>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color w:val="auto"/>
          <w:szCs w:val="21"/>
          <w:highlight w:val="none"/>
        </w:rPr>
        <w:t>。 </w:t>
      </w:r>
    </w:p>
    <w:p w14:paraId="5D58CB12">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10.2变更估价</w:t>
      </w:r>
    </w:p>
    <w:p w14:paraId="78673ED2">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10.3 变更估价原则</w:t>
      </w:r>
    </w:p>
    <w:p w14:paraId="374F513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 xml:space="preserve">    关于变更估价的约定: </w:t>
      </w:r>
    </w:p>
    <w:p w14:paraId="484FD2B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（1）已标价工程量清单中有相同项目的，按照相同项目单价认定；当变更导致工程量清单项目工程量的变化幅度超过15%时，可进行综合单价调整</w:t>
      </w:r>
      <w:r>
        <w:rPr>
          <w:rFonts w:hint="eastAsia" w:ascii="宋体" w:hAnsi="宋体" w:cs="宋体"/>
          <w:color w:val="auto"/>
          <w:szCs w:val="21"/>
          <w:highlight w:val="none"/>
        </w:rPr>
        <w:t>；</w:t>
      </w:r>
    </w:p>
    <w:p w14:paraId="6F3D7FA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（2）已标价工程量清单中无相同项目，但有类似项目的，参照类似项目的单价认定；</w:t>
      </w:r>
    </w:p>
    <w:p w14:paraId="43341F4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p>
    <w:p w14:paraId="4878EE1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（4）变更估价应按税法规定的一般计税方法计算增值税。</w:t>
      </w:r>
    </w:p>
    <w:p w14:paraId="34A65C8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（5）承包人在工程变更、现场签证确定后14天内，完成变更申报及签证手续，提出变更工程价款的报告，经工程监理师确认后调整合同价款。如超过14天仍未完成申报和签证手续，发包人有权拒签。</w:t>
      </w:r>
    </w:p>
    <w:p w14:paraId="678335D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具体价格调整的方法按本合同12.1.1条风险范围以外合同价格执行。</w:t>
      </w:r>
    </w:p>
    <w:p w14:paraId="2189AF93">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Start w:id="432" w:name="_Toc297216203"/>
      <w:bookmarkStart w:id="433" w:name="_Toc292559402"/>
      <w:bookmarkStart w:id="434" w:name="_Toc296891025"/>
      <w:bookmarkStart w:id="435" w:name="_Toc296891237"/>
      <w:bookmarkStart w:id="436" w:name="_Toc297120497"/>
      <w:bookmarkStart w:id="437" w:name="_Toc292559907"/>
      <w:bookmarkStart w:id="438" w:name="_Toc296503197"/>
      <w:bookmarkStart w:id="439" w:name="_Toc297123544"/>
      <w:bookmarkStart w:id="440" w:name="_Toc297048383"/>
      <w:bookmarkStart w:id="441" w:name="_Toc296346698"/>
      <w:bookmarkStart w:id="442" w:name="_Toc300934993"/>
      <w:bookmarkStart w:id="443" w:name="_Toc296347196"/>
      <w:bookmarkStart w:id="444" w:name="_Toc303539150"/>
      <w:bookmarkStart w:id="445" w:name="_Toc296944536"/>
      <w:bookmarkStart w:id="446" w:name="_Toc304295570"/>
      <w:bookmarkStart w:id="447" w:name="_Toc312677503"/>
      <w:bookmarkStart w:id="448" w:name="_Toc312678029"/>
      <w:r>
        <w:rPr>
          <w:rFonts w:hint="eastAsia" w:ascii="宋体" w:hAnsi="宋体" w:cs="宋体"/>
          <w:color w:val="auto"/>
          <w:szCs w:val="21"/>
          <w:highlight w:val="none"/>
        </w:rPr>
        <w:t>0.4承</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Start w:id="449" w:name="_Toc297216204"/>
      <w:bookmarkStart w:id="450" w:name="_Toc296346704"/>
      <w:bookmarkStart w:id="451" w:name="_Toc296944542"/>
      <w:bookmarkStart w:id="452" w:name="_Toc297048389"/>
      <w:bookmarkStart w:id="453" w:name="_Toc297123545"/>
      <w:bookmarkStart w:id="454" w:name="_Toc300934994"/>
      <w:bookmarkStart w:id="455" w:name="_Toc296503203"/>
      <w:bookmarkStart w:id="456" w:name="_Toc303539151"/>
      <w:bookmarkStart w:id="457" w:name="_Toc292559913"/>
      <w:bookmarkStart w:id="458" w:name="_Toc296891243"/>
      <w:bookmarkStart w:id="459" w:name="_Toc296347202"/>
      <w:bookmarkStart w:id="460" w:name="_Toc292559408"/>
      <w:bookmarkStart w:id="461" w:name="_Toc296891031"/>
      <w:bookmarkStart w:id="462" w:name="_Toc297120503"/>
      <w:r>
        <w:rPr>
          <w:rFonts w:hint="eastAsia" w:ascii="宋体" w:hAnsi="宋体" w:cs="宋体"/>
          <w:color w:val="auto"/>
          <w:szCs w:val="21"/>
          <w:highlight w:val="none"/>
        </w:rPr>
        <w:t>包人的合理化建议</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14:paraId="3C7F36B2">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监理人审查承包人合理化建议的期限：</w:t>
      </w:r>
      <w:r>
        <w:rPr>
          <w:rFonts w:hint="eastAsia" w:ascii="宋体" w:hAnsi="宋体" w:cs="宋体"/>
          <w:color w:val="auto"/>
          <w:szCs w:val="21"/>
          <w:highlight w:val="none"/>
          <w:u w:val="single"/>
        </w:rPr>
        <w:t xml:space="preserve"> 收到建议书7日内</w:t>
      </w:r>
      <w:r>
        <w:rPr>
          <w:rFonts w:hint="eastAsia" w:ascii="宋体" w:hAnsi="宋体" w:cs="宋体"/>
          <w:color w:val="auto"/>
          <w:szCs w:val="21"/>
          <w:highlight w:val="none"/>
        </w:rPr>
        <w:t>。</w:t>
      </w:r>
    </w:p>
    <w:p w14:paraId="54787070">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发包人审批承包人合理化建议的期限：</w:t>
      </w:r>
      <w:r>
        <w:rPr>
          <w:rFonts w:hint="eastAsia" w:ascii="宋体" w:hAnsi="宋体" w:cs="宋体"/>
          <w:color w:val="auto"/>
          <w:szCs w:val="21"/>
          <w:highlight w:val="none"/>
          <w:u w:val="single"/>
        </w:rPr>
        <w:t xml:space="preserve"> 收到建议书7日内  </w:t>
      </w:r>
      <w:r>
        <w:rPr>
          <w:rFonts w:hint="eastAsia" w:ascii="宋体" w:hAnsi="宋体" w:cs="宋体"/>
          <w:color w:val="auto"/>
          <w:szCs w:val="21"/>
          <w:highlight w:val="none"/>
        </w:rPr>
        <w:t>。</w:t>
      </w:r>
    </w:p>
    <w:p w14:paraId="5BA4E3B8">
      <w:pPr>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承</w:t>
      </w:r>
      <w:bookmarkStart w:id="463" w:name="_Toc304295571"/>
      <w:bookmarkStart w:id="464" w:name="_Toc297048390"/>
      <w:bookmarkStart w:id="465" w:name="_Toc292559914"/>
      <w:bookmarkStart w:id="466" w:name="_Toc300934995"/>
      <w:bookmarkStart w:id="467" w:name="_Toc296891244"/>
      <w:bookmarkStart w:id="468" w:name="_Toc297216205"/>
      <w:bookmarkStart w:id="469" w:name="_Toc312677504"/>
      <w:bookmarkStart w:id="470" w:name="_Toc318581175"/>
      <w:bookmarkStart w:id="471" w:name="_Toc296347203"/>
      <w:bookmarkStart w:id="472" w:name="_Toc312678030"/>
      <w:bookmarkStart w:id="473" w:name="_Toc297123546"/>
      <w:bookmarkStart w:id="474" w:name="_Toc297120504"/>
      <w:bookmarkStart w:id="475" w:name="_Toc292559409"/>
      <w:bookmarkStart w:id="476" w:name="_Toc296346705"/>
      <w:bookmarkStart w:id="477" w:name="_Toc303539152"/>
      <w:bookmarkStart w:id="478" w:name="_Toc296944543"/>
      <w:bookmarkStart w:id="479" w:name="_Toc296503204"/>
      <w:bookmarkStart w:id="480" w:name="_Toc296891032"/>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2B363E7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481" w:name="_Toc300934997"/>
      <w:bookmarkStart w:id="482" w:name="_Toc312678033"/>
      <w:bookmarkStart w:id="483" w:name="_Toc296347198"/>
      <w:bookmarkStart w:id="484" w:name="_Toc304295574"/>
      <w:bookmarkStart w:id="485" w:name="_Toc296346700"/>
      <w:bookmarkStart w:id="486" w:name="_Toc297048385"/>
      <w:bookmarkStart w:id="487" w:name="_Toc296891239"/>
      <w:bookmarkStart w:id="488" w:name="_Toc297120499"/>
      <w:bookmarkStart w:id="489" w:name="_Toc292559404"/>
      <w:bookmarkStart w:id="490" w:name="_Toc297123548"/>
      <w:bookmarkStart w:id="491" w:name="_Toc292559909"/>
      <w:bookmarkStart w:id="492" w:name="_Toc312677507"/>
      <w:bookmarkStart w:id="493" w:name="_Toc303539154"/>
      <w:bookmarkStart w:id="494" w:name="_Toc296503199"/>
      <w:bookmarkStart w:id="495" w:name="_Toc296891027"/>
      <w:bookmarkStart w:id="496" w:name="_Toc296944538"/>
      <w:bookmarkStart w:id="497" w:name="_Toc297216207"/>
      <w:r>
        <w:rPr>
          <w:rFonts w:hint="eastAsia" w:ascii="宋体" w:hAnsi="宋体" w:cs="宋体"/>
          <w:color w:val="auto"/>
          <w:szCs w:val="21"/>
          <w:highlight w:val="none"/>
        </w:rPr>
        <w:t>0.5 暂估价</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167AF61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暂</w:t>
      </w:r>
      <w:bookmarkStart w:id="498" w:name="_Toc312678034"/>
      <w:bookmarkStart w:id="499" w:name="_Toc312677508"/>
      <w:bookmarkStart w:id="500" w:name="_Toc318581176"/>
      <w:r>
        <w:rPr>
          <w:rFonts w:hint="eastAsia" w:ascii="宋体" w:hAnsi="宋体" w:cs="宋体"/>
          <w:color w:val="auto"/>
          <w:szCs w:val="21"/>
          <w:highlight w:val="none"/>
        </w:rPr>
        <w:t>估价材料和工程设备的明细详见附件11：</w:t>
      </w:r>
      <w:r>
        <w:rPr>
          <w:rFonts w:hint="eastAsia" w:ascii="宋体" w:hAnsi="宋体" w:cs="宋体"/>
          <w:color w:val="auto"/>
          <w:szCs w:val="21"/>
          <w:highlight w:val="none"/>
          <w:u w:val="single"/>
        </w:rPr>
        <w:t>《暂估价一览表》</w:t>
      </w:r>
      <w:r>
        <w:rPr>
          <w:rFonts w:hint="eastAsia" w:ascii="宋体" w:hAnsi="宋体" w:cs="宋体"/>
          <w:color w:val="auto"/>
          <w:szCs w:val="21"/>
          <w:highlight w:val="none"/>
        </w:rPr>
        <w:t>。</w:t>
      </w:r>
    </w:p>
    <w:bookmarkEnd w:id="498"/>
    <w:bookmarkEnd w:id="499"/>
    <w:bookmarkEnd w:id="500"/>
    <w:p w14:paraId="00797E1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Start w:id="501" w:name="_Toc312677509"/>
      <w:bookmarkStart w:id="502" w:name="_Toc312678035"/>
      <w:bookmarkStart w:id="503" w:name="_Toc318581177"/>
      <w:r>
        <w:rPr>
          <w:rFonts w:hint="eastAsia" w:ascii="宋体" w:hAnsi="宋体" w:cs="宋体"/>
          <w:color w:val="auto"/>
          <w:szCs w:val="21"/>
          <w:highlight w:val="none"/>
        </w:rPr>
        <w:t>0.6依法必须招标的暂估价项目</w:t>
      </w:r>
    </w:p>
    <w:bookmarkEnd w:id="501"/>
    <w:bookmarkEnd w:id="502"/>
    <w:bookmarkEnd w:id="503"/>
    <w:p w14:paraId="152ABF6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对于依法必须招标的暂估价项目的确认和批准采取</w:t>
      </w:r>
      <w:r>
        <w:rPr>
          <w:rFonts w:hint="eastAsia" w:ascii="宋体" w:hAnsi="宋体" w:cs="宋体"/>
          <w:color w:val="auto"/>
          <w:szCs w:val="21"/>
          <w:highlight w:val="none"/>
          <w:u w:val="single"/>
        </w:rPr>
        <w:t>发包人招标</w:t>
      </w:r>
      <w:r>
        <w:rPr>
          <w:rFonts w:hint="eastAsia" w:ascii="宋体" w:hAnsi="宋体" w:cs="宋体"/>
          <w:color w:val="auto"/>
          <w:szCs w:val="21"/>
          <w:highlight w:val="none"/>
        </w:rPr>
        <w:t>方式确定。</w:t>
      </w:r>
    </w:p>
    <w:p w14:paraId="1049374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对于依法必须招标的暂估价项目，由发包人招标确定暂估价供应商或专业工程承包人。确定中标人后，由发包人、承包人与中标人共同签订暂估价合同</w:t>
      </w:r>
      <w:r>
        <w:rPr>
          <w:rFonts w:hint="eastAsia" w:ascii="宋体" w:hAnsi="宋体" w:cs="宋体"/>
          <w:color w:val="auto"/>
          <w:szCs w:val="21"/>
          <w:highlight w:val="none"/>
        </w:rPr>
        <w:t>。</w:t>
      </w:r>
    </w:p>
    <w:p w14:paraId="0C9A036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10.7不属于依法必须招标的暂估价项目</w:t>
      </w:r>
    </w:p>
    <w:p w14:paraId="252C51F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对于不属于依法必须招标的暂估价项目的确认和批准采取第</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种方式确定。</w:t>
      </w:r>
    </w:p>
    <w:p w14:paraId="3DE7000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第3种方式：承包人直接实施的暂估价项目</w:t>
      </w:r>
    </w:p>
    <w:p w14:paraId="615DEB1F">
      <w:pPr>
        <w:snapToGrid w:val="0"/>
        <w:spacing w:line="360" w:lineRule="auto"/>
        <w:ind w:firstLine="420" w:firstLineChars="200"/>
        <w:jc w:val="left"/>
        <w:rPr>
          <w:rStyle w:val="452"/>
          <w:rFonts w:ascii="宋体" w:hAnsi="宋体" w:cs="宋体"/>
          <w:color w:val="auto"/>
          <w:szCs w:val="21"/>
          <w:highlight w:val="none"/>
        </w:rPr>
      </w:pPr>
      <w:r>
        <w:rPr>
          <w:rFonts w:hint="eastAsia" w:ascii="宋体" w:hAnsi="宋体" w:cs="宋体"/>
          <w:color w:val="auto"/>
          <w:szCs w:val="21"/>
          <w:highlight w:val="none"/>
          <w:u w:val="single"/>
        </w:rPr>
        <w:t>承包人直接实施的暂估价项目的约定：承包人具备实施暂估价项目的资格和条件的，经发包人书面认可后，可由承包人自行实施暂估价项目。</w:t>
      </w:r>
      <w:r>
        <w:rPr>
          <w:rStyle w:val="452"/>
          <w:rFonts w:hint="eastAsia" w:ascii="宋体" w:hAnsi="宋体" w:cs="宋体"/>
          <w:color w:val="auto"/>
          <w:szCs w:val="21"/>
          <w:highlight w:val="none"/>
        </w:rPr>
        <w:t>承包人应按照本合同相应条款的规定提出实施价格随直接实施书面申请报发包人审批，经发包人批准后以此为依据取代专业工程暂估价，调整合同价款。</w:t>
      </w:r>
    </w:p>
    <w:p w14:paraId="69CB15B3">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cs="宋体"/>
          <w:color w:val="auto"/>
          <w:szCs w:val="21"/>
          <w:highlight w:val="none"/>
        </w:rPr>
        <w:t>。</w:t>
      </w:r>
    </w:p>
    <w:p w14:paraId="4E6AAB1E">
      <w:pPr>
        <w:tabs>
          <w:tab w:val="left" w:pos="4409"/>
        </w:tabs>
        <w:adjustRightInd w:val="0"/>
        <w:snapToGrid w:val="0"/>
        <w:spacing w:line="360" w:lineRule="auto"/>
        <w:ind w:left="420"/>
        <w:jc w:val="left"/>
        <w:rPr>
          <w:rFonts w:ascii="宋体" w:hAnsi="宋体" w:cs="宋体"/>
          <w:bCs/>
          <w:color w:val="auto"/>
          <w:szCs w:val="21"/>
          <w:highlight w:val="none"/>
        </w:rPr>
      </w:pPr>
      <w:r>
        <w:rPr>
          <w:rFonts w:hint="eastAsia" w:ascii="宋体" w:hAnsi="宋体" w:cs="宋体"/>
          <w:bCs/>
          <w:color w:val="auto"/>
          <w:szCs w:val="21"/>
          <w:highlight w:val="none"/>
        </w:rPr>
        <w:t>10.8 暂列金额</w:t>
      </w:r>
    </w:p>
    <w:p w14:paraId="6DB59BB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合同当事人关于暂列金额使用的约定：</w:t>
      </w:r>
      <w:r>
        <w:rPr>
          <w:rFonts w:hint="eastAsia" w:ascii="宋体" w:hAnsi="宋体" w:cs="宋体"/>
          <w:color w:val="auto"/>
          <w:szCs w:val="21"/>
          <w:highlight w:val="none"/>
          <w:u w:val="single"/>
        </w:rPr>
        <w:t>暂列金额由发包人掌握使用，发包人按照本合同的规定支付后，暂列金额余额归发包人所有</w:t>
      </w:r>
      <w:r>
        <w:rPr>
          <w:rFonts w:hint="eastAsia" w:ascii="宋体" w:hAnsi="宋体" w:cs="宋体"/>
          <w:color w:val="auto"/>
          <w:szCs w:val="21"/>
          <w:highlight w:val="none"/>
        </w:rPr>
        <w:t>。</w:t>
      </w:r>
    </w:p>
    <w:p w14:paraId="196A8550">
      <w:pPr>
        <w:tabs>
          <w:tab w:val="left" w:pos="4409"/>
        </w:tabs>
        <w:adjustRightInd w:val="0"/>
        <w:snapToGrid w:val="0"/>
        <w:spacing w:line="360" w:lineRule="auto"/>
        <w:jc w:val="left"/>
        <w:rPr>
          <w:rFonts w:ascii="宋体" w:hAnsi="宋体" w:cs="宋体"/>
          <w:b/>
          <w:color w:val="auto"/>
          <w:szCs w:val="21"/>
          <w:highlight w:val="none"/>
        </w:rPr>
      </w:pPr>
      <w:bookmarkStart w:id="504" w:name="_Toc351203643"/>
      <w:r>
        <w:rPr>
          <w:rFonts w:hint="eastAsia" w:ascii="宋体" w:hAnsi="宋体" w:cs="宋体"/>
          <w:b/>
          <w:color w:val="auto"/>
          <w:szCs w:val="21"/>
          <w:highlight w:val="none"/>
        </w:rPr>
        <w:t>11. 价格调整</w:t>
      </w:r>
      <w:bookmarkEnd w:id="504"/>
    </w:p>
    <w:p w14:paraId="2A7F0ED3">
      <w:pPr>
        <w:adjustRightInd w:val="0"/>
        <w:snapToGrid w:val="0"/>
        <w:spacing w:line="360" w:lineRule="auto"/>
        <w:ind w:firstLine="420" w:firstLineChars="200"/>
        <w:jc w:val="left"/>
        <w:rPr>
          <w:rFonts w:ascii="宋体" w:hAnsi="宋体" w:cs="宋体"/>
          <w:color w:val="auto"/>
          <w:szCs w:val="21"/>
          <w:highlight w:val="none"/>
        </w:rPr>
      </w:pPr>
      <w:bookmarkStart w:id="505" w:name="_Toc296346702"/>
      <w:bookmarkStart w:id="506" w:name="_Toc304295577"/>
      <w:bookmarkStart w:id="507" w:name="_Toc296503201"/>
      <w:bookmarkStart w:id="508" w:name="_Toc292559406"/>
      <w:bookmarkStart w:id="509" w:name="_Toc292559911"/>
      <w:bookmarkStart w:id="510" w:name="_Toc297120501"/>
      <w:bookmarkStart w:id="511" w:name="_Toc296944540"/>
      <w:bookmarkStart w:id="512" w:name="_Toc300935000"/>
      <w:bookmarkStart w:id="513" w:name="_Toc296891029"/>
      <w:bookmarkStart w:id="514" w:name="_Toc303539157"/>
      <w:bookmarkStart w:id="515" w:name="_Toc312678039"/>
      <w:bookmarkStart w:id="516" w:name="_Toc297123550"/>
      <w:bookmarkStart w:id="517" w:name="_Toc297216209"/>
      <w:bookmarkStart w:id="518" w:name="_Toc296347200"/>
      <w:bookmarkStart w:id="519" w:name="_Toc296891241"/>
      <w:bookmarkStart w:id="520" w:name="_Toc297048387"/>
      <w:r>
        <w:rPr>
          <w:rFonts w:hint="eastAsia" w:ascii="宋体" w:hAnsi="宋体" w:cs="宋体"/>
          <w:color w:val="auto"/>
          <w:szCs w:val="21"/>
          <w:highlight w:val="none"/>
        </w:rPr>
        <w:t>11.1 市场价格波动引起的调整</w:t>
      </w:r>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14:paraId="7C0A053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市场价格波动是否调整合同价格的约定：</w:t>
      </w:r>
      <w:r>
        <w:rPr>
          <w:rFonts w:hint="eastAsia" w:ascii="宋体" w:hAnsi="宋体" w:cs="宋体"/>
          <w:color w:val="auto"/>
          <w:szCs w:val="21"/>
          <w:highlight w:val="none"/>
          <w:u w:val="single"/>
        </w:rPr>
        <w:t xml:space="preserve">   调整      </w:t>
      </w:r>
      <w:r>
        <w:rPr>
          <w:rFonts w:hint="eastAsia" w:ascii="宋体" w:hAnsi="宋体" w:cs="宋体"/>
          <w:color w:val="auto"/>
          <w:szCs w:val="21"/>
          <w:highlight w:val="none"/>
        </w:rPr>
        <w:t>。</w:t>
      </w:r>
    </w:p>
    <w:p w14:paraId="35FDB61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因市场价格波动调整合同价格，采用以下第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种方式对合同价格进行调整：</w:t>
      </w:r>
    </w:p>
    <w:p w14:paraId="58FCCFB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第1种方式：采用价格指数进行价格调整。</w:t>
      </w:r>
    </w:p>
    <w:p w14:paraId="1A8D2B6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p>
    <w:p w14:paraId="3F4A232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第2种方式：</w:t>
      </w:r>
      <w:r>
        <w:rPr>
          <w:rFonts w:hint="eastAsia" w:ascii="宋体" w:hAnsi="宋体" w:cs="宋体"/>
          <w:color w:val="auto"/>
          <w:szCs w:val="21"/>
          <w:highlight w:val="none"/>
          <w:u w:val="single"/>
        </w:rPr>
        <w:t>采用造价信息进行价格调整。具体按本合同12.1.1条执行。</w:t>
      </w:r>
    </w:p>
    <w:p w14:paraId="44F3F17B">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u w:val="single"/>
        </w:rPr>
        <w:t>（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p>
    <w:p w14:paraId="2F59755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p>
    <w:p w14:paraId="11C7AA4D">
      <w:pPr>
        <w:adjustRightInd w:val="0"/>
        <w:snapToGrid w:val="0"/>
        <w:spacing w:line="360" w:lineRule="auto"/>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（3）施工机械台班单价或施工机械使用费发生变化超过省级或行业建设主管部门或其授权的工程造价管理机构规定的范围时，按规定调整合同价格。</w:t>
      </w:r>
    </w:p>
    <w:p w14:paraId="79B8967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关于基准价格的约定</w:t>
      </w:r>
      <w:r>
        <w:rPr>
          <w:rStyle w:val="451"/>
          <w:rFonts w:hint="eastAsia" w:ascii="宋体" w:hAnsi="宋体" w:cs="宋体"/>
          <w:color w:val="auto"/>
          <w:szCs w:val="21"/>
          <w:highlight w:val="none"/>
        </w:rPr>
        <w:t>：</w:t>
      </w:r>
      <w:r>
        <w:rPr>
          <w:rFonts w:hint="eastAsia" w:ascii="宋体" w:hAnsi="宋体" w:cs="宋体"/>
          <w:color w:val="auto"/>
          <w:szCs w:val="21"/>
          <w:highlight w:val="none"/>
          <w:u w:val="single"/>
        </w:rPr>
        <w:t>材料、设备按</w:t>
      </w:r>
      <w:r>
        <w:rPr>
          <w:rStyle w:val="451"/>
          <w:rFonts w:hint="eastAsia" w:ascii="宋体" w:hAnsi="宋体" w:cs="宋体"/>
          <w:color w:val="auto"/>
          <w:szCs w:val="21"/>
          <w:highlight w:val="none"/>
          <w:u w:val="single"/>
        </w:rPr>
        <w:t>合同基准期（投标截止日28天前）</w:t>
      </w:r>
      <w:r>
        <w:rPr>
          <w:rFonts w:hint="eastAsia" w:ascii="宋体" w:hAnsi="宋体" w:cs="宋体"/>
          <w:color w:val="auto"/>
          <w:szCs w:val="21"/>
          <w:highlight w:val="none"/>
          <w:u w:val="single"/>
        </w:rPr>
        <w:t>的南京市建设工程造价管理处与南京市工程造价管理协会共同发布的《南京工程造价管理》中的指导价（缺指导价的材料以发包人确认的市场信息价）执行；人工、机械价格按</w:t>
      </w:r>
      <w:r>
        <w:rPr>
          <w:rStyle w:val="451"/>
          <w:rFonts w:hint="eastAsia" w:ascii="宋体" w:hAnsi="宋体" w:cs="宋体"/>
          <w:color w:val="auto"/>
          <w:szCs w:val="21"/>
          <w:highlight w:val="none"/>
          <w:u w:val="single"/>
        </w:rPr>
        <w:t>合同基准期（投标截止日28天前）</w:t>
      </w:r>
      <w:r>
        <w:rPr>
          <w:rFonts w:hint="eastAsia" w:ascii="宋体" w:hAnsi="宋体" w:cs="宋体"/>
          <w:color w:val="auto"/>
          <w:szCs w:val="21"/>
          <w:highlight w:val="none"/>
          <w:u w:val="single"/>
        </w:rPr>
        <w:t>的江苏省、南京市的相关文件规定执行</w:t>
      </w:r>
      <w:r>
        <w:rPr>
          <w:rFonts w:hint="eastAsia" w:ascii="宋体" w:hAnsi="宋体" w:cs="宋体"/>
          <w:color w:val="auto"/>
          <w:szCs w:val="21"/>
          <w:highlight w:val="none"/>
        </w:rPr>
        <w:t>。</w:t>
      </w:r>
    </w:p>
    <w:p w14:paraId="69F50A2C">
      <w:pPr>
        <w:adjustRightInd w:val="0"/>
        <w:snapToGrid w:val="0"/>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bookmarkEnd w:id="408"/>
    <w:bookmarkEnd w:id="409"/>
    <w:bookmarkEnd w:id="410"/>
    <w:bookmarkEnd w:id="411"/>
    <w:bookmarkEnd w:id="412"/>
    <w:bookmarkEnd w:id="413"/>
    <w:p w14:paraId="1030F21B">
      <w:pPr>
        <w:tabs>
          <w:tab w:val="left" w:pos="4409"/>
        </w:tabs>
        <w:adjustRightInd w:val="0"/>
        <w:snapToGrid w:val="0"/>
        <w:spacing w:line="360" w:lineRule="auto"/>
        <w:jc w:val="left"/>
        <w:rPr>
          <w:rFonts w:ascii="宋体" w:hAnsi="宋体" w:cs="宋体"/>
          <w:b/>
          <w:color w:val="auto"/>
          <w:szCs w:val="21"/>
          <w:highlight w:val="none"/>
        </w:rPr>
      </w:pPr>
      <w:bookmarkStart w:id="521" w:name="_Toc292559410"/>
      <w:bookmarkStart w:id="522" w:name="_Toc297120505"/>
      <w:bookmarkStart w:id="523" w:name="_Toc296347204"/>
      <w:bookmarkStart w:id="524" w:name="_Toc296944544"/>
      <w:bookmarkStart w:id="525" w:name="_Toc292559915"/>
      <w:bookmarkStart w:id="526" w:name="_Toc297048391"/>
      <w:bookmarkStart w:id="527" w:name="_Toc296891245"/>
      <w:bookmarkStart w:id="528" w:name="_Toc296346706"/>
      <w:bookmarkStart w:id="529" w:name="_Toc296891033"/>
      <w:bookmarkStart w:id="530" w:name="_Toc296503205"/>
      <w:bookmarkStart w:id="531" w:name="_Toc351203644"/>
      <w:bookmarkStart w:id="532" w:name="_Toc300935002"/>
      <w:bookmarkStart w:id="533" w:name="_Toc304295579"/>
      <w:bookmarkStart w:id="534" w:name="_Toc312678040"/>
      <w:bookmarkStart w:id="535" w:name="_Toc303539159"/>
      <w:bookmarkStart w:id="536" w:name="_Toc297216211"/>
      <w:bookmarkStart w:id="537" w:name="_Toc297123552"/>
      <w:r>
        <w:rPr>
          <w:rFonts w:hint="eastAsia" w:ascii="宋体" w:hAnsi="宋体" w:cs="宋体"/>
          <w:b/>
          <w:color w:val="auto"/>
          <w:szCs w:val="21"/>
          <w:highlight w:val="none"/>
        </w:rPr>
        <w:t xml:space="preserve">12. </w:t>
      </w:r>
      <w:bookmarkEnd w:id="521"/>
      <w:bookmarkEnd w:id="522"/>
      <w:bookmarkEnd w:id="523"/>
      <w:bookmarkEnd w:id="524"/>
      <w:bookmarkEnd w:id="525"/>
      <w:bookmarkEnd w:id="526"/>
      <w:bookmarkEnd w:id="527"/>
      <w:bookmarkEnd w:id="528"/>
      <w:bookmarkEnd w:id="529"/>
      <w:bookmarkEnd w:id="530"/>
      <w:r>
        <w:rPr>
          <w:rFonts w:hint="eastAsia" w:ascii="宋体" w:hAnsi="宋体" w:cs="宋体"/>
          <w:b/>
          <w:color w:val="auto"/>
          <w:szCs w:val="21"/>
          <w:highlight w:val="none"/>
        </w:rPr>
        <w:t>合同价格、计量与支付</w:t>
      </w:r>
      <w:bookmarkEnd w:id="531"/>
    </w:p>
    <w:bookmarkEnd w:id="532"/>
    <w:bookmarkEnd w:id="533"/>
    <w:bookmarkEnd w:id="534"/>
    <w:bookmarkEnd w:id="535"/>
    <w:bookmarkEnd w:id="536"/>
    <w:bookmarkEnd w:id="537"/>
    <w:p w14:paraId="6D749DE8">
      <w:pPr>
        <w:adjustRightInd w:val="0"/>
        <w:snapToGrid w:val="0"/>
        <w:spacing w:line="360" w:lineRule="auto"/>
        <w:ind w:firstLine="420" w:firstLineChars="200"/>
        <w:jc w:val="left"/>
        <w:rPr>
          <w:rFonts w:ascii="宋体" w:hAnsi="宋体" w:cs="宋体"/>
          <w:color w:val="auto"/>
          <w:szCs w:val="21"/>
          <w:highlight w:val="none"/>
        </w:rPr>
      </w:pPr>
      <w:bookmarkStart w:id="538" w:name="_Toc292559411"/>
      <w:bookmarkStart w:id="539" w:name="_Toc267251461"/>
      <w:bookmarkStart w:id="540" w:name="_Toc292559916"/>
      <w:bookmarkStart w:id="541" w:name="_Toc296503206"/>
      <w:bookmarkStart w:id="542" w:name="_Toc296347205"/>
      <w:bookmarkStart w:id="543" w:name="_Toc297048392"/>
      <w:bookmarkStart w:id="544" w:name="_Toc296891034"/>
      <w:bookmarkStart w:id="545" w:name="_Toc296944545"/>
      <w:bookmarkStart w:id="546" w:name="_Toc297120506"/>
      <w:bookmarkStart w:id="547" w:name="_Toc296346707"/>
      <w:bookmarkStart w:id="548" w:name="_Toc296891246"/>
      <w:bookmarkStart w:id="549" w:name="_Toc312678041"/>
      <w:bookmarkStart w:id="550" w:name="_Toc297216212"/>
      <w:bookmarkStart w:id="551" w:name="_Toc304295580"/>
      <w:bookmarkStart w:id="552" w:name="_Toc297123553"/>
      <w:bookmarkStart w:id="553" w:name="_Toc300935003"/>
      <w:bookmarkStart w:id="554" w:name="_Toc303539160"/>
      <w:r>
        <w:rPr>
          <w:rFonts w:hint="eastAsia" w:ascii="宋体" w:hAnsi="宋体" w:cs="宋体"/>
          <w:color w:val="auto"/>
          <w:szCs w:val="21"/>
          <w:highlight w:val="none"/>
        </w:rPr>
        <w:t>12.1 合</w:t>
      </w:r>
      <w:bookmarkEnd w:id="538"/>
      <w:bookmarkEnd w:id="539"/>
      <w:bookmarkEnd w:id="540"/>
      <w:r>
        <w:rPr>
          <w:rFonts w:hint="eastAsia" w:ascii="宋体" w:hAnsi="宋体" w:cs="宋体"/>
          <w:color w:val="auto"/>
          <w:szCs w:val="21"/>
          <w:highlight w:val="none"/>
        </w:rPr>
        <w:t>同价</w:t>
      </w:r>
      <w:bookmarkEnd w:id="541"/>
      <w:bookmarkEnd w:id="542"/>
      <w:bookmarkEnd w:id="543"/>
      <w:bookmarkEnd w:id="544"/>
      <w:bookmarkEnd w:id="545"/>
      <w:bookmarkEnd w:id="546"/>
      <w:bookmarkEnd w:id="547"/>
      <w:bookmarkEnd w:id="548"/>
      <w:r>
        <w:rPr>
          <w:rFonts w:hint="eastAsia" w:ascii="宋体" w:hAnsi="宋体" w:cs="宋体"/>
          <w:color w:val="auto"/>
          <w:szCs w:val="21"/>
          <w:highlight w:val="none"/>
        </w:rPr>
        <w:t>格形式</w:t>
      </w:r>
    </w:p>
    <w:bookmarkEnd w:id="549"/>
    <w:bookmarkEnd w:id="550"/>
    <w:bookmarkEnd w:id="551"/>
    <w:bookmarkEnd w:id="552"/>
    <w:bookmarkEnd w:id="553"/>
    <w:bookmarkEnd w:id="554"/>
    <w:p w14:paraId="1DAD167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1、单价合同。</w:t>
      </w:r>
    </w:p>
    <w:p w14:paraId="03FC1A0D">
      <w:pPr>
        <w:pStyle w:val="30"/>
        <w:snapToGrid w:val="0"/>
        <w:spacing w:before="0" w:beforeAutospacing="0" w:after="0" w:afterAutospacing="0" w:line="360" w:lineRule="auto"/>
        <w:ind w:firstLine="480"/>
        <w:rPr>
          <w:color w:val="auto"/>
          <w:sz w:val="21"/>
          <w:szCs w:val="21"/>
          <w:highlight w:val="none"/>
        </w:rPr>
      </w:pPr>
      <w:r>
        <w:rPr>
          <w:rFonts w:hint="eastAsia"/>
          <w:color w:val="auto"/>
          <w:sz w:val="21"/>
          <w:szCs w:val="21"/>
          <w:highlight w:val="none"/>
        </w:rPr>
        <w:t>综合单价包含的风险范围：</w:t>
      </w:r>
    </w:p>
    <w:p w14:paraId="0CA10405">
      <w:pPr>
        <w:pStyle w:val="30"/>
        <w:snapToGrid w:val="0"/>
        <w:spacing w:before="0" w:beforeAutospacing="0" w:after="0" w:afterAutospacing="0" w:line="360" w:lineRule="auto"/>
        <w:ind w:firstLine="420" w:firstLineChars="200"/>
        <w:rPr>
          <w:color w:val="auto"/>
          <w:sz w:val="21"/>
          <w:szCs w:val="21"/>
          <w:highlight w:val="none"/>
          <w:u w:val="single"/>
        </w:rPr>
      </w:pPr>
      <w:r>
        <w:rPr>
          <w:rFonts w:hint="eastAsia"/>
          <w:color w:val="auto"/>
          <w:sz w:val="21"/>
          <w:szCs w:val="21"/>
          <w:highlight w:val="none"/>
          <w:u w:val="single"/>
        </w:rPr>
        <w:t>1）主要材料市场价格波动在《关于加强建筑材料价格风险控制的指导意见》苏建价[2008]67 号文规定的范围以内的风险；非主要材料市场价格波动的风险；</w:t>
      </w:r>
    </w:p>
    <w:p w14:paraId="32061A0C">
      <w:pPr>
        <w:pStyle w:val="30"/>
        <w:snapToGrid w:val="0"/>
        <w:spacing w:before="0" w:beforeAutospacing="0" w:after="0" w:afterAutospacing="0" w:line="360" w:lineRule="auto"/>
        <w:ind w:firstLine="420" w:firstLineChars="200"/>
        <w:rPr>
          <w:color w:val="auto"/>
          <w:sz w:val="21"/>
          <w:szCs w:val="21"/>
          <w:highlight w:val="none"/>
          <w:u w:val="single"/>
        </w:rPr>
      </w:pPr>
      <w:r>
        <w:rPr>
          <w:rFonts w:hint="eastAsia"/>
          <w:color w:val="auto"/>
          <w:sz w:val="21"/>
          <w:szCs w:val="21"/>
          <w:highlight w:val="none"/>
          <w:u w:val="single"/>
        </w:rPr>
        <w:t>2）变化幅度 10%（含）以内的施工机械使用费的风险；</w:t>
      </w:r>
    </w:p>
    <w:p w14:paraId="7B020A41">
      <w:pPr>
        <w:pStyle w:val="30"/>
        <w:snapToGrid w:val="0"/>
        <w:spacing w:before="0" w:beforeAutospacing="0" w:after="0" w:afterAutospacing="0" w:line="360" w:lineRule="auto"/>
        <w:ind w:firstLine="420" w:firstLineChars="200"/>
        <w:rPr>
          <w:color w:val="auto"/>
          <w:sz w:val="21"/>
          <w:szCs w:val="21"/>
          <w:highlight w:val="none"/>
          <w:u w:val="single"/>
        </w:rPr>
      </w:pPr>
      <w:r>
        <w:rPr>
          <w:rFonts w:hint="eastAsia"/>
          <w:color w:val="auto"/>
          <w:sz w:val="21"/>
          <w:szCs w:val="21"/>
          <w:highlight w:val="none"/>
          <w:u w:val="single"/>
        </w:rPr>
        <w:t>3）施工过程中因工艺要求需进行的场内排水、降水以及气候等因素给施工带来的不利影响的风险，投标前即有现场条件的不利因素风险和承包人根据自身技术水平、管理、经营状况能够自主控制的风险；</w:t>
      </w:r>
    </w:p>
    <w:p w14:paraId="6838778F">
      <w:pPr>
        <w:pStyle w:val="30"/>
        <w:snapToGrid w:val="0"/>
        <w:spacing w:before="0" w:beforeAutospacing="0" w:after="0" w:afterAutospacing="0" w:line="360" w:lineRule="auto"/>
        <w:ind w:firstLine="420" w:firstLineChars="200"/>
        <w:rPr>
          <w:color w:val="auto"/>
          <w:sz w:val="21"/>
          <w:szCs w:val="21"/>
          <w:highlight w:val="none"/>
          <w:u w:val="single"/>
        </w:rPr>
      </w:pPr>
      <w:r>
        <w:rPr>
          <w:rFonts w:hint="eastAsia"/>
          <w:color w:val="auto"/>
          <w:sz w:val="21"/>
          <w:szCs w:val="21"/>
          <w:highlight w:val="none"/>
          <w:u w:val="single"/>
        </w:rPr>
        <w:t>4）承包人的增值税税务风险。</w:t>
      </w:r>
    </w:p>
    <w:p w14:paraId="5BC44530">
      <w:pPr>
        <w:pStyle w:val="30"/>
        <w:snapToGrid w:val="0"/>
        <w:spacing w:before="0" w:beforeAutospacing="0" w:after="0" w:afterAutospacing="0" w:line="360" w:lineRule="auto"/>
        <w:ind w:firstLine="420" w:firstLineChars="200"/>
        <w:rPr>
          <w:color w:val="auto"/>
          <w:sz w:val="21"/>
          <w:szCs w:val="21"/>
          <w:highlight w:val="none"/>
          <w:u w:val="single"/>
        </w:rPr>
      </w:pPr>
      <w:r>
        <w:rPr>
          <w:rFonts w:hint="eastAsia"/>
          <w:color w:val="auto"/>
          <w:sz w:val="21"/>
          <w:szCs w:val="21"/>
          <w:highlight w:val="none"/>
          <w:u w:val="single"/>
        </w:rPr>
        <w:t>5）本项目招标文件及本合同条款中明示的风险、责任和义务。</w:t>
      </w:r>
    </w:p>
    <w:p w14:paraId="1DA0A03A">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 xml:space="preserve">    风险费用的计算方法：</w:t>
      </w:r>
      <w:r>
        <w:rPr>
          <w:rFonts w:hint="eastAsia" w:ascii="宋体" w:hAnsi="宋体" w:cs="宋体"/>
          <w:color w:val="auto"/>
          <w:szCs w:val="21"/>
          <w:highlight w:val="none"/>
          <w:u w:val="single"/>
        </w:rPr>
        <w:t>以上风险费用已含在合同总价内，不再另行计取</w:t>
      </w:r>
      <w:r>
        <w:rPr>
          <w:rFonts w:hint="eastAsia" w:ascii="宋体" w:hAnsi="宋体" w:cs="宋体"/>
          <w:color w:val="auto"/>
          <w:szCs w:val="21"/>
          <w:highlight w:val="none"/>
        </w:rPr>
        <w:t>。 </w:t>
      </w:r>
    </w:p>
    <w:p w14:paraId="4B765BC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风险范围以外合同价格的调整方法：</w:t>
      </w:r>
    </w:p>
    <w:p w14:paraId="388A89A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（1）政策性调整和市场价格波动引起的调整：</w:t>
      </w:r>
    </w:p>
    <w:p w14:paraId="2242C5B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p>
    <w:p w14:paraId="1740962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②环境保护税按南京市环保、税务部门实际规定调整。</w:t>
      </w:r>
    </w:p>
    <w:p w14:paraId="22EAA33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p>
    <w:p w14:paraId="6585904B">
      <w:pPr>
        <w:tabs>
          <w:tab w:val="left" w:pos="0"/>
          <w:tab w:val="left" w:pos="993"/>
          <w:tab w:val="left" w:pos="1134"/>
        </w:tabs>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18807E6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B、一、二类材料取定按照苏建价〔2008〕67号文件规定。</w:t>
      </w:r>
    </w:p>
    <w:p w14:paraId="16F3A9A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C、主要材料价差的取定：</w:t>
      </w:r>
    </w:p>
    <w:p w14:paraId="50DF15E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6213511D">
      <w:pPr>
        <w:adjustRightInd w:val="0"/>
        <w:snapToGrid w:val="0"/>
        <w:spacing w:line="360" w:lineRule="auto"/>
        <w:ind w:firstLine="315" w:firstLineChars="150"/>
        <w:jc w:val="left"/>
        <w:rPr>
          <w:rFonts w:ascii="宋体" w:hAnsi="宋体" w:cs="宋体"/>
          <w:color w:val="auto"/>
          <w:szCs w:val="21"/>
          <w:highlight w:val="none"/>
          <w:u w:val="single"/>
        </w:rPr>
      </w:pPr>
      <w:r>
        <w:rPr>
          <w:rFonts w:hint="eastAsia" w:ascii="宋体" w:hAnsi="宋体" w:cs="宋体"/>
          <w:color w:val="auto"/>
          <w:szCs w:val="21"/>
          <w:highlight w:val="none"/>
          <w:u w:val="single"/>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1D74F748">
      <w:pPr>
        <w:adjustRightInd w:val="0"/>
        <w:snapToGrid w:val="0"/>
        <w:spacing w:line="360" w:lineRule="auto"/>
        <w:ind w:firstLine="315" w:firstLineChars="150"/>
        <w:jc w:val="left"/>
        <w:rPr>
          <w:rFonts w:ascii="宋体" w:hAnsi="宋体" w:cs="宋体"/>
          <w:color w:val="auto"/>
          <w:szCs w:val="21"/>
          <w:highlight w:val="none"/>
          <w:u w:val="single"/>
        </w:rPr>
      </w:pPr>
      <w:r>
        <w:rPr>
          <w:rFonts w:hint="eastAsia" w:ascii="宋体" w:hAnsi="宋体" w:cs="宋体"/>
          <w:color w:val="auto"/>
          <w:szCs w:val="21"/>
          <w:highlight w:val="none"/>
          <w:u w:val="single"/>
        </w:rPr>
        <w:t>c.承包人投标报价中材料单价等于基准单价的：施工期间材料单价涨、跌幅以基准单价为基础超合同约定的风险幅度值时，其超过部分按实调整。</w:t>
      </w:r>
    </w:p>
    <w:p w14:paraId="3FBB7089">
      <w:pPr>
        <w:tabs>
          <w:tab w:val="left" w:pos="0"/>
          <w:tab w:val="left" w:pos="993"/>
          <w:tab w:val="left" w:pos="1134"/>
        </w:tabs>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施工期间材料单价=∑（每月实际使用量×当月材料指导价）/价格调整周期内同类材料总用量。</w:t>
      </w:r>
    </w:p>
    <w:p w14:paraId="211E33EE">
      <w:pPr>
        <w:adjustRightInd w:val="0"/>
        <w:snapToGrid w:val="0"/>
        <w:spacing w:line="360" w:lineRule="auto"/>
        <w:ind w:firstLine="315" w:firstLineChars="150"/>
        <w:jc w:val="left"/>
        <w:rPr>
          <w:rFonts w:ascii="宋体" w:hAnsi="宋体" w:cs="宋体"/>
          <w:color w:val="auto"/>
          <w:szCs w:val="21"/>
          <w:highlight w:val="none"/>
          <w:u w:val="single"/>
        </w:rPr>
      </w:pPr>
      <w:r>
        <w:rPr>
          <w:rFonts w:hint="eastAsia" w:ascii="宋体" w:hAnsi="宋体" w:cs="宋体"/>
          <w:color w:val="auto"/>
          <w:szCs w:val="21"/>
          <w:highlight w:val="none"/>
          <w:u w:val="single"/>
        </w:rPr>
        <w:t>d.材料价格的调整在竣工结算时一次性调整。</w:t>
      </w:r>
    </w:p>
    <w:p w14:paraId="20F8B1C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w:t>
      </w:r>
      <w:r>
        <w:rPr>
          <w:rStyle w:val="451"/>
          <w:rFonts w:hint="eastAsia" w:ascii="宋体" w:hAnsi="宋体" w:cs="宋体"/>
          <w:color w:val="auto"/>
          <w:szCs w:val="21"/>
          <w:highlight w:val="none"/>
          <w:u w:val="single"/>
        </w:rPr>
        <w:t>工程造价管理机构发布的</w:t>
      </w:r>
      <w:r>
        <w:rPr>
          <w:rFonts w:hint="eastAsia" w:ascii="宋体" w:hAnsi="宋体" w:cs="宋体"/>
          <w:color w:val="auto"/>
          <w:szCs w:val="21"/>
          <w:highlight w:val="none"/>
          <w:u w:val="single"/>
        </w:rPr>
        <w:t>指导价</w:t>
      </w:r>
      <w:r>
        <w:rPr>
          <w:rStyle w:val="451"/>
          <w:rFonts w:hint="eastAsia" w:ascii="宋体" w:hAnsi="宋体" w:cs="宋体"/>
          <w:color w:val="auto"/>
          <w:szCs w:val="21"/>
          <w:highlight w:val="none"/>
          <w:u w:val="single"/>
        </w:rPr>
        <w:t>缺价的，应由承包人根据变更工程资料通过市场调查等取得有合法依据的市场价格提出变更单价，并报发包人确认后调整。发包人组织市场调研的，</w:t>
      </w:r>
      <w:r>
        <w:rPr>
          <w:rFonts w:hint="eastAsia" w:ascii="宋体" w:hAnsi="宋体" w:cs="宋体"/>
          <w:color w:val="auto"/>
          <w:szCs w:val="21"/>
          <w:highlight w:val="none"/>
          <w:u w:val="single"/>
        </w:rPr>
        <w:t>承包人必须配合发包人组织的市场调研，如承包人收到发包人的调研结果后3日内未回复意见，视同认可发包人的调研结果。</w:t>
      </w:r>
    </w:p>
    <w:p w14:paraId="7A455C3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p>
    <w:p w14:paraId="1557ADE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（2）因分部分项工程量清单漏项、非承包人原因的工程变更、或者施工中出现施工图纸（含设计变更）与工程量清单项目特征描述不符的，造成增加新的工程量清单项目，其对应的综合单价按下列方法确定： </w:t>
      </w:r>
    </w:p>
    <w:p w14:paraId="05FC1B1F">
      <w:pPr>
        <w:tabs>
          <w:tab w:val="left" w:pos="0"/>
          <w:tab w:val="left" w:pos="993"/>
          <w:tab w:val="left" w:pos="1134"/>
        </w:tabs>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p>
    <w:p w14:paraId="46A3484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p>
    <w:p w14:paraId="36C3BED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上述的“与招标文件工程量清单中项目类似的”新增项目，指与分部分项工程量清单项目编码一至九位完全相同的新增的分部分项工程。</w:t>
      </w:r>
    </w:p>
    <w:p w14:paraId="201A2A1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451"/>
          <w:rFonts w:hint="eastAsia" w:ascii="宋体" w:hAnsi="宋体" w:cs="宋体"/>
          <w:color w:val="auto"/>
          <w:szCs w:val="21"/>
          <w:highlight w:val="none"/>
          <w:u w:val="single"/>
        </w:rPr>
        <w:t>材料</w:t>
      </w:r>
      <w:r>
        <w:rPr>
          <w:rFonts w:hint="eastAsia" w:ascii="宋体" w:hAnsi="宋体" w:cs="宋体"/>
          <w:color w:val="auto"/>
          <w:szCs w:val="21"/>
          <w:highlight w:val="none"/>
          <w:u w:val="single"/>
        </w:rPr>
        <w:t>指导价或经发包人确认的市场价），套用</w:t>
      </w:r>
      <w:r>
        <w:rPr>
          <w:rStyle w:val="452"/>
          <w:rFonts w:hint="eastAsia" w:ascii="宋体" w:hAnsi="宋体" w:cs="宋体"/>
          <w:color w:val="auto"/>
          <w:szCs w:val="21"/>
          <w:highlight w:val="none"/>
        </w:rPr>
        <w:t>定额或</w:t>
      </w:r>
      <w:r>
        <w:rPr>
          <w:rFonts w:hint="eastAsia" w:ascii="宋体" w:hAnsi="宋体" w:cs="宋体"/>
          <w:color w:val="auto"/>
          <w:szCs w:val="21"/>
          <w:highlight w:val="none"/>
          <w:u w:val="single"/>
        </w:rPr>
        <w:t>计价表相应的管理费和利润的取费标准，由承包人按承包人报价浮动率L＝（1－中标价／招标控制价）×100%（当L＜5%时取L＝5%）提出变更工程项目的单价。</w:t>
      </w:r>
    </w:p>
    <w:p w14:paraId="15F84BA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451"/>
          <w:rFonts w:hint="eastAsia" w:ascii="宋体" w:hAnsi="宋体" w:cs="宋体"/>
          <w:color w:val="auto"/>
          <w:szCs w:val="21"/>
          <w:highlight w:val="none"/>
          <w:u w:val="single"/>
        </w:rPr>
        <w:t>材料</w:t>
      </w:r>
      <w:r>
        <w:rPr>
          <w:rFonts w:hint="eastAsia" w:ascii="宋体" w:hAnsi="宋体" w:cs="宋体"/>
          <w:color w:val="auto"/>
          <w:szCs w:val="21"/>
          <w:highlight w:val="none"/>
          <w:u w:val="single"/>
        </w:rPr>
        <w:t>指导价或经发包人确认的市场价）计算，套用</w:t>
      </w:r>
      <w:r>
        <w:rPr>
          <w:rStyle w:val="452"/>
          <w:rFonts w:hint="eastAsia" w:ascii="宋体" w:hAnsi="宋体" w:cs="宋体"/>
          <w:color w:val="auto"/>
          <w:szCs w:val="21"/>
          <w:highlight w:val="none"/>
        </w:rPr>
        <w:t>定额或</w:t>
      </w:r>
      <w:r>
        <w:rPr>
          <w:rFonts w:hint="eastAsia" w:ascii="宋体" w:hAnsi="宋体" w:cs="宋体"/>
          <w:color w:val="auto"/>
          <w:szCs w:val="21"/>
          <w:highlight w:val="none"/>
          <w:u w:val="single"/>
        </w:rPr>
        <w:t>计价表相应的管理费和利润的取费标准，由承包人按承包人报价浮动率L＝（1－中标价／招标控制价）×100%（当L＜5%时取L＝5%）提出变更工程项目的单价。</w:t>
      </w:r>
    </w:p>
    <w:p w14:paraId="3ACA18E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E、新增综合单价及材料市场价由承包人提出，经发包人和监理人及跟踪审计人审核确定。</w:t>
      </w:r>
    </w:p>
    <w:p w14:paraId="54B7FF3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p>
    <w:p w14:paraId="7A2C0C4D">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①单价措施项目变更原则同分部分项工程；</w:t>
      </w:r>
    </w:p>
    <w:p w14:paraId="7A7C9FB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②总价措施项目中以费率报价的,费率不变；总价项目中以费用报价的,按投标报价浮动率L折算成费率调整；</w:t>
      </w:r>
    </w:p>
    <w:p w14:paraId="43FA7B2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③原措施费中没有的措施项目,由承包人按投标时囗径提出适当的措施费变更要求,经发包人确认后调整。</w:t>
      </w:r>
    </w:p>
    <w:p w14:paraId="509D7F2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（4）招标时工程量清单未施工的项目，竣工价款结算时应予以扣除（包括措施费）。</w:t>
      </w:r>
    </w:p>
    <w:p w14:paraId="6D73E0E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（5）关于暂定价材料的价格结算： </w:t>
      </w:r>
    </w:p>
    <w:p w14:paraId="00AA555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如属甲供仍按暂定价格进行结算并按暂定价格扣回；如属乙供仅调整材料价差，其他费用一律不予调整。 </w:t>
      </w:r>
    </w:p>
    <w:p w14:paraId="7FED824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（6）施工机械台班单价或施工机械使用费发生变化超过10%的范围时，按市工程造价管理机构的规定进行调整。 </w:t>
      </w:r>
    </w:p>
    <w:p w14:paraId="2281B55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（7）不可抗力事件导致的费用，发、承包人按以下原则分别承担并调整合同价格： </w:t>
      </w:r>
    </w:p>
    <w:p w14:paraId="49F9803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A、工程本身的损害、因工程损害导致双方或第三方人员伤亡和财产损失以及运至施工场地用于施工的材料和待安装的设备的损害，由承包人承担； </w:t>
      </w:r>
    </w:p>
    <w:p w14:paraId="2157F9C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B、发包人、承包人人员伤亡由其所在单位负责，并承担相应费用； </w:t>
      </w:r>
    </w:p>
    <w:p w14:paraId="0740AAB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C、承包人的施工机械设备损坏及停工损失，由承包人承担； </w:t>
      </w:r>
    </w:p>
    <w:p w14:paraId="2F483F4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D、停工期间，承包人应发包人要求留在施工场地的必要的管理人员及保卫人员的费用，由发包人承担； </w:t>
      </w:r>
    </w:p>
    <w:p w14:paraId="53FD07E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E、工程所需清理、修复费用，由发包人承担。 </w:t>
      </w:r>
    </w:p>
    <w:p w14:paraId="4AA4398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（8）风险范围以外合同价格的调整应按税法规定的一般计税方法计算增值税。</w:t>
      </w:r>
    </w:p>
    <w:p w14:paraId="383F7B0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5FF4BDF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u w:val="single"/>
        </w:rPr>
        <w:t>发生风险范围以外合同价款调整因素，承包人应及时申报合同价格调整报告并申请计量，于工程竣工结算时调整合同价格。</w:t>
      </w:r>
    </w:p>
    <w:p w14:paraId="2D8F768A">
      <w:pPr>
        <w:adjustRightInd w:val="0"/>
        <w:snapToGrid w:val="0"/>
        <w:spacing w:line="360" w:lineRule="auto"/>
        <w:ind w:firstLine="420"/>
        <w:jc w:val="left"/>
        <w:rPr>
          <w:rFonts w:ascii="宋体" w:hAnsi="宋体" w:cs="宋体"/>
          <w:color w:val="auto"/>
          <w:szCs w:val="21"/>
          <w:highlight w:val="none"/>
          <w:u w:val="single"/>
        </w:rPr>
      </w:pPr>
      <w:r>
        <w:rPr>
          <w:rFonts w:hint="eastAsia" w:ascii="宋体" w:hAnsi="宋体" w:cs="宋体"/>
          <w:color w:val="auto"/>
          <w:szCs w:val="21"/>
          <w:highlight w:val="none"/>
          <w:u w:val="single"/>
        </w:rPr>
        <w:t>（9）安全文明施工费用包含基本费、标化工地增加费、扬尘污染防治增加费。其中标化增加费，结算时按本合同6.1.6条执行。</w:t>
      </w:r>
    </w:p>
    <w:p w14:paraId="6E4E69FE">
      <w:pPr>
        <w:adjustRightInd w:val="0"/>
        <w:snapToGrid w:val="0"/>
        <w:spacing w:line="360" w:lineRule="auto"/>
        <w:jc w:val="left"/>
        <w:rPr>
          <w:rFonts w:ascii="宋体" w:hAnsi="宋体" w:cs="宋体"/>
          <w:color w:val="auto"/>
          <w:szCs w:val="21"/>
          <w:highlight w:val="none"/>
          <w:u w:val="single"/>
        </w:rPr>
      </w:pPr>
    </w:p>
    <w:p w14:paraId="17D6D1F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2、总价合同。</w:t>
      </w:r>
    </w:p>
    <w:p w14:paraId="372B574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215B36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A94042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583E90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9CE2320">
      <w:pPr>
        <w:adjustRightInd w:val="0"/>
        <w:snapToGrid w:val="0"/>
        <w:spacing w:line="360" w:lineRule="auto"/>
        <w:ind w:firstLine="420" w:firstLineChars="200"/>
        <w:jc w:val="left"/>
        <w:rPr>
          <w:rFonts w:ascii="宋体" w:hAnsi="宋体" w:cs="宋体"/>
          <w:color w:val="auto"/>
          <w:szCs w:val="21"/>
          <w:highlight w:val="none"/>
        </w:rPr>
      </w:pPr>
      <w:bookmarkStart w:id="555" w:name="_Toc297123554"/>
      <w:bookmarkStart w:id="556" w:name="_Toc297216213"/>
      <w:bookmarkStart w:id="557" w:name="_Toc300935004"/>
      <w:bookmarkStart w:id="558" w:name="_Toc303539161"/>
      <w:bookmarkStart w:id="559" w:name="_Toc304295581"/>
      <w:bookmarkStart w:id="560" w:name="_Toc312678042"/>
      <w:bookmarkStart w:id="561" w:name="_Toc296503207"/>
      <w:bookmarkStart w:id="562" w:name="_Toc292559412"/>
      <w:bookmarkStart w:id="563" w:name="_Toc296891035"/>
      <w:bookmarkStart w:id="564" w:name="_Toc292559917"/>
      <w:bookmarkStart w:id="565" w:name="_Toc296346708"/>
      <w:bookmarkStart w:id="566" w:name="_Toc297120507"/>
      <w:bookmarkStart w:id="567" w:name="_Toc296891247"/>
      <w:bookmarkStart w:id="568" w:name="_Toc296944546"/>
      <w:bookmarkStart w:id="569" w:name="_Toc297048393"/>
      <w:bookmarkStart w:id="570" w:name="_Toc296347206"/>
      <w:r>
        <w:rPr>
          <w:rFonts w:hint="eastAsia" w:ascii="宋体" w:hAnsi="宋体" w:cs="宋体"/>
          <w:color w:val="auto"/>
          <w:szCs w:val="21"/>
          <w:highlight w:val="none"/>
        </w:rPr>
        <w:t>12.2 预付款</w:t>
      </w:r>
    </w:p>
    <w:bookmarkEnd w:id="555"/>
    <w:bookmarkEnd w:id="556"/>
    <w:bookmarkEnd w:id="557"/>
    <w:bookmarkEnd w:id="558"/>
    <w:bookmarkEnd w:id="559"/>
    <w:bookmarkEnd w:id="560"/>
    <w:p w14:paraId="5880FB8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12.2.1 预付款的支付</w:t>
      </w:r>
    </w:p>
    <w:p w14:paraId="609DDA0D">
      <w:pPr>
        <w:pStyle w:val="17"/>
        <w:adjustRightInd w:val="0"/>
        <w:snapToGrid w:val="0"/>
        <w:spacing w:line="360" w:lineRule="auto"/>
        <w:jc w:val="left"/>
        <w:rPr>
          <w:rFonts w:hAnsi="宋体" w:cs="宋体"/>
          <w:color w:val="auto"/>
          <w:highlight w:val="none"/>
          <w:u w:val="single"/>
        </w:rPr>
      </w:pPr>
      <w:r>
        <w:rPr>
          <w:rFonts w:hint="eastAsia" w:hAnsi="宋体" w:cs="宋体"/>
          <w:color w:val="auto"/>
          <w:highlight w:val="none"/>
        </w:rPr>
        <w:t xml:space="preserve">    预付款支付比例或金额：</w:t>
      </w:r>
      <w:r>
        <w:rPr>
          <w:rFonts w:hint="eastAsia" w:hAnsi="宋体" w:cs="宋体"/>
          <w:color w:val="auto"/>
          <w:highlight w:val="none"/>
          <w:u w:val="single"/>
        </w:rPr>
        <w:t>无。</w:t>
      </w:r>
    </w:p>
    <w:p w14:paraId="0C0A279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预付款支付期限：</w:t>
      </w:r>
      <w:r>
        <w:rPr>
          <w:rFonts w:hint="eastAsia" w:ascii="宋体" w:hAnsi="宋体" w:cs="宋体"/>
          <w:color w:val="auto"/>
          <w:szCs w:val="21"/>
          <w:highlight w:val="none"/>
          <w:u w:val="single"/>
        </w:rPr>
        <w:t>/。</w:t>
      </w:r>
    </w:p>
    <w:p w14:paraId="1607C67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预付款扣回方式：</w:t>
      </w:r>
      <w:r>
        <w:rPr>
          <w:rFonts w:hint="eastAsia" w:ascii="宋体" w:hAnsi="宋体" w:cs="宋体"/>
          <w:color w:val="auto"/>
          <w:szCs w:val="21"/>
          <w:highlight w:val="none"/>
          <w:u w:val="single"/>
        </w:rPr>
        <w:t>/。</w:t>
      </w:r>
    </w:p>
    <w:bookmarkEnd w:id="561"/>
    <w:bookmarkEnd w:id="562"/>
    <w:bookmarkEnd w:id="563"/>
    <w:bookmarkEnd w:id="564"/>
    <w:bookmarkEnd w:id="565"/>
    <w:bookmarkEnd w:id="566"/>
    <w:bookmarkEnd w:id="567"/>
    <w:bookmarkEnd w:id="568"/>
    <w:bookmarkEnd w:id="569"/>
    <w:bookmarkEnd w:id="570"/>
    <w:p w14:paraId="35BFA37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12.2.2 预付款担保</w:t>
      </w:r>
    </w:p>
    <w:p w14:paraId="258DE8F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承包人提交预付款担保的期限：</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5AFC8B8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预付款担保的形式为：</w:t>
      </w:r>
      <w:r>
        <w:rPr>
          <w:rFonts w:hint="eastAsia" w:ascii="宋体" w:hAnsi="宋体" w:cs="宋体"/>
          <w:color w:val="auto"/>
          <w:szCs w:val="21"/>
          <w:highlight w:val="none"/>
          <w:u w:val="single"/>
        </w:rPr>
        <w:t>不采用。</w:t>
      </w:r>
    </w:p>
    <w:p w14:paraId="65D6D7B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 计量</w:t>
      </w:r>
    </w:p>
    <w:p w14:paraId="638F0B8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12.3.1 计量原则</w:t>
      </w:r>
    </w:p>
    <w:p w14:paraId="7C815A4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工程量计算规则：</w:t>
      </w:r>
      <w:r>
        <w:rPr>
          <w:rFonts w:hint="eastAsia" w:ascii="宋体" w:hAnsi="宋体" w:cs="宋体"/>
          <w:color w:val="auto"/>
          <w:szCs w:val="21"/>
          <w:highlight w:val="none"/>
          <w:u w:val="single"/>
        </w:rPr>
        <w:t>按苏建价（2014）448号《省住房城乡建设厅关于〈建设工程工程量清单计价规范〉（GB50500-2013）及其 9本工程量计算规范的贯彻意见》执行。</w:t>
      </w:r>
    </w:p>
    <w:p w14:paraId="514A5B2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12.3.2 计量周期</w:t>
      </w:r>
    </w:p>
    <w:p w14:paraId="6E78DB0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关于计量周期的约定：</w:t>
      </w:r>
      <w:r>
        <w:rPr>
          <w:rStyle w:val="452"/>
          <w:rFonts w:hint="eastAsia" w:ascii="宋体" w:hAnsi="宋体" w:cs="宋体"/>
          <w:color w:val="auto"/>
          <w:szCs w:val="21"/>
          <w:highlight w:val="none"/>
        </w:rPr>
        <w:t>工程量的计量按月进行。</w:t>
      </w:r>
      <w:r>
        <w:rPr>
          <w:rFonts w:hint="eastAsia" w:ascii="宋体" w:hAnsi="宋体" w:cs="宋体"/>
          <w:color w:val="auto"/>
          <w:szCs w:val="21"/>
          <w:highlight w:val="none"/>
          <w:u w:val="single"/>
        </w:rPr>
        <w:t>隐蔽工程工程量的计量与现场签收必须随隐蔽工程验收在覆盖、掩盖前进行。承包人应于每月25日向发包人报送上月20日至当月19日已完成的工程量报告、报表和有关资料。</w:t>
      </w:r>
    </w:p>
    <w:p w14:paraId="169F884B">
      <w:pPr>
        <w:adjustRightInd w:val="0"/>
        <w:snapToGrid w:val="0"/>
        <w:spacing w:line="360" w:lineRule="auto"/>
        <w:ind w:firstLine="420" w:firstLineChars="200"/>
        <w:jc w:val="left"/>
        <w:rPr>
          <w:rFonts w:ascii="宋体" w:hAnsi="宋体" w:cs="宋体"/>
          <w:color w:val="auto"/>
          <w:szCs w:val="21"/>
          <w:highlight w:val="none"/>
        </w:rPr>
      </w:pPr>
      <w:r>
        <w:rPr>
          <w:rStyle w:val="452"/>
          <w:rFonts w:hint="eastAsia" w:ascii="宋体" w:hAnsi="宋体" w:cs="宋体"/>
          <w:color w:val="auto"/>
          <w:szCs w:val="21"/>
          <w:highlight w:val="none"/>
        </w:rPr>
        <w:t>对于发包人要求承包人完成合同以外的零星项目，承包人应在接受发包人书面要求的7天内就用工数量和单价、机械台班数量和单价、使用材料和金额等向监理和发包人提出书面签证，发包人签证后施工。</w:t>
      </w:r>
    </w:p>
    <w:p w14:paraId="77E6D5D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12.3.3 单价合同的计量</w:t>
      </w:r>
    </w:p>
    <w:p w14:paraId="689D09F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关于单价合同计量的约定：</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w:t>
      </w:r>
    </w:p>
    <w:p w14:paraId="18E14A2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12.3.4 总价合同的计量</w:t>
      </w:r>
    </w:p>
    <w:p w14:paraId="4BCF994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632B55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12.3.5总价合同采用支付分解表计量支付的，是否适用第12.3.4 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CE1E0D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12.3.6 其他价格形式合同的计量</w:t>
      </w:r>
    </w:p>
    <w:p w14:paraId="13D6EAE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5AE18B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12.4 工程进度款支付</w:t>
      </w:r>
    </w:p>
    <w:p w14:paraId="2F75FEC6">
      <w:pPr>
        <w:adjustRightInd w:val="0"/>
        <w:snapToGrid w:val="0"/>
        <w:spacing w:line="360" w:lineRule="auto"/>
        <w:ind w:firstLine="420" w:firstLineChars="200"/>
        <w:jc w:val="left"/>
        <w:rPr>
          <w:rFonts w:ascii="宋体" w:hAnsi="宋体" w:cs="宋体"/>
          <w:color w:val="auto"/>
          <w:szCs w:val="21"/>
          <w:highlight w:val="none"/>
        </w:rPr>
      </w:pPr>
      <w:bookmarkStart w:id="571" w:name="_Toc296346712"/>
      <w:bookmarkStart w:id="572" w:name="_Toc292559921"/>
      <w:bookmarkStart w:id="573" w:name="_Toc296347210"/>
      <w:bookmarkStart w:id="574" w:name="_Toc296891251"/>
      <w:bookmarkStart w:id="575" w:name="_Toc297120511"/>
      <w:bookmarkStart w:id="576" w:name="_Toc296891039"/>
      <w:bookmarkStart w:id="577" w:name="_Toc297216215"/>
      <w:bookmarkStart w:id="578" w:name="_Toc297123556"/>
      <w:bookmarkStart w:id="579" w:name="_Toc292559416"/>
      <w:bookmarkStart w:id="580" w:name="_Toc300935006"/>
      <w:bookmarkStart w:id="581" w:name="_Toc296944550"/>
      <w:bookmarkStart w:id="582" w:name="_Toc303539163"/>
      <w:bookmarkStart w:id="583" w:name="_Toc296503211"/>
      <w:bookmarkStart w:id="584" w:name="_Toc297048397"/>
      <w:r>
        <w:rPr>
          <w:rFonts w:hint="eastAsia" w:ascii="宋体" w:hAnsi="宋体" w:cs="宋体"/>
          <w:color w:val="auto"/>
          <w:szCs w:val="21"/>
          <w:highlight w:val="none"/>
        </w:rPr>
        <w:t>12.4.1 付款周期</w:t>
      </w:r>
    </w:p>
    <w:p w14:paraId="3F2ACDCF">
      <w:pPr>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 关于付款周期的约定：</w:t>
      </w:r>
    </w:p>
    <w:p w14:paraId="43370F4B">
      <w:pPr>
        <w:snapToGrid w:val="0"/>
        <w:spacing w:line="360" w:lineRule="auto"/>
        <w:ind w:firstLine="420" w:firstLineChars="200"/>
        <w:jc w:val="left"/>
        <w:rPr>
          <w:rStyle w:val="452"/>
          <w:rFonts w:ascii="宋体" w:hAnsi="宋体" w:cs="宋体"/>
          <w:color w:val="auto"/>
          <w:szCs w:val="21"/>
          <w:highlight w:val="none"/>
        </w:rPr>
      </w:pPr>
      <w:r>
        <w:rPr>
          <w:rStyle w:val="452"/>
          <w:rFonts w:hint="eastAsia" w:ascii="宋体" w:hAnsi="宋体" w:cs="宋体"/>
          <w:color w:val="auto"/>
          <w:szCs w:val="21"/>
          <w:highlight w:val="none"/>
        </w:rPr>
        <w:t>（1）完成工程量100%且竣工验收合格的当年支付合同价款30%；</w:t>
      </w:r>
    </w:p>
    <w:p w14:paraId="566B4668">
      <w:pPr>
        <w:snapToGrid w:val="0"/>
        <w:spacing w:line="360" w:lineRule="auto"/>
        <w:ind w:firstLine="420" w:firstLineChars="200"/>
        <w:jc w:val="left"/>
        <w:rPr>
          <w:rStyle w:val="452"/>
          <w:rFonts w:ascii="宋体" w:hAnsi="宋体" w:cs="宋体"/>
          <w:color w:val="auto"/>
          <w:szCs w:val="21"/>
          <w:highlight w:val="none"/>
        </w:rPr>
      </w:pPr>
      <w:r>
        <w:rPr>
          <w:rStyle w:val="452"/>
          <w:rFonts w:hint="eastAsia" w:ascii="宋体" w:hAnsi="宋体" w:cs="宋体"/>
          <w:color w:val="auto"/>
          <w:szCs w:val="21"/>
          <w:highlight w:val="none"/>
        </w:rPr>
        <w:t>（2）合同签订第二年经审计部门结算审计后付至合同价款的70%；</w:t>
      </w:r>
    </w:p>
    <w:p w14:paraId="638FF59E">
      <w:pPr>
        <w:snapToGrid w:val="0"/>
        <w:spacing w:line="360" w:lineRule="auto"/>
        <w:ind w:firstLine="420" w:firstLineChars="200"/>
        <w:jc w:val="left"/>
        <w:rPr>
          <w:rFonts w:ascii="宋体" w:hAnsi="宋体" w:cs="宋体"/>
          <w:color w:val="auto"/>
          <w:szCs w:val="21"/>
          <w:highlight w:val="none"/>
          <w:u w:val="single"/>
        </w:rPr>
      </w:pPr>
      <w:r>
        <w:rPr>
          <w:rStyle w:val="452"/>
          <w:rFonts w:hint="eastAsia" w:ascii="宋体" w:hAnsi="宋体" w:cs="宋体"/>
          <w:color w:val="auto"/>
          <w:szCs w:val="21"/>
          <w:highlight w:val="none"/>
        </w:rPr>
        <w:t>（3）合同签订第三年付至审定价款的100%。</w:t>
      </w:r>
    </w:p>
    <w:p w14:paraId="77538B89">
      <w:pPr>
        <w:pStyle w:val="14"/>
        <w:snapToGrid w:val="0"/>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竣工验收后，承包人必须即时提交完整竣工结算审计资料，并配合发包人在半年内完成审计工作。</w:t>
      </w:r>
    </w:p>
    <w:p w14:paraId="4D79204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12.4.2 进度付款申请单的编制</w:t>
      </w:r>
    </w:p>
    <w:p w14:paraId="55935871">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关于进度付款申请单的编制的约定： </w:t>
      </w:r>
    </w:p>
    <w:p w14:paraId="6C41015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（1）截至本次付款周期已完成工作量对应的签约合同价金额；</w:t>
      </w:r>
    </w:p>
    <w:p w14:paraId="175A6E8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（2）预付款约定应支付的预付款和扣减的返还预付款；</w:t>
      </w:r>
    </w:p>
    <w:p w14:paraId="769CA01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（3）应扣除的甲供材料款和根据合同约定应增加和扣减的其他金额；</w:t>
      </w:r>
    </w:p>
    <w:p w14:paraId="5F12A4F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（4）索赔应增加和扣减的索赔金额；</w:t>
      </w:r>
    </w:p>
    <w:p w14:paraId="68494BC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（5）对已签发的进度款支付证书中出现错误的修正，应在本次进度付款中支付或扣除的金额；</w:t>
      </w:r>
    </w:p>
    <w:p w14:paraId="1043780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Pr>
          <w:rFonts w:hint="eastAsia" w:ascii="宋体" w:hAnsi="宋体" w:cs="宋体"/>
          <w:color w:val="auto"/>
          <w:szCs w:val="21"/>
          <w:highlight w:val="none"/>
        </w:rPr>
        <w:t>2.4.3 进度付款申请单的提交</w:t>
      </w:r>
    </w:p>
    <w:p w14:paraId="579C0CB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（1）单价合同进度付款申请单提交的约定：</w:t>
      </w:r>
      <w:r>
        <w:rPr>
          <w:rFonts w:hint="eastAsia" w:ascii="宋体" w:hAnsi="宋体" w:cs="宋体"/>
          <w:color w:val="auto"/>
          <w:szCs w:val="21"/>
          <w:highlight w:val="none"/>
          <w:u w:val="single"/>
        </w:rPr>
        <w:t>按通用条款执行</w:t>
      </w:r>
      <w:r>
        <w:rPr>
          <w:rFonts w:hint="eastAsia" w:ascii="宋体" w:hAnsi="宋体" w:cs="宋体"/>
          <w:color w:val="auto"/>
          <w:szCs w:val="21"/>
          <w:highlight w:val="none"/>
        </w:rPr>
        <w:t>。</w:t>
      </w:r>
    </w:p>
    <w:p w14:paraId="364B570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（2）总价合同进度付款申请单提交的约定：</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w:t>
      </w:r>
    </w:p>
    <w:p w14:paraId="2E54670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（3）其他价格形式合同进度付款申请单提交的约定：</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w:t>
      </w:r>
    </w:p>
    <w:p w14:paraId="5C932BC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12.4.4 进度款审核和支付</w:t>
      </w:r>
    </w:p>
    <w:p w14:paraId="2152656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（1）监理人审查并报送发包人的期限：</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w:t>
      </w:r>
    </w:p>
    <w:p w14:paraId="47783AA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发包人完成审批并签发进度款支付证书的期限：</w:t>
      </w:r>
      <w:r>
        <w:rPr>
          <w:rFonts w:hint="eastAsia" w:ascii="宋体" w:hAnsi="宋体" w:cs="宋体"/>
          <w:color w:val="auto"/>
          <w:szCs w:val="21"/>
          <w:highlight w:val="none"/>
          <w:u w:val="single"/>
        </w:rPr>
        <w:t xml:space="preserve"> 按发包人单位财务支付规定 </w:t>
      </w:r>
      <w:r>
        <w:rPr>
          <w:rFonts w:hint="eastAsia" w:ascii="宋体" w:hAnsi="宋体" w:cs="宋体"/>
          <w:color w:val="auto"/>
          <w:szCs w:val="21"/>
          <w:highlight w:val="none"/>
        </w:rPr>
        <w:t>。</w:t>
      </w:r>
    </w:p>
    <w:p w14:paraId="53B7E36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（2）发包人支付进度款的期限：</w:t>
      </w:r>
      <w:r>
        <w:rPr>
          <w:rFonts w:hint="eastAsia" w:ascii="宋体" w:hAnsi="宋体" w:cs="宋体"/>
          <w:color w:val="auto"/>
          <w:szCs w:val="21"/>
          <w:highlight w:val="none"/>
          <w:u w:val="single"/>
        </w:rPr>
        <w:t xml:space="preserve"> 按发包人单位财务支付规定 </w:t>
      </w:r>
      <w:r>
        <w:rPr>
          <w:rFonts w:hint="eastAsia" w:ascii="宋体" w:hAnsi="宋体" w:cs="宋体"/>
          <w:color w:val="auto"/>
          <w:szCs w:val="21"/>
          <w:highlight w:val="none"/>
        </w:rPr>
        <w:t>。</w:t>
      </w:r>
    </w:p>
    <w:p w14:paraId="2B87F6C5">
      <w:pPr>
        <w:adjustRightInd w:val="0"/>
        <w:snapToGrid w:val="0"/>
        <w:spacing w:line="360" w:lineRule="auto"/>
        <w:ind w:firstLine="525" w:firstLineChars="250"/>
        <w:jc w:val="left"/>
        <w:rPr>
          <w:rFonts w:ascii="宋体" w:hAnsi="宋体" w:cs="宋体"/>
          <w:color w:val="auto"/>
          <w:szCs w:val="21"/>
          <w:highlight w:val="none"/>
        </w:rPr>
      </w:pPr>
      <w:r>
        <w:rPr>
          <w:rFonts w:hint="eastAsia" w:ascii="宋体" w:hAnsi="宋体" w:cs="宋体"/>
          <w:color w:val="auto"/>
          <w:szCs w:val="21"/>
          <w:highlight w:val="none"/>
        </w:rPr>
        <w:t>发包人逾期支付进度款的违约金的计算方式：</w:t>
      </w:r>
      <w:r>
        <w:rPr>
          <w:rFonts w:hint="eastAsia" w:ascii="宋体" w:hAnsi="宋体" w:cs="宋体"/>
          <w:color w:val="auto"/>
          <w:szCs w:val="21"/>
          <w:highlight w:val="none"/>
          <w:u w:val="single"/>
        </w:rPr>
        <w:t xml:space="preserve"> 按照中国人民银行同期同类贷款基准利率计算。</w:t>
      </w:r>
    </w:p>
    <w:p w14:paraId="0DC7972F">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12.4.6 支付分解表的编制</w:t>
      </w:r>
    </w:p>
    <w:p w14:paraId="60A8B1B9">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2、总价合同支付分解表的编制与审批：</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w:t>
      </w:r>
    </w:p>
    <w:p w14:paraId="3545F454">
      <w:pPr>
        <w:numPr>
          <w:ilvl w:val="0"/>
          <w:numId w:val="2"/>
        </w:num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单价合同的总价项目支付分解表的编制与审批：</w:t>
      </w:r>
      <w:r>
        <w:rPr>
          <w:rFonts w:hint="eastAsia" w:ascii="宋体" w:hAnsi="宋体" w:cs="宋体"/>
          <w:color w:val="auto"/>
          <w:szCs w:val="21"/>
          <w:highlight w:val="none"/>
          <w:u w:val="single"/>
        </w:rPr>
        <w:t xml:space="preserve"> 由承包人根据施工进度计划和总价项目的总价构成、费用性质、计划发生时间和相应工程量等因素按月进行分解，形成支付分解表，并汇总列入工程款各周期付款申请单。</w:t>
      </w:r>
    </w:p>
    <w:bookmarkEnd w:id="414"/>
    <w:p w14:paraId="732AB67C">
      <w:pPr>
        <w:tabs>
          <w:tab w:val="left" w:pos="4409"/>
        </w:tabs>
        <w:adjustRightInd w:val="0"/>
        <w:snapToGrid w:val="0"/>
        <w:spacing w:line="360" w:lineRule="auto"/>
        <w:jc w:val="left"/>
        <w:rPr>
          <w:rFonts w:ascii="宋体" w:hAnsi="宋体" w:cs="宋体"/>
          <w:b/>
          <w:color w:val="auto"/>
          <w:szCs w:val="21"/>
          <w:highlight w:val="none"/>
        </w:rPr>
      </w:pPr>
      <w:bookmarkStart w:id="585" w:name="_Toc351203645"/>
      <w:bookmarkStart w:id="586" w:name="_Toc297048405"/>
      <w:bookmarkStart w:id="587" w:name="_Toc297120519"/>
      <w:bookmarkStart w:id="588" w:name="_Toc296346720"/>
      <w:bookmarkStart w:id="589" w:name="_Toc303539172"/>
      <w:bookmarkStart w:id="590" w:name="_Toc297123564"/>
      <w:bookmarkStart w:id="591" w:name="_Toc297216223"/>
      <w:bookmarkStart w:id="592" w:name="_Toc296347218"/>
      <w:bookmarkStart w:id="593" w:name="_Toc296944558"/>
      <w:bookmarkStart w:id="594" w:name="_Toc292559929"/>
      <w:bookmarkStart w:id="595" w:name="_Toc292559424"/>
      <w:bookmarkStart w:id="596" w:name="_Toc296891259"/>
      <w:bookmarkStart w:id="597" w:name="_Toc300935015"/>
      <w:bookmarkStart w:id="598" w:name="_Toc296503219"/>
      <w:bookmarkStart w:id="599" w:name="_Toc296891047"/>
      <w:bookmarkStart w:id="600" w:name="_Toc304295593"/>
      <w:bookmarkStart w:id="601" w:name="_Toc312678053"/>
      <w:r>
        <w:rPr>
          <w:rFonts w:hint="eastAsia" w:ascii="宋体" w:hAnsi="宋体" w:cs="宋体"/>
          <w:b/>
          <w:color w:val="auto"/>
          <w:szCs w:val="21"/>
          <w:highlight w:val="none"/>
        </w:rPr>
        <w:t>13. 验收和工程试车</w:t>
      </w:r>
      <w:bookmarkEnd w:id="585"/>
    </w:p>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43738360">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13.1 分部分项工程验收</w:t>
      </w:r>
    </w:p>
    <w:p w14:paraId="561B297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13.1.2监理人不能按时进行验收时，应提前</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小时提交书面延期要求。</w:t>
      </w:r>
    </w:p>
    <w:p w14:paraId="65685553">
      <w:pPr>
        <w:adjustRightInd w:val="0"/>
        <w:snapToGrid w:val="0"/>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w:t>
      </w:r>
    </w:p>
    <w:p w14:paraId="08AB4A6B">
      <w:pPr>
        <w:adjustRightInd w:val="0"/>
        <w:snapToGrid w:val="0"/>
        <w:spacing w:line="360" w:lineRule="auto"/>
        <w:ind w:firstLine="420" w:firstLineChars="200"/>
        <w:jc w:val="left"/>
        <w:rPr>
          <w:rFonts w:ascii="宋体" w:hAnsi="宋体" w:cs="宋体"/>
          <w:color w:val="auto"/>
          <w:szCs w:val="21"/>
          <w:highlight w:val="none"/>
        </w:rPr>
      </w:pPr>
      <w:bookmarkStart w:id="602" w:name="_Toc296891051"/>
      <w:bookmarkStart w:id="603" w:name="_Toc312678056"/>
      <w:bookmarkStart w:id="604" w:name="_Toc300935016"/>
      <w:bookmarkStart w:id="605" w:name="_Toc296347222"/>
      <w:bookmarkStart w:id="606" w:name="_Toc297120523"/>
      <w:bookmarkStart w:id="607" w:name="_Toc303539173"/>
      <w:bookmarkStart w:id="608" w:name="_Toc297048409"/>
      <w:bookmarkStart w:id="609" w:name="_Toc297123565"/>
      <w:bookmarkStart w:id="610" w:name="_Toc296503223"/>
      <w:bookmarkStart w:id="611" w:name="_Toc292559428"/>
      <w:bookmarkStart w:id="612" w:name="_Toc296346724"/>
      <w:bookmarkStart w:id="613" w:name="_Toc297216224"/>
      <w:bookmarkStart w:id="614" w:name="_Toc304295596"/>
      <w:bookmarkStart w:id="615" w:name="_Toc296891263"/>
      <w:bookmarkStart w:id="616" w:name="_Toc296944562"/>
      <w:bookmarkStart w:id="617" w:name="_Toc292559933"/>
      <w:bookmarkStart w:id="618" w:name="_Toc267251472"/>
      <w:bookmarkStart w:id="619" w:name="_Toc267251471"/>
      <w:bookmarkStart w:id="620" w:name="_Toc267251473"/>
      <w:bookmarkStart w:id="621" w:name="_Toc267251475"/>
      <w:bookmarkStart w:id="622" w:name="_Toc267251474"/>
      <w:bookmarkStart w:id="623" w:name="_Toc267251470"/>
      <w:bookmarkStart w:id="624" w:name="_Toc267251476"/>
      <w:r>
        <w:rPr>
          <w:rFonts w:hint="eastAsia" w:ascii="宋体" w:hAnsi="宋体" w:cs="宋体"/>
          <w:color w:val="auto"/>
          <w:szCs w:val="21"/>
          <w:highlight w:val="none"/>
        </w:rPr>
        <w:t>13.2 竣工验收</w:t>
      </w:r>
    </w:p>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14:paraId="117F7B0E">
      <w:pPr>
        <w:adjustRightInd w:val="0"/>
        <w:snapToGrid w:val="0"/>
        <w:spacing w:line="360" w:lineRule="auto"/>
        <w:ind w:firstLine="420" w:firstLineChars="200"/>
        <w:jc w:val="left"/>
        <w:rPr>
          <w:rFonts w:ascii="宋体" w:hAnsi="宋体" w:cs="宋体"/>
          <w:color w:val="auto"/>
          <w:szCs w:val="21"/>
          <w:highlight w:val="none"/>
        </w:rPr>
      </w:pPr>
      <w:bookmarkStart w:id="625" w:name="_Toc280868704"/>
      <w:bookmarkStart w:id="626" w:name="_Toc280868705"/>
      <w:bookmarkStart w:id="627" w:name="_Toc280868706"/>
      <w:bookmarkStart w:id="628" w:name="_Toc280868707"/>
      <w:bookmarkStart w:id="629" w:name="_Toc280868708"/>
      <w:bookmarkStart w:id="630" w:name="_Toc280868709"/>
      <w:r>
        <w:rPr>
          <w:rFonts w:hint="eastAsia" w:ascii="宋体" w:hAnsi="宋体" w:cs="宋体"/>
          <w:color w:val="auto"/>
          <w:szCs w:val="21"/>
          <w:highlight w:val="none"/>
        </w:rPr>
        <w:t>13.2.2竣工验收程序</w:t>
      </w:r>
    </w:p>
    <w:bookmarkEnd w:id="625"/>
    <w:p w14:paraId="73D3C6D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关于竣工验收程序的约定：</w:t>
      </w:r>
      <w:r>
        <w:rPr>
          <w:rFonts w:hint="eastAsia" w:ascii="宋体" w:hAnsi="宋体" w:cs="宋体"/>
          <w:color w:val="auto"/>
          <w:szCs w:val="21"/>
          <w:highlight w:val="none"/>
          <w:u w:val="single"/>
        </w:rPr>
        <w:t xml:space="preserve">  按通用条款执行 </w:t>
      </w:r>
      <w:r>
        <w:rPr>
          <w:rFonts w:hint="eastAsia" w:ascii="宋体" w:hAnsi="宋体" w:cs="宋体"/>
          <w:color w:val="auto"/>
          <w:szCs w:val="21"/>
          <w:highlight w:val="none"/>
        </w:rPr>
        <w:t>。</w:t>
      </w:r>
    </w:p>
    <w:p w14:paraId="4D94C2D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发包人不按照本项约定组织竣工验收、颁发工程接收证书的违约金的计算方法：</w:t>
      </w:r>
      <w:r>
        <w:rPr>
          <w:rFonts w:hint="eastAsia" w:ascii="宋体" w:hAnsi="宋体" w:cs="宋体"/>
          <w:color w:val="auto"/>
          <w:szCs w:val="21"/>
          <w:highlight w:val="none"/>
          <w:u w:val="single"/>
        </w:rPr>
        <w:t>通用条款13.2.2。</w:t>
      </w:r>
    </w:p>
    <w:bookmarkEnd w:id="626"/>
    <w:p w14:paraId="4384480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13.2.5移交、接收全部与部分工程</w:t>
      </w:r>
    </w:p>
    <w:bookmarkEnd w:id="627"/>
    <w:p w14:paraId="391DEAB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承包人向发包人移交工程的期限：</w:t>
      </w:r>
      <w:r>
        <w:rPr>
          <w:rFonts w:hint="eastAsia" w:ascii="宋体" w:hAnsi="宋体" w:cs="宋体"/>
          <w:color w:val="auto"/>
          <w:szCs w:val="21"/>
          <w:highlight w:val="none"/>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cs="宋体"/>
          <w:color w:val="auto"/>
          <w:szCs w:val="21"/>
          <w:highlight w:val="none"/>
        </w:rPr>
        <w:t>。</w:t>
      </w:r>
    </w:p>
    <w:p w14:paraId="56F327F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发包人未按本合同约定接收全部或部分工程的，违约金的计算方法为：</w:t>
      </w:r>
      <w:r>
        <w:rPr>
          <w:rFonts w:hint="eastAsia" w:ascii="宋体" w:hAnsi="宋体" w:cs="宋体"/>
          <w:color w:val="auto"/>
          <w:szCs w:val="21"/>
          <w:highlight w:val="none"/>
          <w:u w:val="single"/>
        </w:rPr>
        <w:t xml:space="preserve">发包人按承包人因此产生的实际费用适当分担 </w:t>
      </w:r>
      <w:r>
        <w:rPr>
          <w:rFonts w:hint="eastAsia" w:ascii="宋体" w:hAnsi="宋体" w:cs="宋体"/>
          <w:color w:val="auto"/>
          <w:szCs w:val="21"/>
          <w:highlight w:val="none"/>
        </w:rPr>
        <w:t>。</w:t>
      </w:r>
    </w:p>
    <w:bookmarkEnd w:id="628"/>
    <w:p w14:paraId="575A275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r>
        <w:rPr>
          <w:rFonts w:hint="eastAsia" w:ascii="宋体" w:hAnsi="宋体" w:cs="宋体"/>
          <w:color w:val="auto"/>
          <w:szCs w:val="21"/>
          <w:highlight w:val="none"/>
          <w:u w:val="single"/>
        </w:rPr>
        <w:t xml:space="preserve"> 发包人保留强行清退场的权利，造成的费用和损失由承包人承担。否则，发包人将按承包人占用的建筑面积范围收取100元/平方米·天的占用费。</w:t>
      </w:r>
    </w:p>
    <w:p w14:paraId="41BFF61D">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13.3 工程试车</w:t>
      </w:r>
    </w:p>
    <w:bookmarkEnd w:id="629"/>
    <w:p w14:paraId="7B851A9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13.3.1 试车程序</w:t>
      </w:r>
    </w:p>
    <w:p w14:paraId="11F435B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工程试车内容：</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w:t>
      </w:r>
    </w:p>
    <w:p w14:paraId="6DABF07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（1）单机无负荷试车费用由</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承担；</w:t>
      </w:r>
    </w:p>
    <w:p w14:paraId="4E32683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（2）无负荷联动试车费用由</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承担。</w:t>
      </w:r>
    </w:p>
    <w:p w14:paraId="10D578E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13.3.3 投料试车</w:t>
      </w:r>
    </w:p>
    <w:p w14:paraId="6409D1E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关于投料试车相关事项的约定：</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w:t>
      </w:r>
    </w:p>
    <w:p w14:paraId="54D1F52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13.6 竣工退场</w:t>
      </w:r>
    </w:p>
    <w:p w14:paraId="1109083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13.6.1 竣工退场</w:t>
      </w:r>
    </w:p>
    <w:p w14:paraId="189E63ED">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 </w:t>
      </w:r>
      <w:r>
        <w:rPr>
          <w:rFonts w:hint="eastAsia" w:ascii="宋体" w:hAnsi="宋体" w:cs="宋体"/>
          <w:color w:val="auto"/>
          <w:szCs w:val="21"/>
          <w:highlight w:val="none"/>
          <w:u w:val="single"/>
        </w:rPr>
        <w:t>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p>
    <w:p w14:paraId="3A63D624">
      <w:pPr>
        <w:tabs>
          <w:tab w:val="left" w:pos="4409"/>
        </w:tabs>
        <w:adjustRightInd w:val="0"/>
        <w:snapToGrid w:val="0"/>
        <w:spacing w:line="360" w:lineRule="auto"/>
        <w:jc w:val="left"/>
        <w:rPr>
          <w:rFonts w:ascii="宋体" w:hAnsi="宋体" w:cs="宋体"/>
          <w:b/>
          <w:color w:val="auto"/>
          <w:szCs w:val="21"/>
          <w:highlight w:val="none"/>
        </w:rPr>
      </w:pPr>
      <w:bookmarkStart w:id="631" w:name="_Toc351203646"/>
      <w:r>
        <w:rPr>
          <w:rFonts w:hint="eastAsia" w:ascii="宋体" w:hAnsi="宋体" w:cs="宋体"/>
          <w:b/>
          <w:color w:val="auto"/>
          <w:szCs w:val="21"/>
          <w:highlight w:val="none"/>
        </w:rPr>
        <w:t>14. 竣工结算</w:t>
      </w:r>
      <w:bookmarkEnd w:id="631"/>
    </w:p>
    <w:p w14:paraId="4226AFA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14.1 竣工付款申请</w:t>
      </w:r>
    </w:p>
    <w:p w14:paraId="3B8D314A">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承包人提交竣工付款申请单的期限：</w:t>
      </w:r>
      <w:r>
        <w:rPr>
          <w:rFonts w:hint="eastAsia" w:ascii="宋体" w:hAnsi="宋体" w:cs="宋体"/>
          <w:color w:val="auto"/>
          <w:szCs w:val="21"/>
          <w:highlight w:val="none"/>
          <w:u w:val="single"/>
        </w:rPr>
        <w:t>承包人应在工程竣工验收合格后28天内向发包人和监理人提交竣工结算申请单，按照要求提交所有竣工资料，并提交完整的结算资料。</w:t>
      </w:r>
    </w:p>
    <w:p w14:paraId="2500A165">
      <w:pPr>
        <w:adjustRightInd w:val="0"/>
        <w:snapToGrid w:val="0"/>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竣工付款申请单应包括的内容：</w:t>
      </w:r>
      <w:r>
        <w:rPr>
          <w:rFonts w:hint="eastAsia" w:ascii="宋体" w:hAnsi="宋体" w:cs="宋体"/>
          <w:color w:val="auto"/>
          <w:szCs w:val="21"/>
          <w:highlight w:val="none"/>
          <w:u w:val="single"/>
        </w:rPr>
        <w:t>竣工结算审定总价、已支付的工程价款、应扣回的质量保证金、应支付的竣工付款金额等。如有其它需要，另行协商。</w:t>
      </w:r>
    </w:p>
    <w:p w14:paraId="6D55FBD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p>
    <w:p w14:paraId="77D12F1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14.2 竣工结算审核</w:t>
      </w:r>
    </w:p>
    <w:p w14:paraId="76F245A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p>
    <w:p w14:paraId="1583B71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发包人应在收到承包人再次提交的竣工结算文件后的28天内予以审核，将审核结果通知承包人，并遵守下列规定：</w:t>
      </w:r>
    </w:p>
    <w:p w14:paraId="62F3A5A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 发包人、承包人对审核结果无异议的，应在7天内在竣工结算文件上签字确认；</w:t>
      </w:r>
    </w:p>
    <w:p w14:paraId="574B9318">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2) 发包人或承包人对审核结果有异议的，由发承包双方协商解决；协商不成的，按照合同约定的争议解决方式处理；</w:t>
      </w:r>
    </w:p>
    <w:p w14:paraId="1DCD590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如承包人对审核结果不能提出具体、详细的不书面同意见，却拒不在竣工结算文件上签名确认的，发包人要求办理竣工验收备案的，承包人不得拒绝提供竣工验收资料，否则，由此造成的损失，承包人承担相应责任；</w:t>
      </w:r>
    </w:p>
    <w:p w14:paraId="4D5D615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4）双方签署的竣工结算文件必须经审计机关或审计机关认可的方式审计，最终竣工结算价以审定价为准。</w:t>
      </w:r>
    </w:p>
    <w:p w14:paraId="1093D3D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发包人审批竣工付款申请单的期限：</w:t>
      </w:r>
      <w:r>
        <w:rPr>
          <w:rFonts w:hint="eastAsia" w:ascii="宋体" w:hAnsi="宋体" w:cs="宋体"/>
          <w:color w:val="auto"/>
          <w:szCs w:val="21"/>
          <w:highlight w:val="none"/>
          <w:u w:val="single"/>
        </w:rPr>
        <w:t>发包人、承包人对竣工结算审计结果无异议的，发包人应在双方签认后14天内，向承包人出具竣工付款证书。</w:t>
      </w:r>
    </w:p>
    <w:p w14:paraId="4036888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color w:val="auto"/>
          <w:szCs w:val="21"/>
          <w:highlight w:val="none"/>
          <w:u w:val="single"/>
        </w:rPr>
        <w:t xml:space="preserve"> 对于有异议部分应在收到发包人签认的竣工付款证书后7天内提出异议，并共同委托给第三方或建设工程造价管理部门鉴证，或按照第20条（争议解决）约定处理。</w:t>
      </w:r>
    </w:p>
    <w:p w14:paraId="5113F33E">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14.4 最终结清</w:t>
      </w:r>
    </w:p>
    <w:p w14:paraId="79AE77C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14.4.1 最终结清申请单</w:t>
      </w:r>
    </w:p>
    <w:p w14:paraId="1FFF671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承包人提交最终结清申请单的份数：</w:t>
      </w:r>
      <w:r>
        <w:rPr>
          <w:rFonts w:hint="eastAsia" w:ascii="宋体" w:hAnsi="宋体" w:cs="宋体"/>
          <w:color w:val="auto"/>
          <w:szCs w:val="21"/>
          <w:highlight w:val="none"/>
          <w:u w:val="single"/>
        </w:rPr>
        <w:t xml:space="preserve"> 按发包人要求  </w:t>
      </w:r>
      <w:r>
        <w:rPr>
          <w:rFonts w:hint="eastAsia" w:ascii="宋体" w:hAnsi="宋体" w:cs="宋体"/>
          <w:color w:val="auto"/>
          <w:szCs w:val="21"/>
          <w:highlight w:val="none"/>
        </w:rPr>
        <w:t>。</w:t>
      </w:r>
    </w:p>
    <w:p w14:paraId="0B90704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承包人提交最终结算申请单的期限：</w:t>
      </w:r>
      <w:r>
        <w:rPr>
          <w:rFonts w:hint="eastAsia" w:ascii="宋体" w:hAnsi="宋体" w:cs="宋体"/>
          <w:color w:val="auto"/>
          <w:szCs w:val="21"/>
          <w:highlight w:val="none"/>
          <w:u w:val="single"/>
        </w:rPr>
        <w:t xml:space="preserve">  按发包人要求  </w:t>
      </w:r>
      <w:r>
        <w:rPr>
          <w:rFonts w:hint="eastAsia" w:ascii="宋体" w:hAnsi="宋体" w:cs="宋体"/>
          <w:color w:val="auto"/>
          <w:szCs w:val="21"/>
          <w:highlight w:val="none"/>
        </w:rPr>
        <w:t xml:space="preserve">。 </w:t>
      </w:r>
    </w:p>
    <w:p w14:paraId="263E8C5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14.4.2 最终结清证书和支付</w:t>
      </w:r>
    </w:p>
    <w:p w14:paraId="2516534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（1）发包人完成最终结清申请单的审批并颁发最终结清证书的期限：</w:t>
      </w:r>
      <w:r>
        <w:rPr>
          <w:rFonts w:hint="eastAsia" w:ascii="宋体" w:hAnsi="宋体" w:cs="宋体"/>
          <w:color w:val="auto"/>
          <w:szCs w:val="21"/>
          <w:highlight w:val="none"/>
          <w:u w:val="single"/>
        </w:rPr>
        <w:t>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cs="宋体"/>
          <w:color w:val="auto"/>
          <w:szCs w:val="21"/>
          <w:highlight w:val="none"/>
        </w:rPr>
        <w:t>。</w:t>
      </w:r>
    </w:p>
    <w:p w14:paraId="25A841E6">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（2）发包人完成支付的期限：</w:t>
      </w:r>
      <w:r>
        <w:rPr>
          <w:rFonts w:hint="eastAsia" w:ascii="宋体" w:hAnsi="宋体" w:cs="宋体"/>
          <w:color w:val="auto"/>
          <w:szCs w:val="21"/>
          <w:highlight w:val="none"/>
          <w:u w:val="single"/>
        </w:rPr>
        <w:t>结清支付（保修金不计利息，并扣除代维费用）具体按发包人单位财务支付规定 。</w:t>
      </w:r>
    </w:p>
    <w:bookmarkEnd w:id="618"/>
    <w:bookmarkEnd w:id="619"/>
    <w:bookmarkEnd w:id="620"/>
    <w:bookmarkEnd w:id="621"/>
    <w:bookmarkEnd w:id="622"/>
    <w:bookmarkEnd w:id="623"/>
    <w:bookmarkEnd w:id="624"/>
    <w:bookmarkEnd w:id="630"/>
    <w:p w14:paraId="5DD3BB54">
      <w:pPr>
        <w:tabs>
          <w:tab w:val="left" w:pos="4409"/>
        </w:tabs>
        <w:adjustRightInd w:val="0"/>
        <w:snapToGrid w:val="0"/>
        <w:spacing w:line="360" w:lineRule="auto"/>
        <w:jc w:val="left"/>
        <w:rPr>
          <w:rFonts w:ascii="宋体" w:hAnsi="宋体" w:cs="宋体"/>
          <w:b/>
          <w:color w:val="auto"/>
          <w:szCs w:val="21"/>
          <w:highlight w:val="none"/>
        </w:rPr>
      </w:pPr>
      <w:bookmarkStart w:id="632" w:name="_Toc351203647"/>
      <w:bookmarkStart w:id="633" w:name="_Toc267251483"/>
      <w:bookmarkStart w:id="634" w:name="_Toc267251482"/>
      <w:bookmarkStart w:id="635" w:name="_Toc267251484"/>
      <w:bookmarkStart w:id="636" w:name="_Toc267251485"/>
      <w:bookmarkStart w:id="637" w:name="_Toc267251488"/>
      <w:bookmarkStart w:id="638" w:name="_Toc267251490"/>
      <w:bookmarkStart w:id="639" w:name="_Toc267251486"/>
      <w:bookmarkStart w:id="640" w:name="_Toc267251489"/>
      <w:bookmarkStart w:id="641" w:name="_Toc267251496"/>
      <w:bookmarkStart w:id="642" w:name="_Toc267251497"/>
      <w:bookmarkStart w:id="643" w:name="_Toc267251498"/>
      <w:bookmarkStart w:id="644" w:name="_Toc267251493"/>
      <w:bookmarkStart w:id="645" w:name="_Toc267251495"/>
      <w:bookmarkStart w:id="646" w:name="_Toc267251499"/>
      <w:bookmarkStart w:id="647" w:name="_Toc267251491"/>
      <w:bookmarkStart w:id="648" w:name="_Toc267251502"/>
      <w:bookmarkStart w:id="649" w:name="_Toc267251494"/>
      <w:bookmarkStart w:id="650" w:name="_Toc267251503"/>
      <w:bookmarkStart w:id="651" w:name="_Toc267251501"/>
      <w:bookmarkStart w:id="652" w:name="_Toc267251492"/>
      <w:bookmarkStart w:id="653" w:name="_Toc267251504"/>
      <w:bookmarkStart w:id="654" w:name="_Toc267251506"/>
      <w:bookmarkStart w:id="655" w:name="_Toc267251507"/>
      <w:bookmarkStart w:id="656" w:name="_Toc267251508"/>
      <w:bookmarkStart w:id="657" w:name="_Toc267251511"/>
      <w:bookmarkStart w:id="658" w:name="_Toc267251510"/>
      <w:bookmarkStart w:id="659" w:name="_Toc267251513"/>
      <w:bookmarkStart w:id="660" w:name="_Toc267251509"/>
      <w:bookmarkStart w:id="661" w:name="_Toc267251515"/>
      <w:bookmarkStart w:id="662" w:name="_Toc267251514"/>
      <w:r>
        <w:rPr>
          <w:rFonts w:hint="eastAsia" w:ascii="宋体" w:hAnsi="宋体" w:cs="宋体"/>
          <w:b/>
          <w:color w:val="auto"/>
          <w:szCs w:val="21"/>
          <w:highlight w:val="none"/>
        </w:rPr>
        <w:t>15. 缺陷责任期与保修</w:t>
      </w:r>
      <w:bookmarkEnd w:id="632"/>
    </w:p>
    <w:p w14:paraId="4E215C0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15.2缺陷责任期</w:t>
      </w:r>
      <w:bookmarkEnd w:id="633"/>
    </w:p>
    <w:p w14:paraId="07CE122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color w:val="auto"/>
          <w:szCs w:val="21"/>
          <w:highlight w:val="none"/>
          <w:u w:val="single"/>
        </w:rPr>
        <w:t xml:space="preserve"> 自竣工验收之日起2年 </w:t>
      </w:r>
      <w:r>
        <w:rPr>
          <w:rFonts w:hint="eastAsia" w:ascii="宋体" w:hAnsi="宋体" w:cs="宋体"/>
          <w:color w:val="auto"/>
          <w:szCs w:val="21"/>
          <w:highlight w:val="none"/>
        </w:rPr>
        <w:t>。</w:t>
      </w:r>
    </w:p>
    <w:p w14:paraId="3E08E14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 质量保证金</w:t>
      </w:r>
    </w:p>
    <w:p w14:paraId="74398A8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关于是否扣留质量保证金的约定：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212359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15.3.1 承包人提供质量保证金的方式</w:t>
      </w:r>
    </w:p>
    <w:p w14:paraId="6AA5168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质量保证金采用以下第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w:t>
      </w:r>
    </w:p>
    <w:p w14:paraId="3A15B79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p>
    <w:p w14:paraId="6F64494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%的工程款；</w:t>
      </w:r>
    </w:p>
    <w:p w14:paraId="7831555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80B2DD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15.3.2 质量保证金的扣留 </w:t>
      </w:r>
    </w:p>
    <w:p w14:paraId="5C338DE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质量保证金的扣留采取以下第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种方式：</w:t>
      </w:r>
    </w:p>
    <w:p w14:paraId="123DA91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（1）在支付工程进度款时逐次扣留，在此情形下，质量保证金的计算基数不包括预付款的支付、扣回以及价格调整的金额；</w:t>
      </w:r>
    </w:p>
    <w:p w14:paraId="383255D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（2）工程竣工结算时一次性扣留质量保证金；</w:t>
      </w:r>
    </w:p>
    <w:p w14:paraId="19BB5D0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（3）其他扣留方式:/</w:t>
      </w:r>
    </w:p>
    <w:bookmarkEnd w:id="634"/>
    <w:bookmarkEnd w:id="635"/>
    <w:p w14:paraId="2E048BE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15.4保修</w:t>
      </w:r>
    </w:p>
    <w:bookmarkEnd w:id="636"/>
    <w:p w14:paraId="3ED986C0">
      <w:pPr>
        <w:adjustRightInd w:val="0"/>
        <w:snapToGrid w:val="0"/>
        <w:spacing w:line="360" w:lineRule="auto"/>
        <w:ind w:firstLine="409" w:firstLineChars="195"/>
        <w:jc w:val="left"/>
        <w:rPr>
          <w:rFonts w:ascii="宋体" w:hAnsi="宋体" w:cs="宋体"/>
          <w:color w:val="auto"/>
          <w:szCs w:val="21"/>
          <w:highlight w:val="none"/>
        </w:rPr>
      </w:pPr>
      <w:r>
        <w:rPr>
          <w:rFonts w:hint="eastAsia" w:ascii="宋体" w:hAnsi="宋体" w:cs="宋体"/>
          <w:color w:val="auto"/>
          <w:szCs w:val="21"/>
          <w:highlight w:val="none"/>
        </w:rPr>
        <w:t>15.4.1 保修责任</w:t>
      </w:r>
    </w:p>
    <w:p w14:paraId="112EC49F">
      <w:pPr>
        <w:adjustRightInd w:val="0"/>
        <w:snapToGrid w:val="0"/>
        <w:spacing w:line="360" w:lineRule="auto"/>
        <w:ind w:firstLine="409" w:firstLineChars="195"/>
        <w:jc w:val="left"/>
        <w:rPr>
          <w:rFonts w:ascii="宋体" w:hAnsi="宋体" w:cs="宋体"/>
          <w:color w:val="auto"/>
          <w:szCs w:val="21"/>
          <w:highlight w:val="none"/>
        </w:rPr>
      </w:pPr>
      <w:r>
        <w:rPr>
          <w:rFonts w:hint="eastAsia" w:ascii="宋体" w:hAnsi="宋体" w:cs="宋体"/>
          <w:color w:val="auto"/>
          <w:szCs w:val="21"/>
          <w:highlight w:val="none"/>
        </w:rPr>
        <w:t>工程保修期为：</w:t>
      </w:r>
      <w:r>
        <w:rPr>
          <w:rFonts w:hint="eastAsia" w:ascii="宋体" w:hAnsi="宋体" w:cs="宋体"/>
          <w:color w:val="auto"/>
          <w:szCs w:val="21"/>
          <w:highlight w:val="none"/>
          <w:u w:val="single"/>
        </w:rPr>
        <w:t>详见“附件3：工程质量保修书”</w:t>
      </w:r>
      <w:r>
        <w:rPr>
          <w:rFonts w:hint="eastAsia" w:ascii="宋体" w:hAnsi="宋体" w:cs="宋体"/>
          <w:color w:val="auto"/>
          <w:szCs w:val="21"/>
          <w:highlight w:val="none"/>
        </w:rPr>
        <w:t>。</w:t>
      </w:r>
    </w:p>
    <w:p w14:paraId="401D2A67">
      <w:pPr>
        <w:adjustRightInd w:val="0"/>
        <w:snapToGrid w:val="0"/>
        <w:spacing w:line="360" w:lineRule="auto"/>
        <w:ind w:firstLine="409" w:firstLineChars="195"/>
        <w:jc w:val="left"/>
        <w:rPr>
          <w:rFonts w:ascii="宋体" w:hAnsi="宋体" w:cs="宋体"/>
          <w:color w:val="auto"/>
          <w:szCs w:val="21"/>
          <w:highlight w:val="none"/>
        </w:rPr>
      </w:pPr>
      <w:r>
        <w:rPr>
          <w:rFonts w:hint="eastAsia" w:ascii="宋体" w:hAnsi="宋体" w:cs="宋体"/>
          <w:color w:val="auto"/>
          <w:szCs w:val="21"/>
          <w:highlight w:val="none"/>
        </w:rPr>
        <w:t>15.4.3 修复通知</w:t>
      </w:r>
    </w:p>
    <w:p w14:paraId="70E9C4BA">
      <w:pPr>
        <w:adjustRightInd w:val="0"/>
        <w:snapToGrid w:val="0"/>
        <w:spacing w:line="360" w:lineRule="auto"/>
        <w:ind w:firstLine="409" w:firstLineChars="195"/>
        <w:jc w:val="left"/>
        <w:rPr>
          <w:rFonts w:ascii="宋体" w:hAnsi="宋体" w:cs="宋体"/>
          <w:color w:val="auto"/>
          <w:szCs w:val="21"/>
          <w:highlight w:val="none"/>
          <w:u w:val="single"/>
        </w:rPr>
      </w:pPr>
      <w:r>
        <w:rPr>
          <w:rFonts w:hint="eastAsia" w:ascii="宋体" w:hAnsi="宋体" w:cs="宋体"/>
          <w:color w:val="auto"/>
          <w:szCs w:val="21"/>
          <w:highlight w:val="none"/>
        </w:rPr>
        <w:t>承包人收到保修通知并到达工程现场的合理时间：</w:t>
      </w:r>
      <w:r>
        <w:rPr>
          <w:rFonts w:hint="eastAsia" w:ascii="宋体" w:hAnsi="宋体" w:cs="宋体"/>
          <w:color w:val="auto"/>
          <w:szCs w:val="21"/>
          <w:highlight w:val="none"/>
          <w:u w:val="single"/>
        </w:rPr>
        <w:t>接到发包人通知后24小时内，如逾期未进行维修的，承包人每次承担违约金5000元，同时发包人可以自行维修或委托第三方维修，违约金和维修费用直接在质量保证金中扣除.。</w:t>
      </w:r>
    </w:p>
    <w:bookmarkEnd w:id="637"/>
    <w:bookmarkEnd w:id="638"/>
    <w:bookmarkEnd w:id="639"/>
    <w:bookmarkEnd w:id="640"/>
    <w:p w14:paraId="763010FD">
      <w:pPr>
        <w:tabs>
          <w:tab w:val="left" w:pos="4409"/>
        </w:tabs>
        <w:adjustRightInd w:val="0"/>
        <w:snapToGrid w:val="0"/>
        <w:spacing w:line="360" w:lineRule="auto"/>
        <w:jc w:val="left"/>
        <w:rPr>
          <w:rFonts w:ascii="宋体" w:hAnsi="宋体" w:cs="宋体"/>
          <w:b/>
          <w:color w:val="auto"/>
          <w:szCs w:val="21"/>
          <w:highlight w:val="none"/>
        </w:rPr>
      </w:pPr>
      <w:bookmarkStart w:id="663" w:name="_Toc351203648"/>
      <w:bookmarkStart w:id="664" w:name="_Toc280868717"/>
      <w:bookmarkStart w:id="665" w:name="_Toc280868718"/>
      <w:r>
        <w:rPr>
          <w:rFonts w:hint="eastAsia" w:ascii="宋体" w:hAnsi="宋体" w:cs="宋体"/>
          <w:b/>
          <w:color w:val="auto"/>
          <w:szCs w:val="21"/>
          <w:highlight w:val="none"/>
        </w:rPr>
        <w:t>16. 违约</w:t>
      </w:r>
      <w:bookmarkEnd w:id="663"/>
    </w:p>
    <w:p w14:paraId="4979A1E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 发包人违约</w:t>
      </w:r>
    </w:p>
    <w:p w14:paraId="5626A20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16.1.1发包人违约的情形</w:t>
      </w:r>
    </w:p>
    <w:p w14:paraId="765751A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发包人违约的其他情形：</w:t>
      </w:r>
      <w:r>
        <w:rPr>
          <w:rStyle w:val="452"/>
          <w:rFonts w:hint="eastAsia" w:ascii="宋体" w:hAnsi="宋体" w:cs="宋体"/>
          <w:color w:val="auto"/>
          <w:szCs w:val="21"/>
          <w:highlight w:val="none"/>
        </w:rPr>
        <w:t>无</w:t>
      </w:r>
      <w:r>
        <w:rPr>
          <w:rFonts w:hint="eastAsia" w:ascii="宋体" w:hAnsi="宋体" w:cs="宋体"/>
          <w:color w:val="auto"/>
          <w:szCs w:val="21"/>
          <w:highlight w:val="none"/>
        </w:rPr>
        <w:t>。</w:t>
      </w:r>
    </w:p>
    <w:p w14:paraId="06AB6FB8">
      <w:pPr>
        <w:adjustRightInd w:val="0"/>
        <w:snapToGrid w:val="0"/>
        <w:spacing w:line="360" w:lineRule="auto"/>
        <w:ind w:left="1050" w:hanging="1050" w:hangingChars="500"/>
        <w:jc w:val="left"/>
        <w:rPr>
          <w:rFonts w:ascii="宋体" w:hAnsi="宋体" w:cs="宋体"/>
          <w:color w:val="auto"/>
          <w:szCs w:val="21"/>
          <w:highlight w:val="none"/>
        </w:rPr>
      </w:pPr>
      <w:r>
        <w:rPr>
          <w:rFonts w:hint="eastAsia" w:ascii="宋体" w:hAnsi="宋体" w:cs="宋体"/>
          <w:color w:val="auto"/>
          <w:szCs w:val="21"/>
          <w:highlight w:val="none"/>
        </w:rPr>
        <w:t xml:space="preserve">    16.1.2 发包人违约的责任</w:t>
      </w:r>
    </w:p>
    <w:p w14:paraId="100B3E01">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发包人违约责任的承担方式和计算方法：</w:t>
      </w:r>
    </w:p>
    <w:p w14:paraId="7269563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（1）因发包人原因未能在计划开工日期前7天内下达开工通知的违约责任：</w:t>
      </w:r>
      <w:r>
        <w:rPr>
          <w:rFonts w:hint="eastAsia" w:ascii="宋体" w:hAnsi="宋体" w:cs="宋体"/>
          <w:color w:val="auto"/>
          <w:szCs w:val="21"/>
          <w:highlight w:val="none"/>
          <w:u w:val="single"/>
        </w:rPr>
        <w:t>相应工期顺延。</w:t>
      </w:r>
    </w:p>
    <w:p w14:paraId="132D8B2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（2）因发包人原因未能按合同约定支付合同价款的违约责任：</w:t>
      </w:r>
      <w:r>
        <w:rPr>
          <w:rFonts w:hint="eastAsia" w:ascii="宋体" w:hAnsi="宋体" w:cs="宋体"/>
          <w:color w:val="auto"/>
          <w:szCs w:val="21"/>
          <w:highlight w:val="none"/>
          <w:u w:val="single"/>
        </w:rPr>
        <w:t>发包人按照中国人民银行发布的同期同类贷款基准利率向承包人支付违约金。承包人将继续按施工组织设计计划施工且不因此原因提出延长工期的要求。</w:t>
      </w:r>
    </w:p>
    <w:p w14:paraId="45497A3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（3）发包人违反第10.1款〔变更的范围〕第（2）项约定，自行实施被取消的工作或转由他人实施的违约责任：</w:t>
      </w:r>
      <w:r>
        <w:rPr>
          <w:rFonts w:hint="eastAsia" w:ascii="宋体" w:hAnsi="宋体" w:cs="宋体"/>
          <w:color w:val="auto"/>
          <w:szCs w:val="21"/>
          <w:highlight w:val="none"/>
          <w:u w:val="single"/>
        </w:rPr>
        <w:t>按自行实施被取消的工作或转由他人实施的工程造价的2%支付违约金(承发包双方协商一致除外)。</w:t>
      </w:r>
    </w:p>
    <w:p w14:paraId="3E90901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如造成工期延误的，工期相应顺延。</w:t>
      </w:r>
    </w:p>
    <w:p w14:paraId="345263B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（5）因发包人违反合同约定造成暂停施工的违约责任：</w:t>
      </w:r>
      <w:r>
        <w:rPr>
          <w:rFonts w:hint="eastAsia" w:ascii="宋体" w:hAnsi="宋体" w:cs="宋体"/>
          <w:color w:val="auto"/>
          <w:szCs w:val="21"/>
          <w:highlight w:val="none"/>
          <w:u w:val="single"/>
        </w:rPr>
        <w:t>如造成工期延误的，工期相应顺延。</w:t>
      </w:r>
    </w:p>
    <w:p w14:paraId="3CFF5BD1">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（6）发包人无正当理由没有在约定期限内发出复工指示，导致承包人无法复工的违约责任：</w:t>
      </w:r>
      <w:r>
        <w:rPr>
          <w:rFonts w:hint="eastAsia" w:ascii="宋体" w:hAnsi="宋体" w:cs="宋体"/>
          <w:color w:val="auto"/>
          <w:szCs w:val="21"/>
          <w:highlight w:val="none"/>
          <w:u w:val="single"/>
        </w:rPr>
        <w:t>如造成工期延误的，工期相应顺延。</w:t>
      </w:r>
    </w:p>
    <w:p w14:paraId="3EDE0DA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（7）其他：</w:t>
      </w:r>
      <w:r>
        <w:rPr>
          <w:rFonts w:hint="eastAsia" w:ascii="宋体" w:hAnsi="宋体" w:cs="宋体"/>
          <w:color w:val="auto"/>
          <w:szCs w:val="21"/>
          <w:highlight w:val="none"/>
          <w:u w:val="single"/>
        </w:rPr>
        <w:t xml:space="preserve">   无  。</w:t>
      </w:r>
    </w:p>
    <w:p w14:paraId="23ECC83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16.1.3 因发包人违约解除合同</w:t>
      </w:r>
    </w:p>
    <w:p w14:paraId="1611AC8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承包人按16.1.1项〔除第（2）条的情形〕约定暂停施工满</w:t>
      </w:r>
      <w:r>
        <w:rPr>
          <w:rFonts w:hint="eastAsia" w:ascii="宋体" w:hAnsi="宋体" w:cs="宋体"/>
          <w:color w:val="auto"/>
          <w:szCs w:val="21"/>
          <w:highlight w:val="none"/>
          <w:u w:val="single"/>
        </w:rPr>
        <w:t xml:space="preserve"> 28 </w:t>
      </w:r>
      <w:r>
        <w:rPr>
          <w:rFonts w:hint="eastAsia" w:ascii="宋体" w:hAnsi="宋体" w:cs="宋体"/>
          <w:color w:val="auto"/>
          <w:szCs w:val="21"/>
          <w:highlight w:val="none"/>
        </w:rPr>
        <w:t>天后发包人仍不纠正其违约行为并致使合同目的不能实现的，承包人有权解除合同。</w:t>
      </w:r>
    </w:p>
    <w:p w14:paraId="1A9FD91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16.2 承包人违约</w:t>
      </w:r>
    </w:p>
    <w:p w14:paraId="25C009C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16.2.1 承包人违约的情形</w:t>
      </w:r>
    </w:p>
    <w:p w14:paraId="37198D1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承包人违约的其他情形：</w:t>
      </w:r>
      <w:r>
        <w:rPr>
          <w:rFonts w:hint="eastAsia" w:ascii="宋体" w:hAnsi="宋体" w:cs="宋体"/>
          <w:color w:val="auto"/>
          <w:szCs w:val="21"/>
          <w:highlight w:val="none"/>
          <w:u w:val="single"/>
        </w:rPr>
        <w:t>因承包人原因未依据本合同履行义务，完成本工程范围的工作，发包人有权按以下约定向承包人收取违约金。 </w:t>
      </w:r>
    </w:p>
    <w:p w14:paraId="264A893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A、因承包人违约给发包人造成损失的，承包人应赔偿发包人的直接和间接经济损失。</w:t>
      </w:r>
    </w:p>
    <w:p w14:paraId="5075A2A9">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B、如承包人未能完成施工进度计划工作量的80%，发包人有权将其中部分工程委托他人进行施工或停止支付工程款，由此产生的费用加收10%的管理费后从承包人的合同款内扣除。 </w:t>
      </w:r>
    </w:p>
    <w:p w14:paraId="0B7072C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C、因承包人原因导致技术文件（包括竣工图纸、签证等）未能按约定时间提交，每迟一天，发包人在支付给承包人的工程款内扣除1000元的违约金。违约金的扣除并不解除承包人继续交付上述技术文件的义务。 </w:t>
      </w:r>
    </w:p>
    <w:p w14:paraId="0302CC8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p>
    <w:p w14:paraId="3202B00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E、承包人不按规定支付工人工资和材料供应商的材料款，每发生一次投诉，一经查实，处以20000元/次的违约金。承包人如未按合同约定进行材料的采购，被发包人查获，每发现一起，处以20000元/次的违约金。</w:t>
      </w:r>
    </w:p>
    <w:p w14:paraId="7F0802F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F、因承包人提交的项目工程质量验收不合格，导致的工期延误，视为承包人违约，承包人应向发包人承担相应的违约责任。</w:t>
      </w:r>
    </w:p>
    <w:p w14:paraId="56AC3D0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16.2.2承包人违约的责任</w:t>
      </w:r>
    </w:p>
    <w:p w14:paraId="5365DA76">
      <w:pPr>
        <w:tabs>
          <w:tab w:val="left" w:pos="905"/>
          <w:tab w:val="left" w:pos="1800"/>
        </w:tabs>
        <w:adjustRightInd w:val="0"/>
        <w:snapToGrid w:val="0"/>
        <w:spacing w:line="360" w:lineRule="auto"/>
        <w:ind w:firstLine="408"/>
        <w:jc w:val="left"/>
        <w:rPr>
          <w:rFonts w:ascii="宋体" w:hAnsi="宋体" w:cs="宋体"/>
          <w:color w:val="auto"/>
          <w:szCs w:val="21"/>
          <w:highlight w:val="none"/>
          <w:u w:val="single"/>
        </w:rPr>
      </w:pPr>
      <w:r>
        <w:rPr>
          <w:rFonts w:hint="eastAsia" w:ascii="宋体" w:hAnsi="宋体" w:cs="宋体"/>
          <w:color w:val="auto"/>
          <w:szCs w:val="21"/>
          <w:highlight w:val="none"/>
        </w:rPr>
        <w:t>承包人违约责任的承担方式和计算方法：</w:t>
      </w:r>
      <w:r>
        <w:rPr>
          <w:rFonts w:hint="eastAsia" w:ascii="宋体" w:hAnsi="宋体" w:cs="宋体"/>
          <w:color w:val="auto"/>
          <w:szCs w:val="21"/>
          <w:highlight w:val="none"/>
          <w:u w:val="single"/>
        </w:rPr>
        <w:t>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p>
    <w:p w14:paraId="5EE69DFF">
      <w:pPr>
        <w:tabs>
          <w:tab w:val="left" w:pos="905"/>
          <w:tab w:val="left" w:pos="1800"/>
        </w:tabs>
        <w:adjustRightInd w:val="0"/>
        <w:snapToGrid w:val="0"/>
        <w:spacing w:line="360" w:lineRule="auto"/>
        <w:ind w:firstLine="408"/>
        <w:jc w:val="left"/>
        <w:rPr>
          <w:rFonts w:ascii="宋体" w:hAnsi="宋体" w:cs="宋体"/>
          <w:color w:val="auto"/>
          <w:szCs w:val="21"/>
          <w:highlight w:val="none"/>
          <w:u w:val="single"/>
        </w:rPr>
      </w:pPr>
      <w:r>
        <w:rPr>
          <w:rFonts w:hint="eastAsia" w:ascii="宋体" w:hAnsi="宋体" w:cs="宋体"/>
          <w:color w:val="auto"/>
          <w:szCs w:val="21"/>
          <w:highlight w:val="none"/>
          <w:u w:val="single"/>
        </w:rPr>
        <w:t>承包人的各项违约金、赔偿金，发包人均有权从未付工程款中直接予以扣除。</w:t>
      </w:r>
    </w:p>
    <w:p w14:paraId="49A77B9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16.2.3 因承包人违约解除合同</w:t>
      </w:r>
    </w:p>
    <w:p w14:paraId="43CBDB22">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关于承包人违约解除合同的特别约定：</w:t>
      </w:r>
      <w:r>
        <w:rPr>
          <w:rFonts w:hint="eastAsia" w:ascii="宋体" w:hAnsi="宋体" w:cs="宋体"/>
          <w:color w:val="auto"/>
          <w:szCs w:val="21"/>
          <w:highlight w:val="none"/>
          <w:u w:val="single"/>
        </w:rPr>
        <w:t xml:space="preserve">按通用条款执行 </w:t>
      </w:r>
      <w:r>
        <w:rPr>
          <w:rFonts w:hint="eastAsia" w:ascii="宋体" w:hAnsi="宋体" w:cs="宋体"/>
          <w:color w:val="auto"/>
          <w:szCs w:val="21"/>
          <w:highlight w:val="none"/>
        </w:rPr>
        <w:t>。</w:t>
      </w:r>
    </w:p>
    <w:p w14:paraId="30AEB80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 发包人将按承包人已完成工程量和承包人在施工现场的材料、设备、临时工程价格的70%给予结算 。承包人文件和由承包人或以其名义编制的其他文件的费用由承包人自行承担。 </w:t>
      </w:r>
    </w:p>
    <w:p w14:paraId="1BCD7CD5">
      <w:pPr>
        <w:tabs>
          <w:tab w:val="left" w:pos="4409"/>
        </w:tabs>
        <w:adjustRightInd w:val="0"/>
        <w:snapToGrid w:val="0"/>
        <w:spacing w:line="360" w:lineRule="auto"/>
        <w:jc w:val="left"/>
        <w:rPr>
          <w:rFonts w:ascii="宋体" w:hAnsi="宋体" w:cs="宋体"/>
          <w:b/>
          <w:color w:val="auto"/>
          <w:szCs w:val="21"/>
          <w:highlight w:val="none"/>
        </w:rPr>
      </w:pPr>
      <w:bookmarkStart w:id="666" w:name="_Toc351203649"/>
      <w:r>
        <w:rPr>
          <w:rFonts w:hint="eastAsia" w:ascii="宋体" w:hAnsi="宋体" w:cs="宋体"/>
          <w:b/>
          <w:color w:val="auto"/>
          <w:szCs w:val="21"/>
          <w:highlight w:val="none"/>
        </w:rPr>
        <w:t>17. 不可抗力</w:t>
      </w:r>
      <w:bookmarkEnd w:id="664"/>
      <w:bookmarkEnd w:id="666"/>
    </w:p>
    <w:p w14:paraId="63C74E16">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17.1 不可抗力的确认</w:t>
      </w:r>
    </w:p>
    <w:p w14:paraId="3E9E2FE0">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除通用合同条款约定的不可抗力事件之外，视为不可抗力的其他情形：</w:t>
      </w:r>
    </w:p>
    <w:p w14:paraId="24B92ED4">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1、不可抗力包括因战争、动乱、空中飞行物体坠落或其他非发包人承包人责任造成的爆炸、火灾，以及以下方面的自然灾害：</w:t>
      </w:r>
    </w:p>
    <w:p w14:paraId="069E6C7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A、烈度为6级以上的地震；</w:t>
      </w:r>
    </w:p>
    <w:p w14:paraId="466CC3B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B、6级以上持续24小时的大风；</w:t>
      </w:r>
    </w:p>
    <w:p w14:paraId="59051C9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C、持续降雨24小时且降雨量200 mm以上；下雪为30mm以上；</w:t>
      </w:r>
    </w:p>
    <w:p w14:paraId="63DBEDDB">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D、40℃及以上持续24小时的高温；</w:t>
      </w:r>
    </w:p>
    <w:p w14:paraId="20841B91">
      <w:pPr>
        <w:numPr>
          <w:ilvl w:val="0"/>
          <w:numId w:val="3"/>
        </w:num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p>
    <w:p w14:paraId="172EDD0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3、因不可抗力事件导致的费用由双方按以下方法分别承担：</w:t>
      </w:r>
    </w:p>
    <w:p w14:paraId="36166B9A">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A、工程本身的损害（承包人施工质量未达标准除外）、因工程损害导致自身、发包人或第三方人员伤亡和财产损失以及运至施工场地用于施工的材料和待安装的设备的损害，由承包人承担； </w:t>
      </w:r>
    </w:p>
    <w:p w14:paraId="45E0952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B、发包人、承包人人员伤亡由其所在单位负责，并承担相应费用； </w:t>
      </w:r>
    </w:p>
    <w:p w14:paraId="1F96B74C">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C、承包人的施工机械设备损坏及停工损失，由承包人承担； </w:t>
      </w:r>
    </w:p>
    <w:p w14:paraId="07699DC2">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D、停工期间，承包人应发包人要求留在施工场地的必要的管理人员及保卫人员的费用，由发包人承担； </w:t>
      </w:r>
    </w:p>
    <w:p w14:paraId="1595C8DF">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E、工程所需清理、修复费用，由发包人承担。 </w:t>
      </w:r>
    </w:p>
    <w:p w14:paraId="01DBC4CE">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u w:val="single"/>
        </w:rPr>
        <w:t>F、因合同一方迟延履行合同后发生不可抗力的，不能免除迟延履行方的相应责任。</w:t>
      </w:r>
    </w:p>
    <w:p w14:paraId="3093E7C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17.4 因不可抗力解除合同</w:t>
      </w:r>
    </w:p>
    <w:p w14:paraId="6490A433">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合同解除后，发包人应在商定或确定发包人应支付款项后</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天内完成款项的支付。</w:t>
      </w:r>
    </w:p>
    <w:p w14:paraId="247F542E">
      <w:pPr>
        <w:tabs>
          <w:tab w:val="left" w:pos="4409"/>
        </w:tabs>
        <w:adjustRightInd w:val="0"/>
        <w:snapToGrid w:val="0"/>
        <w:spacing w:line="360" w:lineRule="auto"/>
        <w:jc w:val="left"/>
        <w:rPr>
          <w:rFonts w:ascii="宋体" w:hAnsi="宋体" w:cs="宋体"/>
          <w:b/>
          <w:color w:val="auto"/>
          <w:szCs w:val="21"/>
          <w:highlight w:val="none"/>
        </w:rPr>
      </w:pPr>
      <w:bookmarkStart w:id="667" w:name="_Toc351203650"/>
      <w:r>
        <w:rPr>
          <w:rFonts w:hint="eastAsia" w:ascii="宋体" w:hAnsi="宋体" w:cs="宋体"/>
          <w:b/>
          <w:color w:val="auto"/>
          <w:szCs w:val="21"/>
          <w:highlight w:val="none"/>
        </w:rPr>
        <w:t>18. 保险</w:t>
      </w:r>
      <w:bookmarkEnd w:id="667"/>
    </w:p>
    <w:bookmarkEnd w:id="665"/>
    <w:p w14:paraId="7FE4BCFB">
      <w:pPr>
        <w:adjustRightInd w:val="0"/>
        <w:snapToGrid w:val="0"/>
        <w:spacing w:line="360" w:lineRule="auto"/>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18.1 工程保险</w:t>
      </w:r>
    </w:p>
    <w:p w14:paraId="543304E7">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关于工程保险的特别约定：</w:t>
      </w:r>
      <w:r>
        <w:rPr>
          <w:rFonts w:hint="eastAsia" w:ascii="宋体" w:hAnsi="宋体" w:cs="宋体"/>
          <w:color w:val="auto"/>
          <w:szCs w:val="21"/>
          <w:highlight w:val="none"/>
          <w:u w:val="single"/>
        </w:rPr>
        <w:t>建设工程社会保障费按照江宁区有关社会保障费的相关规定要求执行。发包人预交社会保障费至江宁区建工局，开工后发包人将在首付工程款中扣回该费用。</w:t>
      </w:r>
    </w:p>
    <w:p w14:paraId="4FDAE80D">
      <w:pPr>
        <w:adjustRightInd w:val="0"/>
        <w:snapToGrid w:val="0"/>
        <w:spacing w:line="360" w:lineRule="auto"/>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18.3 其他保险</w:t>
      </w:r>
    </w:p>
    <w:p w14:paraId="49231A15">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关于其他保险的约定：</w:t>
      </w:r>
      <w:r>
        <w:rPr>
          <w:rFonts w:hint="eastAsia" w:ascii="宋体" w:hAnsi="宋体" w:cs="宋体"/>
          <w:color w:val="auto"/>
          <w:szCs w:val="21"/>
          <w:highlight w:val="none"/>
          <w:u w:val="single"/>
        </w:rPr>
        <w:t>按通用条款执行</w:t>
      </w:r>
      <w:r>
        <w:rPr>
          <w:rFonts w:hint="eastAsia" w:ascii="宋体" w:hAnsi="宋体" w:cs="宋体"/>
          <w:color w:val="auto"/>
          <w:szCs w:val="21"/>
          <w:highlight w:val="none"/>
        </w:rPr>
        <w:t>。</w:t>
      </w:r>
    </w:p>
    <w:p w14:paraId="30AE0AD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承包人是否应为其施工设备等办理财产保险：</w:t>
      </w:r>
      <w:r>
        <w:rPr>
          <w:rFonts w:hint="eastAsia" w:ascii="宋体" w:hAnsi="宋体" w:cs="宋体"/>
          <w:color w:val="auto"/>
          <w:szCs w:val="21"/>
          <w:highlight w:val="none"/>
          <w:u w:val="single"/>
        </w:rPr>
        <w:t xml:space="preserve"> 是 </w:t>
      </w:r>
      <w:r>
        <w:rPr>
          <w:rFonts w:hint="eastAsia" w:ascii="宋体" w:hAnsi="宋体" w:cs="宋体"/>
          <w:color w:val="auto"/>
          <w:szCs w:val="21"/>
          <w:highlight w:val="none"/>
        </w:rPr>
        <w:t>。</w:t>
      </w:r>
    </w:p>
    <w:p w14:paraId="1CCA30D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18.7 通知义务</w:t>
      </w:r>
    </w:p>
    <w:p w14:paraId="6D3BFE4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关于变更保险合同时的通知义务的约定：</w:t>
      </w:r>
      <w:r>
        <w:rPr>
          <w:rFonts w:hint="eastAsia" w:ascii="宋体" w:hAnsi="宋体" w:cs="宋体"/>
          <w:color w:val="auto"/>
          <w:szCs w:val="21"/>
          <w:highlight w:val="none"/>
          <w:u w:val="single"/>
        </w:rPr>
        <w:t xml:space="preserve">  按通用条款执行</w:t>
      </w:r>
      <w:r>
        <w:rPr>
          <w:rFonts w:hint="eastAsia" w:ascii="宋体" w:hAnsi="宋体" w:cs="宋体"/>
          <w:color w:val="auto"/>
          <w:szCs w:val="21"/>
          <w:highlight w:val="none"/>
        </w:rPr>
        <w:t>。</w:t>
      </w:r>
    </w:p>
    <w:bookmarkEnd w:id="641"/>
    <w:bookmarkEnd w:id="642"/>
    <w:bookmarkEnd w:id="643"/>
    <w:bookmarkEnd w:id="644"/>
    <w:bookmarkEnd w:id="645"/>
    <w:bookmarkEnd w:id="646"/>
    <w:bookmarkEnd w:id="647"/>
    <w:bookmarkEnd w:id="648"/>
    <w:bookmarkEnd w:id="649"/>
    <w:bookmarkEnd w:id="650"/>
    <w:bookmarkEnd w:id="651"/>
    <w:bookmarkEnd w:id="652"/>
    <w:p w14:paraId="602CE5EA">
      <w:pPr>
        <w:tabs>
          <w:tab w:val="left" w:pos="4409"/>
        </w:tabs>
        <w:adjustRightInd w:val="0"/>
        <w:snapToGrid w:val="0"/>
        <w:spacing w:line="360" w:lineRule="auto"/>
        <w:jc w:val="left"/>
        <w:rPr>
          <w:rFonts w:ascii="宋体" w:hAnsi="宋体" w:cs="宋体"/>
          <w:b/>
          <w:color w:val="auto"/>
          <w:szCs w:val="21"/>
          <w:highlight w:val="none"/>
        </w:rPr>
      </w:pPr>
      <w:bookmarkStart w:id="668" w:name="_Toc351203651"/>
      <w:r>
        <w:rPr>
          <w:rFonts w:hint="eastAsia" w:ascii="宋体" w:hAnsi="宋体" w:cs="宋体"/>
          <w:b/>
          <w:color w:val="auto"/>
          <w:szCs w:val="21"/>
          <w:highlight w:val="none"/>
        </w:rPr>
        <w:t>19. 争议解决</w:t>
      </w:r>
      <w:bookmarkEnd w:id="668"/>
    </w:p>
    <w:bookmarkEnd w:id="653"/>
    <w:bookmarkEnd w:id="654"/>
    <w:p w14:paraId="6FF622CC">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19.3 争</w:t>
      </w:r>
      <w:bookmarkEnd w:id="655"/>
      <w:r>
        <w:rPr>
          <w:rFonts w:hint="eastAsia" w:ascii="宋体" w:hAnsi="宋体" w:cs="宋体"/>
          <w:color w:val="auto"/>
          <w:szCs w:val="21"/>
          <w:highlight w:val="none"/>
        </w:rPr>
        <w:t>议评审</w:t>
      </w:r>
    </w:p>
    <w:p w14:paraId="35542C00">
      <w:pPr>
        <w:adjustRightInd w:val="0"/>
        <w:snapToGrid w:val="0"/>
        <w:spacing w:line="360" w:lineRule="auto"/>
        <w:ind w:firstLine="315" w:firstLineChars="150"/>
        <w:jc w:val="left"/>
        <w:rPr>
          <w:rFonts w:ascii="宋体" w:hAnsi="宋体" w:cs="宋体"/>
          <w:color w:val="auto"/>
          <w:szCs w:val="21"/>
          <w:highlight w:val="none"/>
        </w:rPr>
      </w:pPr>
      <w:r>
        <w:rPr>
          <w:rFonts w:hint="eastAsia" w:ascii="宋体" w:hAnsi="宋体" w:cs="宋体"/>
          <w:color w:val="auto"/>
          <w:szCs w:val="21"/>
          <w:highlight w:val="none"/>
        </w:rPr>
        <w:t xml:space="preserve"> 合同当事人是否书面同意将工程争议提交争议评审小组决定：</w:t>
      </w:r>
      <w:r>
        <w:rPr>
          <w:rFonts w:hint="eastAsia" w:ascii="宋体" w:hAnsi="宋体" w:cs="宋体"/>
          <w:color w:val="auto"/>
          <w:szCs w:val="21"/>
          <w:highlight w:val="none"/>
          <w:u w:val="single"/>
        </w:rPr>
        <w:t xml:space="preserve"> 不采用 </w:t>
      </w:r>
      <w:r>
        <w:rPr>
          <w:rFonts w:hint="eastAsia" w:ascii="宋体" w:hAnsi="宋体" w:cs="宋体"/>
          <w:color w:val="auto"/>
          <w:szCs w:val="21"/>
          <w:highlight w:val="none"/>
        </w:rPr>
        <w:t xml:space="preserve">。  </w:t>
      </w:r>
    </w:p>
    <w:p w14:paraId="11BF967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19.3.1 争议评审小组的确定</w:t>
      </w:r>
    </w:p>
    <w:p w14:paraId="185FD4A5">
      <w:pPr>
        <w:adjustRightInd w:val="0"/>
        <w:snapToGrid w:val="0"/>
        <w:spacing w:line="360" w:lineRule="auto"/>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争议评审小组成员的确定：</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55463C1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选定争议评审员的期限：</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3BC2FA5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争议评审小组成员的报酬承担方式：</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14B2239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其他事项的约定：</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7296EFA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19.3.2 争议评审小组的决定</w:t>
      </w:r>
    </w:p>
    <w:p w14:paraId="7E0354E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合同当事人关于本项的约定：</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w:t>
      </w:r>
    </w:p>
    <w:p w14:paraId="2712ED9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19.4仲裁或诉讼</w:t>
      </w:r>
      <w:bookmarkEnd w:id="656"/>
    </w:p>
    <w:p w14:paraId="3C6D102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种方式解决：</w:t>
      </w:r>
    </w:p>
    <w:p w14:paraId="197583BF">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仲裁委员会申请仲裁；</w:t>
      </w:r>
    </w:p>
    <w:p w14:paraId="66AF17E9">
      <w:pPr>
        <w:pStyle w:val="17"/>
        <w:snapToGrid w:val="0"/>
        <w:spacing w:line="360" w:lineRule="auto"/>
        <w:ind w:firstLine="420" w:firstLineChars="200"/>
        <w:jc w:val="left"/>
        <w:rPr>
          <w:rFonts w:hAnsi="宋体" w:cs="宋体"/>
          <w:color w:val="auto"/>
          <w:highlight w:val="none"/>
        </w:rPr>
      </w:pPr>
      <w:r>
        <w:rPr>
          <w:rFonts w:hint="eastAsia" w:hAnsi="宋体" w:cs="宋体"/>
          <w:color w:val="auto"/>
          <w:highlight w:val="none"/>
        </w:rPr>
        <w:t>（2）向</w:t>
      </w:r>
      <w:r>
        <w:rPr>
          <w:rFonts w:hint="eastAsia" w:hAnsi="宋体" w:cs="宋体"/>
          <w:color w:val="auto"/>
          <w:highlight w:val="none"/>
          <w:u w:val="single"/>
        </w:rPr>
        <w:t xml:space="preserve">  工程所在地 </w:t>
      </w:r>
      <w:r>
        <w:rPr>
          <w:rFonts w:hint="eastAsia" w:hAnsi="宋体" w:cs="宋体"/>
          <w:color w:val="auto"/>
          <w:highlight w:val="none"/>
        </w:rPr>
        <w:t>人民法院起诉。</w:t>
      </w:r>
      <w:bookmarkEnd w:id="657"/>
      <w:bookmarkEnd w:id="658"/>
      <w:bookmarkEnd w:id="659"/>
      <w:bookmarkEnd w:id="660"/>
      <w:bookmarkEnd w:id="661"/>
      <w:bookmarkEnd w:id="662"/>
    </w:p>
    <w:p w14:paraId="73A4B0B1">
      <w:pPr>
        <w:pStyle w:val="17"/>
        <w:spacing w:line="360" w:lineRule="auto"/>
        <w:jc w:val="left"/>
        <w:rPr>
          <w:rFonts w:hAnsi="宋体" w:cs="宋体"/>
          <w:color w:val="auto"/>
          <w:highlight w:val="none"/>
        </w:rPr>
      </w:pPr>
    </w:p>
    <w:p w14:paraId="29DF4755">
      <w:pPr>
        <w:pStyle w:val="17"/>
        <w:spacing w:line="360" w:lineRule="auto"/>
        <w:jc w:val="left"/>
        <w:rPr>
          <w:rFonts w:hAnsi="宋体" w:cs="宋体"/>
          <w:color w:val="auto"/>
          <w:highlight w:val="none"/>
        </w:rPr>
      </w:pPr>
    </w:p>
    <w:p w14:paraId="7E8A6AE4">
      <w:pPr>
        <w:pStyle w:val="17"/>
        <w:spacing w:line="360" w:lineRule="auto"/>
        <w:jc w:val="left"/>
        <w:rPr>
          <w:rFonts w:hAnsi="宋体" w:cs="宋体"/>
          <w:color w:val="auto"/>
          <w:highlight w:val="none"/>
        </w:rPr>
      </w:pPr>
    </w:p>
    <w:p w14:paraId="76F05FB5">
      <w:pPr>
        <w:pStyle w:val="17"/>
        <w:spacing w:line="360" w:lineRule="auto"/>
        <w:jc w:val="left"/>
        <w:rPr>
          <w:rFonts w:hAnsi="宋体" w:cs="宋体"/>
          <w:color w:val="auto"/>
          <w:highlight w:val="none"/>
        </w:rPr>
      </w:pPr>
    </w:p>
    <w:p w14:paraId="705BA7C8">
      <w:pPr>
        <w:pStyle w:val="17"/>
        <w:spacing w:line="360" w:lineRule="auto"/>
        <w:jc w:val="left"/>
        <w:rPr>
          <w:rFonts w:hAnsi="宋体" w:cs="宋体"/>
          <w:color w:val="auto"/>
          <w:highlight w:val="none"/>
        </w:rPr>
      </w:pPr>
    </w:p>
    <w:p w14:paraId="629E9F6F">
      <w:pPr>
        <w:pStyle w:val="17"/>
        <w:spacing w:line="360" w:lineRule="auto"/>
        <w:jc w:val="left"/>
        <w:rPr>
          <w:rFonts w:hAnsi="宋体" w:cs="宋体"/>
          <w:color w:val="auto"/>
          <w:highlight w:val="none"/>
        </w:rPr>
      </w:pPr>
    </w:p>
    <w:p w14:paraId="0DEC1BFE">
      <w:pPr>
        <w:pStyle w:val="17"/>
        <w:spacing w:line="360" w:lineRule="auto"/>
        <w:jc w:val="left"/>
        <w:rPr>
          <w:rFonts w:hAnsi="宋体" w:cs="宋体"/>
          <w:color w:val="auto"/>
          <w:highlight w:val="none"/>
        </w:rPr>
      </w:pPr>
      <w:r>
        <w:rPr>
          <w:rFonts w:hint="eastAsia" w:hAnsi="宋体" w:cs="宋体"/>
          <w:color w:val="auto"/>
          <w:highlight w:val="none"/>
        </w:rPr>
        <w:br w:type="page"/>
      </w:r>
      <w:r>
        <w:rPr>
          <w:rFonts w:hint="eastAsia" w:hAnsi="宋体" w:cs="宋体"/>
          <w:b/>
          <w:bCs/>
          <w:color w:val="auto"/>
          <w:highlight w:val="none"/>
        </w:rPr>
        <w:t xml:space="preserve">附件：1  </w:t>
      </w:r>
    </w:p>
    <w:p w14:paraId="7290150C">
      <w:pPr>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工程质量保修书</w:t>
      </w:r>
    </w:p>
    <w:p w14:paraId="11E3447C">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发包人（全称）：</w:t>
      </w:r>
      <w:r>
        <w:rPr>
          <w:rFonts w:hint="eastAsia" w:ascii="宋体" w:hAnsi="宋体" w:cs="宋体"/>
          <w:color w:val="auto"/>
          <w:szCs w:val="21"/>
          <w:highlight w:val="none"/>
          <w:u w:val="single"/>
        </w:rPr>
        <w:t xml:space="preserve">                                       </w:t>
      </w:r>
    </w:p>
    <w:p w14:paraId="1C0BCE33">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承包人（全称）：</w:t>
      </w:r>
      <w:r>
        <w:rPr>
          <w:rFonts w:hint="eastAsia" w:ascii="宋体" w:hAnsi="宋体" w:cs="宋体"/>
          <w:color w:val="auto"/>
          <w:szCs w:val="21"/>
          <w:highlight w:val="none"/>
          <w:u w:val="single"/>
        </w:rPr>
        <w:t xml:space="preserve">                                       </w:t>
      </w:r>
    </w:p>
    <w:p w14:paraId="491B0DB9">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w:t>
      </w:r>
    </w:p>
    <w:p w14:paraId="12523137">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（工程全称）签订工程质量保修书。</w:t>
      </w:r>
    </w:p>
    <w:p w14:paraId="68EA42E7">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一、工程质量保修范围和内容</w:t>
      </w:r>
    </w:p>
    <w:p w14:paraId="00F82A7F">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承包人在质量保修期内，按照有关法律规定和合同约定，承担工程质量保修责任。</w:t>
      </w:r>
    </w:p>
    <w:p w14:paraId="2297C438">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w:t>
      </w:r>
    </w:p>
    <w:p w14:paraId="7DADAF46">
      <w:pPr>
        <w:snapToGrid w:val="0"/>
        <w:spacing w:line="360" w:lineRule="auto"/>
        <w:jc w:val="left"/>
        <w:rPr>
          <w:rFonts w:ascii="宋体" w:hAnsi="宋体" w:cs="宋体"/>
          <w:color w:val="auto"/>
          <w:szCs w:val="21"/>
          <w:highlight w:val="none"/>
        </w:rPr>
      </w:pPr>
      <w:r>
        <w:rPr>
          <w:rFonts w:hint="eastAsia" w:ascii="宋体" w:hAnsi="宋体" w:cs="宋体"/>
          <w:b/>
          <w:color w:val="auto"/>
          <w:szCs w:val="21"/>
          <w:highlight w:val="none"/>
        </w:rPr>
        <w:t>　　</w:t>
      </w:r>
      <w:r>
        <w:rPr>
          <w:rFonts w:hint="eastAsia" w:ascii="宋体" w:hAnsi="宋体" w:cs="宋体"/>
          <w:color w:val="auto"/>
          <w:szCs w:val="21"/>
          <w:highlight w:val="none"/>
        </w:rPr>
        <w:t>二、质量保修期</w:t>
      </w:r>
    </w:p>
    <w:p w14:paraId="5FBF26EA">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根据《建设工程质量管理条例》及有关规定，工程的质量保修期如下：</w:t>
      </w:r>
    </w:p>
    <w:p w14:paraId="74645F38">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1．地基基础工程和主体结构工程为设计文件规定的工程合理使用年限；</w:t>
      </w:r>
    </w:p>
    <w:p w14:paraId="3B6774E8">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年；</w:t>
      </w:r>
    </w:p>
    <w:p w14:paraId="5D908EF0">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年；</w:t>
      </w:r>
    </w:p>
    <w:p w14:paraId="70B22868">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年；</w:t>
      </w:r>
    </w:p>
    <w:p w14:paraId="3B077A2E">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个采暖期、供冷期；</w:t>
      </w:r>
    </w:p>
    <w:p w14:paraId="6B1F0EEC">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年；</w:t>
      </w:r>
    </w:p>
    <w:p w14:paraId="1B20F55B">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7．其他项目保修期限约定如下：</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A660FE3">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质量保修期自工程竣工验收合格之日起计算。</w:t>
      </w:r>
    </w:p>
    <w:p w14:paraId="39921D0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三、缺陷责任期</w:t>
      </w:r>
    </w:p>
    <w:p w14:paraId="528922D5">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工程缺陷责任期为</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个月，缺陷责任期自工程竣工验收合格之日起计算。单位工程先于全部工程进行验收，单位工程缺陷责任期自单位工程验收合格之日起算。</w:t>
      </w:r>
    </w:p>
    <w:p w14:paraId="3405AE73">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缺陷责任期终止后，发包人应退还剩余的质量保证金。</w:t>
      </w:r>
    </w:p>
    <w:p w14:paraId="17894EC4">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xml:space="preserve">    四、质量保修责任</w:t>
      </w:r>
    </w:p>
    <w:p w14:paraId="7A40B679">
      <w:pPr>
        <w:snapToGrid w:val="0"/>
        <w:spacing w:line="360" w:lineRule="auto"/>
        <w:ind w:left="105" w:leftChars="50" w:firstLine="430" w:firstLineChars="205"/>
        <w:jc w:val="left"/>
        <w:rPr>
          <w:rFonts w:ascii="宋体" w:hAnsi="宋体" w:cs="宋体"/>
          <w:color w:val="auto"/>
          <w:szCs w:val="21"/>
          <w:highlight w:val="none"/>
        </w:rPr>
      </w:pPr>
      <w:r>
        <w:rPr>
          <w:rFonts w:hint="eastAsia" w:ascii="宋体" w:hAnsi="宋体" w:cs="宋体"/>
          <w:color w:val="auto"/>
          <w:szCs w:val="21"/>
          <w:highlight w:val="none"/>
        </w:rPr>
        <w:t>1．属于保修范围、内容的项目，承包人应当在接到保修通知之日起7天内派人保修。承包人不在约定期限内派人保修的，发包人可以委托他人修理。</w:t>
      </w:r>
    </w:p>
    <w:p w14:paraId="54A7560C">
      <w:pPr>
        <w:snapToGrid w:val="0"/>
        <w:spacing w:line="360" w:lineRule="auto"/>
        <w:ind w:left="105" w:leftChars="50" w:firstLine="430" w:firstLineChars="205"/>
        <w:jc w:val="left"/>
        <w:rPr>
          <w:rFonts w:ascii="宋体" w:hAnsi="宋体" w:cs="宋体"/>
          <w:color w:val="auto"/>
          <w:szCs w:val="21"/>
          <w:highlight w:val="none"/>
        </w:rPr>
      </w:pPr>
      <w:r>
        <w:rPr>
          <w:rFonts w:hint="eastAsia" w:ascii="宋体" w:hAnsi="宋体" w:cs="宋体"/>
          <w:color w:val="auto"/>
          <w:szCs w:val="21"/>
          <w:highlight w:val="none"/>
        </w:rPr>
        <w:t>2．发生紧急事故需抢修的，承包人在接到事故通知后，应当立即到达事故现场抢修。</w:t>
      </w:r>
    </w:p>
    <w:p w14:paraId="60D870B7">
      <w:pPr>
        <w:snapToGrid w:val="0"/>
        <w:spacing w:line="360" w:lineRule="auto"/>
        <w:ind w:left="105" w:leftChars="50" w:firstLine="430" w:firstLineChars="205"/>
        <w:jc w:val="left"/>
        <w:rPr>
          <w:rFonts w:ascii="宋体" w:hAnsi="宋体" w:cs="宋体"/>
          <w:color w:val="auto"/>
          <w:szCs w:val="21"/>
          <w:highlight w:val="none"/>
        </w:rPr>
      </w:pPr>
      <w:r>
        <w:rPr>
          <w:rFonts w:hint="eastAsia" w:ascii="宋体" w:hAnsi="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B8D5EC6">
      <w:pPr>
        <w:snapToGrid w:val="0"/>
        <w:spacing w:line="360" w:lineRule="auto"/>
        <w:ind w:left="420" w:leftChars="200" w:firstLine="105" w:firstLineChars="50"/>
        <w:jc w:val="left"/>
        <w:rPr>
          <w:rFonts w:ascii="宋体" w:hAnsi="宋体" w:cs="宋体"/>
          <w:color w:val="auto"/>
          <w:szCs w:val="21"/>
          <w:highlight w:val="none"/>
        </w:rPr>
      </w:pPr>
      <w:r>
        <w:rPr>
          <w:rFonts w:hint="eastAsia" w:ascii="宋体" w:hAnsi="宋体" w:cs="宋体"/>
          <w:color w:val="auto"/>
          <w:szCs w:val="21"/>
          <w:highlight w:val="none"/>
        </w:rPr>
        <w:t>4．质量保修完成后，由发包人组织验收。</w:t>
      </w:r>
    </w:p>
    <w:p w14:paraId="21D86F01">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五、保修费用</w:t>
      </w:r>
    </w:p>
    <w:p w14:paraId="05AA98C0">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　　保修费用由造成质量缺陷的责任方承担。</w:t>
      </w:r>
    </w:p>
    <w:p w14:paraId="795DB92D">
      <w:pPr>
        <w:snapToGrid w:val="0"/>
        <w:spacing w:line="360" w:lineRule="auto"/>
        <w:ind w:firstLine="600"/>
        <w:jc w:val="left"/>
        <w:rPr>
          <w:rFonts w:ascii="宋体" w:hAnsi="宋体" w:cs="宋体"/>
          <w:color w:val="auto"/>
          <w:szCs w:val="21"/>
          <w:highlight w:val="none"/>
          <w:u w:val="single"/>
        </w:rPr>
      </w:pPr>
      <w:r>
        <w:rPr>
          <w:rFonts w:hint="eastAsia" w:ascii="宋体" w:hAnsi="宋体" w:cs="宋体"/>
          <w:b/>
          <w:color w:val="auto"/>
          <w:szCs w:val="21"/>
          <w:highlight w:val="none"/>
        </w:rPr>
        <w:t>六</w:t>
      </w:r>
      <w:r>
        <w:rPr>
          <w:rFonts w:hint="eastAsia" w:ascii="宋体" w:hAnsi="宋体" w:cs="宋体"/>
          <w:color w:val="auto"/>
          <w:szCs w:val="21"/>
          <w:highlight w:val="none"/>
        </w:rPr>
        <w:t>、双方约定的其他工程质量保修事项：</w:t>
      </w:r>
      <w:r>
        <w:rPr>
          <w:rFonts w:hint="eastAsia" w:ascii="宋体" w:hAnsi="宋体" w:cs="宋体"/>
          <w:color w:val="auto"/>
          <w:szCs w:val="21"/>
          <w:highlight w:val="none"/>
          <w:u w:val="single"/>
        </w:rPr>
        <w:t xml:space="preserve">  另行协商     </w:t>
      </w:r>
      <w:r>
        <w:rPr>
          <w:rFonts w:hint="eastAsia" w:ascii="宋体" w:hAnsi="宋体" w:cs="宋体"/>
          <w:color w:val="auto"/>
          <w:szCs w:val="21"/>
          <w:highlight w:val="none"/>
        </w:rPr>
        <w:t>。</w:t>
      </w:r>
    </w:p>
    <w:p w14:paraId="1EC7F96B">
      <w:pPr>
        <w:snapToGrid w:val="0"/>
        <w:spacing w:line="360" w:lineRule="auto"/>
        <w:ind w:firstLine="399" w:firstLineChars="190"/>
        <w:jc w:val="left"/>
        <w:rPr>
          <w:rFonts w:ascii="宋体" w:hAnsi="宋体" w:cs="宋体"/>
          <w:color w:val="auto"/>
          <w:szCs w:val="21"/>
          <w:highlight w:val="none"/>
        </w:rPr>
      </w:pPr>
      <w:r>
        <w:rPr>
          <w:rFonts w:hint="eastAsia" w:ascii="宋体" w:hAnsi="宋体" w:cs="宋体"/>
          <w:color w:val="auto"/>
          <w:szCs w:val="21"/>
          <w:highlight w:val="none"/>
        </w:rPr>
        <w:t>工程质量保修书由发包人、承包人在工程竣工验收前共同签署，作为施工合同附件，其有效期限至保修期满。</w:t>
      </w:r>
    </w:p>
    <w:p w14:paraId="7C6183F9">
      <w:pPr>
        <w:snapToGrid w:val="0"/>
        <w:spacing w:line="360" w:lineRule="auto"/>
        <w:ind w:firstLine="420"/>
        <w:jc w:val="left"/>
        <w:rPr>
          <w:rFonts w:ascii="宋体" w:hAnsi="宋体" w:cs="宋体"/>
          <w:color w:val="auto"/>
          <w:szCs w:val="21"/>
          <w:highlight w:val="none"/>
        </w:rPr>
      </w:pPr>
    </w:p>
    <w:p w14:paraId="1A370EF6">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发包人(公章)：               发包人(公章)：                          承包人(公章)：</w:t>
      </w:r>
    </w:p>
    <w:p w14:paraId="75DB6E81">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地  址：                     地  址：                                地  址：</w:t>
      </w:r>
    </w:p>
    <w:p w14:paraId="6C40CD8E">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法定代表人(签字)：           法定代表人(签字)：                      法定代表人(签字)：</w:t>
      </w:r>
    </w:p>
    <w:p w14:paraId="2A535C8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委托代理人(签字)：           委托代理人(签字)：                      委托代理人(签字)：</w:t>
      </w:r>
    </w:p>
    <w:p w14:paraId="39C230B9">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电  话：                     电  话：                                电  话：</w:t>
      </w:r>
    </w:p>
    <w:p w14:paraId="7BC5A20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传  真：                     传  真：                                传  真：</w:t>
      </w:r>
    </w:p>
    <w:p w14:paraId="38EE9002">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开户银行：                   开户银行：                              开户银行：</w:t>
      </w:r>
    </w:p>
    <w:p w14:paraId="60D656CD">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账  号：                     账  号：                                账  号：</w:t>
      </w:r>
    </w:p>
    <w:p w14:paraId="69F32866">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邮政编码：                   邮政编码：                              邮政编码：</w:t>
      </w:r>
    </w:p>
    <w:p w14:paraId="5258B0FA">
      <w:pPr>
        <w:spacing w:line="360" w:lineRule="auto"/>
        <w:jc w:val="left"/>
        <w:rPr>
          <w:rFonts w:ascii="宋体" w:hAnsi="宋体" w:cs="宋体"/>
          <w:color w:val="auto"/>
          <w:szCs w:val="21"/>
          <w:highlight w:val="none"/>
        </w:rPr>
      </w:pPr>
    </w:p>
    <w:p w14:paraId="069C51D1">
      <w:pPr>
        <w:spacing w:line="360" w:lineRule="auto"/>
        <w:jc w:val="left"/>
        <w:rPr>
          <w:rFonts w:ascii="宋体" w:hAnsi="宋体" w:cs="宋体"/>
          <w:color w:val="auto"/>
          <w:szCs w:val="21"/>
          <w:highlight w:val="none"/>
        </w:rPr>
      </w:pPr>
    </w:p>
    <w:p w14:paraId="736EF05A">
      <w:pPr>
        <w:spacing w:line="360" w:lineRule="auto"/>
        <w:jc w:val="left"/>
        <w:rPr>
          <w:rFonts w:ascii="宋体" w:hAnsi="宋体" w:cs="宋体"/>
          <w:color w:val="auto"/>
          <w:szCs w:val="21"/>
          <w:highlight w:val="none"/>
        </w:rPr>
      </w:pPr>
    </w:p>
    <w:p w14:paraId="077C1835">
      <w:pPr>
        <w:spacing w:line="360" w:lineRule="auto"/>
        <w:jc w:val="left"/>
        <w:rPr>
          <w:rFonts w:ascii="宋体" w:hAnsi="宋体" w:cs="宋体"/>
          <w:color w:val="auto"/>
          <w:szCs w:val="21"/>
          <w:highlight w:val="none"/>
        </w:rPr>
      </w:pPr>
    </w:p>
    <w:p w14:paraId="17B5B995">
      <w:pPr>
        <w:spacing w:line="360" w:lineRule="auto"/>
        <w:jc w:val="left"/>
        <w:rPr>
          <w:rFonts w:ascii="宋体" w:hAnsi="宋体" w:cs="宋体"/>
          <w:color w:val="auto"/>
          <w:szCs w:val="21"/>
          <w:highlight w:val="none"/>
        </w:rPr>
      </w:pPr>
    </w:p>
    <w:p w14:paraId="339411BE">
      <w:pPr>
        <w:spacing w:line="360" w:lineRule="auto"/>
        <w:jc w:val="left"/>
        <w:rPr>
          <w:rFonts w:ascii="宋体" w:hAnsi="宋体" w:cs="宋体"/>
          <w:color w:val="auto"/>
          <w:szCs w:val="21"/>
          <w:highlight w:val="none"/>
        </w:rPr>
      </w:pPr>
    </w:p>
    <w:p w14:paraId="06A12220">
      <w:pPr>
        <w:spacing w:line="360" w:lineRule="auto"/>
        <w:jc w:val="left"/>
        <w:rPr>
          <w:rFonts w:ascii="宋体" w:hAnsi="宋体" w:cs="宋体"/>
          <w:color w:val="auto"/>
          <w:szCs w:val="21"/>
          <w:highlight w:val="none"/>
        </w:rPr>
      </w:pPr>
    </w:p>
    <w:p w14:paraId="0DD465F1">
      <w:pPr>
        <w:spacing w:line="360" w:lineRule="auto"/>
        <w:jc w:val="left"/>
        <w:rPr>
          <w:rFonts w:ascii="宋体" w:hAnsi="宋体" w:cs="宋体"/>
          <w:color w:val="auto"/>
          <w:szCs w:val="21"/>
          <w:highlight w:val="none"/>
        </w:rPr>
      </w:pPr>
    </w:p>
    <w:p w14:paraId="482C4694">
      <w:pPr>
        <w:spacing w:line="360" w:lineRule="auto"/>
        <w:rPr>
          <w:rFonts w:ascii="宋体" w:hAnsi="宋体" w:cs="宋体"/>
          <w:b/>
          <w:bCs/>
          <w:color w:val="auto"/>
          <w:szCs w:val="21"/>
          <w:highlight w:val="none"/>
        </w:rPr>
      </w:pPr>
      <w:r>
        <w:rPr>
          <w:rFonts w:hint="eastAsia" w:ascii="宋体" w:hAnsi="宋体" w:cs="宋体"/>
          <w:color w:val="auto"/>
          <w:szCs w:val="21"/>
          <w:highlight w:val="none"/>
        </w:rPr>
        <w:br w:type="page"/>
      </w:r>
      <w:r>
        <w:rPr>
          <w:rFonts w:hint="eastAsia" w:ascii="宋体" w:hAnsi="宋体" w:cs="宋体"/>
          <w:b/>
          <w:bCs/>
          <w:color w:val="auto"/>
          <w:szCs w:val="21"/>
          <w:highlight w:val="none"/>
        </w:rPr>
        <w:t xml:space="preserve">附件：2          </w:t>
      </w:r>
    </w:p>
    <w:p w14:paraId="33CDF537">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廉政建设协议</w:t>
      </w:r>
    </w:p>
    <w:p w14:paraId="699B4C8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根据国家有关工程建设、廉政建设的规定，为做好工程建设中的党风廉政建设，保证工程建设高效优质，保证建设资金的安全和有效使用以及投资效益，工程项目的发包人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（以下简称“甲方”）与承包人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（以下简称“乙方”），特订立如下协议。</w:t>
      </w:r>
    </w:p>
    <w:p w14:paraId="3CD21C1A">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1.甲乙双方的权利和义务</w:t>
      </w:r>
    </w:p>
    <w:p w14:paraId="0D213D78">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（1）严格遵守党和国家的有关法律法规及纪检监察机关的有关规定。</w:t>
      </w:r>
    </w:p>
    <w:p w14:paraId="69A8772E">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（2）严格执行有关工程建设合同（协议）文件，自觉按合同（协议）办事。</w:t>
      </w:r>
    </w:p>
    <w:p w14:paraId="6A2F1AF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（3）双方的业务活动坚持公开、公正、诚信、透明的原则（法律认定的商业秘密和合同文件另有规定除外），不得损害国家和集体利益，违反工程建设管理规章制度。</w:t>
      </w:r>
    </w:p>
    <w:p w14:paraId="0128D0BA">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（4）建立健全廉政制度，开展廉政教育，设立廉政告示牌，公布举报电话，监督并认真查处违法违纪行为。</w:t>
      </w:r>
    </w:p>
    <w:p w14:paraId="0A2E0927">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（5）发现对方在业务活动中有违反廉政规定的行为，有及时提醒对方纠正的权利及义务。</w:t>
      </w:r>
    </w:p>
    <w:p w14:paraId="290BF3B9">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（6）发现对方严重违反本协议义务条款的行为，有向其上级有关部门举报、建议给予处理并要求告知处理结果的权利。</w:t>
      </w:r>
    </w:p>
    <w:p w14:paraId="17790B8F">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2.甲方的义务</w:t>
      </w:r>
    </w:p>
    <w:p w14:paraId="05704DD5">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（1）甲方及其工作人员不得索要或接受乙方的礼金、有价证券和贵重物品，不得在乙方报销任何应由甲方或甲方工作人员个人支付的费用等。</w:t>
      </w:r>
    </w:p>
    <w:p w14:paraId="4D946325">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（2）甲方工作人员不得参加乙方安排的超标准宴请和娱乐活动；不得接受乙方提供的通讯工具、交通工具和高档办公用品等。</w:t>
      </w:r>
    </w:p>
    <w:p w14:paraId="1B972150">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（3）甲方及其工作人员不得要求或者接受乙方为其住房装修、婚丧嫁娶活动、配偶子女的工作安排以及出国出境、旅游等提供方便等。</w:t>
      </w:r>
    </w:p>
    <w:p w14:paraId="1870475C">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（4）甲方工作人及其配偶、子女不得从事与甲方工程有关的材料设备供应、工程分包、劳务等经济活动等。</w:t>
      </w:r>
    </w:p>
    <w:p w14:paraId="6C89C126">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（5）甲方及其工作人员不得以任何理由向乙方推荐分包单位或推销材料，不得要求乙方购买合同规定外的材料和设备。</w:t>
      </w:r>
    </w:p>
    <w:p w14:paraId="19001081">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（6）甲方工作人员要秉公办事，不准营私舞弊，不准利用职权从事各种个人有偿中介活动和安排个人施工队伍。</w:t>
      </w:r>
    </w:p>
    <w:p w14:paraId="05E2F45C">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3.乙方义务</w:t>
      </w:r>
    </w:p>
    <w:p w14:paraId="775FD4E8">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（1）乙方不得以任何理由向甲方及其工作人员行贿或馈赠礼金、有价证券、贵重礼品。</w:t>
      </w:r>
    </w:p>
    <w:p w14:paraId="6AD69760">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（2）乙方不得以任何名义为甲方及其工作人员报销应由甲方单位或个人支付的任何费用。</w:t>
      </w:r>
    </w:p>
    <w:p w14:paraId="22DF399E">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（3）乙方不得以任何理由安排甲方工作人员参加超标准宴请及娱乐活动。</w:t>
      </w:r>
    </w:p>
    <w:p w14:paraId="0FB00431">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（4）乙方不得为甲方单位和个人购置或提供通讯工具、交通工具和高档办公用品等。</w:t>
      </w:r>
    </w:p>
    <w:p w14:paraId="44828EA8">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    4.违约责任</w:t>
      </w:r>
    </w:p>
    <w:p w14:paraId="3E3D5855">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（1）甲方及其工作人员违反本协议第一、二条，按管理权限，依据有关规定给予党纪、政纪或组织处理；涉嫌犯罪的，移交司法机关追究刑事责任；给乙方单位造成经济损失的，应予以赔偿。</w:t>
      </w:r>
    </w:p>
    <w:p w14:paraId="3655FE7F">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p>
    <w:p w14:paraId="3999AD7D">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双方约定：本协议由甲方的纪检监察机关（部门）负责监督执行。由甲方或甲方上级单位的纪检监察机关约请乙方或乙方上级单位纪检监察机关对本协议执行情况进行检查，提出在本协议规定范围内的裁定意见。</w:t>
      </w:r>
    </w:p>
    <w:p w14:paraId="55699B69">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6.本协议有效期自签章生效始至工程建设合同（协议）执行完成止。</w:t>
      </w:r>
    </w:p>
    <w:p w14:paraId="2ED44039">
      <w:pPr>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7.本协议作为工程建设合同（协议）附件，由双方法定代表人或其授权的代理人签署与加盖公章后生效。</w:t>
      </w:r>
    </w:p>
    <w:p w14:paraId="7758C62F">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发包人：（盖公章）               发包人：（盖公章）            承包人：（盖公章）</w:t>
      </w:r>
    </w:p>
    <w:p w14:paraId="1AFD507A">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法定代表人                       法定代表人                    法定代表人</w:t>
      </w:r>
    </w:p>
    <w:p w14:paraId="03B0DBE0">
      <w:pPr>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或其委托代理人：（签字）        或其委托代理人：（签字）       或其委托代理人：（签字）</w:t>
      </w:r>
    </w:p>
    <w:p w14:paraId="7A7D6962">
      <w:pPr>
        <w:spacing w:line="360" w:lineRule="auto"/>
        <w:rPr>
          <w:rFonts w:ascii="宋体" w:hAnsi="宋体" w:cs="宋体"/>
          <w:color w:val="auto"/>
          <w:szCs w:val="21"/>
          <w:highlight w:val="none"/>
        </w:rPr>
      </w:pPr>
      <w:r>
        <w:rPr>
          <w:rFonts w:hint="eastAsia" w:ascii="宋体" w:hAnsi="宋体" w:cs="宋体"/>
          <w:color w:val="auto"/>
          <w:szCs w:val="21"/>
          <w:highlight w:val="none"/>
        </w:rPr>
        <w:t>年    月   日                      年    月   日                 年    月   日</w:t>
      </w:r>
      <w:bookmarkStart w:id="669" w:name="_Toc11093"/>
    </w:p>
    <w:p w14:paraId="7BF4AFD2">
      <w:pPr>
        <w:rPr>
          <w:rFonts w:ascii="宋体" w:hAnsi="宋体" w:cs="宋体"/>
          <w:color w:val="auto"/>
          <w:highlight w:val="none"/>
        </w:rPr>
      </w:pPr>
      <w:r>
        <w:rPr>
          <w:rFonts w:hint="eastAsia" w:ascii="宋体" w:hAnsi="宋体" w:cs="宋体"/>
          <w:color w:val="auto"/>
          <w:highlight w:val="none"/>
        </w:rPr>
        <w:br w:type="page"/>
      </w:r>
    </w:p>
    <w:p w14:paraId="299ED8DE">
      <w:pPr>
        <w:pStyle w:val="333"/>
        <w:ind w:right="45"/>
        <w:rPr>
          <w:rFonts w:eastAsia="宋体" w:cs="宋体"/>
          <w:b/>
          <w:bCs w:val="0"/>
          <w:color w:val="auto"/>
          <w:highlight w:val="none"/>
        </w:rPr>
      </w:pPr>
      <w:bookmarkStart w:id="670" w:name="_Toc2655"/>
      <w:r>
        <w:rPr>
          <w:rFonts w:hint="eastAsia" w:eastAsia="宋体" w:cs="宋体"/>
          <w:b/>
          <w:bCs w:val="0"/>
          <w:color w:val="auto"/>
          <w:highlight w:val="none"/>
        </w:rPr>
        <w:t>第六章</w:t>
      </w:r>
      <w:r>
        <w:rPr>
          <w:rFonts w:hint="eastAsia" w:eastAsia="宋体" w:cs="宋体"/>
          <w:b/>
          <w:bCs w:val="0"/>
          <w:color w:val="auto"/>
          <w:highlight w:val="none"/>
          <w:lang w:val="en-US"/>
        </w:rPr>
        <w:t xml:space="preserve"> </w:t>
      </w:r>
      <w:r>
        <w:rPr>
          <w:rFonts w:hint="eastAsia" w:eastAsia="宋体" w:cs="宋体"/>
          <w:b/>
          <w:bCs w:val="0"/>
          <w:color w:val="auto"/>
          <w:highlight w:val="none"/>
        </w:rPr>
        <w:t>磋商响应文件格式</w:t>
      </w:r>
      <w:bookmarkEnd w:id="117"/>
      <w:bookmarkEnd w:id="118"/>
      <w:bookmarkEnd w:id="119"/>
      <w:bookmarkEnd w:id="669"/>
      <w:bookmarkEnd w:id="670"/>
    </w:p>
    <w:p w14:paraId="41F96DCC">
      <w:pPr>
        <w:rPr>
          <w:rFonts w:ascii="宋体" w:hAnsi="宋体" w:cs="宋体"/>
          <w:b/>
          <w:color w:val="auto"/>
          <w:szCs w:val="21"/>
          <w:highlight w:val="none"/>
          <w:lang w:val="zh-CN"/>
        </w:rPr>
      </w:pPr>
    </w:p>
    <w:p w14:paraId="7C7B9625">
      <w:pPr>
        <w:outlineLvl w:val="1"/>
        <w:rPr>
          <w:rFonts w:ascii="宋体" w:hAnsi="宋体" w:cs="宋体"/>
          <w:b/>
          <w:color w:val="auto"/>
          <w:szCs w:val="21"/>
          <w:highlight w:val="none"/>
          <w:lang w:val="zh-CN"/>
        </w:rPr>
      </w:pPr>
      <w:bookmarkStart w:id="671" w:name="_Toc32561"/>
      <w:bookmarkStart w:id="672" w:name="_Toc14442"/>
      <w:r>
        <w:rPr>
          <w:rFonts w:hint="eastAsia" w:ascii="宋体" w:hAnsi="宋体" w:cs="宋体"/>
          <w:b/>
          <w:color w:val="auto"/>
          <w:szCs w:val="21"/>
          <w:highlight w:val="none"/>
          <w:lang w:val="zh-CN"/>
        </w:rPr>
        <w:t>附件一、磋商申请及声明</w:t>
      </w:r>
      <w:bookmarkEnd w:id="671"/>
      <w:bookmarkEnd w:id="672"/>
    </w:p>
    <w:p w14:paraId="18D38006">
      <w:pPr>
        <w:jc w:val="center"/>
        <w:rPr>
          <w:rFonts w:ascii="宋体" w:hAnsi="宋体" w:cs="宋体"/>
          <w:b/>
          <w:bCs/>
          <w:color w:val="auto"/>
          <w:sz w:val="24"/>
          <w:highlight w:val="none"/>
        </w:rPr>
      </w:pPr>
      <w:bookmarkStart w:id="673" w:name="_Toc503948586"/>
      <w:bookmarkStart w:id="674" w:name="_Toc503948079"/>
      <w:r>
        <w:rPr>
          <w:rFonts w:hint="eastAsia" w:ascii="宋体" w:hAnsi="宋体" w:cs="宋体"/>
          <w:b/>
          <w:bCs/>
          <w:color w:val="auto"/>
          <w:sz w:val="24"/>
          <w:highlight w:val="none"/>
        </w:rPr>
        <w:t>磋商申请及声明</w:t>
      </w:r>
      <w:bookmarkEnd w:id="673"/>
      <w:bookmarkEnd w:id="674"/>
    </w:p>
    <w:p w14:paraId="6514ACED">
      <w:pPr>
        <w:spacing w:line="360" w:lineRule="auto"/>
        <w:rPr>
          <w:rFonts w:ascii="宋体" w:hAnsi="宋体" w:cs="宋体"/>
          <w:color w:val="auto"/>
          <w:highlight w:val="none"/>
        </w:rPr>
      </w:pPr>
      <w:bookmarkStart w:id="675" w:name="_Toc503948080"/>
      <w:bookmarkStart w:id="676" w:name="_Toc503948587"/>
    </w:p>
    <w:p w14:paraId="33E42F5B">
      <w:pPr>
        <w:spacing w:line="360" w:lineRule="auto"/>
        <w:rPr>
          <w:rFonts w:ascii="宋体" w:hAnsi="宋体" w:cs="宋体"/>
          <w:color w:val="auto"/>
          <w:highlight w:val="none"/>
        </w:rPr>
      </w:pPr>
      <w:r>
        <w:rPr>
          <w:rFonts w:hint="eastAsia" w:ascii="宋体" w:hAnsi="宋体" w:cs="宋体"/>
          <w:color w:val="auto"/>
          <w:highlight w:val="none"/>
        </w:rPr>
        <w:t>致：</w:t>
      </w:r>
      <w:bookmarkEnd w:id="675"/>
      <w:bookmarkEnd w:id="676"/>
      <w:r>
        <w:rPr>
          <w:rFonts w:hint="eastAsia" w:ascii="宋体" w:hAnsi="宋体" w:cs="宋体"/>
          <w:color w:val="auto"/>
          <w:highlight w:val="none"/>
        </w:rPr>
        <w:t>南京市江宁区人民政府汤山街道办事处</w:t>
      </w:r>
    </w:p>
    <w:p w14:paraId="36EAED34">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根据贵方</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（项目名称）</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（项目编号）磋商邀请，正式授权下述签字人</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(姓名和职务)代表磋商供应商</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（磋商供应商名称），提交磋商文件。</w:t>
      </w:r>
    </w:p>
    <w:p w14:paraId="6DBA200D">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36E3B706">
      <w:pPr>
        <w:spacing w:line="360" w:lineRule="auto"/>
        <w:ind w:firstLine="420"/>
        <w:rPr>
          <w:rFonts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color w:val="auto"/>
          <w:szCs w:val="21"/>
          <w:highlight w:val="none"/>
        </w:rPr>
        <w:t>.</w:t>
      </w:r>
      <w:r>
        <w:rPr>
          <w:rFonts w:hint="eastAsia" w:ascii="宋体" w:hAnsi="宋体" w:cs="宋体"/>
          <w:b/>
          <w:color w:val="auto"/>
          <w:szCs w:val="21"/>
          <w:highlight w:val="none"/>
          <w:lang w:val="zh-CN"/>
        </w:rPr>
        <w:t>我们的资格条件完全符合本次招标要求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同意并向贵方提供了与磋商有关的所有证据和资料。</w:t>
      </w:r>
    </w:p>
    <w:p w14:paraId="152C8CAD">
      <w:pPr>
        <w:spacing w:line="360" w:lineRule="auto"/>
        <w:ind w:firstLine="420"/>
        <w:rPr>
          <w:rFonts w:ascii="宋体" w:hAnsi="宋体" w:cs="宋体"/>
          <w:b/>
          <w:color w:val="auto"/>
          <w:szCs w:val="21"/>
          <w:highlight w:val="none"/>
          <w:u w:val="single"/>
        </w:rPr>
      </w:pPr>
      <w:r>
        <w:rPr>
          <w:rFonts w:hint="eastAsia" w:ascii="宋体" w:hAnsi="宋体" w:cs="宋体"/>
          <w:color w:val="auto"/>
          <w:highlight w:val="none"/>
        </w:rPr>
        <w:t>2.</w:t>
      </w:r>
      <w:r>
        <w:rPr>
          <w:rFonts w:hint="eastAsia" w:ascii="宋体" w:hAnsi="宋体" w:cs="宋体"/>
          <w:color w:val="auto"/>
          <w:szCs w:val="21"/>
          <w:highlight w:val="none"/>
          <w:lang w:val="zh-CN"/>
        </w:rPr>
        <w:t>按</w:t>
      </w:r>
      <w:r>
        <w:rPr>
          <w:rFonts w:hint="eastAsia" w:ascii="宋体" w:hAnsi="宋体" w:cs="宋体"/>
          <w:color w:val="auto"/>
          <w:szCs w:val="21"/>
          <w:highlight w:val="none"/>
        </w:rPr>
        <w:t>采购</w:t>
      </w:r>
      <w:r>
        <w:rPr>
          <w:rFonts w:hint="eastAsia" w:ascii="宋体" w:hAnsi="宋体" w:cs="宋体"/>
          <w:color w:val="auto"/>
          <w:szCs w:val="21"/>
          <w:highlight w:val="none"/>
          <w:lang w:val="zh-CN"/>
        </w:rPr>
        <w:t>要求，我们的磋商</w:t>
      </w:r>
      <w:r>
        <w:rPr>
          <w:rFonts w:hint="eastAsia" w:ascii="宋体" w:hAnsi="宋体" w:cs="宋体"/>
          <w:color w:val="auto"/>
          <w:szCs w:val="21"/>
          <w:highlight w:val="none"/>
        </w:rPr>
        <w:t>报价总价为：</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rPr>
        <w:t>（大写）人民币；合同履行期限：</w:t>
      </w:r>
      <w:r>
        <w:rPr>
          <w:rFonts w:hint="eastAsia" w:ascii="宋体" w:hAnsi="宋体" w:cs="宋体"/>
          <w:color w:val="auto"/>
          <w:szCs w:val="21"/>
          <w:highlight w:val="none"/>
          <w:u w:val="single"/>
        </w:rPr>
        <w:t xml:space="preserve">    天</w:t>
      </w:r>
      <w:r>
        <w:rPr>
          <w:rFonts w:hint="eastAsia" w:ascii="宋体" w:hAnsi="宋体" w:cs="宋体"/>
          <w:color w:val="auto"/>
          <w:szCs w:val="21"/>
          <w:highlight w:val="none"/>
        </w:rPr>
        <w:t>。</w:t>
      </w:r>
    </w:p>
    <w:p w14:paraId="6FA421E4">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3.</w:t>
      </w:r>
      <w:r>
        <w:rPr>
          <w:rFonts w:hint="eastAsia" w:ascii="宋体" w:hAnsi="宋体" w:cs="宋体"/>
          <w:color w:val="auto"/>
          <w:szCs w:val="21"/>
          <w:highlight w:val="none"/>
          <w:lang w:val="zh-CN"/>
        </w:rPr>
        <w:t>我们已详细审核全部磋商文件及其有效补充文件，我们放弃对磋商文件任何误解的权利，提交磋商文件后，</w:t>
      </w:r>
      <w:r>
        <w:rPr>
          <w:rFonts w:hint="eastAsia" w:ascii="宋体" w:hAnsi="宋体" w:cs="宋体"/>
          <w:b/>
          <w:color w:val="auto"/>
          <w:szCs w:val="21"/>
          <w:highlight w:val="none"/>
          <w:lang w:val="zh-CN"/>
        </w:rPr>
        <w:t>不对磋商文件本身提出质疑</w:t>
      </w:r>
      <w:r>
        <w:rPr>
          <w:rFonts w:hint="eastAsia" w:ascii="宋体" w:hAnsi="宋体" w:cs="宋体"/>
          <w:color w:val="auto"/>
          <w:szCs w:val="21"/>
          <w:highlight w:val="none"/>
          <w:lang w:val="zh-CN"/>
        </w:rPr>
        <w:t>。</w:t>
      </w:r>
    </w:p>
    <w:p w14:paraId="48945D6F">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4.</w:t>
      </w:r>
      <w:r>
        <w:rPr>
          <w:rFonts w:hint="eastAsia" w:ascii="宋体" w:hAnsi="宋体" w:cs="宋体"/>
          <w:color w:val="auto"/>
          <w:szCs w:val="21"/>
          <w:highlight w:val="none"/>
          <w:lang w:val="zh-CN"/>
        </w:rPr>
        <w:t>我们同意从规定的磋商日期起遵循本磋商文件，并在规定的磋商有效期期满之前均具有约束力。</w:t>
      </w:r>
    </w:p>
    <w:p w14:paraId="5DB54949">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一旦我方中标，我方将根据磋商文件的规定严格履行合同，并保证于承诺的时间完成</w:t>
      </w:r>
      <w:r>
        <w:rPr>
          <w:rFonts w:hint="eastAsia" w:ascii="宋体" w:hAnsi="宋体" w:cs="宋体"/>
          <w:color w:val="auto"/>
          <w:szCs w:val="21"/>
          <w:highlight w:val="none"/>
        </w:rPr>
        <w:t>工程</w:t>
      </w:r>
      <w:r>
        <w:rPr>
          <w:rFonts w:hint="eastAsia" w:ascii="宋体" w:hAnsi="宋体" w:cs="宋体"/>
          <w:color w:val="auto"/>
          <w:szCs w:val="21"/>
          <w:highlight w:val="none"/>
          <w:lang w:val="zh-CN"/>
        </w:rPr>
        <w:t>，交付采购人验收、使用。</w:t>
      </w:r>
    </w:p>
    <w:p w14:paraId="72A1C3F8">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6.</w:t>
      </w:r>
      <w:r>
        <w:rPr>
          <w:rFonts w:hint="eastAsia" w:ascii="宋体" w:hAnsi="宋体" w:cs="宋体"/>
          <w:color w:val="auto"/>
          <w:szCs w:val="21"/>
          <w:highlight w:val="none"/>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443E79C7">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7.</w:t>
      </w:r>
      <w:r>
        <w:rPr>
          <w:rFonts w:hint="eastAsia" w:ascii="宋体" w:hAnsi="宋体" w:cs="宋体"/>
          <w:color w:val="auto"/>
          <w:szCs w:val="21"/>
          <w:highlight w:val="none"/>
          <w:lang w:val="zh-CN"/>
        </w:rPr>
        <w:t>与本磋商有关的正式联系方式为：</w:t>
      </w:r>
    </w:p>
    <w:p w14:paraId="1554A032">
      <w:pPr>
        <w:spacing w:line="360" w:lineRule="auto"/>
        <w:ind w:firstLine="420"/>
        <w:rPr>
          <w:rFonts w:ascii="宋体" w:hAnsi="宋体" w:cs="宋体"/>
          <w:color w:val="auto"/>
          <w:szCs w:val="21"/>
          <w:highlight w:val="none"/>
          <w:u w:val="single"/>
          <w:lang w:val="zh-CN"/>
        </w:rPr>
      </w:pPr>
      <w:r>
        <w:rPr>
          <w:rFonts w:hint="eastAsia" w:ascii="宋体" w:hAnsi="宋体" w:cs="宋体"/>
          <w:color w:val="auto"/>
          <w:szCs w:val="21"/>
          <w:highlight w:val="none"/>
          <w:lang w:val="zh-CN"/>
        </w:rPr>
        <w:t>地址：                                          电话：</w:t>
      </w:r>
    </w:p>
    <w:p w14:paraId="65F5943F">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传真：                                          开户银行：</w:t>
      </w:r>
    </w:p>
    <w:p w14:paraId="66D4571F">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479DF30C">
      <w:pPr>
        <w:spacing w:line="360" w:lineRule="auto"/>
        <w:ind w:firstLine="420"/>
        <w:rPr>
          <w:rFonts w:ascii="宋体" w:hAnsi="宋体" w:cs="宋体"/>
          <w:color w:val="auto"/>
          <w:szCs w:val="21"/>
          <w:highlight w:val="none"/>
          <w:u w:val="single"/>
          <w:lang w:val="zh-CN"/>
        </w:rPr>
      </w:pPr>
      <w:r>
        <w:rPr>
          <w:rFonts w:hint="eastAsia" w:ascii="宋体" w:hAnsi="宋体" w:cs="宋体"/>
          <w:color w:val="auto"/>
          <w:szCs w:val="21"/>
          <w:highlight w:val="none"/>
          <w:lang w:val="zh-CN"/>
        </w:rPr>
        <w:t>磋商供应商授权委托人姓名（签字）：</w:t>
      </w:r>
    </w:p>
    <w:p w14:paraId="628A11BD">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磋商供应商名称（盖章）:</w:t>
      </w:r>
    </w:p>
    <w:p w14:paraId="13A9862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日期：   年   月   日</w:t>
      </w:r>
    </w:p>
    <w:p w14:paraId="4F6C0F77">
      <w:pPr>
        <w:ind w:firstLine="420"/>
        <w:rPr>
          <w:rFonts w:ascii="宋体" w:hAnsi="宋体" w:cs="宋体"/>
          <w:b/>
          <w:color w:val="auto"/>
          <w:szCs w:val="21"/>
          <w:highlight w:val="none"/>
        </w:rPr>
      </w:pPr>
    </w:p>
    <w:p w14:paraId="51A80164">
      <w:pPr>
        <w:ind w:firstLine="420"/>
        <w:rPr>
          <w:rFonts w:ascii="宋体" w:hAnsi="宋体" w:cs="宋体"/>
          <w:b/>
          <w:color w:val="auto"/>
          <w:szCs w:val="21"/>
          <w:highlight w:val="none"/>
        </w:rPr>
      </w:pPr>
    </w:p>
    <w:p w14:paraId="2E041B8F">
      <w:pPr>
        <w:pStyle w:val="211"/>
        <w:rPr>
          <w:rFonts w:ascii="宋体" w:hAnsi="宋体" w:eastAsia="宋体" w:cs="宋体"/>
          <w:color w:val="auto"/>
          <w:highlight w:val="none"/>
        </w:rPr>
      </w:pPr>
    </w:p>
    <w:p w14:paraId="1FEDA60A">
      <w:pPr>
        <w:jc w:val="left"/>
        <w:outlineLvl w:val="1"/>
        <w:rPr>
          <w:rFonts w:ascii="宋体" w:hAnsi="宋体" w:cs="宋体"/>
          <w:b/>
          <w:color w:val="auto"/>
          <w:szCs w:val="21"/>
          <w:highlight w:val="none"/>
        </w:rPr>
      </w:pPr>
      <w:r>
        <w:rPr>
          <w:rFonts w:hint="eastAsia" w:ascii="宋体" w:hAnsi="宋体" w:cs="宋体"/>
          <w:b/>
          <w:color w:val="auto"/>
          <w:szCs w:val="21"/>
          <w:highlight w:val="none"/>
        </w:rPr>
        <w:br w:type="page" w:clear="all"/>
      </w:r>
      <w:bookmarkStart w:id="677" w:name="_Toc30874"/>
      <w:bookmarkStart w:id="678" w:name="_Toc15591"/>
      <w:r>
        <w:rPr>
          <w:rFonts w:hint="eastAsia" w:ascii="宋体" w:hAnsi="宋体" w:cs="宋体"/>
          <w:b/>
          <w:color w:val="auto"/>
          <w:szCs w:val="21"/>
          <w:highlight w:val="none"/>
        </w:rPr>
        <w:t>附件二、法定代表人授权委托书</w:t>
      </w:r>
      <w:bookmarkEnd w:id="677"/>
      <w:bookmarkEnd w:id="678"/>
    </w:p>
    <w:p w14:paraId="0BB887ED">
      <w:pPr>
        <w:jc w:val="center"/>
        <w:rPr>
          <w:rFonts w:ascii="宋体" w:hAnsi="宋体" w:cs="宋体"/>
          <w:color w:val="auto"/>
          <w:sz w:val="36"/>
          <w:szCs w:val="36"/>
          <w:highlight w:val="none"/>
        </w:rPr>
      </w:pPr>
      <w:bookmarkStart w:id="679" w:name="_Toc503948588"/>
      <w:bookmarkStart w:id="680" w:name="_Toc503948081"/>
    </w:p>
    <w:p w14:paraId="246ABD97">
      <w:pPr>
        <w:jc w:val="center"/>
        <w:rPr>
          <w:rFonts w:ascii="宋体" w:hAnsi="宋体" w:cs="宋体"/>
          <w:b/>
          <w:bCs/>
          <w:color w:val="auto"/>
          <w:sz w:val="24"/>
          <w:highlight w:val="none"/>
        </w:rPr>
      </w:pPr>
      <w:r>
        <w:rPr>
          <w:rFonts w:hint="eastAsia" w:ascii="宋体" w:hAnsi="宋体" w:cs="宋体"/>
          <w:b/>
          <w:bCs/>
          <w:color w:val="auto"/>
          <w:sz w:val="24"/>
          <w:highlight w:val="none"/>
        </w:rPr>
        <w:t>法定代表人授权委托书</w:t>
      </w:r>
      <w:bookmarkEnd w:id="679"/>
      <w:bookmarkEnd w:id="680"/>
    </w:p>
    <w:p w14:paraId="5F086F36">
      <w:pPr>
        <w:widowControl/>
        <w:spacing w:line="360" w:lineRule="auto"/>
        <w:jc w:val="left"/>
        <w:rPr>
          <w:rFonts w:ascii="宋体" w:hAnsi="宋体" w:cs="宋体"/>
          <w:color w:val="auto"/>
          <w:szCs w:val="21"/>
          <w:highlight w:val="none"/>
          <w:lang w:val="zh-CN"/>
        </w:rPr>
      </w:pPr>
    </w:p>
    <w:p w14:paraId="326050FB">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南京市江宁区人民政府汤山街道办事处</w:t>
      </w:r>
      <w:r>
        <w:rPr>
          <w:rFonts w:hint="eastAsia" w:ascii="宋体" w:hAnsi="宋体" w:cs="宋体"/>
          <w:color w:val="auto"/>
          <w:highlight w:val="none"/>
        </w:rPr>
        <w:t>：</w:t>
      </w:r>
    </w:p>
    <w:p w14:paraId="65BF4ED6">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本授权书声明：注册于</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（磋商供应商住址）的</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（磋商供应商名称）法定代表人</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（法定代表人姓名、职务）代表本公司授权在下面签字的</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（磋商供应商代表姓名、职务）为本公司的合法代理人，就贵方组织的</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（项目名称）</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(项目编号）磋商，以本公司名义处理一切与之有关的事务。</w:t>
      </w:r>
    </w:p>
    <w:p w14:paraId="3D349F51">
      <w:pPr>
        <w:widowControl/>
        <w:spacing w:line="360" w:lineRule="auto"/>
        <w:ind w:firstLine="420"/>
        <w:jc w:val="left"/>
        <w:rPr>
          <w:rFonts w:ascii="宋体" w:hAnsi="宋体" w:cs="宋体"/>
          <w:color w:val="auto"/>
          <w:highlight w:val="none"/>
          <w:lang w:val="zh-CN"/>
        </w:rPr>
      </w:pPr>
      <w:r>
        <w:rPr>
          <w:rFonts w:hint="eastAsia" w:ascii="宋体" w:hAnsi="宋体" w:cs="宋体"/>
          <w:color w:val="auto"/>
          <w:szCs w:val="21"/>
          <w:highlight w:val="none"/>
          <w:lang w:val="zh-CN"/>
        </w:rPr>
        <w:t>本授权书于    年  月  日签字生效，特此声明。</w:t>
      </w:r>
    </w:p>
    <w:p w14:paraId="60870D73">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法定代表人签字或盖章：</w:t>
      </w:r>
    </w:p>
    <w:p w14:paraId="3F2EB25D">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授权委托人签字或盖章：                    </w:t>
      </w:r>
    </w:p>
    <w:p w14:paraId="75336C6E">
      <w:pPr>
        <w:widowControl/>
        <w:tabs>
          <w:tab w:val="left" w:pos="1440"/>
        </w:tabs>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265086F8">
      <w:pPr>
        <w:widowControl/>
        <w:spacing w:line="360" w:lineRule="auto"/>
        <w:jc w:val="left"/>
        <w:rPr>
          <w:rFonts w:ascii="宋体" w:hAnsi="宋体" w:cs="宋体"/>
          <w:b/>
          <w:color w:val="auto"/>
          <w:szCs w:val="21"/>
          <w:highlight w:val="none"/>
          <w:lang w:val="zh-CN"/>
        </w:rPr>
      </w:pPr>
      <w:r>
        <w:rPr>
          <w:rFonts w:hint="eastAsia" w:ascii="宋体" w:hAnsi="宋体" w:cs="宋体"/>
          <w:color w:val="auto"/>
          <w:szCs w:val="21"/>
          <w:highlight w:val="none"/>
          <w:lang w:val="zh-CN"/>
        </w:rPr>
        <w:t>（附件：法定代表人身份证复印件、授权委托人身份证复印件、授权委托人社保材料）</w:t>
      </w:r>
    </w:p>
    <w:p w14:paraId="09047C78">
      <w:pPr>
        <w:widowControl/>
        <w:spacing w:line="360" w:lineRule="auto"/>
        <w:jc w:val="left"/>
        <w:outlineLvl w:val="1"/>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bookmarkStart w:id="681" w:name="_Toc25515"/>
      <w:bookmarkStart w:id="682" w:name="_Toc16370"/>
      <w:r>
        <w:rPr>
          <w:rFonts w:hint="eastAsia" w:ascii="宋体" w:hAnsi="宋体" w:cs="宋体"/>
          <w:b/>
          <w:color w:val="auto"/>
          <w:szCs w:val="21"/>
          <w:highlight w:val="none"/>
          <w:lang w:val="zh-CN"/>
        </w:rPr>
        <w:t>附件三、</w:t>
      </w:r>
      <w:bookmarkEnd w:id="681"/>
      <w:r>
        <w:rPr>
          <w:rFonts w:hint="eastAsia" w:ascii="宋体" w:hAnsi="宋体" w:cs="宋体"/>
          <w:b/>
          <w:color w:val="auto"/>
          <w:szCs w:val="21"/>
          <w:highlight w:val="none"/>
          <w:lang w:val="zh-CN"/>
        </w:rPr>
        <w:t>磋商报价汇总表</w:t>
      </w:r>
      <w:bookmarkEnd w:id="682"/>
    </w:p>
    <w:p w14:paraId="028CBD17">
      <w:pPr>
        <w:spacing w:line="440" w:lineRule="exact"/>
        <w:jc w:val="center"/>
        <w:rPr>
          <w:rFonts w:hint="eastAsia" w:ascii="宋体" w:hAnsi="宋体"/>
          <w:b/>
          <w:sz w:val="22"/>
          <w:szCs w:val="22"/>
          <w:highlight w:val="none"/>
          <w:lang w:eastAsia="zh-CN"/>
        </w:rPr>
      </w:pPr>
      <w:r>
        <w:rPr>
          <w:rFonts w:hint="eastAsia" w:ascii="宋体" w:hAnsi="宋体"/>
          <w:b/>
          <w:sz w:val="22"/>
          <w:szCs w:val="22"/>
          <w:highlight w:val="none"/>
          <w:lang w:eastAsia="zh-CN"/>
        </w:rPr>
        <w:t>磋商报价汇总表</w:t>
      </w:r>
    </w:p>
    <w:p w14:paraId="19EB3D41">
      <w:pPr>
        <w:rPr>
          <w:rFonts w:hint="eastAsia" w:ascii="宋体" w:hAnsi="宋体"/>
          <w:b/>
          <w:sz w:val="22"/>
          <w:szCs w:val="22"/>
          <w:highlight w:val="none"/>
          <w:lang w:eastAsia="zh-CN"/>
        </w:rPr>
      </w:pPr>
    </w:p>
    <w:p w14:paraId="29C496A5">
      <w:pPr>
        <w:rPr>
          <w:rFonts w:hint="eastAsia" w:ascii="宋体" w:hAnsi="宋体"/>
          <w:b/>
          <w:bCs/>
          <w:sz w:val="22"/>
          <w:szCs w:val="22"/>
          <w:highlight w:val="none"/>
          <w:lang w:eastAsia="zh-CN"/>
        </w:rPr>
      </w:pPr>
      <w:r>
        <w:rPr>
          <w:rFonts w:hint="eastAsia" w:ascii="宋体" w:hAnsi="宋体"/>
          <w:b/>
          <w:sz w:val="22"/>
          <w:szCs w:val="22"/>
          <w:highlight w:val="none"/>
          <w:lang w:eastAsia="zh-CN"/>
        </w:rPr>
        <w:t>项目名称：</w:t>
      </w:r>
    </w:p>
    <w:p w14:paraId="4DA90283">
      <w:pPr>
        <w:rPr>
          <w:rFonts w:hint="eastAsia" w:ascii="宋体" w:hAnsi="宋体"/>
          <w:b/>
          <w:sz w:val="22"/>
          <w:szCs w:val="22"/>
          <w:highlight w:val="none"/>
        </w:rPr>
      </w:pPr>
    </w:p>
    <w:p w14:paraId="1713F055">
      <w:pPr>
        <w:rPr>
          <w:rFonts w:hint="eastAsia" w:ascii="宋体" w:hAnsi="宋体"/>
          <w:b/>
          <w:sz w:val="22"/>
          <w:szCs w:val="22"/>
          <w:highlight w:val="none"/>
          <w:lang w:eastAsia="zh-CN"/>
        </w:rPr>
      </w:pPr>
      <w:r>
        <w:rPr>
          <w:rFonts w:hint="eastAsia" w:ascii="宋体" w:hAnsi="宋体"/>
          <w:b/>
          <w:sz w:val="22"/>
          <w:szCs w:val="22"/>
          <w:highlight w:val="none"/>
        </w:rPr>
        <w:t>项目编号:</w:t>
      </w:r>
      <w:r>
        <w:rPr>
          <w:rFonts w:hint="eastAsia" w:ascii="宋体" w:hAnsi="宋体"/>
          <w:b/>
          <w:bCs/>
          <w:sz w:val="22"/>
          <w:szCs w:val="22"/>
          <w:highlight w:val="none"/>
        </w:rPr>
        <w:t xml:space="preserve"> </w:t>
      </w:r>
    </w:p>
    <w:tbl>
      <w:tblPr>
        <w:tblStyle w:val="32"/>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9"/>
        <w:gridCol w:w="6542"/>
      </w:tblGrid>
      <w:tr w14:paraId="6B52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929" w:type="dxa"/>
            <w:noWrap w:val="0"/>
            <w:vAlign w:val="center"/>
          </w:tcPr>
          <w:p w14:paraId="1560A104">
            <w:pPr>
              <w:spacing w:line="560" w:lineRule="exact"/>
              <w:jc w:val="center"/>
              <w:rPr>
                <w:rFonts w:hint="eastAsia" w:ascii="宋体" w:hAnsi="宋体" w:cs="宋体"/>
                <w:b/>
                <w:bCs/>
                <w:sz w:val="22"/>
                <w:szCs w:val="22"/>
                <w:highlight w:val="none"/>
              </w:rPr>
            </w:pPr>
            <w:r>
              <w:rPr>
                <w:rFonts w:ascii="宋体" w:hAnsi="宋体" w:cs="宋体"/>
                <w:b/>
                <w:bCs/>
                <w:sz w:val="22"/>
                <w:szCs w:val="22"/>
                <w:highlight w:val="none"/>
              </w:rPr>
              <w:t>磋商报价</w:t>
            </w:r>
          </w:p>
        </w:tc>
        <w:tc>
          <w:tcPr>
            <w:tcW w:w="6542" w:type="dxa"/>
            <w:noWrap w:val="0"/>
            <w:vAlign w:val="center"/>
          </w:tcPr>
          <w:p w14:paraId="77DFF104">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大写：人民币</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元</w:t>
            </w:r>
          </w:p>
          <w:p w14:paraId="7BA1E574">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小写：</w:t>
            </w:r>
            <w:r>
              <w:rPr>
                <w:rFonts w:hint="eastAsia" w:ascii="宋体" w:hAnsi="宋体" w:cs="宋体"/>
                <w:bCs/>
                <w:sz w:val="22"/>
                <w:szCs w:val="22"/>
                <w:highlight w:val="none"/>
                <w:lang w:val="en-US" w:eastAsia="zh-CN"/>
              </w:rPr>
              <w:t>¥</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元</w:t>
            </w:r>
          </w:p>
        </w:tc>
      </w:tr>
      <w:tr w14:paraId="0CC0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2929" w:type="dxa"/>
            <w:noWrap w:val="0"/>
            <w:vAlign w:val="center"/>
          </w:tcPr>
          <w:p w14:paraId="127EFCA0">
            <w:pPr>
              <w:spacing w:line="560" w:lineRule="exact"/>
              <w:jc w:val="center"/>
              <w:rPr>
                <w:rFonts w:hint="eastAsia" w:ascii="宋体" w:hAnsi="宋体" w:cs="宋体"/>
                <w:b/>
                <w:bCs/>
                <w:sz w:val="22"/>
                <w:szCs w:val="22"/>
                <w:highlight w:val="none"/>
              </w:rPr>
            </w:pPr>
            <w:r>
              <w:rPr>
                <w:rFonts w:hint="eastAsia" w:ascii="宋体" w:hAnsi="宋体" w:cs="宋体"/>
                <w:b/>
                <w:bCs/>
                <w:sz w:val="22"/>
                <w:szCs w:val="22"/>
                <w:highlight w:val="none"/>
              </w:rPr>
              <w:t>合同履行期限</w:t>
            </w:r>
          </w:p>
        </w:tc>
        <w:tc>
          <w:tcPr>
            <w:tcW w:w="6542" w:type="dxa"/>
            <w:noWrap w:val="0"/>
            <w:vAlign w:val="center"/>
          </w:tcPr>
          <w:p w14:paraId="718095FC">
            <w:pPr>
              <w:spacing w:line="560" w:lineRule="exact"/>
              <w:rPr>
                <w:rFonts w:hint="eastAsia" w:ascii="宋体" w:hAnsi="宋体" w:cs="宋体"/>
                <w:bCs/>
                <w:sz w:val="22"/>
                <w:szCs w:val="22"/>
                <w:highlight w:val="none"/>
              </w:rPr>
            </w:pPr>
          </w:p>
        </w:tc>
      </w:tr>
      <w:tr w14:paraId="362F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929" w:type="dxa"/>
            <w:noWrap w:val="0"/>
            <w:vAlign w:val="center"/>
          </w:tcPr>
          <w:p w14:paraId="282A57BE">
            <w:pPr>
              <w:spacing w:line="560" w:lineRule="exact"/>
              <w:jc w:val="center"/>
              <w:rPr>
                <w:rFonts w:hint="eastAsia" w:ascii="宋体" w:hAnsi="宋体" w:cs="宋体"/>
                <w:b/>
                <w:bCs/>
                <w:sz w:val="22"/>
                <w:szCs w:val="22"/>
                <w:highlight w:val="none"/>
              </w:rPr>
            </w:pPr>
            <w:r>
              <w:rPr>
                <w:rFonts w:ascii="宋体" w:hAnsi="宋体" w:cs="宋体"/>
                <w:b/>
                <w:bCs/>
                <w:sz w:val="22"/>
                <w:szCs w:val="22"/>
                <w:highlight w:val="none"/>
              </w:rPr>
              <w:t>响应文件份数</w:t>
            </w:r>
          </w:p>
        </w:tc>
        <w:tc>
          <w:tcPr>
            <w:tcW w:w="6542" w:type="dxa"/>
            <w:noWrap w:val="0"/>
            <w:vAlign w:val="center"/>
          </w:tcPr>
          <w:p w14:paraId="3D963D3A">
            <w:pPr>
              <w:spacing w:line="560" w:lineRule="exact"/>
              <w:rPr>
                <w:rFonts w:hint="eastAsia" w:ascii="宋体" w:hAnsi="宋体" w:cs="宋体"/>
                <w:bCs/>
                <w:sz w:val="22"/>
                <w:szCs w:val="22"/>
                <w:highlight w:val="none"/>
                <w:lang w:eastAsia="zh-CN"/>
              </w:rPr>
            </w:pPr>
          </w:p>
        </w:tc>
      </w:tr>
      <w:tr w14:paraId="7790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2929" w:type="dxa"/>
            <w:noWrap w:val="0"/>
            <w:vAlign w:val="center"/>
          </w:tcPr>
          <w:p w14:paraId="72D89F05">
            <w:pPr>
              <w:spacing w:line="560" w:lineRule="exact"/>
              <w:jc w:val="center"/>
              <w:rPr>
                <w:rFonts w:hint="eastAsia" w:ascii="宋体" w:hAnsi="宋体" w:cs="宋体"/>
                <w:b/>
                <w:bCs/>
                <w:sz w:val="22"/>
                <w:szCs w:val="22"/>
                <w:highlight w:val="none"/>
              </w:rPr>
            </w:pPr>
            <w:r>
              <w:rPr>
                <w:rFonts w:ascii="宋体" w:hAnsi="宋体" w:cs="宋体"/>
                <w:b/>
                <w:bCs/>
                <w:sz w:val="22"/>
                <w:szCs w:val="22"/>
                <w:highlight w:val="none"/>
              </w:rPr>
              <w:t>磋商有效期</w:t>
            </w:r>
          </w:p>
        </w:tc>
        <w:tc>
          <w:tcPr>
            <w:tcW w:w="6542" w:type="dxa"/>
            <w:noWrap w:val="0"/>
            <w:vAlign w:val="center"/>
          </w:tcPr>
          <w:p w14:paraId="53C51602">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90日历天</w:t>
            </w:r>
          </w:p>
        </w:tc>
      </w:tr>
      <w:tr w14:paraId="1F22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5C5DC0">
            <w:pPr>
              <w:spacing w:line="560" w:lineRule="exact"/>
              <w:jc w:val="center"/>
              <w:rPr>
                <w:rFonts w:hint="eastAsia" w:ascii="宋体" w:hAnsi="宋体" w:cs="宋体"/>
                <w:b/>
                <w:bCs/>
                <w:sz w:val="22"/>
                <w:szCs w:val="22"/>
                <w:highlight w:val="none"/>
              </w:rPr>
            </w:pPr>
            <w:r>
              <w:rPr>
                <w:rFonts w:hint="eastAsia" w:ascii="宋体" w:hAnsi="宋体" w:cs="宋体"/>
                <w:b/>
                <w:bCs/>
                <w:sz w:val="22"/>
                <w:szCs w:val="22"/>
                <w:highlight w:val="none"/>
              </w:rPr>
              <w:t>是否属于小微型企业</w:t>
            </w:r>
          </w:p>
        </w:tc>
        <w:tc>
          <w:tcPr>
            <w:tcW w:w="6542" w:type="dxa"/>
            <w:noWrap w:val="0"/>
            <w:vAlign w:val="center"/>
          </w:tcPr>
          <w:p w14:paraId="123248A6">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（填写“是”或“否”）</w:t>
            </w:r>
          </w:p>
        </w:tc>
      </w:tr>
      <w:tr w14:paraId="42CE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224D5BB">
            <w:pPr>
              <w:spacing w:line="560" w:lineRule="exact"/>
              <w:jc w:val="center"/>
              <w:rPr>
                <w:rFonts w:hint="eastAsia" w:ascii="宋体" w:hAnsi="宋体" w:cs="宋体"/>
                <w:b/>
                <w:bCs/>
                <w:sz w:val="22"/>
                <w:szCs w:val="22"/>
                <w:highlight w:val="none"/>
              </w:rPr>
            </w:pPr>
            <w:r>
              <w:rPr>
                <w:rFonts w:hint="eastAsia" w:ascii="宋体" w:hAnsi="宋体" w:cs="宋体"/>
                <w:b/>
                <w:bCs/>
                <w:sz w:val="22"/>
                <w:szCs w:val="22"/>
                <w:highlight w:val="none"/>
              </w:rPr>
              <w:t>是否属于监狱企业</w:t>
            </w:r>
          </w:p>
        </w:tc>
        <w:tc>
          <w:tcPr>
            <w:tcW w:w="6542" w:type="dxa"/>
            <w:noWrap w:val="0"/>
            <w:vAlign w:val="center"/>
          </w:tcPr>
          <w:p w14:paraId="43130EE1">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（填写“是”或“否”）</w:t>
            </w:r>
          </w:p>
        </w:tc>
      </w:tr>
      <w:tr w14:paraId="68F0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463801">
            <w:pPr>
              <w:spacing w:line="560" w:lineRule="exact"/>
              <w:jc w:val="center"/>
              <w:rPr>
                <w:rFonts w:hint="eastAsia" w:ascii="宋体" w:hAnsi="宋体" w:cs="宋体"/>
                <w:b/>
                <w:bCs/>
                <w:sz w:val="22"/>
                <w:szCs w:val="22"/>
                <w:highlight w:val="none"/>
              </w:rPr>
            </w:pPr>
            <w:r>
              <w:rPr>
                <w:rFonts w:hint="eastAsia" w:ascii="宋体" w:hAnsi="宋体" w:cs="宋体"/>
                <w:b/>
                <w:bCs/>
                <w:sz w:val="22"/>
                <w:szCs w:val="22"/>
                <w:highlight w:val="none"/>
              </w:rPr>
              <w:t>是否属于残疾人企业</w:t>
            </w:r>
          </w:p>
        </w:tc>
        <w:tc>
          <w:tcPr>
            <w:tcW w:w="6542" w:type="dxa"/>
            <w:noWrap w:val="0"/>
            <w:vAlign w:val="center"/>
          </w:tcPr>
          <w:p w14:paraId="0E94AE22">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（填写“是”或“否”）</w:t>
            </w:r>
          </w:p>
        </w:tc>
      </w:tr>
      <w:tr w14:paraId="7E21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0BC1093">
            <w:pPr>
              <w:spacing w:line="560" w:lineRule="exact"/>
              <w:jc w:val="center"/>
              <w:rPr>
                <w:rFonts w:hint="eastAsia" w:ascii="宋体" w:hAnsi="宋体" w:cs="宋体"/>
                <w:b/>
                <w:bCs/>
                <w:sz w:val="22"/>
                <w:szCs w:val="22"/>
                <w:highlight w:val="none"/>
              </w:rPr>
            </w:pPr>
            <w:r>
              <w:rPr>
                <w:rFonts w:hint="eastAsia" w:ascii="宋体" w:hAnsi="宋体" w:cs="宋体"/>
                <w:b/>
                <w:bCs/>
                <w:sz w:val="22"/>
                <w:szCs w:val="22"/>
                <w:highlight w:val="none"/>
              </w:rPr>
              <w:t>其它</w:t>
            </w:r>
          </w:p>
        </w:tc>
        <w:tc>
          <w:tcPr>
            <w:tcW w:w="6542" w:type="dxa"/>
            <w:noWrap w:val="0"/>
            <w:vAlign w:val="center"/>
          </w:tcPr>
          <w:p w14:paraId="5265EB04">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（如有其他优惠条件须在此注明）</w:t>
            </w:r>
          </w:p>
        </w:tc>
      </w:tr>
    </w:tbl>
    <w:p w14:paraId="4ABC8AF5">
      <w:pPr>
        <w:pStyle w:val="2"/>
        <w:rPr>
          <w:highlight w:val="none"/>
          <w:lang w:val="zh-CN"/>
        </w:rPr>
      </w:pPr>
    </w:p>
    <w:p w14:paraId="525E6C2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sz w:val="22"/>
          <w:szCs w:val="22"/>
          <w:highlight w:val="none"/>
          <w:lang w:eastAsia="zh-CN"/>
        </w:rPr>
      </w:pPr>
      <w:r>
        <w:rPr>
          <w:rFonts w:ascii="宋体" w:hAnsi="宋体"/>
          <w:sz w:val="22"/>
          <w:szCs w:val="22"/>
          <w:highlight w:val="none"/>
          <w:lang w:eastAsia="zh-CN"/>
        </w:rPr>
        <w:t>说明</w:t>
      </w:r>
      <w:r>
        <w:rPr>
          <w:rFonts w:hint="eastAsia" w:ascii="宋体" w:hAnsi="宋体"/>
          <w:sz w:val="22"/>
          <w:szCs w:val="22"/>
          <w:highlight w:val="none"/>
          <w:lang w:eastAsia="zh-CN"/>
        </w:rPr>
        <w:t>：</w:t>
      </w:r>
    </w:p>
    <w:p w14:paraId="12DF10D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sz w:val="22"/>
          <w:szCs w:val="22"/>
          <w:highlight w:val="none"/>
          <w:lang w:eastAsia="zh-CN"/>
        </w:rPr>
      </w:pPr>
      <w:r>
        <w:rPr>
          <w:rFonts w:hint="eastAsia" w:ascii="宋体" w:hAnsi="宋体"/>
          <w:sz w:val="22"/>
          <w:szCs w:val="22"/>
          <w:highlight w:val="none"/>
          <w:lang w:eastAsia="zh-CN"/>
        </w:rPr>
        <w:t>1、采购人对每一项货物和服务仅接受一个价格，不得填报有选择性报价方案。若有优惠条款须注明，但不得影响报价，影响产品整体功能。</w:t>
      </w:r>
    </w:p>
    <w:p w14:paraId="459BEB4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sz w:val="22"/>
          <w:szCs w:val="22"/>
          <w:highlight w:val="none"/>
          <w:lang w:eastAsia="zh-CN"/>
        </w:rPr>
      </w:pPr>
      <w:r>
        <w:rPr>
          <w:rFonts w:hint="eastAsia" w:ascii="宋体" w:hAnsi="宋体"/>
          <w:sz w:val="22"/>
          <w:szCs w:val="22"/>
          <w:highlight w:val="none"/>
          <w:lang w:eastAsia="zh-CN"/>
        </w:rPr>
        <w:t>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p>
    <w:p w14:paraId="2CCCB6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Cs w:val="21"/>
          <w:highlight w:val="none"/>
        </w:rPr>
      </w:pPr>
      <w:r>
        <w:rPr>
          <w:rFonts w:hint="eastAsia" w:ascii="宋体" w:hAnsi="宋体"/>
          <w:sz w:val="22"/>
          <w:szCs w:val="22"/>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p>
    <w:p w14:paraId="7C44B8D1">
      <w:pPr>
        <w:tabs>
          <w:tab w:val="left" w:pos="1379"/>
          <w:tab w:val="left" w:pos="2219"/>
          <w:tab w:val="left" w:pos="2848"/>
          <w:tab w:val="left" w:pos="3374"/>
        </w:tabs>
        <w:ind w:left="4410"/>
        <w:rPr>
          <w:rFonts w:hint="eastAsia" w:ascii="宋体" w:hAnsi="宋体" w:cs="宋体"/>
          <w:color w:val="auto"/>
          <w:szCs w:val="21"/>
          <w:highlight w:val="none"/>
        </w:rPr>
      </w:pPr>
    </w:p>
    <w:p w14:paraId="2B5F1D6D">
      <w:pPr>
        <w:tabs>
          <w:tab w:val="left" w:pos="1379"/>
          <w:tab w:val="left" w:pos="2219"/>
          <w:tab w:val="left" w:pos="2848"/>
          <w:tab w:val="left" w:pos="3374"/>
        </w:tabs>
        <w:ind w:left="4410" w:firstLine="630" w:firstLineChars="300"/>
        <w:rPr>
          <w:rFonts w:ascii="宋体" w:hAnsi="宋体" w:cs="宋体"/>
          <w:color w:val="auto"/>
          <w:szCs w:val="21"/>
          <w:highlight w:val="none"/>
          <w:lang w:val="zh-CN" w:bidi="zh-CN"/>
        </w:rPr>
      </w:pPr>
      <w:r>
        <w:rPr>
          <w:rFonts w:hint="eastAsia" w:ascii="宋体" w:hAnsi="宋体" w:cs="宋体"/>
          <w:color w:val="auto"/>
          <w:szCs w:val="21"/>
          <w:highlight w:val="none"/>
        </w:rPr>
        <w:t>投标单位</w:t>
      </w:r>
      <w:r>
        <w:rPr>
          <w:rFonts w:hint="eastAsia" w:ascii="宋体" w:hAnsi="宋体" w:cs="宋体"/>
          <w:color w:val="auto"/>
          <w:szCs w:val="21"/>
          <w:highlight w:val="none"/>
          <w:lang w:val="zh-CN" w:bidi="zh-CN"/>
        </w:rPr>
        <w:t xml:space="preserve">（盖章）： </w:t>
      </w:r>
    </w:p>
    <w:p w14:paraId="098DB7FF">
      <w:pPr>
        <w:tabs>
          <w:tab w:val="left" w:pos="1379"/>
          <w:tab w:val="left" w:pos="2219"/>
          <w:tab w:val="left" w:pos="2848"/>
          <w:tab w:val="left" w:pos="3374"/>
        </w:tabs>
        <w:ind w:left="4410"/>
        <w:rPr>
          <w:rFonts w:ascii="宋体" w:hAnsi="宋体" w:cs="宋体"/>
          <w:color w:val="auto"/>
          <w:szCs w:val="21"/>
          <w:highlight w:val="none"/>
          <w:lang w:val="zh-CN" w:bidi="zh-CN"/>
        </w:rPr>
      </w:pPr>
    </w:p>
    <w:p w14:paraId="04AE81F2">
      <w:pPr>
        <w:tabs>
          <w:tab w:val="left" w:pos="1379"/>
          <w:tab w:val="left" w:pos="2219"/>
          <w:tab w:val="left" w:pos="2848"/>
          <w:tab w:val="left" w:pos="3374"/>
        </w:tabs>
        <w:ind w:left="4410" w:firstLine="630" w:firstLineChars="300"/>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授权委托人</w:t>
      </w:r>
      <w:r>
        <w:rPr>
          <w:rFonts w:hint="eastAsia" w:ascii="宋体" w:hAnsi="宋体" w:cs="宋体"/>
          <w:color w:val="auto"/>
          <w:szCs w:val="21"/>
          <w:highlight w:val="none"/>
        </w:rPr>
        <w:t>（签字）</w:t>
      </w:r>
      <w:r>
        <w:rPr>
          <w:rFonts w:hint="eastAsia" w:ascii="宋体" w:hAnsi="宋体" w:cs="宋体"/>
          <w:color w:val="auto"/>
          <w:szCs w:val="21"/>
          <w:highlight w:val="none"/>
          <w:lang w:val="zh-CN" w:bidi="zh-CN"/>
        </w:rPr>
        <w:t>：</w:t>
      </w:r>
    </w:p>
    <w:p w14:paraId="013E2565">
      <w:pPr>
        <w:tabs>
          <w:tab w:val="left" w:pos="1379"/>
          <w:tab w:val="left" w:pos="2219"/>
          <w:tab w:val="left" w:pos="2848"/>
          <w:tab w:val="left" w:pos="3374"/>
        </w:tabs>
        <w:ind w:left="4410"/>
        <w:rPr>
          <w:rFonts w:ascii="宋体" w:hAnsi="宋体" w:cs="宋体"/>
          <w:color w:val="auto"/>
          <w:szCs w:val="21"/>
          <w:highlight w:val="none"/>
          <w:lang w:val="zh-CN"/>
        </w:rPr>
      </w:pPr>
    </w:p>
    <w:p w14:paraId="490BA86F">
      <w:pPr>
        <w:tabs>
          <w:tab w:val="left" w:pos="1379"/>
          <w:tab w:val="left" w:pos="2219"/>
          <w:tab w:val="left" w:pos="2848"/>
          <w:tab w:val="left" w:pos="3374"/>
        </w:tabs>
        <w:ind w:left="4410" w:firstLine="630" w:firstLineChars="300"/>
        <w:rPr>
          <w:rFonts w:ascii="宋体" w:hAnsi="宋体" w:cs="宋体"/>
          <w:color w:val="auto"/>
          <w:szCs w:val="21"/>
          <w:highlight w:val="none"/>
          <w:lang w:val="zh-CN"/>
        </w:rPr>
      </w:pPr>
      <w:r>
        <w:rPr>
          <w:rFonts w:hint="eastAsia" w:ascii="宋体" w:hAnsi="宋体" w:cs="宋体"/>
          <w:color w:val="auto"/>
          <w:szCs w:val="21"/>
          <w:highlight w:val="none"/>
          <w:lang w:val="zh-CN"/>
        </w:rPr>
        <w:t>日期：  年 月 日</w:t>
      </w:r>
    </w:p>
    <w:p w14:paraId="7981C604">
      <w:pPr>
        <w:widowControl/>
        <w:spacing w:line="360" w:lineRule="auto"/>
        <w:jc w:val="left"/>
        <w:rPr>
          <w:rFonts w:ascii="宋体" w:hAnsi="宋体" w:cs="宋体"/>
          <w:color w:val="auto"/>
          <w:szCs w:val="21"/>
          <w:highlight w:val="none"/>
          <w:lang w:val="zh-CN"/>
        </w:rPr>
      </w:pPr>
    </w:p>
    <w:p w14:paraId="2BE12EFC">
      <w:pPr>
        <w:rPr>
          <w:rFonts w:ascii="宋体" w:hAnsi="宋体" w:cs="宋体"/>
          <w:color w:val="auto"/>
          <w:highlight w:val="none"/>
          <w:lang w:val="zh-CN"/>
        </w:rPr>
      </w:pPr>
    </w:p>
    <w:p w14:paraId="0B1EAA0B">
      <w:pPr>
        <w:widowControl/>
        <w:outlineLvl w:val="1"/>
        <w:rPr>
          <w:rFonts w:ascii="宋体" w:hAnsi="宋体" w:cs="宋体"/>
          <w:b/>
          <w:color w:val="auto"/>
          <w:szCs w:val="21"/>
          <w:highlight w:val="none"/>
        </w:rPr>
      </w:pPr>
      <w:bookmarkStart w:id="683" w:name="_Toc14790"/>
      <w:bookmarkStart w:id="684" w:name="_Toc4160"/>
      <w:r>
        <w:rPr>
          <w:rFonts w:hint="eastAsia" w:ascii="宋体" w:hAnsi="宋体" w:cs="宋体"/>
          <w:b/>
          <w:color w:val="auto"/>
          <w:szCs w:val="21"/>
          <w:highlight w:val="none"/>
          <w:lang w:val="zh-CN"/>
        </w:rPr>
        <w:t>附件</w:t>
      </w:r>
      <w:r>
        <w:rPr>
          <w:rFonts w:hint="eastAsia" w:ascii="宋体" w:hAnsi="宋体" w:cs="宋体"/>
          <w:b/>
          <w:bCs/>
          <w:color w:val="auto"/>
          <w:szCs w:val="21"/>
          <w:highlight w:val="none"/>
        </w:rPr>
        <w:t>四</w:t>
      </w:r>
      <w:r>
        <w:rPr>
          <w:rFonts w:hint="eastAsia" w:ascii="宋体" w:hAnsi="宋体" w:cs="宋体"/>
          <w:b/>
          <w:color w:val="auto"/>
          <w:szCs w:val="21"/>
          <w:highlight w:val="none"/>
          <w:lang w:val="zh-CN"/>
        </w:rPr>
        <w:t>、</w:t>
      </w:r>
      <w:bookmarkEnd w:id="683"/>
      <w:r>
        <w:rPr>
          <w:rFonts w:hint="eastAsia" w:ascii="宋体" w:hAnsi="宋体" w:cs="宋体"/>
          <w:b/>
          <w:color w:val="auto"/>
          <w:szCs w:val="21"/>
          <w:highlight w:val="none"/>
          <w:lang w:val="zh-CN"/>
        </w:rPr>
        <w:t>清单报价表</w:t>
      </w:r>
      <w:bookmarkEnd w:id="684"/>
    </w:p>
    <w:p w14:paraId="19677817">
      <w:pPr>
        <w:ind w:firstLine="405"/>
        <w:rPr>
          <w:rFonts w:ascii="宋体" w:hAnsi="宋体" w:cs="宋体"/>
          <w:color w:val="auto"/>
          <w:szCs w:val="21"/>
          <w:highlight w:val="none"/>
        </w:rPr>
      </w:pPr>
    </w:p>
    <w:p w14:paraId="5E2E1C14">
      <w:pPr>
        <w:widowControl/>
        <w:shd w:val="clear" w:color="auto" w:fill="FFFFFF"/>
        <w:spacing w:line="360" w:lineRule="auto"/>
        <w:ind w:left="20" w:firstLine="420"/>
        <w:jc w:val="center"/>
        <w:rPr>
          <w:rFonts w:ascii="宋体" w:hAnsi="宋体" w:cs="宋体"/>
          <w:color w:val="auto"/>
          <w:szCs w:val="21"/>
          <w:highlight w:val="none"/>
        </w:rPr>
      </w:pPr>
      <w:r>
        <w:rPr>
          <w:rFonts w:hint="eastAsia" w:ascii="宋体" w:hAnsi="宋体" w:cs="宋体"/>
          <w:color w:val="auto"/>
          <w:szCs w:val="21"/>
          <w:highlight w:val="none"/>
        </w:rPr>
        <w:t>（供应商根据本项目工程的工程量清单编制）</w:t>
      </w:r>
    </w:p>
    <w:p w14:paraId="5D1D4798">
      <w:pPr>
        <w:widowControl/>
        <w:shd w:val="clear" w:color="auto" w:fill="FFFFFF"/>
        <w:spacing w:line="360" w:lineRule="auto"/>
        <w:ind w:left="20" w:firstLine="420"/>
        <w:jc w:val="center"/>
        <w:rPr>
          <w:rFonts w:ascii="宋体" w:hAnsi="宋体" w:cs="宋体"/>
          <w:color w:val="auto"/>
          <w:szCs w:val="21"/>
          <w:highlight w:val="none"/>
        </w:rPr>
      </w:pPr>
      <w:r>
        <w:rPr>
          <w:rFonts w:hint="eastAsia" w:ascii="宋体" w:hAnsi="宋体" w:cs="宋体"/>
          <w:color w:val="auto"/>
          <w:szCs w:val="21"/>
          <w:highlight w:val="none"/>
        </w:rPr>
        <w:t>（格式自拟）</w:t>
      </w:r>
    </w:p>
    <w:p w14:paraId="60BFE364">
      <w:pPr>
        <w:widowControl/>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说明：</w:t>
      </w:r>
    </w:p>
    <w:p w14:paraId="16331A94">
      <w:pPr>
        <w:widowControl/>
        <w:jc w:val="left"/>
        <w:rPr>
          <w:rFonts w:ascii="宋体" w:hAnsi="宋体" w:cs="宋体"/>
          <w:b/>
          <w:color w:val="auto"/>
          <w:szCs w:val="21"/>
          <w:highlight w:val="none"/>
          <w:lang w:val="zh-CN"/>
        </w:rPr>
      </w:pPr>
      <w:bookmarkStart w:id="685" w:name="_Toc7587"/>
      <w:bookmarkStart w:id="686" w:name="_Toc25340"/>
      <w:bookmarkStart w:id="687" w:name="_Toc22013"/>
      <w:r>
        <w:rPr>
          <w:rFonts w:hint="eastAsia" w:ascii="宋体" w:hAnsi="宋体" w:cs="宋体"/>
          <w:b/>
          <w:color w:val="auto"/>
          <w:szCs w:val="21"/>
          <w:highlight w:val="none"/>
          <w:lang w:val="zh-CN"/>
        </w:rPr>
        <w:t>1.不提供此表格的将视为没有实质性响应磋商文件。</w:t>
      </w:r>
      <w:bookmarkEnd w:id="685"/>
      <w:bookmarkEnd w:id="686"/>
      <w:bookmarkEnd w:id="687"/>
    </w:p>
    <w:p w14:paraId="56D8E9BE">
      <w:pPr>
        <w:widowControl/>
        <w:ind w:firstLine="5060"/>
        <w:rPr>
          <w:rFonts w:ascii="宋体" w:hAnsi="宋体" w:cs="宋体"/>
          <w:b/>
          <w:color w:val="auto"/>
          <w:szCs w:val="21"/>
          <w:highlight w:val="none"/>
          <w:lang w:val="zh-CN"/>
        </w:rPr>
      </w:pPr>
    </w:p>
    <w:p w14:paraId="7FDDE33B">
      <w:pPr>
        <w:spacing w:line="360" w:lineRule="auto"/>
        <w:ind w:right="290"/>
        <w:outlineLvl w:val="1"/>
        <w:rPr>
          <w:rFonts w:ascii="宋体" w:hAnsi="宋体" w:cs="宋体"/>
          <w:color w:val="auto"/>
          <w:sz w:val="24"/>
          <w:highlight w:val="none"/>
          <w:lang w:val="zh-CN"/>
        </w:rPr>
      </w:pPr>
      <w:r>
        <w:rPr>
          <w:rFonts w:hint="eastAsia" w:ascii="宋体" w:hAnsi="宋体" w:cs="宋体"/>
          <w:b/>
          <w:bCs/>
          <w:color w:val="auto"/>
          <w:szCs w:val="21"/>
          <w:highlight w:val="none"/>
          <w:lang w:val="zh-CN"/>
        </w:rPr>
        <w:br w:type="page" w:clear="all"/>
      </w:r>
      <w:bookmarkStart w:id="688" w:name="_Toc10550"/>
      <w:bookmarkStart w:id="689" w:name="_Toc20596"/>
      <w:r>
        <w:rPr>
          <w:rFonts w:hint="eastAsia" w:ascii="宋体" w:hAnsi="宋体" w:cs="宋体"/>
          <w:b/>
          <w:color w:val="auto"/>
          <w:szCs w:val="21"/>
          <w:highlight w:val="none"/>
          <w:lang w:val="zh-CN"/>
        </w:rPr>
        <w:t>附件五、商务条款响应表</w:t>
      </w:r>
      <w:bookmarkEnd w:id="688"/>
      <w:bookmarkEnd w:id="689"/>
    </w:p>
    <w:p w14:paraId="5D1FF41F">
      <w:pPr>
        <w:ind w:left="223"/>
        <w:jc w:val="left"/>
        <w:rPr>
          <w:rFonts w:ascii="宋体" w:hAnsi="宋体" w:cs="宋体"/>
          <w:color w:val="auto"/>
          <w:sz w:val="24"/>
          <w:highlight w:val="none"/>
          <w:lang w:val="zh-CN"/>
        </w:rPr>
      </w:pPr>
    </w:p>
    <w:p w14:paraId="3EE5AC45">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商务条款响应表</w:t>
      </w:r>
    </w:p>
    <w:p w14:paraId="15B11272">
      <w:pPr>
        <w:ind w:left="223"/>
        <w:jc w:val="left"/>
        <w:rPr>
          <w:rFonts w:ascii="宋体" w:hAnsi="宋体" w:cs="宋体"/>
          <w:color w:val="auto"/>
          <w:sz w:val="24"/>
          <w:highlight w:val="none"/>
          <w:lang w:val="zh-CN" w:bidi="zh-CN"/>
        </w:rPr>
      </w:pPr>
    </w:p>
    <w:p w14:paraId="1BE2A268">
      <w:pPr>
        <w:ind w:left="223"/>
        <w:jc w:val="left"/>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项目编号：</w:t>
      </w:r>
    </w:p>
    <w:p w14:paraId="16C8C659">
      <w:pPr>
        <w:spacing w:before="119"/>
        <w:ind w:left="223"/>
        <w:rPr>
          <w:rFonts w:ascii="宋体" w:hAnsi="宋体" w:cs="宋体"/>
          <w:color w:val="auto"/>
          <w:szCs w:val="21"/>
          <w:highlight w:val="none"/>
          <w:lang w:val="zh-CN"/>
        </w:rPr>
      </w:pPr>
      <w:r>
        <w:rPr>
          <w:rFonts w:hint="eastAsia" w:ascii="宋体" w:hAnsi="宋体" w:cs="宋体"/>
          <w:color w:val="auto"/>
          <w:szCs w:val="21"/>
          <w:highlight w:val="none"/>
          <w:lang w:val="zh-CN" w:bidi="zh-CN"/>
        </w:rPr>
        <w:t>项目名称：</w:t>
      </w:r>
    </w:p>
    <w:tbl>
      <w:tblPr>
        <w:tblStyle w:val="32"/>
        <w:tblW w:w="572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214"/>
        <w:gridCol w:w="3266"/>
        <w:gridCol w:w="2515"/>
        <w:gridCol w:w="2147"/>
        <w:gridCol w:w="1254"/>
      </w:tblGrid>
      <w:tr w14:paraId="0932F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12" w:type="dxa"/>
            <w:vAlign w:val="center"/>
          </w:tcPr>
          <w:p w14:paraId="3DEDD6F3">
            <w:pPr>
              <w:spacing w:before="98"/>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序号</w:t>
            </w:r>
          </w:p>
        </w:tc>
        <w:tc>
          <w:tcPr>
            <w:tcW w:w="3260" w:type="dxa"/>
            <w:vAlign w:val="center"/>
          </w:tcPr>
          <w:p w14:paraId="69DAC783">
            <w:pPr>
              <w:spacing w:before="98"/>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招标文件的商务条款</w:t>
            </w:r>
          </w:p>
        </w:tc>
        <w:tc>
          <w:tcPr>
            <w:tcW w:w="2511" w:type="dxa"/>
          </w:tcPr>
          <w:p w14:paraId="2284F782">
            <w:pPr>
              <w:spacing w:before="98"/>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实际响应</w:t>
            </w:r>
          </w:p>
        </w:tc>
        <w:tc>
          <w:tcPr>
            <w:tcW w:w="2143" w:type="dxa"/>
          </w:tcPr>
          <w:p w14:paraId="5696DCD4">
            <w:pPr>
              <w:spacing w:before="98"/>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符合/正偏离/负偏离</w:t>
            </w:r>
          </w:p>
        </w:tc>
        <w:tc>
          <w:tcPr>
            <w:tcW w:w="1252" w:type="dxa"/>
          </w:tcPr>
          <w:p w14:paraId="2503C45D">
            <w:pPr>
              <w:spacing w:before="98"/>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备注</w:t>
            </w:r>
          </w:p>
        </w:tc>
      </w:tr>
      <w:tr w14:paraId="39656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212" w:type="dxa"/>
            <w:vAlign w:val="center"/>
          </w:tcPr>
          <w:p w14:paraId="218F9CB7">
            <w:pPr>
              <w:ind w:left="11"/>
              <w:jc w:val="center"/>
              <w:rPr>
                <w:rFonts w:ascii="宋体" w:hAnsi="宋体" w:cs="宋体"/>
                <w:color w:val="auto"/>
                <w:szCs w:val="21"/>
                <w:highlight w:val="none"/>
                <w:lang w:val="zh-CN" w:bidi="zh-CN"/>
              </w:rPr>
            </w:pPr>
          </w:p>
        </w:tc>
        <w:tc>
          <w:tcPr>
            <w:tcW w:w="3260" w:type="dxa"/>
            <w:vAlign w:val="center"/>
          </w:tcPr>
          <w:p w14:paraId="7DDC04E1">
            <w:pPr>
              <w:ind w:right="1190"/>
              <w:jc w:val="left"/>
              <w:rPr>
                <w:rFonts w:ascii="宋体" w:hAnsi="宋体" w:cs="宋体"/>
                <w:color w:val="auto"/>
                <w:szCs w:val="21"/>
                <w:highlight w:val="none"/>
                <w:lang w:bidi="zh-CN"/>
              </w:rPr>
            </w:pPr>
          </w:p>
        </w:tc>
        <w:tc>
          <w:tcPr>
            <w:tcW w:w="2511" w:type="dxa"/>
          </w:tcPr>
          <w:p w14:paraId="358E9031">
            <w:pPr>
              <w:spacing w:before="98"/>
              <w:jc w:val="center"/>
              <w:rPr>
                <w:rFonts w:ascii="宋体" w:hAnsi="宋体" w:cs="宋体"/>
                <w:b/>
                <w:color w:val="auto"/>
                <w:szCs w:val="21"/>
                <w:highlight w:val="none"/>
                <w:lang w:val="zh-CN" w:bidi="zh-CN"/>
              </w:rPr>
            </w:pPr>
          </w:p>
        </w:tc>
        <w:tc>
          <w:tcPr>
            <w:tcW w:w="2143" w:type="dxa"/>
          </w:tcPr>
          <w:p w14:paraId="3B77EC03">
            <w:pPr>
              <w:spacing w:before="98"/>
              <w:jc w:val="center"/>
              <w:rPr>
                <w:rFonts w:ascii="宋体" w:hAnsi="宋体" w:cs="宋体"/>
                <w:b/>
                <w:color w:val="auto"/>
                <w:szCs w:val="21"/>
                <w:highlight w:val="none"/>
                <w:lang w:val="zh-CN" w:bidi="zh-CN"/>
              </w:rPr>
            </w:pPr>
          </w:p>
        </w:tc>
        <w:tc>
          <w:tcPr>
            <w:tcW w:w="1252" w:type="dxa"/>
          </w:tcPr>
          <w:p w14:paraId="55EF806C">
            <w:pPr>
              <w:spacing w:before="98"/>
              <w:jc w:val="center"/>
              <w:rPr>
                <w:rFonts w:ascii="宋体" w:hAnsi="宋体" w:cs="宋体"/>
                <w:b/>
                <w:color w:val="auto"/>
                <w:szCs w:val="21"/>
                <w:highlight w:val="none"/>
                <w:lang w:val="zh-CN" w:bidi="zh-CN"/>
              </w:rPr>
            </w:pPr>
          </w:p>
        </w:tc>
      </w:tr>
      <w:tr w14:paraId="476FE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212" w:type="dxa"/>
            <w:vAlign w:val="center"/>
          </w:tcPr>
          <w:p w14:paraId="17F6FC5A">
            <w:pPr>
              <w:spacing w:before="99"/>
              <w:ind w:left="11"/>
              <w:jc w:val="center"/>
              <w:rPr>
                <w:rFonts w:ascii="宋体" w:hAnsi="宋体" w:cs="宋体"/>
                <w:color w:val="auto"/>
                <w:szCs w:val="21"/>
                <w:highlight w:val="none"/>
                <w:lang w:val="zh-CN" w:bidi="zh-CN"/>
              </w:rPr>
            </w:pPr>
          </w:p>
        </w:tc>
        <w:tc>
          <w:tcPr>
            <w:tcW w:w="3260" w:type="dxa"/>
            <w:vAlign w:val="center"/>
          </w:tcPr>
          <w:p w14:paraId="76D6A4FC">
            <w:pPr>
              <w:spacing w:before="99"/>
              <w:jc w:val="left"/>
              <w:rPr>
                <w:rFonts w:ascii="宋体" w:hAnsi="宋体" w:cs="宋体"/>
                <w:color w:val="auto"/>
                <w:szCs w:val="21"/>
                <w:highlight w:val="none"/>
                <w:lang w:val="zh-CN" w:bidi="zh-CN"/>
              </w:rPr>
            </w:pPr>
          </w:p>
        </w:tc>
        <w:tc>
          <w:tcPr>
            <w:tcW w:w="2511" w:type="dxa"/>
          </w:tcPr>
          <w:p w14:paraId="6E7A53B7">
            <w:pPr>
              <w:spacing w:line="360" w:lineRule="auto"/>
              <w:rPr>
                <w:rFonts w:ascii="宋体" w:hAnsi="宋体" w:cs="宋体"/>
                <w:color w:val="auto"/>
                <w:szCs w:val="21"/>
                <w:highlight w:val="none"/>
                <w:lang w:val="zh-CN" w:bidi="zh-CN"/>
              </w:rPr>
            </w:pPr>
          </w:p>
        </w:tc>
        <w:tc>
          <w:tcPr>
            <w:tcW w:w="2143" w:type="dxa"/>
          </w:tcPr>
          <w:p w14:paraId="4D46D861">
            <w:pPr>
              <w:spacing w:line="360" w:lineRule="auto"/>
              <w:rPr>
                <w:rFonts w:ascii="宋体" w:hAnsi="宋体" w:cs="宋体"/>
                <w:color w:val="auto"/>
                <w:szCs w:val="21"/>
                <w:highlight w:val="none"/>
                <w:lang w:val="zh-CN" w:bidi="zh-CN"/>
              </w:rPr>
            </w:pPr>
          </w:p>
        </w:tc>
        <w:tc>
          <w:tcPr>
            <w:tcW w:w="1252" w:type="dxa"/>
          </w:tcPr>
          <w:p w14:paraId="3EF4AF07">
            <w:pPr>
              <w:spacing w:line="360" w:lineRule="auto"/>
              <w:rPr>
                <w:rFonts w:ascii="宋体" w:hAnsi="宋体" w:cs="宋体"/>
                <w:color w:val="auto"/>
                <w:szCs w:val="21"/>
                <w:highlight w:val="none"/>
                <w:lang w:val="zh-CN" w:bidi="zh-CN"/>
              </w:rPr>
            </w:pPr>
          </w:p>
        </w:tc>
      </w:tr>
      <w:tr w14:paraId="1CD3F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12" w:type="dxa"/>
            <w:vAlign w:val="center"/>
          </w:tcPr>
          <w:p w14:paraId="3287F111">
            <w:pPr>
              <w:spacing w:before="99"/>
              <w:ind w:left="11"/>
              <w:jc w:val="center"/>
              <w:rPr>
                <w:rFonts w:ascii="宋体" w:hAnsi="宋体" w:cs="宋体"/>
                <w:color w:val="auto"/>
                <w:szCs w:val="21"/>
                <w:highlight w:val="none"/>
                <w:lang w:val="zh-CN" w:bidi="zh-CN"/>
              </w:rPr>
            </w:pPr>
          </w:p>
        </w:tc>
        <w:tc>
          <w:tcPr>
            <w:tcW w:w="3260" w:type="dxa"/>
            <w:vAlign w:val="center"/>
          </w:tcPr>
          <w:p w14:paraId="676E6B90">
            <w:pPr>
              <w:spacing w:before="99"/>
              <w:jc w:val="left"/>
              <w:rPr>
                <w:rFonts w:ascii="宋体" w:hAnsi="宋体" w:cs="宋体"/>
                <w:color w:val="auto"/>
                <w:szCs w:val="21"/>
                <w:highlight w:val="none"/>
                <w:lang w:val="zh-CN" w:bidi="zh-CN"/>
              </w:rPr>
            </w:pPr>
          </w:p>
        </w:tc>
        <w:tc>
          <w:tcPr>
            <w:tcW w:w="2511" w:type="dxa"/>
          </w:tcPr>
          <w:p w14:paraId="2A050A71">
            <w:pPr>
              <w:spacing w:line="360" w:lineRule="auto"/>
              <w:rPr>
                <w:rFonts w:ascii="宋体" w:hAnsi="宋体" w:cs="宋体"/>
                <w:color w:val="auto"/>
                <w:szCs w:val="21"/>
                <w:highlight w:val="none"/>
                <w:lang w:val="zh-CN" w:bidi="zh-CN"/>
              </w:rPr>
            </w:pPr>
          </w:p>
        </w:tc>
        <w:tc>
          <w:tcPr>
            <w:tcW w:w="2143" w:type="dxa"/>
          </w:tcPr>
          <w:p w14:paraId="3E0BF677">
            <w:pPr>
              <w:spacing w:line="360" w:lineRule="auto"/>
              <w:rPr>
                <w:rFonts w:ascii="宋体" w:hAnsi="宋体" w:cs="宋体"/>
                <w:color w:val="auto"/>
                <w:szCs w:val="21"/>
                <w:highlight w:val="none"/>
                <w:lang w:val="zh-CN" w:bidi="zh-CN"/>
              </w:rPr>
            </w:pPr>
          </w:p>
        </w:tc>
        <w:tc>
          <w:tcPr>
            <w:tcW w:w="1252" w:type="dxa"/>
          </w:tcPr>
          <w:p w14:paraId="314BA9C4">
            <w:pPr>
              <w:spacing w:line="360" w:lineRule="auto"/>
              <w:rPr>
                <w:rFonts w:ascii="宋体" w:hAnsi="宋体" w:cs="宋体"/>
                <w:color w:val="auto"/>
                <w:szCs w:val="21"/>
                <w:highlight w:val="none"/>
                <w:lang w:val="zh-CN" w:bidi="zh-CN"/>
              </w:rPr>
            </w:pPr>
          </w:p>
        </w:tc>
      </w:tr>
      <w:tr w14:paraId="253AB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4" w:hRule="atLeast"/>
          <w:jc w:val="center"/>
        </w:trPr>
        <w:tc>
          <w:tcPr>
            <w:tcW w:w="1212" w:type="dxa"/>
            <w:vAlign w:val="center"/>
          </w:tcPr>
          <w:p w14:paraId="702A39D8">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3260" w:type="dxa"/>
            <w:vAlign w:val="center"/>
          </w:tcPr>
          <w:p w14:paraId="7F0C0574">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2511" w:type="dxa"/>
          </w:tcPr>
          <w:p w14:paraId="254EFDA5">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2143" w:type="dxa"/>
          </w:tcPr>
          <w:p w14:paraId="672ED799">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1252" w:type="dxa"/>
          </w:tcPr>
          <w:p w14:paraId="0B53F4AB">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r>
      <w:tr w14:paraId="5D3AA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jc w:val="center"/>
        </w:trPr>
        <w:tc>
          <w:tcPr>
            <w:tcW w:w="1212" w:type="dxa"/>
            <w:vAlign w:val="center"/>
          </w:tcPr>
          <w:p w14:paraId="170BB63E">
            <w:pPr>
              <w:jc w:val="center"/>
              <w:rPr>
                <w:rFonts w:ascii="宋体" w:hAnsi="宋体" w:cs="宋体"/>
                <w:color w:val="auto"/>
                <w:szCs w:val="21"/>
                <w:highlight w:val="none"/>
                <w:lang w:val="zh-CN" w:bidi="zh-CN"/>
              </w:rPr>
            </w:pPr>
          </w:p>
        </w:tc>
        <w:tc>
          <w:tcPr>
            <w:tcW w:w="3260" w:type="dxa"/>
            <w:vAlign w:val="center"/>
          </w:tcPr>
          <w:p w14:paraId="79B02A8C">
            <w:pPr>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（行数不够，自行添加）</w:t>
            </w:r>
          </w:p>
        </w:tc>
        <w:tc>
          <w:tcPr>
            <w:tcW w:w="2511" w:type="dxa"/>
          </w:tcPr>
          <w:p w14:paraId="4B69B39C">
            <w:pPr>
              <w:jc w:val="center"/>
              <w:rPr>
                <w:rFonts w:ascii="宋体" w:hAnsi="宋体" w:cs="宋体"/>
                <w:color w:val="auto"/>
                <w:szCs w:val="21"/>
                <w:highlight w:val="none"/>
                <w:lang w:val="zh-CN" w:bidi="zh-CN"/>
              </w:rPr>
            </w:pPr>
          </w:p>
        </w:tc>
        <w:tc>
          <w:tcPr>
            <w:tcW w:w="2143" w:type="dxa"/>
          </w:tcPr>
          <w:p w14:paraId="62888DD7">
            <w:pPr>
              <w:jc w:val="center"/>
              <w:rPr>
                <w:rFonts w:ascii="宋体" w:hAnsi="宋体" w:cs="宋体"/>
                <w:color w:val="auto"/>
                <w:szCs w:val="21"/>
                <w:highlight w:val="none"/>
                <w:lang w:val="zh-CN" w:bidi="zh-CN"/>
              </w:rPr>
            </w:pPr>
          </w:p>
        </w:tc>
        <w:tc>
          <w:tcPr>
            <w:tcW w:w="1252" w:type="dxa"/>
          </w:tcPr>
          <w:p w14:paraId="5BB6132B">
            <w:pPr>
              <w:jc w:val="center"/>
              <w:rPr>
                <w:rFonts w:ascii="宋体" w:hAnsi="宋体" w:cs="宋体"/>
                <w:color w:val="auto"/>
                <w:szCs w:val="21"/>
                <w:highlight w:val="none"/>
                <w:lang w:val="zh-CN" w:bidi="zh-CN"/>
              </w:rPr>
            </w:pPr>
          </w:p>
        </w:tc>
      </w:tr>
    </w:tbl>
    <w:p w14:paraId="27C0AF4E">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说明：</w:t>
      </w:r>
    </w:p>
    <w:p w14:paraId="29AE2F65">
      <w:pPr>
        <w:widowControl/>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1.如果行数不够，请自行增加。</w:t>
      </w:r>
    </w:p>
    <w:p w14:paraId="4F95BA52">
      <w:pPr>
        <w:widowControl/>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2.供应商必须仔细阅读磋商文件所有条款，并对所有符合或偏离的条目列入上表，未列入上表的视作供应商完全接受。</w:t>
      </w:r>
    </w:p>
    <w:p w14:paraId="482EA81D">
      <w:pPr>
        <w:ind w:left="223"/>
        <w:jc w:val="left"/>
        <w:rPr>
          <w:rFonts w:ascii="宋体" w:hAnsi="宋体" w:cs="宋体"/>
          <w:color w:val="auto"/>
          <w:szCs w:val="21"/>
          <w:highlight w:val="none"/>
          <w:lang w:val="zh-CN" w:bidi="zh-CN"/>
        </w:rPr>
      </w:pPr>
    </w:p>
    <w:p w14:paraId="7FA4E43B">
      <w:pPr>
        <w:tabs>
          <w:tab w:val="left" w:pos="1379"/>
          <w:tab w:val="left" w:pos="2219"/>
          <w:tab w:val="left" w:pos="2848"/>
          <w:tab w:val="left" w:pos="3374"/>
        </w:tabs>
        <w:ind w:left="4410"/>
        <w:rPr>
          <w:rFonts w:ascii="宋体" w:hAnsi="宋体" w:cs="宋体"/>
          <w:color w:val="auto"/>
          <w:szCs w:val="21"/>
          <w:highlight w:val="none"/>
        </w:rPr>
      </w:pPr>
    </w:p>
    <w:p w14:paraId="6AB386A6">
      <w:pPr>
        <w:tabs>
          <w:tab w:val="left" w:pos="1379"/>
          <w:tab w:val="left" w:pos="2219"/>
          <w:tab w:val="left" w:pos="2848"/>
          <w:tab w:val="left" w:pos="3374"/>
        </w:tabs>
        <w:ind w:left="4410"/>
        <w:rPr>
          <w:rFonts w:ascii="宋体" w:hAnsi="宋体" w:cs="宋体"/>
          <w:color w:val="auto"/>
          <w:szCs w:val="21"/>
          <w:highlight w:val="none"/>
        </w:rPr>
      </w:pPr>
    </w:p>
    <w:p w14:paraId="1F3227F5">
      <w:pPr>
        <w:tabs>
          <w:tab w:val="left" w:pos="1379"/>
          <w:tab w:val="left" w:pos="2219"/>
          <w:tab w:val="left" w:pos="2848"/>
          <w:tab w:val="left" w:pos="3374"/>
        </w:tabs>
        <w:ind w:left="4410"/>
        <w:rPr>
          <w:rFonts w:ascii="宋体" w:hAnsi="宋体" w:cs="宋体"/>
          <w:color w:val="auto"/>
          <w:szCs w:val="21"/>
          <w:highlight w:val="none"/>
          <w:lang w:val="zh-CN" w:bidi="zh-CN"/>
        </w:rPr>
      </w:pPr>
      <w:r>
        <w:rPr>
          <w:rFonts w:hint="eastAsia" w:ascii="宋体" w:hAnsi="宋体" w:cs="宋体"/>
          <w:color w:val="auto"/>
          <w:szCs w:val="21"/>
          <w:highlight w:val="none"/>
        </w:rPr>
        <w:t>投标单位</w:t>
      </w:r>
      <w:r>
        <w:rPr>
          <w:rFonts w:hint="eastAsia" w:ascii="宋体" w:hAnsi="宋体" w:cs="宋体"/>
          <w:color w:val="auto"/>
          <w:szCs w:val="21"/>
          <w:highlight w:val="none"/>
          <w:lang w:val="zh-CN" w:bidi="zh-CN"/>
        </w:rPr>
        <w:t xml:space="preserve">（盖章）： </w:t>
      </w:r>
    </w:p>
    <w:p w14:paraId="5BD52AEF">
      <w:pPr>
        <w:tabs>
          <w:tab w:val="left" w:pos="1379"/>
          <w:tab w:val="left" w:pos="2219"/>
          <w:tab w:val="left" w:pos="2848"/>
          <w:tab w:val="left" w:pos="3374"/>
        </w:tabs>
        <w:ind w:left="4410"/>
        <w:rPr>
          <w:rFonts w:ascii="宋体" w:hAnsi="宋体" w:cs="宋体"/>
          <w:color w:val="auto"/>
          <w:szCs w:val="21"/>
          <w:highlight w:val="none"/>
          <w:lang w:val="zh-CN" w:bidi="zh-CN"/>
        </w:rPr>
      </w:pPr>
    </w:p>
    <w:p w14:paraId="2B6F85A2">
      <w:pPr>
        <w:tabs>
          <w:tab w:val="left" w:pos="1379"/>
          <w:tab w:val="left" w:pos="2219"/>
          <w:tab w:val="left" w:pos="2848"/>
          <w:tab w:val="left" w:pos="3374"/>
        </w:tabs>
        <w:ind w:left="4410"/>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授权委托人</w:t>
      </w:r>
      <w:r>
        <w:rPr>
          <w:rFonts w:hint="eastAsia" w:ascii="宋体" w:hAnsi="宋体" w:cs="宋体"/>
          <w:color w:val="auto"/>
          <w:szCs w:val="21"/>
          <w:highlight w:val="none"/>
        </w:rPr>
        <w:t>（签字）</w:t>
      </w:r>
      <w:r>
        <w:rPr>
          <w:rFonts w:hint="eastAsia" w:ascii="宋体" w:hAnsi="宋体" w:cs="宋体"/>
          <w:color w:val="auto"/>
          <w:szCs w:val="21"/>
          <w:highlight w:val="none"/>
          <w:lang w:val="zh-CN" w:bidi="zh-CN"/>
        </w:rPr>
        <w:t>：</w:t>
      </w:r>
    </w:p>
    <w:p w14:paraId="23D34539">
      <w:pPr>
        <w:tabs>
          <w:tab w:val="left" w:pos="1379"/>
          <w:tab w:val="left" w:pos="2219"/>
          <w:tab w:val="left" w:pos="2848"/>
          <w:tab w:val="left" w:pos="3374"/>
        </w:tabs>
        <w:ind w:left="4410"/>
        <w:rPr>
          <w:rFonts w:ascii="宋体" w:hAnsi="宋体" w:cs="宋体"/>
          <w:color w:val="auto"/>
          <w:szCs w:val="21"/>
          <w:highlight w:val="none"/>
          <w:lang w:val="zh-CN"/>
        </w:rPr>
      </w:pPr>
    </w:p>
    <w:p w14:paraId="666560E1">
      <w:pPr>
        <w:tabs>
          <w:tab w:val="left" w:pos="1379"/>
          <w:tab w:val="left" w:pos="2219"/>
          <w:tab w:val="left" w:pos="2848"/>
          <w:tab w:val="left" w:pos="3374"/>
        </w:tabs>
        <w:ind w:left="4410"/>
        <w:rPr>
          <w:rFonts w:ascii="宋体" w:hAnsi="宋体" w:cs="宋体"/>
          <w:color w:val="auto"/>
          <w:szCs w:val="21"/>
          <w:highlight w:val="none"/>
          <w:lang w:val="zh-CN"/>
        </w:rPr>
      </w:pPr>
      <w:r>
        <w:rPr>
          <w:rFonts w:hint="eastAsia" w:ascii="宋体" w:hAnsi="宋体" w:cs="宋体"/>
          <w:color w:val="auto"/>
          <w:szCs w:val="21"/>
          <w:highlight w:val="none"/>
          <w:lang w:val="zh-CN"/>
        </w:rPr>
        <w:t>日期：  年 月 日</w:t>
      </w:r>
    </w:p>
    <w:p w14:paraId="592ACB0B">
      <w:pPr>
        <w:spacing w:before="58" w:line="360" w:lineRule="auto"/>
        <w:ind w:right="287"/>
        <w:rPr>
          <w:rFonts w:ascii="宋体" w:hAnsi="宋体" w:cs="宋体"/>
          <w:b/>
          <w:color w:val="auto"/>
          <w:szCs w:val="21"/>
          <w:highlight w:val="none"/>
          <w:lang w:val="zh-CN" w:bidi="zh-CN"/>
        </w:rPr>
      </w:pPr>
    </w:p>
    <w:p w14:paraId="3C296423">
      <w:pPr>
        <w:pStyle w:val="237"/>
        <w:rPr>
          <w:color w:val="auto"/>
          <w:highlight w:val="none"/>
        </w:rPr>
      </w:pPr>
      <w:bookmarkStart w:id="690" w:name="_Toc22560"/>
    </w:p>
    <w:p w14:paraId="362334CB">
      <w:pPr>
        <w:outlineLvl w:val="1"/>
        <w:rPr>
          <w:rFonts w:ascii="宋体" w:hAnsi="宋体" w:cs="宋体"/>
          <w:color w:val="auto"/>
          <w:szCs w:val="21"/>
          <w:highlight w:val="none"/>
          <w:lang w:val="zh-CN" w:bidi="zh-CN"/>
        </w:rPr>
      </w:pPr>
      <w:r>
        <w:rPr>
          <w:rFonts w:hint="eastAsia" w:ascii="宋体" w:hAnsi="宋体" w:cs="宋体"/>
          <w:color w:val="auto"/>
          <w:sz w:val="24"/>
          <w:highlight w:val="none"/>
          <w:lang w:val="zh-CN"/>
        </w:rPr>
        <w:br w:type="page" w:clear="all"/>
      </w:r>
      <w:bookmarkStart w:id="691" w:name="_Toc15908"/>
      <w:bookmarkStart w:id="692" w:name="_Toc18861"/>
      <w:r>
        <w:rPr>
          <w:rFonts w:hint="eastAsia" w:ascii="宋体" w:hAnsi="宋体" w:cs="宋体"/>
          <w:b/>
          <w:color w:val="auto"/>
          <w:szCs w:val="21"/>
          <w:highlight w:val="none"/>
          <w:lang w:val="zh-CN"/>
        </w:rPr>
        <w:t>附件六、技术规格偏离表</w:t>
      </w:r>
      <w:bookmarkEnd w:id="690"/>
      <w:bookmarkEnd w:id="691"/>
      <w:bookmarkEnd w:id="692"/>
    </w:p>
    <w:p w14:paraId="5DEE5A34">
      <w:pPr>
        <w:ind w:left="223"/>
        <w:jc w:val="left"/>
        <w:rPr>
          <w:rFonts w:ascii="宋体" w:hAnsi="宋体" w:cs="宋体"/>
          <w:color w:val="auto"/>
          <w:sz w:val="24"/>
          <w:highlight w:val="none"/>
          <w:lang w:val="zh-CN"/>
        </w:rPr>
      </w:pPr>
    </w:p>
    <w:p w14:paraId="07E45068">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技术规格偏离表</w:t>
      </w:r>
    </w:p>
    <w:p w14:paraId="12E51489">
      <w:pPr>
        <w:ind w:left="223"/>
        <w:jc w:val="left"/>
        <w:rPr>
          <w:rFonts w:ascii="宋体" w:hAnsi="宋体" w:cs="宋体"/>
          <w:color w:val="auto"/>
          <w:sz w:val="24"/>
          <w:highlight w:val="none"/>
          <w:lang w:val="zh-CN" w:bidi="zh-CN"/>
        </w:rPr>
      </w:pPr>
    </w:p>
    <w:p w14:paraId="123557E2">
      <w:pPr>
        <w:ind w:left="223"/>
        <w:jc w:val="left"/>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项目编号：</w:t>
      </w:r>
    </w:p>
    <w:p w14:paraId="7DF0AE86">
      <w:pPr>
        <w:spacing w:before="119"/>
        <w:ind w:left="223"/>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项目名称：</w:t>
      </w:r>
    </w:p>
    <w:tbl>
      <w:tblPr>
        <w:tblStyle w:val="32"/>
        <w:tblW w:w="501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137"/>
        <w:gridCol w:w="2192"/>
        <w:gridCol w:w="2471"/>
        <w:gridCol w:w="2051"/>
        <w:gridCol w:w="1260"/>
      </w:tblGrid>
      <w:tr w14:paraId="52FAC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1135" w:type="dxa"/>
          </w:tcPr>
          <w:p w14:paraId="7D176439">
            <w:pPr>
              <w:spacing w:line="360" w:lineRule="auto"/>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序号</w:t>
            </w:r>
          </w:p>
        </w:tc>
        <w:tc>
          <w:tcPr>
            <w:tcW w:w="2189" w:type="dxa"/>
          </w:tcPr>
          <w:p w14:paraId="07C8089E">
            <w:pPr>
              <w:spacing w:line="360" w:lineRule="auto"/>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招标文件的</w:t>
            </w:r>
            <w:r>
              <w:rPr>
                <w:rFonts w:hint="eastAsia" w:ascii="宋体" w:hAnsi="宋体" w:cs="宋体"/>
                <w:b/>
                <w:color w:val="auto"/>
                <w:szCs w:val="21"/>
                <w:highlight w:val="none"/>
                <w:lang w:bidi="zh-CN"/>
              </w:rPr>
              <w:t>技术</w:t>
            </w:r>
            <w:r>
              <w:rPr>
                <w:rFonts w:hint="eastAsia" w:ascii="宋体" w:hAnsi="宋体" w:cs="宋体"/>
                <w:b/>
                <w:color w:val="auto"/>
                <w:szCs w:val="21"/>
                <w:highlight w:val="none"/>
                <w:lang w:val="zh-CN" w:bidi="zh-CN"/>
              </w:rPr>
              <w:t>参数</w:t>
            </w:r>
          </w:p>
        </w:tc>
        <w:tc>
          <w:tcPr>
            <w:tcW w:w="2467" w:type="dxa"/>
          </w:tcPr>
          <w:p w14:paraId="0E1651C9">
            <w:pPr>
              <w:spacing w:line="360" w:lineRule="auto"/>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实际响应</w:t>
            </w:r>
          </w:p>
        </w:tc>
        <w:tc>
          <w:tcPr>
            <w:tcW w:w="2048" w:type="dxa"/>
          </w:tcPr>
          <w:p w14:paraId="5843374E">
            <w:pPr>
              <w:spacing w:line="360" w:lineRule="auto"/>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符合/正偏离/负偏离</w:t>
            </w:r>
          </w:p>
        </w:tc>
        <w:tc>
          <w:tcPr>
            <w:tcW w:w="1258" w:type="dxa"/>
          </w:tcPr>
          <w:p w14:paraId="695311A4">
            <w:pPr>
              <w:spacing w:line="360" w:lineRule="auto"/>
              <w:jc w:val="center"/>
              <w:rPr>
                <w:rFonts w:ascii="宋体" w:hAnsi="宋体" w:cs="宋体"/>
                <w:b/>
                <w:color w:val="auto"/>
                <w:szCs w:val="21"/>
                <w:highlight w:val="none"/>
                <w:lang w:val="zh-CN" w:bidi="zh-CN"/>
              </w:rPr>
            </w:pPr>
            <w:r>
              <w:rPr>
                <w:rFonts w:hint="eastAsia" w:ascii="宋体" w:hAnsi="宋体" w:cs="宋体"/>
                <w:b/>
                <w:color w:val="auto"/>
                <w:szCs w:val="21"/>
                <w:highlight w:val="none"/>
                <w:lang w:val="zh-CN" w:bidi="zh-CN"/>
              </w:rPr>
              <w:t>备注</w:t>
            </w:r>
          </w:p>
        </w:tc>
      </w:tr>
      <w:tr w14:paraId="1E8E2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35" w:type="dxa"/>
          </w:tcPr>
          <w:p w14:paraId="274279D2">
            <w:pPr>
              <w:spacing w:line="360" w:lineRule="auto"/>
              <w:rPr>
                <w:rFonts w:ascii="宋体" w:hAnsi="宋体" w:cs="宋体"/>
                <w:color w:val="auto"/>
                <w:szCs w:val="21"/>
                <w:highlight w:val="none"/>
                <w:lang w:val="zh-CN" w:bidi="zh-CN"/>
              </w:rPr>
            </w:pPr>
          </w:p>
        </w:tc>
        <w:tc>
          <w:tcPr>
            <w:tcW w:w="2189" w:type="dxa"/>
          </w:tcPr>
          <w:p w14:paraId="07B17620">
            <w:pPr>
              <w:spacing w:line="360" w:lineRule="auto"/>
              <w:rPr>
                <w:rFonts w:ascii="宋体" w:hAnsi="宋体" w:cs="宋体"/>
                <w:color w:val="auto"/>
                <w:szCs w:val="21"/>
                <w:highlight w:val="none"/>
                <w:lang w:val="zh-CN" w:bidi="zh-CN"/>
              </w:rPr>
            </w:pPr>
          </w:p>
        </w:tc>
        <w:tc>
          <w:tcPr>
            <w:tcW w:w="2467" w:type="dxa"/>
          </w:tcPr>
          <w:p w14:paraId="7A918E17">
            <w:pPr>
              <w:spacing w:line="360" w:lineRule="auto"/>
              <w:rPr>
                <w:rFonts w:ascii="宋体" w:hAnsi="宋体" w:cs="宋体"/>
                <w:color w:val="auto"/>
                <w:szCs w:val="21"/>
                <w:highlight w:val="none"/>
                <w:lang w:val="zh-CN" w:bidi="zh-CN"/>
              </w:rPr>
            </w:pPr>
          </w:p>
        </w:tc>
        <w:tc>
          <w:tcPr>
            <w:tcW w:w="2048" w:type="dxa"/>
          </w:tcPr>
          <w:p w14:paraId="4D4D10AA">
            <w:pPr>
              <w:spacing w:line="360" w:lineRule="auto"/>
              <w:rPr>
                <w:rFonts w:ascii="宋体" w:hAnsi="宋体" w:cs="宋体"/>
                <w:color w:val="auto"/>
                <w:szCs w:val="21"/>
                <w:highlight w:val="none"/>
                <w:lang w:val="zh-CN" w:bidi="zh-CN"/>
              </w:rPr>
            </w:pPr>
          </w:p>
        </w:tc>
        <w:tc>
          <w:tcPr>
            <w:tcW w:w="1258" w:type="dxa"/>
          </w:tcPr>
          <w:p w14:paraId="52E20F28">
            <w:pPr>
              <w:spacing w:line="360" w:lineRule="auto"/>
              <w:rPr>
                <w:rFonts w:ascii="宋体" w:hAnsi="宋体" w:cs="宋体"/>
                <w:color w:val="auto"/>
                <w:szCs w:val="21"/>
                <w:highlight w:val="none"/>
                <w:lang w:val="zh-CN" w:bidi="zh-CN"/>
              </w:rPr>
            </w:pPr>
          </w:p>
        </w:tc>
      </w:tr>
      <w:tr w14:paraId="2F59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35" w:type="dxa"/>
          </w:tcPr>
          <w:p w14:paraId="50EB103E">
            <w:pPr>
              <w:spacing w:line="360" w:lineRule="auto"/>
              <w:rPr>
                <w:rFonts w:ascii="宋体" w:hAnsi="宋体" w:cs="宋体"/>
                <w:color w:val="auto"/>
                <w:szCs w:val="21"/>
                <w:highlight w:val="none"/>
                <w:lang w:val="zh-CN" w:bidi="zh-CN"/>
              </w:rPr>
            </w:pPr>
          </w:p>
        </w:tc>
        <w:tc>
          <w:tcPr>
            <w:tcW w:w="2189" w:type="dxa"/>
          </w:tcPr>
          <w:p w14:paraId="6E0C9240">
            <w:pPr>
              <w:spacing w:line="360" w:lineRule="auto"/>
              <w:rPr>
                <w:rFonts w:ascii="宋体" w:hAnsi="宋体" w:cs="宋体"/>
                <w:color w:val="auto"/>
                <w:szCs w:val="21"/>
                <w:highlight w:val="none"/>
                <w:lang w:val="zh-CN" w:bidi="zh-CN"/>
              </w:rPr>
            </w:pPr>
          </w:p>
        </w:tc>
        <w:tc>
          <w:tcPr>
            <w:tcW w:w="2467" w:type="dxa"/>
          </w:tcPr>
          <w:p w14:paraId="35DE9585">
            <w:pPr>
              <w:spacing w:line="360" w:lineRule="auto"/>
              <w:rPr>
                <w:rFonts w:ascii="宋体" w:hAnsi="宋体" w:cs="宋体"/>
                <w:color w:val="auto"/>
                <w:szCs w:val="21"/>
                <w:highlight w:val="none"/>
                <w:lang w:val="zh-CN" w:bidi="zh-CN"/>
              </w:rPr>
            </w:pPr>
          </w:p>
        </w:tc>
        <w:tc>
          <w:tcPr>
            <w:tcW w:w="2048" w:type="dxa"/>
          </w:tcPr>
          <w:p w14:paraId="2642A4F8">
            <w:pPr>
              <w:spacing w:line="360" w:lineRule="auto"/>
              <w:rPr>
                <w:rFonts w:ascii="宋体" w:hAnsi="宋体" w:cs="宋体"/>
                <w:color w:val="auto"/>
                <w:szCs w:val="21"/>
                <w:highlight w:val="none"/>
                <w:lang w:val="zh-CN" w:bidi="zh-CN"/>
              </w:rPr>
            </w:pPr>
          </w:p>
        </w:tc>
        <w:tc>
          <w:tcPr>
            <w:tcW w:w="1258" w:type="dxa"/>
          </w:tcPr>
          <w:p w14:paraId="0E4D8D32">
            <w:pPr>
              <w:spacing w:line="360" w:lineRule="auto"/>
              <w:rPr>
                <w:rFonts w:ascii="宋体" w:hAnsi="宋体" w:cs="宋体"/>
                <w:color w:val="auto"/>
                <w:szCs w:val="21"/>
                <w:highlight w:val="none"/>
                <w:lang w:val="zh-CN" w:bidi="zh-CN"/>
              </w:rPr>
            </w:pPr>
          </w:p>
        </w:tc>
      </w:tr>
      <w:tr w14:paraId="3837E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35" w:type="dxa"/>
          </w:tcPr>
          <w:p w14:paraId="19A2AF3A">
            <w:pPr>
              <w:spacing w:line="360" w:lineRule="auto"/>
              <w:rPr>
                <w:rFonts w:ascii="宋体" w:hAnsi="宋体" w:cs="宋体"/>
                <w:color w:val="auto"/>
                <w:szCs w:val="21"/>
                <w:highlight w:val="none"/>
                <w:lang w:val="zh-CN" w:bidi="zh-CN"/>
              </w:rPr>
            </w:pPr>
          </w:p>
        </w:tc>
        <w:tc>
          <w:tcPr>
            <w:tcW w:w="2189" w:type="dxa"/>
          </w:tcPr>
          <w:p w14:paraId="74FA1369">
            <w:pPr>
              <w:spacing w:line="360" w:lineRule="auto"/>
              <w:rPr>
                <w:rFonts w:ascii="宋体" w:hAnsi="宋体" w:cs="宋体"/>
                <w:color w:val="auto"/>
                <w:szCs w:val="21"/>
                <w:highlight w:val="none"/>
                <w:lang w:val="zh-CN" w:bidi="zh-CN"/>
              </w:rPr>
            </w:pPr>
          </w:p>
        </w:tc>
        <w:tc>
          <w:tcPr>
            <w:tcW w:w="2467" w:type="dxa"/>
          </w:tcPr>
          <w:p w14:paraId="0AFE66A6">
            <w:pPr>
              <w:spacing w:line="360" w:lineRule="auto"/>
              <w:rPr>
                <w:rFonts w:ascii="宋体" w:hAnsi="宋体" w:cs="宋体"/>
                <w:color w:val="auto"/>
                <w:szCs w:val="21"/>
                <w:highlight w:val="none"/>
                <w:lang w:val="zh-CN" w:bidi="zh-CN"/>
              </w:rPr>
            </w:pPr>
          </w:p>
        </w:tc>
        <w:tc>
          <w:tcPr>
            <w:tcW w:w="2048" w:type="dxa"/>
          </w:tcPr>
          <w:p w14:paraId="3E034A81">
            <w:pPr>
              <w:spacing w:line="360" w:lineRule="auto"/>
              <w:rPr>
                <w:rFonts w:ascii="宋体" w:hAnsi="宋体" w:cs="宋体"/>
                <w:color w:val="auto"/>
                <w:szCs w:val="21"/>
                <w:highlight w:val="none"/>
                <w:lang w:val="zh-CN" w:bidi="zh-CN"/>
              </w:rPr>
            </w:pPr>
          </w:p>
        </w:tc>
        <w:tc>
          <w:tcPr>
            <w:tcW w:w="1258" w:type="dxa"/>
          </w:tcPr>
          <w:p w14:paraId="38FA5E82">
            <w:pPr>
              <w:spacing w:line="360" w:lineRule="auto"/>
              <w:rPr>
                <w:rFonts w:ascii="宋体" w:hAnsi="宋体" w:cs="宋体"/>
                <w:color w:val="auto"/>
                <w:szCs w:val="21"/>
                <w:highlight w:val="none"/>
                <w:lang w:val="zh-CN" w:bidi="zh-CN"/>
              </w:rPr>
            </w:pPr>
          </w:p>
        </w:tc>
      </w:tr>
      <w:tr w14:paraId="484FD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35" w:type="dxa"/>
          </w:tcPr>
          <w:p w14:paraId="7DEF753F">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2189" w:type="dxa"/>
          </w:tcPr>
          <w:p w14:paraId="5C845212">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2467" w:type="dxa"/>
          </w:tcPr>
          <w:p w14:paraId="4815D523">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2048" w:type="dxa"/>
          </w:tcPr>
          <w:p w14:paraId="1CAEA185">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c>
          <w:tcPr>
            <w:tcW w:w="1258" w:type="dxa"/>
          </w:tcPr>
          <w:p w14:paraId="1B2D8963">
            <w:pPr>
              <w:spacing w:before="98"/>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w:t>
            </w:r>
          </w:p>
        </w:tc>
      </w:tr>
      <w:tr w14:paraId="35B7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35" w:type="dxa"/>
          </w:tcPr>
          <w:p w14:paraId="03C1278C">
            <w:pPr>
              <w:jc w:val="center"/>
              <w:rPr>
                <w:rFonts w:ascii="宋体" w:hAnsi="宋体" w:cs="宋体"/>
                <w:color w:val="auto"/>
                <w:szCs w:val="21"/>
                <w:highlight w:val="none"/>
                <w:lang w:val="zh-CN" w:bidi="zh-CN"/>
              </w:rPr>
            </w:pPr>
          </w:p>
        </w:tc>
        <w:tc>
          <w:tcPr>
            <w:tcW w:w="2189" w:type="dxa"/>
          </w:tcPr>
          <w:p w14:paraId="59BCB12A">
            <w:pPr>
              <w:jc w:val="center"/>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（行数不够，自行添加）</w:t>
            </w:r>
          </w:p>
        </w:tc>
        <w:tc>
          <w:tcPr>
            <w:tcW w:w="2467" w:type="dxa"/>
          </w:tcPr>
          <w:p w14:paraId="7995205C">
            <w:pPr>
              <w:jc w:val="center"/>
              <w:rPr>
                <w:rFonts w:ascii="宋体" w:hAnsi="宋体" w:cs="宋体"/>
                <w:color w:val="auto"/>
                <w:szCs w:val="21"/>
                <w:highlight w:val="none"/>
                <w:lang w:val="zh-CN" w:bidi="zh-CN"/>
              </w:rPr>
            </w:pPr>
          </w:p>
        </w:tc>
        <w:tc>
          <w:tcPr>
            <w:tcW w:w="2048" w:type="dxa"/>
          </w:tcPr>
          <w:p w14:paraId="03E543AF">
            <w:pPr>
              <w:jc w:val="center"/>
              <w:rPr>
                <w:rFonts w:ascii="宋体" w:hAnsi="宋体" w:cs="宋体"/>
                <w:color w:val="auto"/>
                <w:szCs w:val="21"/>
                <w:highlight w:val="none"/>
                <w:lang w:val="zh-CN" w:bidi="zh-CN"/>
              </w:rPr>
            </w:pPr>
          </w:p>
        </w:tc>
        <w:tc>
          <w:tcPr>
            <w:tcW w:w="1258" w:type="dxa"/>
          </w:tcPr>
          <w:p w14:paraId="5DAF2189">
            <w:pPr>
              <w:jc w:val="center"/>
              <w:rPr>
                <w:rFonts w:ascii="宋体" w:hAnsi="宋体" w:cs="宋体"/>
                <w:color w:val="auto"/>
                <w:szCs w:val="21"/>
                <w:highlight w:val="none"/>
                <w:lang w:val="zh-CN" w:bidi="zh-CN"/>
              </w:rPr>
            </w:pPr>
          </w:p>
        </w:tc>
      </w:tr>
    </w:tbl>
    <w:p w14:paraId="1DCC3762">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rPr>
        <w:t>说明：</w:t>
      </w:r>
    </w:p>
    <w:p w14:paraId="0239B1E3">
      <w:pPr>
        <w:widowControl/>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1.如果行数不够，请自行增加。</w:t>
      </w:r>
    </w:p>
    <w:p w14:paraId="73F4D63D">
      <w:pPr>
        <w:widowControl/>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2.供应商必须仔细阅读磋商文件所有条款，并对所有符合或偏离的条目列入上表，未列入上表的视作供应商完全接受。</w:t>
      </w:r>
    </w:p>
    <w:p w14:paraId="62AEB2C6">
      <w:pPr>
        <w:tabs>
          <w:tab w:val="left" w:pos="7067"/>
          <w:tab w:val="left" w:pos="8327"/>
          <w:tab w:val="left" w:pos="8956"/>
          <w:tab w:val="left" w:pos="9482"/>
        </w:tabs>
        <w:rPr>
          <w:rFonts w:ascii="宋体" w:hAnsi="宋体" w:cs="宋体"/>
          <w:color w:val="auto"/>
          <w:szCs w:val="21"/>
          <w:highlight w:val="none"/>
          <w:lang w:val="zh-CN" w:bidi="zh-CN"/>
        </w:rPr>
      </w:pPr>
    </w:p>
    <w:p w14:paraId="5670533F">
      <w:pPr>
        <w:tabs>
          <w:tab w:val="left" w:pos="1379"/>
          <w:tab w:val="left" w:pos="2219"/>
          <w:tab w:val="left" w:pos="2848"/>
          <w:tab w:val="left" w:pos="3374"/>
        </w:tabs>
        <w:ind w:left="4410"/>
        <w:rPr>
          <w:rFonts w:ascii="宋体" w:hAnsi="宋体" w:cs="宋体"/>
          <w:color w:val="auto"/>
          <w:szCs w:val="21"/>
          <w:highlight w:val="none"/>
        </w:rPr>
      </w:pPr>
    </w:p>
    <w:p w14:paraId="2A90C340">
      <w:pPr>
        <w:tabs>
          <w:tab w:val="left" w:pos="1379"/>
          <w:tab w:val="left" w:pos="2219"/>
          <w:tab w:val="left" w:pos="2848"/>
          <w:tab w:val="left" w:pos="3374"/>
        </w:tabs>
        <w:ind w:left="4410"/>
        <w:rPr>
          <w:rFonts w:ascii="宋体" w:hAnsi="宋体" w:cs="宋体"/>
          <w:color w:val="auto"/>
          <w:szCs w:val="21"/>
          <w:highlight w:val="none"/>
          <w:lang w:val="zh-CN" w:bidi="zh-CN"/>
        </w:rPr>
      </w:pPr>
      <w:r>
        <w:rPr>
          <w:rFonts w:hint="eastAsia" w:ascii="宋体" w:hAnsi="宋体" w:cs="宋体"/>
          <w:color w:val="auto"/>
          <w:szCs w:val="21"/>
          <w:highlight w:val="none"/>
        </w:rPr>
        <w:t>投标单位</w:t>
      </w:r>
      <w:r>
        <w:rPr>
          <w:rFonts w:hint="eastAsia" w:ascii="宋体" w:hAnsi="宋体" w:cs="宋体"/>
          <w:color w:val="auto"/>
          <w:szCs w:val="21"/>
          <w:highlight w:val="none"/>
          <w:lang w:val="zh-CN" w:bidi="zh-CN"/>
        </w:rPr>
        <w:t xml:space="preserve">（盖章）： </w:t>
      </w:r>
    </w:p>
    <w:p w14:paraId="0B8931BF">
      <w:pPr>
        <w:tabs>
          <w:tab w:val="left" w:pos="1379"/>
          <w:tab w:val="left" w:pos="2219"/>
          <w:tab w:val="left" w:pos="2848"/>
          <w:tab w:val="left" w:pos="3374"/>
        </w:tabs>
        <w:ind w:left="4410"/>
        <w:rPr>
          <w:rFonts w:ascii="宋体" w:hAnsi="宋体" w:cs="宋体"/>
          <w:color w:val="auto"/>
          <w:szCs w:val="21"/>
          <w:highlight w:val="none"/>
          <w:lang w:val="zh-CN" w:bidi="zh-CN"/>
        </w:rPr>
      </w:pPr>
    </w:p>
    <w:p w14:paraId="386BFCF3">
      <w:pPr>
        <w:tabs>
          <w:tab w:val="left" w:pos="1379"/>
          <w:tab w:val="left" w:pos="2219"/>
          <w:tab w:val="left" w:pos="2848"/>
          <w:tab w:val="left" w:pos="3374"/>
        </w:tabs>
        <w:ind w:left="4410"/>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授权委托人</w:t>
      </w:r>
      <w:r>
        <w:rPr>
          <w:rFonts w:hint="eastAsia" w:ascii="宋体" w:hAnsi="宋体" w:cs="宋体"/>
          <w:color w:val="auto"/>
          <w:szCs w:val="21"/>
          <w:highlight w:val="none"/>
        </w:rPr>
        <w:t>（签字）</w:t>
      </w:r>
      <w:r>
        <w:rPr>
          <w:rFonts w:hint="eastAsia" w:ascii="宋体" w:hAnsi="宋体" w:cs="宋体"/>
          <w:color w:val="auto"/>
          <w:szCs w:val="21"/>
          <w:highlight w:val="none"/>
          <w:lang w:val="zh-CN" w:bidi="zh-CN"/>
        </w:rPr>
        <w:t>：</w:t>
      </w:r>
    </w:p>
    <w:p w14:paraId="5D3E6633">
      <w:pPr>
        <w:tabs>
          <w:tab w:val="left" w:pos="1379"/>
          <w:tab w:val="left" w:pos="2219"/>
          <w:tab w:val="left" w:pos="2848"/>
          <w:tab w:val="left" w:pos="3374"/>
        </w:tabs>
        <w:ind w:left="4410"/>
        <w:rPr>
          <w:rFonts w:ascii="宋体" w:hAnsi="宋体" w:cs="宋体"/>
          <w:color w:val="auto"/>
          <w:szCs w:val="21"/>
          <w:highlight w:val="none"/>
          <w:lang w:val="zh-CN"/>
        </w:rPr>
      </w:pPr>
    </w:p>
    <w:p w14:paraId="47C725C9">
      <w:pPr>
        <w:tabs>
          <w:tab w:val="left" w:pos="1379"/>
          <w:tab w:val="left" w:pos="2219"/>
          <w:tab w:val="left" w:pos="2848"/>
          <w:tab w:val="left" w:pos="3374"/>
        </w:tabs>
        <w:ind w:left="4410"/>
        <w:rPr>
          <w:rFonts w:ascii="宋体" w:hAnsi="宋体" w:cs="宋体"/>
          <w:color w:val="auto"/>
          <w:szCs w:val="21"/>
          <w:highlight w:val="none"/>
          <w:lang w:val="zh-CN"/>
        </w:rPr>
      </w:pPr>
      <w:r>
        <w:rPr>
          <w:rFonts w:hint="eastAsia" w:ascii="宋体" w:hAnsi="宋体" w:cs="宋体"/>
          <w:color w:val="auto"/>
          <w:szCs w:val="21"/>
          <w:highlight w:val="none"/>
          <w:lang w:val="zh-CN"/>
        </w:rPr>
        <w:t>日期：  年 月 日</w:t>
      </w:r>
    </w:p>
    <w:p w14:paraId="2669A1F2">
      <w:pPr>
        <w:spacing w:line="440" w:lineRule="exact"/>
        <w:rPr>
          <w:rFonts w:ascii="宋体" w:hAnsi="宋体" w:cs="宋体"/>
          <w:b/>
          <w:color w:val="auto"/>
          <w:szCs w:val="21"/>
          <w:highlight w:val="none"/>
          <w:lang w:val="zh-CN" w:bidi="zh-CN"/>
        </w:rPr>
      </w:pPr>
    </w:p>
    <w:p w14:paraId="04EFED02">
      <w:pPr>
        <w:rPr>
          <w:rFonts w:ascii="宋体" w:hAnsi="宋体" w:cs="宋体"/>
          <w:b/>
          <w:color w:val="auto"/>
          <w:szCs w:val="21"/>
          <w:highlight w:val="none"/>
          <w:lang w:bidi="ar"/>
        </w:rPr>
      </w:pPr>
    </w:p>
    <w:p w14:paraId="427CBB00">
      <w:pPr>
        <w:pStyle w:val="204"/>
        <w:rPr>
          <w:rFonts w:ascii="宋体" w:hAnsi="宋体" w:cs="宋体"/>
          <w:b/>
          <w:color w:val="auto"/>
          <w:szCs w:val="21"/>
          <w:highlight w:val="none"/>
          <w:lang w:bidi="ar"/>
        </w:rPr>
      </w:pPr>
    </w:p>
    <w:p w14:paraId="16B25749">
      <w:pPr>
        <w:pStyle w:val="204"/>
        <w:rPr>
          <w:rFonts w:ascii="宋体" w:hAnsi="宋体" w:cs="宋体"/>
          <w:b/>
          <w:color w:val="auto"/>
          <w:szCs w:val="21"/>
          <w:highlight w:val="none"/>
          <w:lang w:bidi="ar"/>
        </w:rPr>
      </w:pPr>
    </w:p>
    <w:p w14:paraId="1FBD2185">
      <w:pPr>
        <w:pStyle w:val="204"/>
        <w:rPr>
          <w:rFonts w:ascii="宋体" w:hAnsi="宋体" w:cs="宋体"/>
          <w:b/>
          <w:color w:val="auto"/>
          <w:szCs w:val="21"/>
          <w:highlight w:val="none"/>
          <w:lang w:bidi="ar"/>
        </w:rPr>
      </w:pPr>
    </w:p>
    <w:p w14:paraId="1EC15A21">
      <w:pPr>
        <w:pStyle w:val="204"/>
        <w:rPr>
          <w:rFonts w:ascii="宋体" w:hAnsi="宋体" w:cs="宋体"/>
          <w:b/>
          <w:color w:val="auto"/>
          <w:szCs w:val="21"/>
          <w:highlight w:val="none"/>
          <w:lang w:bidi="ar"/>
        </w:rPr>
      </w:pPr>
    </w:p>
    <w:p w14:paraId="09AA1473">
      <w:pPr>
        <w:rPr>
          <w:rFonts w:ascii="宋体" w:hAnsi="宋体" w:cs="宋体"/>
          <w:color w:val="auto"/>
          <w:highlight w:val="none"/>
        </w:rPr>
      </w:pPr>
    </w:p>
    <w:p w14:paraId="57323F05">
      <w:pPr>
        <w:rPr>
          <w:rFonts w:ascii="宋体" w:hAnsi="宋体" w:cs="宋体"/>
          <w:color w:val="auto"/>
          <w:highlight w:val="none"/>
        </w:rPr>
      </w:pPr>
    </w:p>
    <w:p w14:paraId="22A899E0">
      <w:pPr>
        <w:rPr>
          <w:rFonts w:ascii="宋体" w:hAnsi="宋体" w:cs="宋体"/>
          <w:color w:val="auto"/>
          <w:highlight w:val="none"/>
        </w:rPr>
      </w:pPr>
    </w:p>
    <w:p w14:paraId="48762C42">
      <w:pPr>
        <w:rPr>
          <w:rFonts w:ascii="宋体" w:hAnsi="宋体" w:cs="宋体"/>
          <w:bCs/>
          <w:color w:val="auto"/>
          <w:szCs w:val="21"/>
          <w:highlight w:val="none"/>
          <w:lang w:val="zh-CN"/>
        </w:rPr>
      </w:pPr>
      <w:r>
        <w:rPr>
          <w:rFonts w:hint="eastAsia" w:ascii="宋体" w:hAnsi="宋体" w:cs="宋体"/>
          <w:color w:val="auto"/>
          <w:highlight w:val="none"/>
        </w:rPr>
        <w:br w:type="page"/>
      </w:r>
      <w:r>
        <w:rPr>
          <w:rFonts w:hint="eastAsia" w:ascii="宋体" w:hAnsi="宋体" w:cs="宋体"/>
          <w:b/>
          <w:color w:val="auto"/>
          <w:szCs w:val="21"/>
          <w:highlight w:val="none"/>
        </w:rPr>
        <w:t>附件七、</w:t>
      </w:r>
      <w:r>
        <w:rPr>
          <w:rFonts w:hint="eastAsia" w:ascii="宋体" w:hAnsi="宋体" w:cs="宋体"/>
          <w:b/>
          <w:color w:val="auto"/>
          <w:szCs w:val="21"/>
          <w:highlight w:val="none"/>
          <w:lang w:val="zh-CN"/>
        </w:rPr>
        <w:t>第一章磋商邀请中规定的资格条件证明文件</w:t>
      </w:r>
    </w:p>
    <w:p w14:paraId="7DCB8D65">
      <w:pPr>
        <w:rPr>
          <w:rFonts w:ascii="宋体" w:hAnsi="宋体" w:cs="宋体"/>
          <w:color w:val="auto"/>
          <w:highlight w:val="none"/>
          <w:lang w:val="zh-CN"/>
        </w:rPr>
      </w:pPr>
    </w:p>
    <w:p w14:paraId="335D1482">
      <w:pPr>
        <w:rPr>
          <w:rFonts w:ascii="宋体" w:hAnsi="宋体" w:cs="宋体"/>
          <w:color w:val="auto"/>
          <w:highlight w:val="none"/>
          <w:lang w:val="zh-CN"/>
        </w:rPr>
      </w:pPr>
    </w:p>
    <w:p w14:paraId="467FF883">
      <w:pPr>
        <w:rPr>
          <w:rFonts w:ascii="宋体" w:hAnsi="宋体" w:cs="宋体"/>
          <w:color w:val="auto"/>
          <w:highlight w:val="none"/>
        </w:rPr>
      </w:pPr>
    </w:p>
    <w:p w14:paraId="136A604C">
      <w:pPr>
        <w:rPr>
          <w:rFonts w:ascii="宋体" w:hAnsi="宋体" w:cs="宋体"/>
          <w:color w:val="auto"/>
          <w:highlight w:val="none"/>
        </w:rPr>
      </w:pPr>
    </w:p>
    <w:p w14:paraId="0188FAC9">
      <w:pPr>
        <w:outlineLvl w:val="1"/>
        <w:rPr>
          <w:rFonts w:ascii="宋体" w:hAnsi="宋体" w:cs="宋体"/>
          <w:b/>
          <w:color w:val="auto"/>
          <w:szCs w:val="21"/>
          <w:highlight w:val="none"/>
        </w:rPr>
      </w:pPr>
      <w:bookmarkStart w:id="693" w:name="_Toc10143"/>
      <w:bookmarkStart w:id="694" w:name="_Toc25169"/>
      <w:r>
        <w:rPr>
          <w:rFonts w:hint="eastAsia" w:ascii="宋体" w:hAnsi="宋体" w:cs="宋体"/>
          <w:b/>
          <w:color w:val="auto"/>
          <w:szCs w:val="21"/>
          <w:highlight w:val="none"/>
        </w:rPr>
        <w:t>附件八、无重大违法记录声明</w:t>
      </w:r>
      <w:bookmarkEnd w:id="693"/>
      <w:bookmarkEnd w:id="694"/>
    </w:p>
    <w:p w14:paraId="06270948">
      <w:pPr>
        <w:widowControl/>
        <w:jc w:val="left"/>
        <w:rPr>
          <w:rFonts w:ascii="宋体" w:hAnsi="宋体" w:cs="宋体"/>
          <w:b/>
          <w:color w:val="auto"/>
          <w:highlight w:val="none"/>
        </w:rPr>
      </w:pPr>
    </w:p>
    <w:p w14:paraId="071A0D81">
      <w:pPr>
        <w:jc w:val="center"/>
        <w:rPr>
          <w:rFonts w:ascii="宋体" w:hAnsi="宋体" w:cs="宋体"/>
          <w:color w:val="auto"/>
          <w:sz w:val="36"/>
          <w:szCs w:val="36"/>
          <w:highlight w:val="none"/>
        </w:rPr>
      </w:pPr>
    </w:p>
    <w:p w14:paraId="02E079D7">
      <w:pPr>
        <w:jc w:val="center"/>
        <w:rPr>
          <w:rFonts w:ascii="宋体" w:hAnsi="宋体" w:cs="宋体"/>
          <w:b/>
          <w:bCs/>
          <w:color w:val="auto"/>
          <w:sz w:val="24"/>
          <w:highlight w:val="none"/>
        </w:rPr>
      </w:pPr>
      <w:r>
        <w:rPr>
          <w:rFonts w:hint="eastAsia" w:ascii="宋体" w:hAnsi="宋体" w:cs="宋体"/>
          <w:b/>
          <w:bCs/>
          <w:color w:val="auto"/>
          <w:sz w:val="24"/>
          <w:highlight w:val="none"/>
        </w:rPr>
        <w:t>无重大违法记录声明</w:t>
      </w:r>
    </w:p>
    <w:p w14:paraId="5713AEF2">
      <w:pPr>
        <w:jc w:val="left"/>
        <w:rPr>
          <w:rFonts w:ascii="宋体" w:hAnsi="宋体" w:cs="宋体"/>
          <w:color w:val="auto"/>
          <w:highlight w:val="none"/>
        </w:rPr>
      </w:pPr>
    </w:p>
    <w:p w14:paraId="53766D09">
      <w:pPr>
        <w:jc w:val="left"/>
        <w:rPr>
          <w:rFonts w:ascii="宋体" w:hAnsi="宋体" w:cs="宋体"/>
          <w:color w:val="auto"/>
          <w:highlight w:val="none"/>
        </w:rPr>
      </w:pPr>
      <w:r>
        <w:rPr>
          <w:rFonts w:hint="eastAsia" w:ascii="宋体" w:hAnsi="宋体" w:cs="宋体"/>
          <w:color w:val="auto"/>
          <w:highlight w:val="none"/>
        </w:rPr>
        <w:t>南京市江宁区人民政府汤山街道办事处：</w:t>
      </w:r>
    </w:p>
    <w:p w14:paraId="30F0DE0C">
      <w:pPr>
        <w:jc w:val="left"/>
        <w:rPr>
          <w:rFonts w:ascii="宋体" w:hAnsi="宋体" w:cs="宋体"/>
          <w:color w:val="auto"/>
          <w:highlight w:val="none"/>
        </w:rPr>
      </w:pPr>
    </w:p>
    <w:p w14:paraId="55BD19F7">
      <w:pPr>
        <w:spacing w:line="360" w:lineRule="auto"/>
        <w:ind w:firstLine="420"/>
        <w:jc w:val="left"/>
        <w:rPr>
          <w:rFonts w:ascii="宋体" w:hAnsi="宋体" w:cs="宋体"/>
          <w:color w:val="auto"/>
          <w:highlight w:val="none"/>
        </w:rPr>
      </w:pPr>
      <w:r>
        <w:rPr>
          <w:rFonts w:hint="eastAsia" w:ascii="宋体" w:hAnsi="宋体" w:cs="宋体"/>
          <w:color w:val="auto"/>
          <w:highlight w:val="none"/>
        </w:rPr>
        <w:t>我单位（供应商名称）郑重声明：</w:t>
      </w:r>
    </w:p>
    <w:p w14:paraId="4F438BE0">
      <w:pPr>
        <w:spacing w:line="360" w:lineRule="auto"/>
        <w:ind w:firstLine="420"/>
        <w:jc w:val="left"/>
        <w:rPr>
          <w:rFonts w:ascii="宋体" w:hAnsi="宋体" w:cs="宋体"/>
          <w:color w:val="auto"/>
          <w:highlight w:val="none"/>
        </w:rPr>
      </w:pPr>
      <w:r>
        <w:rPr>
          <w:rFonts w:hint="eastAsia" w:ascii="宋体" w:hAnsi="宋体" w:cs="宋体"/>
          <w:color w:val="auto"/>
          <w:highlight w:val="none"/>
        </w:rPr>
        <w:t xml:space="preserve">参加本次采购活动前3年内在经营活动中 </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5C3E02D1">
      <w:pPr>
        <w:spacing w:line="360" w:lineRule="auto"/>
        <w:ind w:firstLine="420"/>
        <w:jc w:val="left"/>
        <w:rPr>
          <w:rFonts w:ascii="宋体" w:hAnsi="宋体" w:cs="宋体"/>
          <w:color w:val="auto"/>
          <w:highlight w:val="none"/>
        </w:rPr>
      </w:pPr>
      <w:r>
        <w:rPr>
          <w:rFonts w:hint="eastAsia" w:ascii="宋体" w:hAnsi="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41EC691E">
      <w:pPr>
        <w:ind w:firstLine="420"/>
        <w:jc w:val="left"/>
        <w:rPr>
          <w:rFonts w:ascii="宋体" w:hAnsi="宋体" w:cs="宋体"/>
          <w:color w:val="auto"/>
          <w:highlight w:val="none"/>
        </w:rPr>
      </w:pPr>
    </w:p>
    <w:p w14:paraId="517A301A">
      <w:pPr>
        <w:ind w:firstLine="420"/>
        <w:jc w:val="left"/>
        <w:rPr>
          <w:rFonts w:ascii="宋体" w:hAnsi="宋体" w:cs="宋体"/>
          <w:color w:val="auto"/>
          <w:highlight w:val="none"/>
        </w:rPr>
      </w:pPr>
      <w:r>
        <w:rPr>
          <w:rFonts w:hint="eastAsia" w:ascii="宋体" w:hAnsi="宋体" w:cs="宋体"/>
          <w:color w:val="auto"/>
          <w:highlight w:val="none"/>
        </w:rPr>
        <w:t>声明人（公章）：</w:t>
      </w:r>
    </w:p>
    <w:p w14:paraId="4615880A">
      <w:pPr>
        <w:jc w:val="left"/>
        <w:rPr>
          <w:rFonts w:ascii="宋体" w:hAnsi="宋体" w:cs="宋体"/>
          <w:color w:val="auto"/>
          <w:highlight w:val="none"/>
        </w:rPr>
      </w:pPr>
    </w:p>
    <w:p w14:paraId="6426D4DD">
      <w:pPr>
        <w:jc w:val="right"/>
        <w:rPr>
          <w:rFonts w:ascii="宋体" w:hAnsi="宋体" w:cs="宋体"/>
          <w:color w:val="auto"/>
          <w:highlight w:val="none"/>
        </w:rPr>
      </w:pPr>
      <w:r>
        <w:rPr>
          <w:rFonts w:hint="eastAsia" w:ascii="宋体" w:hAnsi="宋体" w:cs="宋体"/>
          <w:color w:val="auto"/>
          <w:highlight w:val="none"/>
        </w:rPr>
        <w:t>年      月      日</w:t>
      </w:r>
    </w:p>
    <w:p w14:paraId="640B41B9">
      <w:pPr>
        <w:rPr>
          <w:rFonts w:ascii="宋体" w:hAnsi="宋体" w:cs="宋体"/>
          <w:color w:val="auto"/>
          <w:highlight w:val="none"/>
        </w:rPr>
      </w:pPr>
    </w:p>
    <w:p w14:paraId="33FA05F5">
      <w:pPr>
        <w:rPr>
          <w:rFonts w:ascii="宋体" w:hAnsi="宋体" w:cs="宋体"/>
          <w:color w:val="auto"/>
          <w:highlight w:val="none"/>
        </w:rPr>
      </w:pPr>
    </w:p>
    <w:p w14:paraId="6A33C896">
      <w:pPr>
        <w:rPr>
          <w:rFonts w:ascii="宋体" w:hAnsi="宋体" w:cs="宋体"/>
          <w:color w:val="auto"/>
          <w:highlight w:val="none"/>
        </w:rPr>
      </w:pPr>
    </w:p>
    <w:p w14:paraId="4E18BAB0">
      <w:pPr>
        <w:rPr>
          <w:rFonts w:ascii="宋体" w:hAnsi="宋体" w:cs="宋体"/>
          <w:color w:val="auto"/>
          <w:highlight w:val="none"/>
        </w:rPr>
      </w:pPr>
    </w:p>
    <w:p w14:paraId="47F844CB">
      <w:pPr>
        <w:rPr>
          <w:rFonts w:ascii="宋体" w:hAnsi="宋体" w:cs="宋体"/>
          <w:b/>
          <w:color w:val="auto"/>
          <w:szCs w:val="21"/>
          <w:highlight w:val="none"/>
        </w:rPr>
      </w:pPr>
      <w:bookmarkStart w:id="695" w:name="_Toc23310"/>
      <w:r>
        <w:rPr>
          <w:rFonts w:hint="eastAsia" w:ascii="宋体" w:hAnsi="宋体" w:cs="宋体"/>
          <w:b/>
          <w:color w:val="auto"/>
          <w:szCs w:val="21"/>
          <w:highlight w:val="none"/>
        </w:rPr>
        <w:t>附件九、</w:t>
      </w:r>
      <w:bookmarkStart w:id="696" w:name="_Toc504056875"/>
      <w:r>
        <w:rPr>
          <w:rFonts w:hint="eastAsia" w:ascii="宋体" w:hAnsi="宋体" w:cs="宋体"/>
          <w:b/>
          <w:color w:val="auto"/>
          <w:szCs w:val="21"/>
          <w:highlight w:val="none"/>
        </w:rPr>
        <w:t>供应商类似业绩情况表</w:t>
      </w:r>
      <w:bookmarkEnd w:id="696"/>
    </w:p>
    <w:p w14:paraId="72EB2A58">
      <w:pPr>
        <w:rPr>
          <w:rFonts w:ascii="宋体" w:hAnsi="宋体" w:cs="宋体"/>
          <w:color w:val="auto"/>
          <w:highlight w:val="none"/>
        </w:rPr>
      </w:pPr>
      <w:r>
        <w:rPr>
          <w:rFonts w:hint="eastAsia" w:ascii="宋体" w:hAnsi="宋体" w:cs="宋体"/>
          <w:color w:val="auto"/>
          <w:highlight w:val="none"/>
        </w:rPr>
        <w:t xml:space="preserve"> </w:t>
      </w:r>
    </w:p>
    <w:p w14:paraId="1E839A59">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供应商类似业绩情况表</w:t>
      </w:r>
    </w:p>
    <w:tbl>
      <w:tblPr>
        <w:tblStyle w:val="32"/>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1701"/>
        <w:gridCol w:w="1358"/>
        <w:gridCol w:w="1448"/>
        <w:gridCol w:w="1293"/>
        <w:gridCol w:w="1021"/>
        <w:gridCol w:w="1328"/>
      </w:tblGrid>
      <w:tr w14:paraId="437BF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5" w:hRule="atLeast"/>
          <w:jc w:val="center"/>
        </w:trPr>
        <w:tc>
          <w:tcPr>
            <w:tcW w:w="768" w:type="dxa"/>
            <w:vAlign w:val="center"/>
          </w:tcPr>
          <w:p w14:paraId="6DAAD5F3">
            <w:pPr>
              <w:jc w:val="center"/>
              <w:rPr>
                <w:rFonts w:ascii="宋体" w:hAnsi="宋体" w:cs="宋体"/>
                <w:b/>
                <w:color w:val="auto"/>
                <w:highlight w:val="none"/>
              </w:rPr>
            </w:pPr>
            <w:r>
              <w:rPr>
                <w:rFonts w:hint="eastAsia" w:ascii="宋体" w:hAnsi="宋体" w:cs="宋体"/>
                <w:b/>
                <w:color w:val="auto"/>
                <w:highlight w:val="none"/>
              </w:rPr>
              <w:t>序号</w:t>
            </w:r>
          </w:p>
        </w:tc>
        <w:tc>
          <w:tcPr>
            <w:tcW w:w="1701" w:type="dxa"/>
            <w:vAlign w:val="center"/>
          </w:tcPr>
          <w:p w14:paraId="631C09BA">
            <w:pPr>
              <w:jc w:val="center"/>
              <w:rPr>
                <w:rFonts w:ascii="宋体" w:hAnsi="宋体" w:cs="宋体"/>
                <w:b/>
                <w:color w:val="auto"/>
                <w:highlight w:val="none"/>
              </w:rPr>
            </w:pPr>
            <w:r>
              <w:rPr>
                <w:rFonts w:hint="eastAsia" w:ascii="宋体" w:hAnsi="宋体" w:cs="宋体"/>
                <w:b/>
                <w:color w:val="auto"/>
                <w:highlight w:val="none"/>
              </w:rPr>
              <w:t>项目名称</w:t>
            </w:r>
          </w:p>
        </w:tc>
        <w:tc>
          <w:tcPr>
            <w:tcW w:w="1358" w:type="dxa"/>
            <w:vAlign w:val="center"/>
          </w:tcPr>
          <w:p w14:paraId="6B08D728">
            <w:pPr>
              <w:jc w:val="center"/>
              <w:rPr>
                <w:rFonts w:ascii="宋体" w:hAnsi="宋体" w:cs="宋体"/>
                <w:b/>
                <w:color w:val="auto"/>
                <w:highlight w:val="none"/>
              </w:rPr>
            </w:pPr>
            <w:r>
              <w:rPr>
                <w:rFonts w:hint="eastAsia" w:ascii="宋体" w:hAnsi="宋体" w:cs="宋体"/>
                <w:b/>
                <w:color w:val="auto"/>
                <w:highlight w:val="none"/>
              </w:rPr>
              <w:t>业主单位</w:t>
            </w:r>
          </w:p>
        </w:tc>
        <w:tc>
          <w:tcPr>
            <w:tcW w:w="1448" w:type="dxa"/>
            <w:vAlign w:val="center"/>
          </w:tcPr>
          <w:p w14:paraId="7F050ACE">
            <w:pPr>
              <w:jc w:val="center"/>
              <w:rPr>
                <w:rFonts w:ascii="宋体" w:hAnsi="宋体" w:cs="宋体"/>
                <w:b/>
                <w:color w:val="auto"/>
                <w:highlight w:val="none"/>
              </w:rPr>
            </w:pPr>
            <w:r>
              <w:rPr>
                <w:rFonts w:hint="eastAsia" w:ascii="宋体" w:hAnsi="宋体" w:cs="宋体"/>
                <w:b/>
                <w:color w:val="auto"/>
                <w:highlight w:val="none"/>
              </w:rPr>
              <w:t>业主联系</w:t>
            </w:r>
          </w:p>
          <w:p w14:paraId="63E4F7AA">
            <w:pPr>
              <w:jc w:val="center"/>
              <w:rPr>
                <w:rFonts w:ascii="宋体" w:hAnsi="宋体" w:cs="宋体"/>
                <w:b/>
                <w:color w:val="auto"/>
                <w:highlight w:val="none"/>
              </w:rPr>
            </w:pPr>
            <w:r>
              <w:rPr>
                <w:rFonts w:hint="eastAsia" w:ascii="宋体" w:hAnsi="宋体" w:cs="宋体"/>
                <w:b/>
                <w:color w:val="auto"/>
                <w:highlight w:val="none"/>
              </w:rPr>
              <w:t>方式</w:t>
            </w:r>
          </w:p>
        </w:tc>
        <w:tc>
          <w:tcPr>
            <w:tcW w:w="1293" w:type="dxa"/>
            <w:vAlign w:val="center"/>
          </w:tcPr>
          <w:p w14:paraId="1BC73857">
            <w:pPr>
              <w:jc w:val="center"/>
              <w:rPr>
                <w:rFonts w:ascii="宋体" w:hAnsi="宋体" w:cs="宋体"/>
                <w:b/>
                <w:color w:val="auto"/>
                <w:highlight w:val="none"/>
              </w:rPr>
            </w:pPr>
            <w:r>
              <w:rPr>
                <w:rFonts w:hint="eastAsia" w:ascii="宋体" w:hAnsi="宋体" w:cs="宋体"/>
                <w:b/>
                <w:color w:val="auto"/>
                <w:highlight w:val="none"/>
              </w:rPr>
              <w:t>工作主要</w:t>
            </w:r>
          </w:p>
          <w:p w14:paraId="185AE917">
            <w:pPr>
              <w:jc w:val="center"/>
              <w:rPr>
                <w:rFonts w:ascii="宋体" w:hAnsi="宋体" w:cs="宋体"/>
                <w:b/>
                <w:color w:val="auto"/>
                <w:highlight w:val="none"/>
              </w:rPr>
            </w:pPr>
            <w:r>
              <w:rPr>
                <w:rFonts w:hint="eastAsia" w:ascii="宋体" w:hAnsi="宋体" w:cs="宋体"/>
                <w:b/>
                <w:color w:val="auto"/>
                <w:highlight w:val="none"/>
              </w:rPr>
              <w:t>内容</w:t>
            </w:r>
          </w:p>
        </w:tc>
        <w:tc>
          <w:tcPr>
            <w:tcW w:w="1021" w:type="dxa"/>
            <w:vAlign w:val="center"/>
          </w:tcPr>
          <w:p w14:paraId="57E026E4">
            <w:pPr>
              <w:jc w:val="center"/>
              <w:rPr>
                <w:rFonts w:ascii="宋体" w:hAnsi="宋体" w:cs="宋体"/>
                <w:b/>
                <w:color w:val="auto"/>
                <w:highlight w:val="none"/>
              </w:rPr>
            </w:pPr>
            <w:r>
              <w:rPr>
                <w:rFonts w:hint="eastAsia" w:ascii="宋体" w:hAnsi="宋体" w:cs="宋体"/>
                <w:b/>
                <w:color w:val="auto"/>
                <w:highlight w:val="none"/>
              </w:rPr>
              <w:t>合同</w:t>
            </w:r>
          </w:p>
          <w:p w14:paraId="4CE426C5">
            <w:pPr>
              <w:jc w:val="center"/>
              <w:rPr>
                <w:rFonts w:ascii="宋体" w:hAnsi="宋体" w:cs="宋体"/>
                <w:b/>
                <w:color w:val="auto"/>
                <w:highlight w:val="none"/>
              </w:rPr>
            </w:pPr>
            <w:r>
              <w:rPr>
                <w:rFonts w:hint="eastAsia" w:ascii="宋体" w:hAnsi="宋体" w:cs="宋体"/>
                <w:b/>
                <w:color w:val="auto"/>
                <w:highlight w:val="none"/>
              </w:rPr>
              <w:t>金额</w:t>
            </w:r>
          </w:p>
        </w:tc>
        <w:tc>
          <w:tcPr>
            <w:tcW w:w="1328" w:type="dxa"/>
            <w:vAlign w:val="center"/>
          </w:tcPr>
          <w:p w14:paraId="610DB161">
            <w:pPr>
              <w:jc w:val="center"/>
              <w:rPr>
                <w:rFonts w:ascii="宋体" w:hAnsi="宋体" w:cs="宋体"/>
                <w:b/>
                <w:color w:val="auto"/>
                <w:highlight w:val="none"/>
              </w:rPr>
            </w:pPr>
            <w:r>
              <w:rPr>
                <w:rFonts w:hint="eastAsia" w:ascii="宋体" w:hAnsi="宋体" w:cs="宋体"/>
                <w:b/>
                <w:color w:val="auto"/>
                <w:highlight w:val="none"/>
              </w:rPr>
              <w:t>证明材料</w:t>
            </w:r>
          </w:p>
          <w:p w14:paraId="67C579FD">
            <w:pPr>
              <w:jc w:val="center"/>
              <w:rPr>
                <w:rFonts w:ascii="宋体" w:hAnsi="宋体" w:cs="宋体"/>
                <w:b/>
                <w:color w:val="auto"/>
                <w:highlight w:val="none"/>
              </w:rPr>
            </w:pPr>
            <w:r>
              <w:rPr>
                <w:rFonts w:hint="eastAsia" w:ascii="宋体" w:hAnsi="宋体" w:cs="宋体"/>
                <w:b/>
                <w:color w:val="auto"/>
                <w:highlight w:val="none"/>
              </w:rPr>
              <w:t>（第几页—第几页）</w:t>
            </w:r>
          </w:p>
        </w:tc>
      </w:tr>
      <w:tr w14:paraId="16C74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68" w:type="dxa"/>
          </w:tcPr>
          <w:p w14:paraId="47CD89B4">
            <w:pPr>
              <w:rPr>
                <w:rFonts w:ascii="宋体" w:hAnsi="宋体" w:cs="宋体"/>
                <w:color w:val="auto"/>
                <w:highlight w:val="none"/>
              </w:rPr>
            </w:pPr>
          </w:p>
        </w:tc>
        <w:tc>
          <w:tcPr>
            <w:tcW w:w="1701" w:type="dxa"/>
          </w:tcPr>
          <w:p w14:paraId="22B74EAC">
            <w:pPr>
              <w:rPr>
                <w:rFonts w:ascii="宋体" w:hAnsi="宋体" w:cs="宋体"/>
                <w:color w:val="auto"/>
                <w:highlight w:val="none"/>
              </w:rPr>
            </w:pPr>
          </w:p>
        </w:tc>
        <w:tc>
          <w:tcPr>
            <w:tcW w:w="1358" w:type="dxa"/>
          </w:tcPr>
          <w:p w14:paraId="4DB98A7D">
            <w:pPr>
              <w:rPr>
                <w:rFonts w:ascii="宋体" w:hAnsi="宋体" w:cs="宋体"/>
                <w:color w:val="auto"/>
                <w:highlight w:val="none"/>
              </w:rPr>
            </w:pPr>
          </w:p>
        </w:tc>
        <w:tc>
          <w:tcPr>
            <w:tcW w:w="1448" w:type="dxa"/>
          </w:tcPr>
          <w:p w14:paraId="4679C0AB">
            <w:pPr>
              <w:rPr>
                <w:rFonts w:ascii="宋体" w:hAnsi="宋体" w:cs="宋体"/>
                <w:color w:val="auto"/>
                <w:highlight w:val="none"/>
              </w:rPr>
            </w:pPr>
          </w:p>
        </w:tc>
        <w:tc>
          <w:tcPr>
            <w:tcW w:w="1293" w:type="dxa"/>
          </w:tcPr>
          <w:p w14:paraId="5F47A6D7">
            <w:pPr>
              <w:rPr>
                <w:rFonts w:ascii="宋体" w:hAnsi="宋体" w:cs="宋体"/>
                <w:color w:val="auto"/>
                <w:highlight w:val="none"/>
              </w:rPr>
            </w:pPr>
          </w:p>
        </w:tc>
        <w:tc>
          <w:tcPr>
            <w:tcW w:w="1021" w:type="dxa"/>
          </w:tcPr>
          <w:p w14:paraId="7469E2E8">
            <w:pPr>
              <w:rPr>
                <w:rFonts w:ascii="宋体" w:hAnsi="宋体" w:cs="宋体"/>
                <w:color w:val="auto"/>
                <w:highlight w:val="none"/>
              </w:rPr>
            </w:pPr>
          </w:p>
        </w:tc>
        <w:tc>
          <w:tcPr>
            <w:tcW w:w="1328" w:type="dxa"/>
          </w:tcPr>
          <w:p w14:paraId="36D42A16">
            <w:pPr>
              <w:rPr>
                <w:rFonts w:ascii="宋体" w:hAnsi="宋体" w:cs="宋体"/>
                <w:color w:val="auto"/>
                <w:highlight w:val="none"/>
              </w:rPr>
            </w:pPr>
          </w:p>
        </w:tc>
      </w:tr>
      <w:tr w14:paraId="13DEB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68" w:type="dxa"/>
          </w:tcPr>
          <w:p w14:paraId="4943E2D4">
            <w:pPr>
              <w:rPr>
                <w:rFonts w:ascii="宋体" w:hAnsi="宋体" w:cs="宋体"/>
                <w:color w:val="auto"/>
                <w:highlight w:val="none"/>
              </w:rPr>
            </w:pPr>
          </w:p>
        </w:tc>
        <w:tc>
          <w:tcPr>
            <w:tcW w:w="1701" w:type="dxa"/>
          </w:tcPr>
          <w:p w14:paraId="64900203">
            <w:pPr>
              <w:rPr>
                <w:rFonts w:ascii="宋体" w:hAnsi="宋体" w:cs="宋体"/>
                <w:color w:val="auto"/>
                <w:highlight w:val="none"/>
              </w:rPr>
            </w:pPr>
          </w:p>
        </w:tc>
        <w:tc>
          <w:tcPr>
            <w:tcW w:w="1358" w:type="dxa"/>
          </w:tcPr>
          <w:p w14:paraId="16130E0D">
            <w:pPr>
              <w:rPr>
                <w:rFonts w:ascii="宋体" w:hAnsi="宋体" w:cs="宋体"/>
                <w:color w:val="auto"/>
                <w:highlight w:val="none"/>
              </w:rPr>
            </w:pPr>
          </w:p>
        </w:tc>
        <w:tc>
          <w:tcPr>
            <w:tcW w:w="1448" w:type="dxa"/>
          </w:tcPr>
          <w:p w14:paraId="16DDFBA6">
            <w:pPr>
              <w:rPr>
                <w:rFonts w:ascii="宋体" w:hAnsi="宋体" w:cs="宋体"/>
                <w:color w:val="auto"/>
                <w:highlight w:val="none"/>
              </w:rPr>
            </w:pPr>
          </w:p>
        </w:tc>
        <w:tc>
          <w:tcPr>
            <w:tcW w:w="1293" w:type="dxa"/>
          </w:tcPr>
          <w:p w14:paraId="0F254307">
            <w:pPr>
              <w:rPr>
                <w:rFonts w:ascii="宋体" w:hAnsi="宋体" w:cs="宋体"/>
                <w:color w:val="auto"/>
                <w:highlight w:val="none"/>
              </w:rPr>
            </w:pPr>
          </w:p>
        </w:tc>
        <w:tc>
          <w:tcPr>
            <w:tcW w:w="1021" w:type="dxa"/>
          </w:tcPr>
          <w:p w14:paraId="6FA5C17A">
            <w:pPr>
              <w:rPr>
                <w:rFonts w:ascii="宋体" w:hAnsi="宋体" w:cs="宋体"/>
                <w:color w:val="auto"/>
                <w:highlight w:val="none"/>
              </w:rPr>
            </w:pPr>
          </w:p>
        </w:tc>
        <w:tc>
          <w:tcPr>
            <w:tcW w:w="1328" w:type="dxa"/>
          </w:tcPr>
          <w:p w14:paraId="7E3BCD6C">
            <w:pPr>
              <w:rPr>
                <w:rFonts w:ascii="宋体" w:hAnsi="宋体" w:cs="宋体"/>
                <w:color w:val="auto"/>
                <w:highlight w:val="none"/>
              </w:rPr>
            </w:pPr>
          </w:p>
        </w:tc>
      </w:tr>
      <w:tr w14:paraId="73A0B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68" w:type="dxa"/>
          </w:tcPr>
          <w:p w14:paraId="10E5AE65">
            <w:pPr>
              <w:rPr>
                <w:rFonts w:ascii="宋体" w:hAnsi="宋体" w:cs="宋体"/>
                <w:color w:val="auto"/>
                <w:highlight w:val="none"/>
              </w:rPr>
            </w:pPr>
          </w:p>
        </w:tc>
        <w:tc>
          <w:tcPr>
            <w:tcW w:w="1701" w:type="dxa"/>
          </w:tcPr>
          <w:p w14:paraId="2126F969">
            <w:pPr>
              <w:rPr>
                <w:rFonts w:ascii="宋体" w:hAnsi="宋体" w:cs="宋体"/>
                <w:color w:val="auto"/>
                <w:highlight w:val="none"/>
              </w:rPr>
            </w:pPr>
          </w:p>
        </w:tc>
        <w:tc>
          <w:tcPr>
            <w:tcW w:w="1358" w:type="dxa"/>
          </w:tcPr>
          <w:p w14:paraId="655287B9">
            <w:pPr>
              <w:rPr>
                <w:rFonts w:ascii="宋体" w:hAnsi="宋体" w:cs="宋体"/>
                <w:color w:val="auto"/>
                <w:highlight w:val="none"/>
              </w:rPr>
            </w:pPr>
          </w:p>
        </w:tc>
        <w:tc>
          <w:tcPr>
            <w:tcW w:w="1448" w:type="dxa"/>
          </w:tcPr>
          <w:p w14:paraId="5F20FB57">
            <w:pPr>
              <w:rPr>
                <w:rFonts w:ascii="宋体" w:hAnsi="宋体" w:cs="宋体"/>
                <w:color w:val="auto"/>
                <w:highlight w:val="none"/>
              </w:rPr>
            </w:pPr>
          </w:p>
        </w:tc>
        <w:tc>
          <w:tcPr>
            <w:tcW w:w="1293" w:type="dxa"/>
          </w:tcPr>
          <w:p w14:paraId="349A91C4">
            <w:pPr>
              <w:rPr>
                <w:rFonts w:ascii="宋体" w:hAnsi="宋体" w:cs="宋体"/>
                <w:color w:val="auto"/>
                <w:highlight w:val="none"/>
              </w:rPr>
            </w:pPr>
          </w:p>
        </w:tc>
        <w:tc>
          <w:tcPr>
            <w:tcW w:w="1021" w:type="dxa"/>
          </w:tcPr>
          <w:p w14:paraId="0F0F7C2E">
            <w:pPr>
              <w:rPr>
                <w:rFonts w:ascii="宋体" w:hAnsi="宋体" w:cs="宋体"/>
                <w:color w:val="auto"/>
                <w:highlight w:val="none"/>
              </w:rPr>
            </w:pPr>
          </w:p>
        </w:tc>
        <w:tc>
          <w:tcPr>
            <w:tcW w:w="1328" w:type="dxa"/>
          </w:tcPr>
          <w:p w14:paraId="652588B1">
            <w:pPr>
              <w:rPr>
                <w:rFonts w:ascii="宋体" w:hAnsi="宋体" w:cs="宋体"/>
                <w:color w:val="auto"/>
                <w:highlight w:val="none"/>
              </w:rPr>
            </w:pPr>
          </w:p>
        </w:tc>
      </w:tr>
      <w:tr w14:paraId="6EB51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768" w:type="dxa"/>
          </w:tcPr>
          <w:p w14:paraId="6930F60C">
            <w:pPr>
              <w:rPr>
                <w:rFonts w:ascii="宋体" w:hAnsi="宋体" w:cs="宋体"/>
                <w:color w:val="auto"/>
                <w:highlight w:val="none"/>
              </w:rPr>
            </w:pPr>
          </w:p>
        </w:tc>
        <w:tc>
          <w:tcPr>
            <w:tcW w:w="1701" w:type="dxa"/>
          </w:tcPr>
          <w:p w14:paraId="3CA3ECCA">
            <w:pPr>
              <w:rPr>
                <w:rFonts w:ascii="宋体" w:hAnsi="宋体" w:cs="宋体"/>
                <w:color w:val="auto"/>
                <w:highlight w:val="none"/>
              </w:rPr>
            </w:pPr>
          </w:p>
        </w:tc>
        <w:tc>
          <w:tcPr>
            <w:tcW w:w="1358" w:type="dxa"/>
          </w:tcPr>
          <w:p w14:paraId="465568E2">
            <w:pPr>
              <w:rPr>
                <w:rFonts w:ascii="宋体" w:hAnsi="宋体" w:cs="宋体"/>
                <w:color w:val="auto"/>
                <w:highlight w:val="none"/>
              </w:rPr>
            </w:pPr>
          </w:p>
        </w:tc>
        <w:tc>
          <w:tcPr>
            <w:tcW w:w="1448" w:type="dxa"/>
          </w:tcPr>
          <w:p w14:paraId="234CBB6C">
            <w:pPr>
              <w:rPr>
                <w:rFonts w:ascii="宋体" w:hAnsi="宋体" w:cs="宋体"/>
                <w:color w:val="auto"/>
                <w:highlight w:val="none"/>
              </w:rPr>
            </w:pPr>
          </w:p>
        </w:tc>
        <w:tc>
          <w:tcPr>
            <w:tcW w:w="1293" w:type="dxa"/>
          </w:tcPr>
          <w:p w14:paraId="7A597802">
            <w:pPr>
              <w:rPr>
                <w:rFonts w:ascii="宋体" w:hAnsi="宋体" w:cs="宋体"/>
                <w:color w:val="auto"/>
                <w:highlight w:val="none"/>
              </w:rPr>
            </w:pPr>
          </w:p>
        </w:tc>
        <w:tc>
          <w:tcPr>
            <w:tcW w:w="1021" w:type="dxa"/>
          </w:tcPr>
          <w:p w14:paraId="70A0242A">
            <w:pPr>
              <w:rPr>
                <w:rFonts w:ascii="宋体" w:hAnsi="宋体" w:cs="宋体"/>
                <w:color w:val="auto"/>
                <w:highlight w:val="none"/>
              </w:rPr>
            </w:pPr>
          </w:p>
        </w:tc>
        <w:tc>
          <w:tcPr>
            <w:tcW w:w="1328" w:type="dxa"/>
          </w:tcPr>
          <w:p w14:paraId="7BA0ADEF">
            <w:pPr>
              <w:rPr>
                <w:rFonts w:ascii="宋体" w:hAnsi="宋体" w:cs="宋体"/>
                <w:color w:val="auto"/>
                <w:highlight w:val="none"/>
              </w:rPr>
            </w:pPr>
          </w:p>
        </w:tc>
      </w:tr>
      <w:tr w14:paraId="06AA1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68" w:type="dxa"/>
          </w:tcPr>
          <w:p w14:paraId="633A6973">
            <w:pPr>
              <w:rPr>
                <w:rFonts w:ascii="宋体" w:hAnsi="宋体" w:cs="宋体"/>
                <w:color w:val="auto"/>
                <w:highlight w:val="none"/>
              </w:rPr>
            </w:pPr>
          </w:p>
        </w:tc>
        <w:tc>
          <w:tcPr>
            <w:tcW w:w="1701" w:type="dxa"/>
          </w:tcPr>
          <w:p w14:paraId="5880EFF4">
            <w:pPr>
              <w:rPr>
                <w:rFonts w:ascii="宋体" w:hAnsi="宋体" w:cs="宋体"/>
                <w:color w:val="auto"/>
                <w:highlight w:val="none"/>
              </w:rPr>
            </w:pPr>
          </w:p>
        </w:tc>
        <w:tc>
          <w:tcPr>
            <w:tcW w:w="1358" w:type="dxa"/>
          </w:tcPr>
          <w:p w14:paraId="2F009F7A">
            <w:pPr>
              <w:rPr>
                <w:rFonts w:ascii="宋体" w:hAnsi="宋体" w:cs="宋体"/>
                <w:color w:val="auto"/>
                <w:highlight w:val="none"/>
              </w:rPr>
            </w:pPr>
          </w:p>
        </w:tc>
        <w:tc>
          <w:tcPr>
            <w:tcW w:w="1448" w:type="dxa"/>
          </w:tcPr>
          <w:p w14:paraId="60CB9332">
            <w:pPr>
              <w:rPr>
                <w:rFonts w:ascii="宋体" w:hAnsi="宋体" w:cs="宋体"/>
                <w:color w:val="auto"/>
                <w:highlight w:val="none"/>
              </w:rPr>
            </w:pPr>
          </w:p>
        </w:tc>
        <w:tc>
          <w:tcPr>
            <w:tcW w:w="1293" w:type="dxa"/>
          </w:tcPr>
          <w:p w14:paraId="46951DCA">
            <w:pPr>
              <w:rPr>
                <w:rFonts w:ascii="宋体" w:hAnsi="宋体" w:cs="宋体"/>
                <w:color w:val="auto"/>
                <w:highlight w:val="none"/>
              </w:rPr>
            </w:pPr>
          </w:p>
        </w:tc>
        <w:tc>
          <w:tcPr>
            <w:tcW w:w="1021" w:type="dxa"/>
          </w:tcPr>
          <w:p w14:paraId="263A9C24">
            <w:pPr>
              <w:rPr>
                <w:rFonts w:ascii="宋体" w:hAnsi="宋体" w:cs="宋体"/>
                <w:color w:val="auto"/>
                <w:highlight w:val="none"/>
              </w:rPr>
            </w:pPr>
          </w:p>
        </w:tc>
        <w:tc>
          <w:tcPr>
            <w:tcW w:w="1328" w:type="dxa"/>
          </w:tcPr>
          <w:p w14:paraId="298A8534">
            <w:pPr>
              <w:rPr>
                <w:rFonts w:ascii="宋体" w:hAnsi="宋体" w:cs="宋体"/>
                <w:color w:val="auto"/>
                <w:highlight w:val="none"/>
              </w:rPr>
            </w:pPr>
          </w:p>
        </w:tc>
      </w:tr>
    </w:tbl>
    <w:p w14:paraId="577354B9">
      <w:pPr>
        <w:rPr>
          <w:rFonts w:ascii="宋体" w:hAnsi="宋体" w:cs="宋体"/>
          <w:color w:val="auto"/>
          <w:highlight w:val="none"/>
        </w:rPr>
      </w:pPr>
      <w:r>
        <w:rPr>
          <w:rFonts w:hint="eastAsia" w:ascii="宋体" w:hAnsi="宋体" w:cs="宋体"/>
          <w:color w:val="auto"/>
          <w:highlight w:val="none"/>
        </w:rPr>
        <w:t xml:space="preserve"> </w:t>
      </w:r>
    </w:p>
    <w:p w14:paraId="4F1A9836">
      <w:pPr>
        <w:widowControl/>
        <w:shd w:val="clear" w:color="auto" w:fill="FFFFFF"/>
        <w:spacing w:line="360" w:lineRule="auto"/>
        <w:jc w:val="left"/>
        <w:rPr>
          <w:rFonts w:ascii="宋体" w:hAnsi="宋体" w:cs="宋体"/>
          <w:color w:val="auto"/>
          <w:highlight w:val="none"/>
        </w:rPr>
      </w:pPr>
      <w:r>
        <w:rPr>
          <w:rFonts w:hint="eastAsia" w:ascii="宋体" w:hAnsi="宋体" w:cs="宋体"/>
          <w:color w:val="auto"/>
          <w:highlight w:val="none"/>
        </w:rPr>
        <w:t>供应商（加盖电子公章）:</w:t>
      </w:r>
      <w:r>
        <w:rPr>
          <w:rFonts w:hint="eastAsia" w:ascii="宋体" w:hAnsi="宋体" w:cs="宋体"/>
          <w:color w:val="auto"/>
          <w:highlight w:val="none"/>
          <w:u w:val="single"/>
        </w:rPr>
        <w:t xml:space="preserve">            </w:t>
      </w:r>
    </w:p>
    <w:p w14:paraId="4CA94C15">
      <w:pPr>
        <w:widowControl/>
        <w:shd w:val="clear" w:color="auto" w:fill="FFFFFF"/>
        <w:spacing w:line="360" w:lineRule="auto"/>
        <w:jc w:val="left"/>
        <w:rPr>
          <w:rFonts w:ascii="宋体" w:hAnsi="宋体" w:cs="宋体"/>
          <w:color w:val="auto"/>
          <w:highlight w:val="none"/>
          <w:u w:val="single"/>
        </w:rPr>
      </w:pPr>
      <w:r>
        <w:rPr>
          <w:rFonts w:hint="eastAsia" w:ascii="宋体" w:hAnsi="宋体" w:cs="宋体"/>
          <w:color w:val="auto"/>
          <w:highlight w:val="none"/>
        </w:rPr>
        <w:t>法定代表人或其授权代表（签字）：</w:t>
      </w:r>
      <w:r>
        <w:rPr>
          <w:rFonts w:hint="eastAsia" w:ascii="宋体" w:hAnsi="宋体" w:cs="宋体"/>
          <w:color w:val="auto"/>
          <w:highlight w:val="none"/>
          <w:u w:val="single"/>
        </w:rPr>
        <w:t xml:space="preserve">          </w:t>
      </w:r>
    </w:p>
    <w:p w14:paraId="5F1F6663">
      <w:pPr>
        <w:rPr>
          <w:rFonts w:ascii="宋体" w:hAnsi="宋体" w:cs="宋体"/>
          <w:color w:val="auto"/>
          <w:highlight w:val="none"/>
        </w:rPr>
      </w:pPr>
      <w:r>
        <w:rPr>
          <w:rFonts w:hint="eastAsia" w:ascii="宋体" w:hAnsi="宋体" w:cs="宋体"/>
          <w:color w:val="auto"/>
          <w:highlight w:val="none"/>
        </w:rPr>
        <w:t>日    期：   年    月    日</w:t>
      </w:r>
      <w:r>
        <w:rPr>
          <w:rFonts w:hint="eastAsia" w:ascii="宋体" w:hAnsi="宋体" w:cs="宋体"/>
          <w:color w:val="auto"/>
          <w:highlight w:val="none"/>
        </w:rPr>
        <w:br w:type="page"/>
      </w:r>
    </w:p>
    <w:p w14:paraId="28823D09">
      <w:pPr>
        <w:spacing w:line="360" w:lineRule="auto"/>
        <w:outlineLvl w:val="1"/>
        <w:rPr>
          <w:rFonts w:ascii="宋体" w:hAnsi="宋体" w:cs="宋体"/>
          <w:b/>
          <w:color w:val="auto"/>
          <w:spacing w:val="15"/>
          <w:szCs w:val="21"/>
          <w:highlight w:val="none"/>
        </w:rPr>
      </w:pPr>
      <w:bookmarkStart w:id="697" w:name="_Toc23372"/>
      <w:r>
        <w:rPr>
          <w:rFonts w:hint="eastAsia" w:ascii="宋体" w:hAnsi="宋体" w:cs="宋体"/>
          <w:b/>
          <w:color w:val="auto"/>
          <w:spacing w:val="15"/>
          <w:szCs w:val="21"/>
          <w:highlight w:val="none"/>
        </w:rPr>
        <w:t>附件十、</w:t>
      </w:r>
      <w:r>
        <w:rPr>
          <w:rFonts w:hint="eastAsia" w:ascii="宋体" w:hAnsi="宋体" w:cs="宋体"/>
          <w:b/>
          <w:color w:val="auto"/>
          <w:highlight w:val="none"/>
        </w:rPr>
        <w:t>拟投入本项目人员一览表</w:t>
      </w:r>
      <w:bookmarkEnd w:id="697"/>
    </w:p>
    <w:p w14:paraId="7B836839">
      <w:pPr>
        <w:spacing w:line="360" w:lineRule="auto"/>
        <w:jc w:val="center"/>
        <w:rPr>
          <w:rFonts w:ascii="宋体" w:hAnsi="宋体" w:cs="宋体"/>
          <w:b/>
          <w:bCs/>
          <w:color w:val="auto"/>
          <w:sz w:val="24"/>
          <w:highlight w:val="none"/>
        </w:rPr>
      </w:pPr>
    </w:p>
    <w:p w14:paraId="6074639F">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拟投入本项目服务人员一览表</w:t>
      </w:r>
    </w:p>
    <w:p w14:paraId="1256EF99">
      <w:pPr>
        <w:spacing w:line="360" w:lineRule="auto"/>
        <w:rPr>
          <w:rFonts w:ascii="宋体" w:hAnsi="宋体" w:cs="宋体"/>
          <w:color w:val="auto"/>
          <w:highlight w:val="none"/>
        </w:rPr>
      </w:pPr>
      <w:r>
        <w:rPr>
          <w:rFonts w:hint="eastAsia" w:ascii="宋体" w:hAnsi="宋体" w:cs="宋体"/>
          <w:color w:val="auto"/>
          <w:highlight w:val="none"/>
        </w:rPr>
        <w:t xml:space="preserve">项目名称：                                           </w:t>
      </w:r>
    </w:p>
    <w:p w14:paraId="59F80664">
      <w:pPr>
        <w:spacing w:line="360" w:lineRule="auto"/>
        <w:rPr>
          <w:rFonts w:ascii="宋体" w:hAnsi="宋体" w:cs="宋体"/>
          <w:color w:val="auto"/>
          <w:highlight w:val="none"/>
        </w:rPr>
      </w:pPr>
      <w:r>
        <w:rPr>
          <w:rFonts w:hint="eastAsia" w:ascii="宋体" w:hAnsi="宋体" w:cs="宋体"/>
          <w:color w:val="auto"/>
          <w:highlight w:val="none"/>
        </w:rPr>
        <w:t>项目编号：</w:t>
      </w:r>
    </w:p>
    <w:tbl>
      <w:tblPr>
        <w:tblStyle w:val="32"/>
        <w:tblW w:w="53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775"/>
        <w:gridCol w:w="841"/>
        <w:gridCol w:w="776"/>
        <w:gridCol w:w="776"/>
        <w:gridCol w:w="1019"/>
        <w:gridCol w:w="837"/>
        <w:gridCol w:w="915"/>
        <w:gridCol w:w="893"/>
        <w:gridCol w:w="793"/>
        <w:gridCol w:w="777"/>
        <w:gridCol w:w="777"/>
      </w:tblGrid>
      <w:tr w14:paraId="7046A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1" w:hRule="atLeast"/>
          <w:jc w:val="center"/>
        </w:trPr>
        <w:tc>
          <w:tcPr>
            <w:tcW w:w="774" w:type="dxa"/>
            <w:vAlign w:val="center"/>
          </w:tcPr>
          <w:p w14:paraId="195FE993">
            <w:pPr>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775" w:type="dxa"/>
            <w:vAlign w:val="center"/>
          </w:tcPr>
          <w:p w14:paraId="68DA889E">
            <w:pPr>
              <w:jc w:val="center"/>
              <w:rPr>
                <w:rFonts w:ascii="宋体" w:hAnsi="宋体" w:cs="宋体"/>
                <w:b/>
                <w:color w:val="auto"/>
                <w:szCs w:val="21"/>
                <w:highlight w:val="none"/>
              </w:rPr>
            </w:pPr>
            <w:r>
              <w:rPr>
                <w:rFonts w:hint="eastAsia" w:ascii="宋体" w:hAnsi="宋体" w:cs="宋体"/>
                <w:b/>
                <w:color w:val="auto"/>
                <w:szCs w:val="21"/>
                <w:highlight w:val="none"/>
              </w:rPr>
              <w:t>姓名</w:t>
            </w:r>
          </w:p>
        </w:tc>
        <w:tc>
          <w:tcPr>
            <w:tcW w:w="841" w:type="dxa"/>
            <w:vAlign w:val="center"/>
          </w:tcPr>
          <w:p w14:paraId="05F33006">
            <w:pPr>
              <w:jc w:val="center"/>
              <w:rPr>
                <w:rFonts w:ascii="宋体" w:hAnsi="宋体" w:cs="宋体"/>
                <w:b/>
                <w:color w:val="auto"/>
                <w:szCs w:val="21"/>
                <w:highlight w:val="none"/>
              </w:rPr>
            </w:pPr>
            <w:r>
              <w:rPr>
                <w:rFonts w:hint="eastAsia" w:ascii="宋体" w:hAnsi="宋体" w:cs="宋体"/>
                <w:b/>
                <w:color w:val="auto"/>
                <w:szCs w:val="21"/>
                <w:highlight w:val="none"/>
              </w:rPr>
              <w:t>职务</w:t>
            </w:r>
          </w:p>
        </w:tc>
        <w:tc>
          <w:tcPr>
            <w:tcW w:w="776" w:type="dxa"/>
            <w:vAlign w:val="center"/>
          </w:tcPr>
          <w:p w14:paraId="0D966672">
            <w:pPr>
              <w:jc w:val="center"/>
              <w:rPr>
                <w:rFonts w:ascii="宋体" w:hAnsi="宋体" w:cs="宋体"/>
                <w:b/>
                <w:color w:val="auto"/>
                <w:szCs w:val="21"/>
                <w:highlight w:val="none"/>
              </w:rPr>
            </w:pPr>
            <w:r>
              <w:rPr>
                <w:rFonts w:hint="eastAsia" w:ascii="宋体" w:hAnsi="宋体" w:cs="宋体"/>
                <w:b/>
                <w:color w:val="auto"/>
                <w:szCs w:val="21"/>
                <w:highlight w:val="none"/>
              </w:rPr>
              <w:t>性别</w:t>
            </w:r>
          </w:p>
        </w:tc>
        <w:tc>
          <w:tcPr>
            <w:tcW w:w="776" w:type="dxa"/>
            <w:vAlign w:val="center"/>
          </w:tcPr>
          <w:p w14:paraId="5148426B">
            <w:pPr>
              <w:jc w:val="center"/>
              <w:rPr>
                <w:rFonts w:ascii="宋体" w:hAnsi="宋体" w:cs="宋体"/>
                <w:b/>
                <w:color w:val="auto"/>
                <w:szCs w:val="21"/>
                <w:highlight w:val="none"/>
              </w:rPr>
            </w:pPr>
            <w:r>
              <w:rPr>
                <w:rFonts w:hint="eastAsia" w:ascii="宋体" w:hAnsi="宋体" w:cs="宋体"/>
                <w:b/>
                <w:color w:val="auto"/>
                <w:szCs w:val="21"/>
                <w:highlight w:val="none"/>
              </w:rPr>
              <w:t>年龄</w:t>
            </w:r>
          </w:p>
        </w:tc>
        <w:tc>
          <w:tcPr>
            <w:tcW w:w="1019" w:type="dxa"/>
            <w:vAlign w:val="center"/>
          </w:tcPr>
          <w:p w14:paraId="33FF4BA5">
            <w:pPr>
              <w:jc w:val="center"/>
              <w:rPr>
                <w:rFonts w:ascii="宋体" w:hAnsi="宋体" w:cs="宋体"/>
                <w:b/>
                <w:color w:val="auto"/>
                <w:szCs w:val="21"/>
                <w:highlight w:val="none"/>
              </w:rPr>
            </w:pPr>
            <w:r>
              <w:rPr>
                <w:rFonts w:hint="eastAsia" w:ascii="宋体" w:hAnsi="宋体" w:cs="宋体"/>
                <w:b/>
                <w:color w:val="auto"/>
                <w:szCs w:val="21"/>
                <w:highlight w:val="none"/>
              </w:rPr>
              <w:t>专业</w:t>
            </w:r>
          </w:p>
        </w:tc>
        <w:tc>
          <w:tcPr>
            <w:tcW w:w="837" w:type="dxa"/>
            <w:vAlign w:val="center"/>
          </w:tcPr>
          <w:p w14:paraId="1758F606">
            <w:pPr>
              <w:jc w:val="center"/>
              <w:rPr>
                <w:rFonts w:ascii="宋体" w:hAnsi="宋体" w:cs="宋体"/>
                <w:b/>
                <w:color w:val="auto"/>
                <w:szCs w:val="21"/>
                <w:highlight w:val="none"/>
              </w:rPr>
            </w:pPr>
            <w:r>
              <w:rPr>
                <w:rFonts w:hint="eastAsia" w:ascii="宋体" w:hAnsi="宋体" w:cs="宋体"/>
                <w:b/>
                <w:color w:val="auto"/>
                <w:szCs w:val="21"/>
                <w:highlight w:val="none"/>
              </w:rPr>
              <w:t>学历</w:t>
            </w:r>
          </w:p>
        </w:tc>
        <w:tc>
          <w:tcPr>
            <w:tcW w:w="915" w:type="dxa"/>
            <w:vAlign w:val="center"/>
          </w:tcPr>
          <w:p w14:paraId="7BC037D3">
            <w:pPr>
              <w:jc w:val="center"/>
              <w:rPr>
                <w:rFonts w:ascii="宋体" w:hAnsi="宋体" w:cs="宋体"/>
                <w:b/>
                <w:color w:val="auto"/>
                <w:szCs w:val="21"/>
                <w:highlight w:val="none"/>
              </w:rPr>
            </w:pPr>
            <w:r>
              <w:rPr>
                <w:rFonts w:hint="eastAsia" w:ascii="宋体" w:hAnsi="宋体" w:cs="宋体"/>
                <w:b/>
                <w:color w:val="auto"/>
                <w:szCs w:val="21"/>
                <w:highlight w:val="none"/>
              </w:rPr>
              <w:t>执业</w:t>
            </w:r>
          </w:p>
          <w:p w14:paraId="242B4CD7">
            <w:pPr>
              <w:jc w:val="center"/>
              <w:rPr>
                <w:rFonts w:ascii="宋体" w:hAnsi="宋体" w:cs="宋体"/>
                <w:b/>
                <w:color w:val="auto"/>
                <w:szCs w:val="21"/>
                <w:highlight w:val="none"/>
              </w:rPr>
            </w:pPr>
            <w:r>
              <w:rPr>
                <w:rFonts w:hint="eastAsia" w:ascii="宋体" w:hAnsi="宋体" w:cs="宋体"/>
                <w:b/>
                <w:color w:val="auto"/>
                <w:szCs w:val="21"/>
                <w:highlight w:val="none"/>
              </w:rPr>
              <w:t>资格</w:t>
            </w:r>
          </w:p>
        </w:tc>
        <w:tc>
          <w:tcPr>
            <w:tcW w:w="893" w:type="dxa"/>
            <w:vAlign w:val="center"/>
          </w:tcPr>
          <w:p w14:paraId="0DE38E34">
            <w:pPr>
              <w:jc w:val="center"/>
              <w:rPr>
                <w:rFonts w:ascii="宋体" w:hAnsi="宋体" w:cs="宋体"/>
                <w:b/>
                <w:color w:val="auto"/>
                <w:szCs w:val="21"/>
                <w:highlight w:val="none"/>
              </w:rPr>
            </w:pPr>
            <w:r>
              <w:rPr>
                <w:rFonts w:hint="eastAsia" w:ascii="宋体" w:hAnsi="宋体" w:cs="宋体"/>
                <w:b/>
                <w:color w:val="auto"/>
                <w:szCs w:val="21"/>
                <w:highlight w:val="none"/>
              </w:rPr>
              <w:t>证书号</w:t>
            </w:r>
          </w:p>
        </w:tc>
        <w:tc>
          <w:tcPr>
            <w:tcW w:w="793" w:type="dxa"/>
            <w:vAlign w:val="center"/>
          </w:tcPr>
          <w:p w14:paraId="7A9338A3">
            <w:pPr>
              <w:jc w:val="center"/>
              <w:rPr>
                <w:rFonts w:ascii="宋体" w:hAnsi="宋体" w:cs="宋体"/>
                <w:b/>
                <w:color w:val="auto"/>
                <w:szCs w:val="21"/>
                <w:highlight w:val="none"/>
              </w:rPr>
            </w:pPr>
            <w:r>
              <w:rPr>
                <w:rFonts w:hint="eastAsia" w:ascii="宋体" w:hAnsi="宋体" w:cs="宋体"/>
                <w:b/>
                <w:color w:val="auto"/>
                <w:szCs w:val="21"/>
                <w:highlight w:val="none"/>
              </w:rPr>
              <w:t>技术职称</w:t>
            </w:r>
          </w:p>
        </w:tc>
        <w:tc>
          <w:tcPr>
            <w:tcW w:w="777" w:type="dxa"/>
            <w:vAlign w:val="center"/>
          </w:tcPr>
          <w:p w14:paraId="210AB9F9">
            <w:pPr>
              <w:jc w:val="center"/>
              <w:rPr>
                <w:rFonts w:ascii="宋体" w:hAnsi="宋体" w:cs="宋体"/>
                <w:b/>
                <w:color w:val="auto"/>
                <w:szCs w:val="21"/>
                <w:highlight w:val="none"/>
              </w:rPr>
            </w:pPr>
            <w:r>
              <w:rPr>
                <w:rFonts w:hint="eastAsia" w:ascii="宋体" w:hAnsi="宋体" w:cs="宋体"/>
                <w:b/>
                <w:color w:val="auto"/>
                <w:szCs w:val="21"/>
                <w:highlight w:val="none"/>
              </w:rPr>
              <w:t>相关工作年限</w:t>
            </w:r>
          </w:p>
        </w:tc>
        <w:tc>
          <w:tcPr>
            <w:tcW w:w="777" w:type="dxa"/>
            <w:vAlign w:val="center"/>
          </w:tcPr>
          <w:p w14:paraId="728C1D26">
            <w:pPr>
              <w:jc w:val="center"/>
              <w:rPr>
                <w:rFonts w:ascii="宋体" w:hAnsi="宋体" w:cs="宋体"/>
                <w:b/>
                <w:color w:val="auto"/>
                <w:szCs w:val="21"/>
                <w:highlight w:val="none"/>
              </w:rPr>
            </w:pPr>
            <w:r>
              <w:rPr>
                <w:rFonts w:hint="eastAsia" w:ascii="宋体" w:hAnsi="宋体" w:cs="宋体"/>
                <w:b/>
                <w:color w:val="auto"/>
                <w:szCs w:val="21"/>
                <w:highlight w:val="none"/>
              </w:rPr>
              <w:t>备注</w:t>
            </w:r>
          </w:p>
        </w:tc>
      </w:tr>
      <w:tr w14:paraId="605AA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74" w:type="dxa"/>
          </w:tcPr>
          <w:p w14:paraId="2D7C96BB">
            <w:pPr>
              <w:rPr>
                <w:rFonts w:ascii="宋体" w:hAnsi="宋体" w:cs="宋体"/>
                <w:color w:val="auto"/>
                <w:szCs w:val="21"/>
                <w:highlight w:val="none"/>
              </w:rPr>
            </w:pPr>
          </w:p>
        </w:tc>
        <w:tc>
          <w:tcPr>
            <w:tcW w:w="775" w:type="dxa"/>
          </w:tcPr>
          <w:p w14:paraId="4097FB47">
            <w:pPr>
              <w:rPr>
                <w:rFonts w:ascii="宋体" w:hAnsi="宋体" w:cs="宋体"/>
                <w:color w:val="auto"/>
                <w:szCs w:val="21"/>
                <w:highlight w:val="none"/>
              </w:rPr>
            </w:pPr>
          </w:p>
        </w:tc>
        <w:tc>
          <w:tcPr>
            <w:tcW w:w="841" w:type="dxa"/>
          </w:tcPr>
          <w:p w14:paraId="1C7C691B">
            <w:pPr>
              <w:rPr>
                <w:rFonts w:ascii="宋体" w:hAnsi="宋体" w:cs="宋体"/>
                <w:color w:val="auto"/>
                <w:szCs w:val="21"/>
                <w:highlight w:val="none"/>
              </w:rPr>
            </w:pPr>
          </w:p>
        </w:tc>
        <w:tc>
          <w:tcPr>
            <w:tcW w:w="776" w:type="dxa"/>
          </w:tcPr>
          <w:p w14:paraId="327043A1">
            <w:pPr>
              <w:rPr>
                <w:rFonts w:ascii="宋体" w:hAnsi="宋体" w:cs="宋体"/>
                <w:color w:val="auto"/>
                <w:szCs w:val="21"/>
                <w:highlight w:val="none"/>
              </w:rPr>
            </w:pPr>
          </w:p>
        </w:tc>
        <w:tc>
          <w:tcPr>
            <w:tcW w:w="776" w:type="dxa"/>
          </w:tcPr>
          <w:p w14:paraId="50E1269F">
            <w:pPr>
              <w:rPr>
                <w:rFonts w:ascii="宋体" w:hAnsi="宋体" w:cs="宋体"/>
                <w:color w:val="auto"/>
                <w:szCs w:val="21"/>
                <w:highlight w:val="none"/>
              </w:rPr>
            </w:pPr>
          </w:p>
        </w:tc>
        <w:tc>
          <w:tcPr>
            <w:tcW w:w="1019" w:type="dxa"/>
          </w:tcPr>
          <w:p w14:paraId="15EB1333">
            <w:pPr>
              <w:rPr>
                <w:rFonts w:ascii="宋体" w:hAnsi="宋体" w:cs="宋体"/>
                <w:color w:val="auto"/>
                <w:szCs w:val="21"/>
                <w:highlight w:val="none"/>
              </w:rPr>
            </w:pPr>
          </w:p>
        </w:tc>
        <w:tc>
          <w:tcPr>
            <w:tcW w:w="837" w:type="dxa"/>
          </w:tcPr>
          <w:p w14:paraId="3EB057EE">
            <w:pPr>
              <w:rPr>
                <w:rFonts w:ascii="宋体" w:hAnsi="宋体" w:cs="宋体"/>
                <w:color w:val="auto"/>
                <w:szCs w:val="21"/>
                <w:highlight w:val="none"/>
              </w:rPr>
            </w:pPr>
          </w:p>
        </w:tc>
        <w:tc>
          <w:tcPr>
            <w:tcW w:w="915" w:type="dxa"/>
          </w:tcPr>
          <w:p w14:paraId="17C56CF6">
            <w:pPr>
              <w:rPr>
                <w:rFonts w:ascii="宋体" w:hAnsi="宋体" w:cs="宋体"/>
                <w:color w:val="auto"/>
                <w:szCs w:val="21"/>
                <w:highlight w:val="none"/>
              </w:rPr>
            </w:pPr>
          </w:p>
        </w:tc>
        <w:tc>
          <w:tcPr>
            <w:tcW w:w="893" w:type="dxa"/>
          </w:tcPr>
          <w:p w14:paraId="64DEE6BD">
            <w:pPr>
              <w:rPr>
                <w:rFonts w:ascii="宋体" w:hAnsi="宋体" w:cs="宋体"/>
                <w:color w:val="auto"/>
                <w:szCs w:val="21"/>
                <w:highlight w:val="none"/>
              </w:rPr>
            </w:pPr>
          </w:p>
        </w:tc>
        <w:tc>
          <w:tcPr>
            <w:tcW w:w="793" w:type="dxa"/>
          </w:tcPr>
          <w:p w14:paraId="5C249593">
            <w:pPr>
              <w:rPr>
                <w:rFonts w:ascii="宋体" w:hAnsi="宋体" w:cs="宋体"/>
                <w:color w:val="auto"/>
                <w:szCs w:val="21"/>
                <w:highlight w:val="none"/>
              </w:rPr>
            </w:pPr>
          </w:p>
        </w:tc>
        <w:tc>
          <w:tcPr>
            <w:tcW w:w="777" w:type="dxa"/>
          </w:tcPr>
          <w:p w14:paraId="76DFE8E6">
            <w:pPr>
              <w:rPr>
                <w:rFonts w:ascii="宋体" w:hAnsi="宋体" w:cs="宋体"/>
                <w:color w:val="auto"/>
                <w:szCs w:val="21"/>
                <w:highlight w:val="none"/>
              </w:rPr>
            </w:pPr>
          </w:p>
        </w:tc>
        <w:tc>
          <w:tcPr>
            <w:tcW w:w="777" w:type="dxa"/>
          </w:tcPr>
          <w:p w14:paraId="5F44D1A4">
            <w:pPr>
              <w:rPr>
                <w:rFonts w:ascii="宋体" w:hAnsi="宋体" w:cs="宋体"/>
                <w:color w:val="auto"/>
                <w:szCs w:val="21"/>
                <w:highlight w:val="none"/>
              </w:rPr>
            </w:pPr>
          </w:p>
        </w:tc>
      </w:tr>
      <w:tr w14:paraId="47307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774" w:type="dxa"/>
          </w:tcPr>
          <w:p w14:paraId="37502C8D">
            <w:pPr>
              <w:rPr>
                <w:rFonts w:ascii="宋体" w:hAnsi="宋体" w:cs="宋体"/>
                <w:color w:val="auto"/>
                <w:szCs w:val="21"/>
                <w:highlight w:val="none"/>
              </w:rPr>
            </w:pPr>
          </w:p>
        </w:tc>
        <w:tc>
          <w:tcPr>
            <w:tcW w:w="775" w:type="dxa"/>
          </w:tcPr>
          <w:p w14:paraId="5B07BFF9">
            <w:pPr>
              <w:rPr>
                <w:rFonts w:ascii="宋体" w:hAnsi="宋体" w:cs="宋体"/>
                <w:color w:val="auto"/>
                <w:szCs w:val="21"/>
                <w:highlight w:val="none"/>
              </w:rPr>
            </w:pPr>
          </w:p>
        </w:tc>
        <w:tc>
          <w:tcPr>
            <w:tcW w:w="841" w:type="dxa"/>
          </w:tcPr>
          <w:p w14:paraId="4CB1D1FC">
            <w:pPr>
              <w:rPr>
                <w:rFonts w:ascii="宋体" w:hAnsi="宋体" w:cs="宋体"/>
                <w:color w:val="auto"/>
                <w:szCs w:val="21"/>
                <w:highlight w:val="none"/>
              </w:rPr>
            </w:pPr>
          </w:p>
        </w:tc>
        <w:tc>
          <w:tcPr>
            <w:tcW w:w="776" w:type="dxa"/>
          </w:tcPr>
          <w:p w14:paraId="6AEB269D">
            <w:pPr>
              <w:rPr>
                <w:rFonts w:ascii="宋体" w:hAnsi="宋体" w:cs="宋体"/>
                <w:color w:val="auto"/>
                <w:szCs w:val="21"/>
                <w:highlight w:val="none"/>
              </w:rPr>
            </w:pPr>
          </w:p>
        </w:tc>
        <w:tc>
          <w:tcPr>
            <w:tcW w:w="776" w:type="dxa"/>
          </w:tcPr>
          <w:p w14:paraId="1BF1CAE6">
            <w:pPr>
              <w:rPr>
                <w:rFonts w:ascii="宋体" w:hAnsi="宋体" w:cs="宋体"/>
                <w:color w:val="auto"/>
                <w:szCs w:val="21"/>
                <w:highlight w:val="none"/>
              </w:rPr>
            </w:pPr>
          </w:p>
        </w:tc>
        <w:tc>
          <w:tcPr>
            <w:tcW w:w="1019" w:type="dxa"/>
          </w:tcPr>
          <w:p w14:paraId="67F9606E">
            <w:pPr>
              <w:rPr>
                <w:rFonts w:ascii="宋体" w:hAnsi="宋体" w:cs="宋体"/>
                <w:color w:val="auto"/>
                <w:szCs w:val="21"/>
                <w:highlight w:val="none"/>
              </w:rPr>
            </w:pPr>
          </w:p>
        </w:tc>
        <w:tc>
          <w:tcPr>
            <w:tcW w:w="837" w:type="dxa"/>
          </w:tcPr>
          <w:p w14:paraId="1DEB582C">
            <w:pPr>
              <w:rPr>
                <w:rFonts w:ascii="宋体" w:hAnsi="宋体" w:cs="宋体"/>
                <w:color w:val="auto"/>
                <w:szCs w:val="21"/>
                <w:highlight w:val="none"/>
              </w:rPr>
            </w:pPr>
          </w:p>
        </w:tc>
        <w:tc>
          <w:tcPr>
            <w:tcW w:w="915" w:type="dxa"/>
          </w:tcPr>
          <w:p w14:paraId="6ECF6308">
            <w:pPr>
              <w:rPr>
                <w:rFonts w:ascii="宋体" w:hAnsi="宋体" w:cs="宋体"/>
                <w:color w:val="auto"/>
                <w:szCs w:val="21"/>
                <w:highlight w:val="none"/>
              </w:rPr>
            </w:pPr>
          </w:p>
        </w:tc>
        <w:tc>
          <w:tcPr>
            <w:tcW w:w="893" w:type="dxa"/>
          </w:tcPr>
          <w:p w14:paraId="3D8EBADC">
            <w:pPr>
              <w:rPr>
                <w:rFonts w:ascii="宋体" w:hAnsi="宋体" w:cs="宋体"/>
                <w:color w:val="auto"/>
                <w:szCs w:val="21"/>
                <w:highlight w:val="none"/>
              </w:rPr>
            </w:pPr>
          </w:p>
        </w:tc>
        <w:tc>
          <w:tcPr>
            <w:tcW w:w="793" w:type="dxa"/>
          </w:tcPr>
          <w:p w14:paraId="751441FA">
            <w:pPr>
              <w:rPr>
                <w:rFonts w:ascii="宋体" w:hAnsi="宋体" w:cs="宋体"/>
                <w:color w:val="auto"/>
                <w:szCs w:val="21"/>
                <w:highlight w:val="none"/>
              </w:rPr>
            </w:pPr>
          </w:p>
        </w:tc>
        <w:tc>
          <w:tcPr>
            <w:tcW w:w="777" w:type="dxa"/>
          </w:tcPr>
          <w:p w14:paraId="64377132">
            <w:pPr>
              <w:rPr>
                <w:rFonts w:ascii="宋体" w:hAnsi="宋体" w:cs="宋体"/>
                <w:color w:val="auto"/>
                <w:szCs w:val="21"/>
                <w:highlight w:val="none"/>
              </w:rPr>
            </w:pPr>
          </w:p>
        </w:tc>
        <w:tc>
          <w:tcPr>
            <w:tcW w:w="777" w:type="dxa"/>
          </w:tcPr>
          <w:p w14:paraId="76C20E08">
            <w:pPr>
              <w:rPr>
                <w:rFonts w:ascii="宋体" w:hAnsi="宋体" w:cs="宋体"/>
                <w:color w:val="auto"/>
                <w:szCs w:val="21"/>
                <w:highlight w:val="none"/>
              </w:rPr>
            </w:pPr>
          </w:p>
        </w:tc>
      </w:tr>
      <w:tr w14:paraId="5B9C4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774" w:type="dxa"/>
          </w:tcPr>
          <w:p w14:paraId="63E14F0E">
            <w:pPr>
              <w:rPr>
                <w:rFonts w:ascii="宋体" w:hAnsi="宋体" w:cs="宋体"/>
                <w:color w:val="auto"/>
                <w:szCs w:val="21"/>
                <w:highlight w:val="none"/>
              </w:rPr>
            </w:pPr>
          </w:p>
        </w:tc>
        <w:tc>
          <w:tcPr>
            <w:tcW w:w="775" w:type="dxa"/>
          </w:tcPr>
          <w:p w14:paraId="4CC4C16B">
            <w:pPr>
              <w:rPr>
                <w:rFonts w:ascii="宋体" w:hAnsi="宋体" w:cs="宋体"/>
                <w:color w:val="auto"/>
                <w:szCs w:val="21"/>
                <w:highlight w:val="none"/>
              </w:rPr>
            </w:pPr>
          </w:p>
        </w:tc>
        <w:tc>
          <w:tcPr>
            <w:tcW w:w="841" w:type="dxa"/>
          </w:tcPr>
          <w:p w14:paraId="2B896829">
            <w:pPr>
              <w:rPr>
                <w:rFonts w:ascii="宋体" w:hAnsi="宋体" w:cs="宋体"/>
                <w:color w:val="auto"/>
                <w:szCs w:val="21"/>
                <w:highlight w:val="none"/>
              </w:rPr>
            </w:pPr>
          </w:p>
        </w:tc>
        <w:tc>
          <w:tcPr>
            <w:tcW w:w="776" w:type="dxa"/>
          </w:tcPr>
          <w:p w14:paraId="69FE33DB">
            <w:pPr>
              <w:rPr>
                <w:rFonts w:ascii="宋体" w:hAnsi="宋体" w:cs="宋体"/>
                <w:color w:val="auto"/>
                <w:szCs w:val="21"/>
                <w:highlight w:val="none"/>
              </w:rPr>
            </w:pPr>
          </w:p>
        </w:tc>
        <w:tc>
          <w:tcPr>
            <w:tcW w:w="776" w:type="dxa"/>
          </w:tcPr>
          <w:p w14:paraId="51E99E78">
            <w:pPr>
              <w:rPr>
                <w:rFonts w:ascii="宋体" w:hAnsi="宋体" w:cs="宋体"/>
                <w:color w:val="auto"/>
                <w:szCs w:val="21"/>
                <w:highlight w:val="none"/>
              </w:rPr>
            </w:pPr>
          </w:p>
        </w:tc>
        <w:tc>
          <w:tcPr>
            <w:tcW w:w="1019" w:type="dxa"/>
          </w:tcPr>
          <w:p w14:paraId="6D3B231A">
            <w:pPr>
              <w:rPr>
                <w:rFonts w:ascii="宋体" w:hAnsi="宋体" w:cs="宋体"/>
                <w:color w:val="auto"/>
                <w:szCs w:val="21"/>
                <w:highlight w:val="none"/>
              </w:rPr>
            </w:pPr>
          </w:p>
        </w:tc>
        <w:tc>
          <w:tcPr>
            <w:tcW w:w="837" w:type="dxa"/>
          </w:tcPr>
          <w:p w14:paraId="69003BAE">
            <w:pPr>
              <w:rPr>
                <w:rFonts w:ascii="宋体" w:hAnsi="宋体" w:cs="宋体"/>
                <w:color w:val="auto"/>
                <w:szCs w:val="21"/>
                <w:highlight w:val="none"/>
              </w:rPr>
            </w:pPr>
          </w:p>
        </w:tc>
        <w:tc>
          <w:tcPr>
            <w:tcW w:w="915" w:type="dxa"/>
          </w:tcPr>
          <w:p w14:paraId="3C2D6FC8">
            <w:pPr>
              <w:rPr>
                <w:rFonts w:ascii="宋体" w:hAnsi="宋体" w:cs="宋体"/>
                <w:color w:val="auto"/>
                <w:szCs w:val="21"/>
                <w:highlight w:val="none"/>
              </w:rPr>
            </w:pPr>
          </w:p>
        </w:tc>
        <w:tc>
          <w:tcPr>
            <w:tcW w:w="893" w:type="dxa"/>
          </w:tcPr>
          <w:p w14:paraId="61651BB4">
            <w:pPr>
              <w:rPr>
                <w:rFonts w:ascii="宋体" w:hAnsi="宋体" w:cs="宋体"/>
                <w:color w:val="auto"/>
                <w:szCs w:val="21"/>
                <w:highlight w:val="none"/>
              </w:rPr>
            </w:pPr>
          </w:p>
        </w:tc>
        <w:tc>
          <w:tcPr>
            <w:tcW w:w="793" w:type="dxa"/>
          </w:tcPr>
          <w:p w14:paraId="1908D496">
            <w:pPr>
              <w:rPr>
                <w:rFonts w:ascii="宋体" w:hAnsi="宋体" w:cs="宋体"/>
                <w:color w:val="auto"/>
                <w:szCs w:val="21"/>
                <w:highlight w:val="none"/>
              </w:rPr>
            </w:pPr>
          </w:p>
        </w:tc>
        <w:tc>
          <w:tcPr>
            <w:tcW w:w="777" w:type="dxa"/>
          </w:tcPr>
          <w:p w14:paraId="05881401">
            <w:pPr>
              <w:rPr>
                <w:rFonts w:ascii="宋体" w:hAnsi="宋体" w:cs="宋体"/>
                <w:color w:val="auto"/>
                <w:szCs w:val="21"/>
                <w:highlight w:val="none"/>
              </w:rPr>
            </w:pPr>
          </w:p>
        </w:tc>
        <w:tc>
          <w:tcPr>
            <w:tcW w:w="777" w:type="dxa"/>
          </w:tcPr>
          <w:p w14:paraId="083480C3">
            <w:pPr>
              <w:rPr>
                <w:rFonts w:ascii="宋体" w:hAnsi="宋体" w:cs="宋体"/>
                <w:color w:val="auto"/>
                <w:szCs w:val="21"/>
                <w:highlight w:val="none"/>
              </w:rPr>
            </w:pPr>
          </w:p>
        </w:tc>
      </w:tr>
    </w:tbl>
    <w:p w14:paraId="39C5FB3D">
      <w:pPr>
        <w:spacing w:line="360" w:lineRule="auto"/>
        <w:rPr>
          <w:rFonts w:ascii="宋体" w:hAnsi="宋体" w:cs="宋体"/>
          <w:bCs/>
          <w:color w:val="auto"/>
          <w:highlight w:val="none"/>
        </w:rPr>
      </w:pPr>
      <w:r>
        <w:rPr>
          <w:rFonts w:hint="eastAsia" w:ascii="宋体" w:hAnsi="宋体" w:cs="宋体"/>
          <w:bCs/>
          <w:color w:val="auto"/>
          <w:highlight w:val="none"/>
        </w:rPr>
        <w:t>说明：</w:t>
      </w:r>
    </w:p>
    <w:p w14:paraId="4113174E">
      <w:pPr>
        <w:spacing w:line="360" w:lineRule="auto"/>
        <w:rPr>
          <w:rFonts w:ascii="宋体" w:hAnsi="宋体" w:cs="宋体"/>
          <w:bCs/>
          <w:color w:val="auto"/>
          <w:highlight w:val="none"/>
        </w:rPr>
      </w:pPr>
      <w:r>
        <w:rPr>
          <w:rFonts w:hint="eastAsia" w:ascii="宋体" w:hAnsi="宋体" w:cs="宋体"/>
          <w:bCs/>
          <w:color w:val="auto"/>
          <w:highlight w:val="none"/>
        </w:rPr>
        <w:t>“备注”栏，可填写该人员擅长的工程（或工作）种类；职务填项目负责人或项目组成员</w:t>
      </w:r>
    </w:p>
    <w:p w14:paraId="78BC6B1B">
      <w:pPr>
        <w:widowControl/>
        <w:shd w:val="clear" w:color="auto" w:fill="FFFFFF"/>
        <w:spacing w:line="360" w:lineRule="auto"/>
        <w:rPr>
          <w:rFonts w:ascii="宋体" w:hAnsi="宋体" w:cs="宋体"/>
          <w:bCs/>
          <w:color w:val="auto"/>
          <w:highlight w:val="none"/>
        </w:rPr>
      </w:pPr>
      <w:r>
        <w:rPr>
          <w:rFonts w:hint="eastAsia" w:ascii="宋体" w:hAnsi="宋体" w:cs="宋体"/>
          <w:bCs/>
          <w:color w:val="auto"/>
          <w:highlight w:val="none"/>
        </w:rPr>
        <w:t> 说明：如果行数不够，请自行增加。</w:t>
      </w:r>
    </w:p>
    <w:p w14:paraId="15C221E6">
      <w:pPr>
        <w:widowControl/>
        <w:shd w:val="clear" w:color="auto" w:fill="FFFFFF"/>
        <w:spacing w:line="360" w:lineRule="auto"/>
        <w:rPr>
          <w:rFonts w:ascii="宋体" w:hAnsi="宋体" w:cs="宋体"/>
          <w:color w:val="auto"/>
          <w:sz w:val="24"/>
          <w:highlight w:val="none"/>
        </w:rPr>
      </w:pPr>
    </w:p>
    <w:p w14:paraId="1A93973D">
      <w:pPr>
        <w:widowControl/>
        <w:shd w:val="clear" w:color="auto" w:fill="FFFFFF"/>
        <w:spacing w:line="360" w:lineRule="auto"/>
        <w:jc w:val="left"/>
        <w:rPr>
          <w:rFonts w:ascii="宋体" w:hAnsi="宋体" w:cs="宋体"/>
          <w:color w:val="auto"/>
          <w:highlight w:val="none"/>
        </w:rPr>
      </w:pPr>
      <w:r>
        <w:rPr>
          <w:rFonts w:hint="eastAsia" w:ascii="宋体" w:hAnsi="宋体" w:cs="宋体"/>
          <w:color w:val="auto"/>
          <w:highlight w:val="none"/>
        </w:rPr>
        <w:t>供应商（加盖电子公章）:</w:t>
      </w:r>
      <w:r>
        <w:rPr>
          <w:rFonts w:hint="eastAsia" w:ascii="宋体" w:hAnsi="宋体" w:cs="宋体"/>
          <w:color w:val="auto"/>
          <w:highlight w:val="none"/>
          <w:u w:val="single"/>
        </w:rPr>
        <w:t xml:space="preserve">            </w:t>
      </w:r>
    </w:p>
    <w:p w14:paraId="56283CAA">
      <w:pPr>
        <w:widowControl/>
        <w:shd w:val="clear" w:color="auto" w:fill="FFFFFF"/>
        <w:spacing w:line="360" w:lineRule="auto"/>
        <w:jc w:val="left"/>
        <w:rPr>
          <w:rFonts w:ascii="宋体" w:hAnsi="宋体" w:cs="宋体"/>
          <w:color w:val="auto"/>
          <w:highlight w:val="none"/>
          <w:u w:val="single"/>
        </w:rPr>
      </w:pPr>
      <w:r>
        <w:rPr>
          <w:rFonts w:hint="eastAsia" w:ascii="宋体" w:hAnsi="宋体" w:cs="宋体"/>
          <w:color w:val="auto"/>
          <w:highlight w:val="none"/>
        </w:rPr>
        <w:t>法定代表人或其授权代表（签字）：</w:t>
      </w:r>
      <w:r>
        <w:rPr>
          <w:rFonts w:hint="eastAsia" w:ascii="宋体" w:hAnsi="宋体" w:cs="宋体"/>
          <w:color w:val="auto"/>
          <w:highlight w:val="none"/>
          <w:u w:val="single"/>
        </w:rPr>
        <w:t xml:space="preserve">          </w:t>
      </w:r>
    </w:p>
    <w:p w14:paraId="5D5C3927">
      <w:pPr>
        <w:spacing w:line="360" w:lineRule="auto"/>
        <w:rPr>
          <w:rFonts w:ascii="宋体" w:hAnsi="宋体" w:cs="宋体"/>
          <w:color w:val="auto"/>
          <w:highlight w:val="none"/>
        </w:rPr>
      </w:pPr>
      <w:r>
        <w:rPr>
          <w:rFonts w:hint="eastAsia" w:ascii="宋体" w:hAnsi="宋体" w:cs="宋体"/>
          <w:color w:val="auto"/>
          <w:highlight w:val="none"/>
        </w:rPr>
        <w:t>日    期：   年    月    日</w:t>
      </w:r>
    </w:p>
    <w:p w14:paraId="1214F781">
      <w:pPr>
        <w:spacing w:line="360" w:lineRule="auto"/>
        <w:rPr>
          <w:rFonts w:ascii="宋体" w:hAnsi="宋体" w:cs="宋体"/>
          <w:b/>
          <w:color w:val="auto"/>
          <w:spacing w:val="15"/>
          <w:szCs w:val="21"/>
          <w:highlight w:val="none"/>
        </w:rPr>
      </w:pPr>
    </w:p>
    <w:p w14:paraId="2AF659F5">
      <w:pPr>
        <w:spacing w:line="360" w:lineRule="auto"/>
        <w:rPr>
          <w:rFonts w:ascii="宋体" w:hAnsi="宋体" w:cs="宋体"/>
          <w:b/>
          <w:color w:val="auto"/>
          <w:spacing w:val="15"/>
          <w:szCs w:val="21"/>
          <w:highlight w:val="none"/>
        </w:rPr>
      </w:pPr>
    </w:p>
    <w:p w14:paraId="061C49B7">
      <w:pPr>
        <w:spacing w:line="360" w:lineRule="auto"/>
        <w:rPr>
          <w:rFonts w:ascii="宋体" w:hAnsi="宋体" w:cs="宋体"/>
          <w:b/>
          <w:color w:val="auto"/>
          <w:spacing w:val="15"/>
          <w:szCs w:val="21"/>
          <w:highlight w:val="none"/>
        </w:rPr>
      </w:pPr>
    </w:p>
    <w:p w14:paraId="6975A1F9">
      <w:pPr>
        <w:rPr>
          <w:rFonts w:ascii="宋体" w:hAnsi="宋体" w:cs="宋体"/>
          <w:b/>
          <w:color w:val="auto"/>
          <w:spacing w:val="15"/>
          <w:szCs w:val="21"/>
          <w:highlight w:val="none"/>
        </w:rPr>
      </w:pPr>
    </w:p>
    <w:p w14:paraId="2FF0331D">
      <w:pPr>
        <w:rPr>
          <w:rFonts w:ascii="宋体" w:hAnsi="宋体" w:cs="宋体"/>
          <w:b/>
          <w:color w:val="auto"/>
          <w:spacing w:val="15"/>
          <w:szCs w:val="21"/>
          <w:highlight w:val="none"/>
        </w:rPr>
      </w:pPr>
      <w:r>
        <w:rPr>
          <w:rFonts w:hint="eastAsia" w:ascii="宋体" w:hAnsi="宋体" w:cs="宋体"/>
          <w:b/>
          <w:color w:val="auto"/>
          <w:spacing w:val="15"/>
          <w:szCs w:val="21"/>
          <w:highlight w:val="none"/>
        </w:rPr>
        <w:br w:type="page"/>
      </w:r>
    </w:p>
    <w:p w14:paraId="28FC2862">
      <w:pPr>
        <w:rPr>
          <w:rFonts w:ascii="宋体" w:hAnsi="宋体" w:cs="宋体"/>
          <w:b/>
          <w:color w:val="auto"/>
          <w:spacing w:val="15"/>
          <w:szCs w:val="21"/>
          <w:highlight w:val="none"/>
        </w:rPr>
      </w:pPr>
      <w:r>
        <w:rPr>
          <w:rFonts w:hint="eastAsia" w:ascii="宋体" w:hAnsi="宋体" w:cs="宋体"/>
          <w:b/>
          <w:color w:val="auto"/>
          <w:spacing w:val="15"/>
          <w:szCs w:val="21"/>
          <w:highlight w:val="none"/>
        </w:rPr>
        <w:t>附件十一、</w:t>
      </w:r>
      <w:r>
        <w:rPr>
          <w:rFonts w:hint="eastAsia" w:ascii="宋体" w:hAnsi="宋体" w:cs="宋体"/>
          <w:b/>
          <w:bCs/>
          <w:color w:val="auto"/>
          <w:spacing w:val="15"/>
          <w:szCs w:val="21"/>
          <w:highlight w:val="none"/>
        </w:rPr>
        <w:t>安全生产责任承诺书</w:t>
      </w:r>
      <w:bookmarkEnd w:id="695"/>
    </w:p>
    <w:p w14:paraId="39D6E5E7">
      <w:pPr>
        <w:jc w:val="center"/>
        <w:rPr>
          <w:rFonts w:ascii="宋体" w:hAnsi="宋体" w:cs="宋体"/>
          <w:color w:val="auto"/>
          <w:sz w:val="36"/>
          <w:szCs w:val="36"/>
          <w:highlight w:val="none"/>
        </w:rPr>
      </w:pPr>
    </w:p>
    <w:p w14:paraId="02BFA967">
      <w:pPr>
        <w:jc w:val="center"/>
        <w:rPr>
          <w:rFonts w:ascii="宋体" w:hAnsi="宋体" w:cs="宋体"/>
          <w:b/>
          <w:bCs/>
          <w:color w:val="auto"/>
          <w:sz w:val="24"/>
          <w:highlight w:val="none"/>
        </w:rPr>
      </w:pPr>
      <w:r>
        <w:rPr>
          <w:rFonts w:hint="eastAsia" w:ascii="宋体" w:hAnsi="宋体" w:cs="宋体"/>
          <w:b/>
          <w:bCs/>
          <w:color w:val="auto"/>
          <w:sz w:val="24"/>
          <w:highlight w:val="none"/>
        </w:rPr>
        <w:t>安全生产责任承诺书</w:t>
      </w:r>
    </w:p>
    <w:p w14:paraId="098F94A9">
      <w:pPr>
        <w:jc w:val="center"/>
        <w:rPr>
          <w:rFonts w:ascii="宋体" w:hAnsi="宋体" w:cs="宋体"/>
          <w:b/>
          <w:bCs/>
          <w:color w:val="auto"/>
          <w:spacing w:val="15"/>
          <w:szCs w:val="21"/>
          <w:highlight w:val="none"/>
        </w:rPr>
      </w:pPr>
    </w:p>
    <w:p w14:paraId="343E56C3">
      <w:pPr>
        <w:spacing w:line="360" w:lineRule="auto"/>
        <w:jc w:val="left"/>
        <w:rPr>
          <w:rFonts w:ascii="宋体" w:hAnsi="宋体" w:cs="宋体"/>
          <w:color w:val="auto"/>
          <w:highlight w:val="none"/>
        </w:rPr>
      </w:pPr>
      <w:r>
        <w:rPr>
          <w:rFonts w:hint="eastAsia" w:ascii="宋体" w:hAnsi="宋体" w:cs="宋体"/>
          <w:color w:val="auto"/>
          <w:highlight w:val="none"/>
        </w:rPr>
        <w:t>南京市江宁区人民政府汤山街道办事处：</w:t>
      </w:r>
    </w:p>
    <w:p w14:paraId="12BD5A15">
      <w:pPr>
        <w:spacing w:line="360" w:lineRule="auto"/>
        <w:ind w:firstLine="480"/>
        <w:jc w:val="left"/>
        <w:rPr>
          <w:rFonts w:ascii="宋体" w:hAnsi="宋体" w:cs="宋体"/>
          <w:color w:val="auto"/>
          <w:spacing w:val="15"/>
          <w:szCs w:val="21"/>
          <w:highlight w:val="none"/>
        </w:rPr>
      </w:pPr>
      <w:r>
        <w:rPr>
          <w:rFonts w:hint="eastAsia" w:ascii="宋体" w:hAnsi="宋体" w:cs="宋体"/>
          <w:color w:val="auto"/>
          <w:spacing w:val="15"/>
          <w:szCs w:val="21"/>
          <w:highlight w:val="none"/>
        </w:rPr>
        <w:t>我公司现向贵单位承诺，我公司在</w:t>
      </w:r>
      <w:r>
        <w:rPr>
          <w:rFonts w:hint="eastAsia" w:ascii="宋体" w:hAnsi="宋体" w:cs="宋体"/>
          <w:color w:val="auto"/>
          <w:szCs w:val="21"/>
          <w:highlight w:val="none"/>
        </w:rPr>
        <w:t>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实施</w:t>
      </w:r>
      <w:r>
        <w:rPr>
          <w:rFonts w:hint="eastAsia" w:ascii="宋体" w:hAnsi="宋体" w:cs="宋体"/>
          <w:color w:val="auto"/>
          <w:spacing w:val="15"/>
          <w:szCs w:val="21"/>
          <w:highlight w:val="none"/>
        </w:rPr>
        <w:t>过程中，保证不发生重大人员伤亡事故，在此过程中所发生的一切工伤事故，或安全事故，均由我公司承担一切责任。</w:t>
      </w:r>
    </w:p>
    <w:p w14:paraId="773547D4">
      <w:pPr>
        <w:spacing w:line="360" w:lineRule="auto"/>
        <w:ind w:firstLine="480"/>
        <w:jc w:val="left"/>
        <w:rPr>
          <w:rFonts w:ascii="宋体" w:hAnsi="宋体" w:cs="宋体"/>
          <w:color w:val="auto"/>
          <w:spacing w:val="15"/>
          <w:szCs w:val="21"/>
          <w:highlight w:val="none"/>
        </w:rPr>
      </w:pPr>
    </w:p>
    <w:p w14:paraId="4E77F266">
      <w:pPr>
        <w:spacing w:line="360" w:lineRule="auto"/>
        <w:ind w:firstLine="480"/>
        <w:jc w:val="left"/>
        <w:rPr>
          <w:rFonts w:ascii="宋体" w:hAnsi="宋体" w:cs="宋体"/>
          <w:color w:val="auto"/>
          <w:spacing w:val="15"/>
          <w:szCs w:val="21"/>
          <w:highlight w:val="none"/>
          <w:u w:val="single"/>
        </w:rPr>
      </w:pPr>
      <w:r>
        <w:rPr>
          <w:rFonts w:hint="eastAsia" w:ascii="宋体" w:hAnsi="宋体" w:cs="宋体"/>
          <w:color w:val="auto"/>
          <w:spacing w:val="15"/>
          <w:szCs w:val="21"/>
          <w:highlight w:val="none"/>
        </w:rPr>
        <w:t>承诺单位（公章）：</w:t>
      </w:r>
    </w:p>
    <w:p w14:paraId="14980058">
      <w:pPr>
        <w:spacing w:line="360" w:lineRule="auto"/>
        <w:ind w:firstLine="480"/>
        <w:jc w:val="left"/>
        <w:rPr>
          <w:rFonts w:ascii="宋体" w:hAnsi="宋体" w:cs="宋体"/>
          <w:color w:val="auto"/>
          <w:spacing w:val="15"/>
          <w:szCs w:val="21"/>
          <w:highlight w:val="none"/>
          <w:u w:val="single"/>
        </w:rPr>
      </w:pPr>
      <w:r>
        <w:rPr>
          <w:rFonts w:hint="eastAsia" w:ascii="宋体" w:hAnsi="宋体" w:cs="宋体"/>
          <w:color w:val="auto"/>
          <w:spacing w:val="15"/>
          <w:szCs w:val="21"/>
          <w:highlight w:val="none"/>
        </w:rPr>
        <w:t>法定代表人（签字或盖章）：</w:t>
      </w:r>
    </w:p>
    <w:p w14:paraId="419044E5">
      <w:pPr>
        <w:spacing w:line="360" w:lineRule="auto"/>
        <w:ind w:firstLine="480"/>
        <w:jc w:val="left"/>
        <w:rPr>
          <w:rFonts w:ascii="宋体" w:hAnsi="宋体" w:cs="宋体"/>
          <w:color w:val="auto"/>
          <w:spacing w:val="15"/>
          <w:szCs w:val="21"/>
          <w:highlight w:val="none"/>
          <w:u w:val="single"/>
        </w:rPr>
      </w:pPr>
      <w:r>
        <w:rPr>
          <w:rFonts w:hint="eastAsia" w:ascii="宋体" w:hAnsi="宋体" w:cs="宋体"/>
          <w:color w:val="auto"/>
          <w:spacing w:val="15"/>
          <w:szCs w:val="21"/>
          <w:highlight w:val="none"/>
        </w:rPr>
        <w:t>代理人（签字或盖章）：</w:t>
      </w:r>
    </w:p>
    <w:p w14:paraId="613B3E24">
      <w:pPr>
        <w:spacing w:line="360" w:lineRule="auto"/>
        <w:ind w:firstLine="480"/>
        <w:jc w:val="left"/>
        <w:rPr>
          <w:rFonts w:ascii="宋体" w:hAnsi="宋体" w:cs="宋体"/>
          <w:color w:val="auto"/>
          <w:spacing w:val="15"/>
          <w:szCs w:val="21"/>
          <w:highlight w:val="none"/>
        </w:rPr>
      </w:pPr>
      <w:bookmarkStart w:id="698" w:name="_Toc26658"/>
      <w:bookmarkStart w:id="699" w:name="_Toc22403"/>
      <w:r>
        <w:rPr>
          <w:rFonts w:hint="eastAsia" w:ascii="宋体" w:hAnsi="宋体" w:cs="宋体"/>
          <w:color w:val="auto"/>
          <w:spacing w:val="15"/>
          <w:szCs w:val="21"/>
          <w:highlight w:val="none"/>
        </w:rPr>
        <w:t>日期：</w:t>
      </w:r>
      <w:bookmarkEnd w:id="698"/>
      <w:bookmarkEnd w:id="699"/>
    </w:p>
    <w:p w14:paraId="73710948">
      <w:pPr>
        <w:spacing w:line="360" w:lineRule="auto"/>
        <w:ind w:firstLine="480"/>
        <w:jc w:val="left"/>
        <w:rPr>
          <w:rFonts w:ascii="宋体" w:hAnsi="宋体" w:cs="宋体"/>
          <w:color w:val="auto"/>
          <w:spacing w:val="15"/>
          <w:szCs w:val="21"/>
          <w:highlight w:val="none"/>
        </w:rPr>
      </w:pPr>
    </w:p>
    <w:p w14:paraId="43E541B4">
      <w:pPr>
        <w:rPr>
          <w:color w:val="auto"/>
          <w:highlight w:val="none"/>
        </w:rPr>
      </w:pPr>
    </w:p>
    <w:p w14:paraId="32D877E0">
      <w:pPr>
        <w:rPr>
          <w:color w:val="auto"/>
          <w:highlight w:val="none"/>
        </w:rPr>
      </w:pPr>
    </w:p>
    <w:p w14:paraId="289B1E2C">
      <w:pPr>
        <w:rPr>
          <w:rFonts w:ascii="宋体" w:hAnsi="宋体" w:cs="宋体"/>
          <w:b/>
          <w:color w:val="auto"/>
          <w:spacing w:val="15"/>
          <w:szCs w:val="21"/>
          <w:highlight w:val="none"/>
        </w:rPr>
      </w:pPr>
      <w:bookmarkStart w:id="700" w:name="_Toc24019"/>
      <w:bookmarkStart w:id="701" w:name="_Toc28649"/>
      <w:r>
        <w:rPr>
          <w:rFonts w:hint="eastAsia" w:ascii="宋体" w:hAnsi="宋体" w:cs="宋体"/>
          <w:b/>
          <w:color w:val="auto"/>
          <w:spacing w:val="15"/>
          <w:szCs w:val="21"/>
          <w:highlight w:val="none"/>
        </w:rPr>
        <w:t>附件十二、质量保证及服务承诺</w:t>
      </w:r>
      <w:bookmarkEnd w:id="700"/>
    </w:p>
    <w:p w14:paraId="05333815">
      <w:pPr>
        <w:autoSpaceDE w:val="0"/>
        <w:autoSpaceDN w:val="0"/>
        <w:adjustRightInd w:val="0"/>
        <w:spacing w:line="360" w:lineRule="auto"/>
        <w:jc w:val="center"/>
        <w:rPr>
          <w:rFonts w:ascii="宋体" w:hAnsi="宋体" w:cs="宋体"/>
          <w:b/>
          <w:bCs/>
          <w:color w:val="auto"/>
          <w:szCs w:val="21"/>
          <w:highlight w:val="none"/>
          <w:lang w:val="zh-CN"/>
        </w:rPr>
      </w:pPr>
    </w:p>
    <w:p w14:paraId="34E8D203">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质量保证及服务承诺</w:t>
      </w:r>
    </w:p>
    <w:p w14:paraId="6AA838D7">
      <w:pPr>
        <w:autoSpaceDE w:val="0"/>
        <w:autoSpaceDN w:val="0"/>
        <w:adjustRightInd w:val="0"/>
        <w:spacing w:line="360" w:lineRule="auto"/>
        <w:jc w:val="left"/>
        <w:rPr>
          <w:rFonts w:ascii="宋体" w:hAnsi="宋体" w:cs="宋体"/>
          <w:color w:val="auto"/>
          <w:szCs w:val="21"/>
          <w:highlight w:val="none"/>
        </w:rPr>
      </w:pPr>
    </w:p>
    <w:p w14:paraId="64F34BE4">
      <w:pPr>
        <w:spacing w:line="360" w:lineRule="auto"/>
        <w:jc w:val="left"/>
        <w:rPr>
          <w:rFonts w:ascii="宋体" w:hAnsi="宋体" w:cs="宋体"/>
          <w:color w:val="auto"/>
          <w:highlight w:val="none"/>
        </w:rPr>
      </w:pPr>
      <w:r>
        <w:rPr>
          <w:rFonts w:hint="eastAsia" w:ascii="宋体" w:hAnsi="宋体" w:cs="宋体"/>
          <w:color w:val="auto"/>
          <w:highlight w:val="none"/>
          <w:lang w:val="zh-CN"/>
        </w:rPr>
        <w:tab/>
      </w:r>
      <w:r>
        <w:rPr>
          <w:rFonts w:hint="eastAsia" w:ascii="宋体" w:hAnsi="宋体" w:cs="宋体"/>
          <w:color w:val="auto"/>
          <w:highlight w:val="none"/>
          <w:lang w:val="zh-CN"/>
        </w:rPr>
        <w:t>我公司就项目编号为“</w:t>
      </w:r>
      <w:r>
        <w:rPr>
          <w:rFonts w:hint="eastAsia" w:ascii="宋体" w:hAnsi="宋体" w:cs="宋体"/>
          <w:color w:val="auto"/>
          <w:highlight w:val="none"/>
        </w:rPr>
        <w:t>XXXXXXXXXXXXXXXXX</w:t>
      </w:r>
      <w:r>
        <w:rPr>
          <w:rFonts w:hint="eastAsia" w:ascii="宋体" w:hAnsi="宋体" w:cs="宋体"/>
          <w:color w:val="auto"/>
          <w:highlight w:val="none"/>
          <w:lang w:val="zh-CN"/>
        </w:rPr>
        <w:t xml:space="preserve"> ”的</w:t>
      </w:r>
      <w:r>
        <w:rPr>
          <w:rFonts w:hint="eastAsia" w:ascii="宋体" w:hAnsi="宋体" w:cs="宋体"/>
          <w:color w:val="auto"/>
          <w:highlight w:val="none"/>
        </w:rPr>
        <w:t>XXXXXXXXXXXXXXXXXXXXXXXXXXXX工程</w:t>
      </w:r>
      <w:r>
        <w:rPr>
          <w:rFonts w:hint="eastAsia" w:ascii="宋体" w:hAnsi="宋体" w:cs="宋体"/>
          <w:color w:val="auto"/>
          <w:highlight w:val="none"/>
          <w:lang w:val="zh-CN"/>
        </w:rPr>
        <w:t>质量保证及服务承诺如下：</w:t>
      </w:r>
    </w:p>
    <w:p w14:paraId="4D477FB5">
      <w:pPr>
        <w:spacing w:line="360" w:lineRule="auto"/>
        <w:jc w:val="left"/>
        <w:rPr>
          <w:rFonts w:ascii="宋体" w:hAnsi="宋体" w:cs="宋体"/>
          <w:color w:val="auto"/>
          <w:highlight w:val="none"/>
          <w:lang w:val="zh-CN"/>
        </w:rPr>
      </w:pPr>
      <w:r>
        <w:rPr>
          <w:rFonts w:hint="eastAsia" w:ascii="宋体" w:hAnsi="宋体" w:cs="宋体"/>
          <w:color w:val="auto"/>
          <w:highlight w:val="none"/>
          <w:lang w:val="zh-CN"/>
        </w:rPr>
        <w:t>（供应商自拟）</w:t>
      </w:r>
    </w:p>
    <w:p w14:paraId="0B512D05">
      <w:pPr>
        <w:spacing w:line="360" w:lineRule="auto"/>
        <w:jc w:val="left"/>
        <w:rPr>
          <w:rFonts w:ascii="宋体" w:hAnsi="宋体" w:cs="宋体"/>
          <w:color w:val="auto"/>
          <w:highlight w:val="none"/>
          <w:lang w:val="zh-CN"/>
        </w:rPr>
      </w:pPr>
    </w:p>
    <w:p w14:paraId="3EE02000">
      <w:pPr>
        <w:spacing w:line="360" w:lineRule="auto"/>
        <w:jc w:val="left"/>
        <w:rPr>
          <w:rFonts w:ascii="宋体" w:hAnsi="宋体" w:cs="宋体"/>
          <w:color w:val="auto"/>
          <w:highlight w:val="none"/>
          <w:lang w:val="zh-CN"/>
        </w:rPr>
      </w:pPr>
      <w:r>
        <w:rPr>
          <w:rFonts w:hint="eastAsia" w:ascii="宋体" w:hAnsi="宋体" w:cs="宋体"/>
          <w:color w:val="auto"/>
          <w:highlight w:val="none"/>
          <w:lang w:val="zh-CN"/>
        </w:rPr>
        <w:t>供应商</w:t>
      </w:r>
      <w:r>
        <w:rPr>
          <w:rFonts w:hint="eastAsia" w:ascii="宋体" w:hAnsi="宋体" w:cs="宋体"/>
          <w:color w:val="auto"/>
          <w:highlight w:val="none"/>
        </w:rPr>
        <w:t xml:space="preserve">（盖章）：            </w:t>
      </w:r>
    </w:p>
    <w:p w14:paraId="6E0420DC">
      <w:pPr>
        <w:spacing w:line="360" w:lineRule="auto"/>
        <w:jc w:val="left"/>
        <w:rPr>
          <w:rFonts w:ascii="宋体" w:hAnsi="宋体" w:cs="宋体"/>
          <w:color w:val="auto"/>
          <w:highlight w:val="none"/>
        </w:rPr>
      </w:pPr>
      <w:r>
        <w:rPr>
          <w:rFonts w:hint="eastAsia" w:ascii="宋体" w:hAnsi="宋体" w:cs="宋体"/>
          <w:color w:val="auto"/>
          <w:highlight w:val="none"/>
          <w:lang w:val="zh-CN"/>
        </w:rPr>
        <w:t>日    期：    年    月   日</w:t>
      </w:r>
    </w:p>
    <w:p w14:paraId="50D0A186">
      <w:pPr>
        <w:rPr>
          <w:rFonts w:ascii="宋体" w:hAnsi="宋体" w:cs="宋体"/>
          <w:b/>
          <w:color w:val="auto"/>
          <w:spacing w:val="15"/>
          <w:szCs w:val="21"/>
          <w:highlight w:val="none"/>
        </w:rPr>
      </w:pPr>
      <w:r>
        <w:rPr>
          <w:rFonts w:hint="eastAsia" w:ascii="宋体" w:hAnsi="宋体" w:cs="宋体"/>
          <w:b/>
          <w:color w:val="auto"/>
          <w:spacing w:val="15"/>
          <w:szCs w:val="21"/>
          <w:highlight w:val="none"/>
        </w:rPr>
        <w:br w:type="page"/>
      </w:r>
    </w:p>
    <w:p w14:paraId="5A833F4D">
      <w:pPr>
        <w:spacing w:line="360" w:lineRule="auto"/>
        <w:outlineLvl w:val="1"/>
        <w:rPr>
          <w:rFonts w:ascii="宋体" w:hAnsi="宋体" w:cs="宋体"/>
          <w:b/>
          <w:color w:val="auto"/>
          <w:spacing w:val="15"/>
          <w:szCs w:val="21"/>
          <w:highlight w:val="none"/>
        </w:rPr>
      </w:pPr>
      <w:bookmarkStart w:id="702" w:name="_Toc29975"/>
      <w:r>
        <w:rPr>
          <w:rFonts w:hint="eastAsia" w:ascii="宋体" w:hAnsi="宋体" w:cs="宋体"/>
          <w:b/>
          <w:color w:val="auto"/>
          <w:spacing w:val="15"/>
          <w:szCs w:val="21"/>
          <w:highlight w:val="none"/>
        </w:rPr>
        <w:t>附件十三、具备履行合同所必需的设备和专业技术能力的声明</w:t>
      </w:r>
      <w:bookmarkEnd w:id="701"/>
      <w:bookmarkEnd w:id="702"/>
    </w:p>
    <w:p w14:paraId="233D6865">
      <w:pPr>
        <w:jc w:val="center"/>
        <w:rPr>
          <w:rFonts w:ascii="宋体" w:hAnsi="宋体" w:cs="宋体"/>
          <w:color w:val="auto"/>
          <w:sz w:val="36"/>
          <w:szCs w:val="36"/>
          <w:highlight w:val="none"/>
        </w:rPr>
      </w:pPr>
    </w:p>
    <w:p w14:paraId="4FCBAF9F">
      <w:pPr>
        <w:jc w:val="center"/>
        <w:rPr>
          <w:rFonts w:ascii="宋体" w:hAnsi="宋体" w:cs="宋体"/>
          <w:b/>
          <w:bCs/>
          <w:color w:val="auto"/>
          <w:sz w:val="24"/>
          <w:highlight w:val="none"/>
        </w:rPr>
      </w:pPr>
      <w:r>
        <w:rPr>
          <w:rFonts w:hint="eastAsia" w:ascii="宋体" w:hAnsi="宋体" w:cs="宋体"/>
          <w:b/>
          <w:bCs/>
          <w:color w:val="auto"/>
          <w:sz w:val="24"/>
          <w:highlight w:val="none"/>
        </w:rPr>
        <w:t>具备履行合同所必需的设备和专业技术能力的声明</w:t>
      </w:r>
    </w:p>
    <w:p w14:paraId="287B99B2">
      <w:pPr>
        <w:jc w:val="left"/>
        <w:rPr>
          <w:rFonts w:ascii="宋体" w:hAnsi="宋体" w:cs="宋体"/>
          <w:color w:val="auto"/>
          <w:highlight w:val="none"/>
        </w:rPr>
      </w:pPr>
    </w:p>
    <w:p w14:paraId="5E693BEF">
      <w:pPr>
        <w:jc w:val="left"/>
        <w:rPr>
          <w:rFonts w:ascii="宋体" w:hAnsi="宋体" w:cs="宋体"/>
          <w:color w:val="auto"/>
          <w:highlight w:val="none"/>
        </w:rPr>
      </w:pPr>
      <w:r>
        <w:rPr>
          <w:rFonts w:hint="eastAsia" w:ascii="宋体" w:hAnsi="宋体" w:cs="宋体"/>
          <w:color w:val="auto"/>
          <w:highlight w:val="none"/>
        </w:rPr>
        <w:t>南京市江宁区人民政府汤山街道办事处：</w:t>
      </w:r>
    </w:p>
    <w:p w14:paraId="5BF6D1B5">
      <w:pPr>
        <w:spacing w:line="360" w:lineRule="auto"/>
        <w:rPr>
          <w:rFonts w:ascii="宋体" w:hAnsi="宋体" w:cs="宋体"/>
          <w:color w:val="auto"/>
          <w:szCs w:val="21"/>
          <w:highlight w:val="none"/>
        </w:rPr>
      </w:pPr>
    </w:p>
    <w:p w14:paraId="5B9735ED">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我单位 （供应商名称）郑重声明：我公司具备履行本项采购合同所必需的设备和专业技术能力，为履行本项采购合同我单位具备如下主要设备和主要专业技术能力：</w:t>
      </w:r>
    </w:p>
    <w:p w14:paraId="6C4D3C1E">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FB58AD6">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0B0B19">
      <w:pPr>
        <w:spacing w:line="360" w:lineRule="auto"/>
        <w:ind w:firstLine="492"/>
        <w:rPr>
          <w:rFonts w:ascii="宋体" w:hAnsi="宋体" w:cs="宋体"/>
          <w:color w:val="auto"/>
          <w:szCs w:val="21"/>
          <w:highlight w:val="none"/>
        </w:rPr>
      </w:pPr>
      <w:r>
        <w:rPr>
          <w:rFonts w:hint="eastAsia" w:ascii="宋体" w:hAnsi="宋体" w:cs="宋体"/>
          <w:color w:val="auto"/>
          <w:szCs w:val="21"/>
          <w:highlight w:val="none"/>
        </w:rPr>
        <w:t>声明人（公章）：</w:t>
      </w:r>
    </w:p>
    <w:p w14:paraId="2BCA5FBC">
      <w:pPr>
        <w:jc w:val="left"/>
        <w:rPr>
          <w:rFonts w:ascii="宋体" w:hAnsi="宋体" w:cs="宋体"/>
          <w:color w:val="auto"/>
          <w:highlight w:val="none"/>
        </w:rPr>
      </w:pPr>
    </w:p>
    <w:p w14:paraId="69936AAB">
      <w:pPr>
        <w:jc w:val="right"/>
        <w:rPr>
          <w:rFonts w:ascii="宋体" w:hAnsi="宋体" w:cs="宋体"/>
          <w:color w:val="auto"/>
          <w:highlight w:val="none"/>
        </w:rPr>
      </w:pPr>
      <w:r>
        <w:rPr>
          <w:rFonts w:hint="eastAsia" w:ascii="宋体" w:hAnsi="宋体" w:cs="宋体"/>
          <w:color w:val="auto"/>
          <w:highlight w:val="none"/>
        </w:rPr>
        <w:t>年      月      日</w:t>
      </w:r>
    </w:p>
    <w:p w14:paraId="736C7523">
      <w:pPr>
        <w:jc w:val="left"/>
        <w:rPr>
          <w:rFonts w:ascii="宋体" w:hAnsi="宋体" w:cs="宋体"/>
          <w:color w:val="auto"/>
          <w:highlight w:val="none"/>
        </w:rPr>
      </w:pPr>
    </w:p>
    <w:p w14:paraId="1F5616B1">
      <w:pPr>
        <w:rPr>
          <w:rFonts w:ascii="宋体" w:hAnsi="宋体" w:cs="宋体"/>
          <w:color w:val="auto"/>
          <w:highlight w:val="none"/>
        </w:rPr>
      </w:pPr>
    </w:p>
    <w:p w14:paraId="592BE5B7">
      <w:pPr>
        <w:rPr>
          <w:color w:val="auto"/>
          <w:highlight w:val="none"/>
        </w:rPr>
      </w:pPr>
    </w:p>
    <w:p w14:paraId="46E5F652">
      <w:pPr>
        <w:rPr>
          <w:color w:val="auto"/>
          <w:highlight w:val="none"/>
        </w:rPr>
      </w:pPr>
    </w:p>
    <w:p w14:paraId="6CF17A88">
      <w:pPr>
        <w:rPr>
          <w:color w:val="auto"/>
          <w:highlight w:val="none"/>
        </w:rPr>
      </w:pPr>
    </w:p>
    <w:p w14:paraId="5D94F2D3">
      <w:pPr>
        <w:spacing w:line="360" w:lineRule="auto"/>
        <w:outlineLvl w:val="1"/>
        <w:rPr>
          <w:rFonts w:ascii="宋体" w:hAnsi="宋体" w:cs="宋体"/>
          <w:b/>
          <w:color w:val="auto"/>
          <w:spacing w:val="15"/>
          <w:szCs w:val="21"/>
          <w:highlight w:val="none"/>
        </w:rPr>
      </w:pPr>
      <w:bookmarkStart w:id="703" w:name="_Toc14771"/>
      <w:r>
        <w:rPr>
          <w:rFonts w:hint="eastAsia" w:ascii="宋体" w:hAnsi="宋体" w:cs="宋体"/>
          <w:b/>
          <w:color w:val="auto"/>
          <w:spacing w:val="15"/>
          <w:szCs w:val="21"/>
          <w:highlight w:val="none"/>
        </w:rPr>
        <w:t>附件十四、残疾人福利性单位声明函</w:t>
      </w:r>
      <w:bookmarkEnd w:id="703"/>
    </w:p>
    <w:p w14:paraId="12763F86">
      <w:pPr>
        <w:jc w:val="center"/>
        <w:rPr>
          <w:rFonts w:ascii="宋体" w:hAnsi="宋体" w:cs="宋体"/>
          <w:b/>
          <w:bCs/>
          <w:color w:val="auto"/>
          <w:sz w:val="24"/>
          <w:highlight w:val="none"/>
        </w:rPr>
      </w:pPr>
      <w:r>
        <w:rPr>
          <w:rFonts w:hint="eastAsia" w:ascii="宋体" w:hAnsi="宋体" w:cs="宋体"/>
          <w:b/>
          <w:bCs/>
          <w:color w:val="auto"/>
          <w:sz w:val="24"/>
          <w:highlight w:val="none"/>
        </w:rPr>
        <w:t>残疾人福利性单位声明函</w:t>
      </w:r>
    </w:p>
    <w:p w14:paraId="7562625F">
      <w:pPr>
        <w:widowControl/>
        <w:spacing w:line="400" w:lineRule="exact"/>
        <w:ind w:firstLine="420"/>
        <w:jc w:val="left"/>
        <w:rPr>
          <w:rFonts w:ascii="Arial" w:hAnsi="Arial" w:cs="Arial"/>
          <w:color w:val="auto"/>
          <w:highlight w:val="none"/>
        </w:rPr>
      </w:pPr>
      <w:r>
        <w:rPr>
          <w:rFonts w:ascii="宋体" w:hAnsi="宋体" w:cs="Arial"/>
          <w:color w:val="auto"/>
          <w:highlight w:val="none"/>
        </w:rPr>
        <w:t>本单位郑重声明，根据《财政部</w:t>
      </w:r>
      <w:r>
        <w:rPr>
          <w:rFonts w:ascii="Arial" w:hAnsi="Arial" w:cs="Arial"/>
          <w:color w:val="auto"/>
          <w:highlight w:val="none"/>
        </w:rPr>
        <w:t xml:space="preserve"> </w:t>
      </w:r>
      <w:r>
        <w:rPr>
          <w:rFonts w:ascii="宋体" w:hAnsi="宋体" w:cs="Arial"/>
          <w:color w:val="auto"/>
          <w:highlight w:val="none"/>
        </w:rPr>
        <w:t>民政部</w:t>
      </w:r>
      <w:r>
        <w:rPr>
          <w:rFonts w:ascii="Arial" w:hAnsi="Arial" w:cs="Arial"/>
          <w:color w:val="auto"/>
          <w:highlight w:val="none"/>
        </w:rPr>
        <w:t xml:space="preserve"> </w:t>
      </w:r>
      <w:r>
        <w:rPr>
          <w:rFonts w:ascii="宋体" w:hAnsi="宋体" w:cs="Arial"/>
          <w:color w:val="auto"/>
          <w:highlight w:val="none"/>
        </w:rPr>
        <w:t>中国残疾人联合会关于促进残疾人就业政府采购政策的通知》（财库〔</w:t>
      </w:r>
      <w:r>
        <w:rPr>
          <w:rFonts w:ascii="Arial" w:hAnsi="Arial" w:cs="Arial"/>
          <w:color w:val="auto"/>
          <w:highlight w:val="none"/>
        </w:rPr>
        <w:t>2017</w:t>
      </w:r>
      <w:r>
        <w:rPr>
          <w:rFonts w:ascii="宋体" w:hAnsi="宋体" w:cs="Arial"/>
          <w:color w:val="auto"/>
          <w:highlight w:val="none"/>
        </w:rPr>
        <w:t xml:space="preserve">〕 </w:t>
      </w:r>
      <w:r>
        <w:rPr>
          <w:rFonts w:ascii="Arial" w:hAnsi="Arial" w:cs="Arial"/>
          <w:color w:val="auto"/>
          <w:highlight w:val="none"/>
        </w:rPr>
        <w:t>141</w:t>
      </w:r>
      <w:r>
        <w:rPr>
          <w:rFonts w:ascii="宋体" w:hAnsi="宋体" w:cs="Arial"/>
          <w:color w:val="auto"/>
          <w:highlight w:val="none"/>
        </w:rPr>
        <w:t>号）的规定，本单位为符合条件的残疾人福利性单位，且本单位参加</w:t>
      </w:r>
      <w:r>
        <w:rPr>
          <w:rFonts w:ascii="Arial" w:hAnsi="Arial" w:cs="Arial"/>
          <w:color w:val="auto"/>
          <w:highlight w:val="none"/>
        </w:rPr>
        <w:t>______</w:t>
      </w:r>
      <w:r>
        <w:rPr>
          <w:rFonts w:ascii="宋体" w:hAnsi="宋体" w:cs="Arial"/>
          <w:color w:val="auto"/>
          <w:highlight w:val="none"/>
        </w:rPr>
        <w:t>单位的</w:t>
      </w:r>
      <w:r>
        <w:rPr>
          <w:rFonts w:ascii="Arial" w:hAnsi="Arial" w:cs="Arial"/>
          <w:color w:val="auto"/>
          <w:highlight w:val="none"/>
        </w:rPr>
        <w:t>______</w:t>
      </w:r>
      <w:r>
        <w:rPr>
          <w:rFonts w:ascii="宋体" w:hAnsi="宋体" w:cs="Arial"/>
          <w:color w:val="auto"/>
          <w:highlight w:val="none"/>
        </w:rPr>
        <w:t>项目采购活动提供本单位制造的货物（由本单位承担工程</w:t>
      </w:r>
      <w:r>
        <w:rPr>
          <w:rFonts w:ascii="Arial" w:hAnsi="Arial" w:cs="Arial"/>
          <w:color w:val="auto"/>
          <w:highlight w:val="none"/>
        </w:rPr>
        <w:t>/</w:t>
      </w:r>
      <w:r>
        <w:rPr>
          <w:rFonts w:ascii="宋体" w:hAnsi="宋体" w:cs="Arial"/>
          <w:color w:val="auto"/>
          <w:highlight w:val="none"/>
        </w:rPr>
        <w:t>提供服务），或者提供其他残疾人福利性单位制造的货物（不包括使用非残疾人福利性单位注册商标的货物）。</w:t>
      </w:r>
    </w:p>
    <w:p w14:paraId="3316718E">
      <w:pPr>
        <w:widowControl/>
        <w:spacing w:line="400" w:lineRule="exact"/>
        <w:ind w:firstLine="420"/>
        <w:jc w:val="left"/>
        <w:rPr>
          <w:rFonts w:ascii="Arial" w:hAnsi="Arial" w:cs="Arial"/>
          <w:color w:val="auto"/>
          <w:highlight w:val="none"/>
        </w:rPr>
      </w:pPr>
      <w:r>
        <w:rPr>
          <w:rFonts w:ascii="宋体" w:hAnsi="宋体" w:cs="Arial"/>
          <w:color w:val="auto"/>
          <w:highlight w:val="none"/>
        </w:rPr>
        <w:t>本单位对上述声明的真实性负责。如有虚假，将依法承担相应责任。</w:t>
      </w:r>
    </w:p>
    <w:p w14:paraId="3FC06D3E">
      <w:pPr>
        <w:widowControl/>
        <w:spacing w:line="440" w:lineRule="exact"/>
        <w:ind w:firstLine="5040"/>
        <w:jc w:val="left"/>
        <w:rPr>
          <w:rFonts w:ascii="Arial" w:hAnsi="Arial" w:cs="Arial"/>
          <w:color w:val="auto"/>
          <w:highlight w:val="none"/>
        </w:rPr>
      </w:pPr>
      <w:r>
        <w:rPr>
          <w:rFonts w:ascii="Arial" w:hAnsi="Arial" w:cs="Arial"/>
          <w:color w:val="auto"/>
          <w:highlight w:val="none"/>
        </w:rPr>
        <w:t xml:space="preserve">   </w:t>
      </w:r>
    </w:p>
    <w:p w14:paraId="324061A6">
      <w:pPr>
        <w:widowControl/>
        <w:shd w:val="clear" w:color="auto" w:fill="FFFFFF"/>
        <w:spacing w:line="360" w:lineRule="auto"/>
        <w:ind w:firstLine="3990"/>
        <w:jc w:val="left"/>
        <w:rPr>
          <w:rFonts w:ascii="Arial" w:hAnsi="Arial" w:cs="Arial"/>
          <w:color w:val="auto"/>
          <w:highlight w:val="none"/>
        </w:rPr>
      </w:pPr>
      <w:r>
        <w:rPr>
          <w:rFonts w:ascii="宋体" w:hAnsi="宋体" w:cs="Arial"/>
          <w:color w:val="auto"/>
          <w:highlight w:val="none"/>
        </w:rPr>
        <w:t>供应商</w:t>
      </w:r>
      <w:r>
        <w:rPr>
          <w:rFonts w:hint="eastAsia" w:ascii="宋体" w:hAnsi="宋体" w:cs="宋体"/>
          <w:color w:val="auto"/>
          <w:highlight w:val="none"/>
        </w:rPr>
        <w:t>（加盖电子公章）</w:t>
      </w:r>
      <w:r>
        <w:rPr>
          <w:rFonts w:hint="eastAsia" w:ascii="Arial" w:hAnsi="Arial" w:cs="Arial"/>
          <w:color w:val="auto"/>
          <w:highlight w:val="none"/>
        </w:rPr>
        <w:t>：</w:t>
      </w:r>
      <w:r>
        <w:rPr>
          <w:rFonts w:ascii="Arial" w:hAnsi="Arial" w:cs="Arial"/>
          <w:color w:val="auto"/>
          <w:highlight w:val="none"/>
          <w:u w:val="single"/>
        </w:rPr>
        <w:t xml:space="preserve">            </w:t>
      </w:r>
    </w:p>
    <w:p w14:paraId="7C9E0144">
      <w:pPr>
        <w:widowControl/>
        <w:shd w:val="clear" w:color="auto" w:fill="FFFFFF"/>
        <w:spacing w:line="360" w:lineRule="auto"/>
        <w:ind w:firstLine="3990"/>
        <w:jc w:val="left"/>
        <w:rPr>
          <w:rFonts w:ascii="Arial" w:hAnsi="Arial" w:cs="Arial"/>
          <w:b/>
          <w:bCs/>
          <w:color w:val="auto"/>
          <w:highlight w:val="none"/>
        </w:rPr>
      </w:pPr>
      <w:r>
        <w:rPr>
          <w:rFonts w:ascii="宋体" w:hAnsi="宋体" w:cs="Arial"/>
          <w:color w:val="auto"/>
          <w:highlight w:val="none"/>
        </w:rPr>
        <w:t>日</w:t>
      </w:r>
      <w:r>
        <w:rPr>
          <w:rFonts w:ascii="Arial" w:hAnsi="Arial" w:cs="Arial"/>
          <w:color w:val="auto"/>
          <w:highlight w:val="none"/>
        </w:rPr>
        <w:t xml:space="preserve">    </w:t>
      </w:r>
      <w:r>
        <w:rPr>
          <w:rFonts w:ascii="宋体" w:hAnsi="宋体" w:cs="Arial"/>
          <w:color w:val="auto"/>
          <w:highlight w:val="none"/>
        </w:rPr>
        <w:t>期：</w:t>
      </w:r>
      <w:r>
        <w:rPr>
          <w:rFonts w:ascii="Arial" w:hAnsi="Arial" w:cs="Arial"/>
          <w:color w:val="auto"/>
          <w:highlight w:val="none"/>
        </w:rPr>
        <w:t xml:space="preserve">   </w:t>
      </w:r>
      <w:r>
        <w:rPr>
          <w:rFonts w:ascii="宋体" w:hAnsi="宋体" w:cs="Arial"/>
          <w:color w:val="auto"/>
          <w:highlight w:val="none"/>
        </w:rPr>
        <w:t>年</w:t>
      </w:r>
      <w:r>
        <w:rPr>
          <w:rFonts w:ascii="Arial" w:hAnsi="Arial" w:cs="Arial"/>
          <w:color w:val="auto"/>
          <w:highlight w:val="none"/>
        </w:rPr>
        <w:t xml:space="preserve">    </w:t>
      </w:r>
      <w:r>
        <w:rPr>
          <w:rFonts w:ascii="宋体" w:hAnsi="宋体" w:cs="Arial"/>
          <w:color w:val="auto"/>
          <w:highlight w:val="none"/>
        </w:rPr>
        <w:t>月</w:t>
      </w:r>
      <w:r>
        <w:rPr>
          <w:rFonts w:ascii="Arial" w:hAnsi="Arial" w:cs="Arial"/>
          <w:color w:val="auto"/>
          <w:highlight w:val="none"/>
        </w:rPr>
        <w:t xml:space="preserve">    </w:t>
      </w:r>
      <w:r>
        <w:rPr>
          <w:rFonts w:ascii="宋体" w:hAnsi="宋体" w:cs="Arial"/>
          <w:color w:val="auto"/>
          <w:highlight w:val="none"/>
        </w:rPr>
        <w:t>日</w:t>
      </w:r>
    </w:p>
    <w:p w14:paraId="7F3B32B0">
      <w:pPr>
        <w:pStyle w:val="219"/>
        <w:rPr>
          <w:rFonts w:cs="宋体"/>
          <w:color w:val="auto"/>
          <w:spacing w:val="15"/>
          <w:sz w:val="22"/>
          <w:highlight w:val="none"/>
        </w:rPr>
      </w:pPr>
    </w:p>
    <w:p w14:paraId="0479B549">
      <w:pPr>
        <w:rPr>
          <w:rFonts w:ascii="宋体" w:hAnsi="宋体" w:cs="宋体"/>
          <w:b/>
          <w:color w:val="auto"/>
          <w:spacing w:val="15"/>
          <w:szCs w:val="21"/>
          <w:highlight w:val="none"/>
        </w:rPr>
      </w:pPr>
      <w:r>
        <w:rPr>
          <w:rFonts w:hint="eastAsia" w:ascii="宋体" w:hAnsi="宋体" w:cs="宋体"/>
          <w:b/>
          <w:color w:val="auto"/>
          <w:spacing w:val="15"/>
          <w:szCs w:val="21"/>
          <w:highlight w:val="none"/>
        </w:rPr>
        <w:br w:type="page"/>
      </w:r>
    </w:p>
    <w:p w14:paraId="3FAC3D4E">
      <w:pPr>
        <w:spacing w:line="360" w:lineRule="auto"/>
        <w:outlineLvl w:val="1"/>
        <w:rPr>
          <w:rFonts w:ascii="宋体" w:hAnsi="宋体" w:cs="宋体"/>
          <w:b/>
          <w:color w:val="auto"/>
          <w:spacing w:val="15"/>
          <w:szCs w:val="21"/>
          <w:highlight w:val="none"/>
        </w:rPr>
      </w:pPr>
      <w:bookmarkStart w:id="704" w:name="_Toc25755"/>
      <w:r>
        <w:rPr>
          <w:rFonts w:hint="eastAsia" w:ascii="宋体" w:hAnsi="宋体" w:cs="宋体"/>
          <w:b/>
          <w:color w:val="auto"/>
          <w:spacing w:val="15"/>
          <w:szCs w:val="21"/>
          <w:highlight w:val="none"/>
        </w:rPr>
        <w:t>附件十五、中小企业声明函</w:t>
      </w:r>
      <w:bookmarkEnd w:id="704"/>
    </w:p>
    <w:p w14:paraId="2413EE32">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sz w:val="22"/>
          <w:highlight w:val="none"/>
        </w:rPr>
        <w:t> </w:t>
      </w:r>
    </w:p>
    <w:p w14:paraId="23BB77DB">
      <w:pPr>
        <w:jc w:val="center"/>
        <w:rPr>
          <w:rFonts w:ascii="宋体" w:hAnsi="宋体" w:cs="宋体"/>
          <w:b/>
          <w:bCs/>
          <w:color w:val="auto"/>
          <w:sz w:val="24"/>
          <w:highlight w:val="none"/>
        </w:rPr>
      </w:pPr>
      <w:r>
        <w:rPr>
          <w:rFonts w:hint="eastAsia" w:ascii="宋体" w:hAnsi="宋体" w:cs="宋体"/>
          <w:b/>
          <w:bCs/>
          <w:color w:val="auto"/>
          <w:sz w:val="24"/>
          <w:highlight w:val="none"/>
        </w:rPr>
        <w:t>中小企业声明函</w:t>
      </w:r>
    </w:p>
    <w:p w14:paraId="3022FF60">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spacing w:val="15"/>
          <w:sz w:val="22"/>
          <w:highlight w:val="none"/>
        </w:rPr>
        <w:t> </w:t>
      </w:r>
    </w:p>
    <w:p w14:paraId="7BCA14EA">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auto"/>
          <w:szCs w:val="21"/>
          <w:highlight w:val="none"/>
        </w:rPr>
      </w:pPr>
      <w:r>
        <w:rPr>
          <w:rFonts w:hint="eastAsia" w:ascii="宋体" w:hAnsi="宋体" w:cs="宋体"/>
          <w:color w:val="auto"/>
          <w:spacing w:val="15"/>
          <w:szCs w:val="21"/>
          <w:highlight w:val="none"/>
        </w:rPr>
        <w:t>本公司（联合体）郑重声明，根据《政府采购促进中小企业发展管理办法》（财库﹝2020﹞46 号）的规定，本公司（联合体）参加</w:t>
      </w:r>
      <w:r>
        <w:rPr>
          <w:rFonts w:hint="eastAsia" w:ascii="宋体" w:hAnsi="宋体" w:cs="宋体"/>
          <w:b/>
          <w:color w:val="auto"/>
          <w:szCs w:val="21"/>
          <w:highlight w:val="none"/>
          <w:u w:val="single"/>
        </w:rPr>
        <w:t xml:space="preserve">          </w:t>
      </w:r>
      <w:r>
        <w:rPr>
          <w:rFonts w:hint="eastAsia" w:ascii="宋体" w:hAnsi="宋体" w:cs="宋体"/>
          <w:color w:val="auto"/>
          <w:spacing w:val="15"/>
          <w:szCs w:val="21"/>
          <w:highlight w:val="none"/>
        </w:rPr>
        <w:t>（单位名称）的</w:t>
      </w:r>
      <w:r>
        <w:rPr>
          <w:rFonts w:hint="eastAsia" w:ascii="宋体" w:hAnsi="宋体" w:cs="宋体"/>
          <w:b/>
          <w:color w:val="auto"/>
          <w:szCs w:val="21"/>
          <w:highlight w:val="none"/>
          <w:u w:val="single"/>
        </w:rPr>
        <w:t xml:space="preserve">          </w:t>
      </w:r>
      <w:r>
        <w:rPr>
          <w:rFonts w:hint="eastAsia" w:ascii="宋体" w:hAnsi="宋体" w:cs="宋体"/>
          <w:color w:val="auto"/>
          <w:spacing w:val="15"/>
          <w:szCs w:val="21"/>
          <w:highlight w:val="none"/>
        </w:rPr>
        <w:t xml:space="preserve">（项目名称）采购活动，工程的施工单位全部为符合政策要求的中小企业。相关企业（含联合体中的中小企业、签订分包意向协议的中小企业）的具体情况如下： </w:t>
      </w:r>
    </w:p>
    <w:p w14:paraId="2C21DE1D">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auto"/>
          <w:szCs w:val="21"/>
          <w:highlight w:val="none"/>
        </w:rPr>
      </w:pPr>
      <w:r>
        <w:rPr>
          <w:rFonts w:hint="eastAsia" w:ascii="宋体" w:hAnsi="宋体" w:cs="宋体"/>
          <w:color w:val="auto"/>
          <w:spacing w:val="15"/>
          <w:szCs w:val="21"/>
          <w:highlight w:val="none"/>
        </w:rPr>
        <w:t xml:space="preserve">1. </w:t>
      </w:r>
      <w:r>
        <w:rPr>
          <w:rFonts w:hint="eastAsia" w:ascii="宋体" w:hAnsi="宋体" w:cs="宋体"/>
          <w:color w:val="auto"/>
          <w:szCs w:val="21"/>
          <w:highlight w:val="none"/>
          <w:u w:val="single"/>
        </w:rPr>
        <w:t xml:space="preserve">          </w:t>
      </w:r>
      <w:r>
        <w:rPr>
          <w:rFonts w:hint="eastAsia" w:ascii="宋体" w:hAnsi="宋体" w:cs="宋体"/>
          <w:color w:val="auto"/>
          <w:spacing w:val="15"/>
          <w:szCs w:val="21"/>
          <w:highlight w:val="none"/>
        </w:rPr>
        <w:t>（标的名称），属于</w:t>
      </w:r>
      <w:r>
        <w:rPr>
          <w:rStyle w:val="244"/>
          <w:rFonts w:hint="eastAsia" w:ascii="宋体" w:hAnsi="宋体" w:cs="宋体"/>
          <w:b w:val="0"/>
          <w:bCs w:val="0"/>
          <w:color w:val="auto"/>
          <w:szCs w:val="21"/>
          <w:highlight w:val="none"/>
          <w:u w:val="single"/>
          <w:shd w:val="clear" w:color="auto" w:fill="FFFFFF"/>
        </w:rPr>
        <w:t>建筑业</w:t>
      </w:r>
      <w:r>
        <w:rPr>
          <w:rFonts w:hint="eastAsia" w:ascii="宋体" w:hAnsi="宋体" w:cs="宋体"/>
          <w:color w:val="auto"/>
          <w:spacing w:val="15"/>
          <w:szCs w:val="21"/>
          <w:highlight w:val="none"/>
        </w:rPr>
        <w:t>（采购文件中明确的所属行业）；承建（承接）企业为</w:t>
      </w:r>
      <w:r>
        <w:rPr>
          <w:rFonts w:hint="eastAsia" w:ascii="宋体" w:hAnsi="宋体" w:cs="宋体"/>
          <w:color w:val="auto"/>
          <w:szCs w:val="21"/>
          <w:highlight w:val="none"/>
          <w:u w:val="single"/>
        </w:rPr>
        <w:t xml:space="preserve">          </w:t>
      </w:r>
      <w:r>
        <w:rPr>
          <w:rFonts w:hint="eastAsia" w:ascii="宋体" w:hAnsi="宋体" w:cs="宋体"/>
          <w:color w:val="auto"/>
          <w:spacing w:val="15"/>
          <w:szCs w:val="21"/>
          <w:highlight w:val="none"/>
        </w:rPr>
        <w:t>（企业名称），从业人员</w:t>
      </w:r>
      <w:r>
        <w:rPr>
          <w:rFonts w:hint="eastAsia" w:ascii="宋体" w:hAnsi="宋体" w:cs="宋体"/>
          <w:color w:val="auto"/>
          <w:szCs w:val="21"/>
          <w:highlight w:val="none"/>
          <w:u w:val="single"/>
        </w:rPr>
        <w:t xml:space="preserve">          </w:t>
      </w:r>
      <w:r>
        <w:rPr>
          <w:rFonts w:hint="eastAsia" w:ascii="宋体" w:hAnsi="宋体" w:cs="宋体"/>
          <w:color w:val="auto"/>
          <w:spacing w:val="15"/>
          <w:szCs w:val="21"/>
          <w:highlight w:val="none"/>
        </w:rPr>
        <w:t>人，营业收入为</w:t>
      </w:r>
      <w:r>
        <w:rPr>
          <w:rFonts w:hint="eastAsia" w:ascii="宋体" w:hAnsi="宋体" w:cs="宋体"/>
          <w:color w:val="auto"/>
          <w:szCs w:val="21"/>
          <w:highlight w:val="none"/>
          <w:u w:val="single"/>
        </w:rPr>
        <w:t xml:space="preserve">          万元</w:t>
      </w:r>
      <w:r>
        <w:rPr>
          <w:rFonts w:hint="eastAsia" w:ascii="宋体" w:hAnsi="宋体" w:cs="宋体"/>
          <w:color w:val="auto"/>
          <w:spacing w:val="15"/>
          <w:szCs w:val="21"/>
          <w:highlight w:val="none"/>
        </w:rPr>
        <w:t>，资产总额为</w:t>
      </w:r>
      <w:r>
        <w:rPr>
          <w:rFonts w:hint="eastAsia" w:ascii="宋体" w:hAnsi="宋体" w:cs="宋体"/>
          <w:color w:val="auto"/>
          <w:szCs w:val="21"/>
          <w:highlight w:val="none"/>
          <w:u w:val="single"/>
        </w:rPr>
        <w:t xml:space="preserve">          万元</w:t>
      </w:r>
      <w:r>
        <w:rPr>
          <w:rFonts w:hint="eastAsia" w:ascii="宋体" w:hAnsi="宋体" w:cs="宋体"/>
          <w:color w:val="auto"/>
          <w:spacing w:val="15"/>
          <w:szCs w:val="21"/>
          <w:highlight w:val="none"/>
        </w:rPr>
        <w:t xml:space="preserve"> ，属于</w:t>
      </w:r>
      <w:r>
        <w:rPr>
          <w:rFonts w:hint="eastAsia" w:ascii="宋体" w:hAnsi="宋体" w:cs="宋体"/>
          <w:color w:val="auto"/>
          <w:szCs w:val="21"/>
          <w:highlight w:val="none"/>
          <w:u w:val="single"/>
        </w:rPr>
        <w:t xml:space="preserve">          </w:t>
      </w:r>
      <w:r>
        <w:rPr>
          <w:rFonts w:hint="eastAsia" w:ascii="宋体" w:hAnsi="宋体" w:cs="宋体"/>
          <w:color w:val="auto"/>
          <w:spacing w:val="15"/>
          <w:szCs w:val="21"/>
          <w:highlight w:val="none"/>
        </w:rPr>
        <w:t xml:space="preserve">（中型企业、小型企业、微型企业）； </w:t>
      </w:r>
    </w:p>
    <w:p w14:paraId="24B7072A">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auto"/>
          <w:szCs w:val="21"/>
          <w:highlight w:val="none"/>
        </w:rPr>
      </w:pPr>
      <w:r>
        <w:rPr>
          <w:rFonts w:hint="eastAsia" w:ascii="宋体" w:hAnsi="宋体" w:cs="宋体"/>
          <w:color w:val="auto"/>
          <w:spacing w:val="15"/>
          <w:szCs w:val="21"/>
          <w:highlight w:val="none"/>
        </w:rPr>
        <w:t xml:space="preserve">以上企业，不属于大企业的分支机构，不存在控股股东为大企业的情形，也不存在与大企业的负责人为同一人的情形。 </w:t>
      </w:r>
    </w:p>
    <w:p w14:paraId="207F53A6">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auto"/>
          <w:highlight w:val="none"/>
        </w:rPr>
      </w:pPr>
      <w:r>
        <w:rPr>
          <w:rFonts w:hint="eastAsia" w:ascii="宋体" w:hAnsi="宋体" w:cs="宋体"/>
          <w:color w:val="auto"/>
          <w:spacing w:val="15"/>
          <w:szCs w:val="21"/>
          <w:highlight w:val="none"/>
        </w:rPr>
        <w:t>本企业对上述声明内容的真实性负责。如有虚假，将依法承担相应责任。</w:t>
      </w:r>
    </w:p>
    <w:p w14:paraId="25D94CA8">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auto"/>
          <w:spacing w:val="15"/>
          <w:szCs w:val="21"/>
          <w:highlight w:val="none"/>
        </w:rPr>
      </w:pPr>
      <w:r>
        <w:rPr>
          <w:rFonts w:hint="eastAsia" w:ascii="宋体" w:hAnsi="宋体" w:cs="宋体"/>
          <w:color w:val="auto"/>
          <w:spacing w:val="15"/>
          <w:szCs w:val="21"/>
          <w:highlight w:val="none"/>
        </w:rPr>
        <w:t>（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 </w:t>
      </w:r>
    </w:p>
    <w:p w14:paraId="473A1B9C">
      <w:pPr>
        <w:pBdr>
          <w:top w:val="none" w:color="000000" w:sz="0" w:space="0"/>
          <w:left w:val="none" w:color="000000" w:sz="0" w:space="0"/>
          <w:bottom w:val="none" w:color="000000" w:sz="0" w:space="0"/>
          <w:right w:val="none" w:color="000000" w:sz="0" w:space="0"/>
        </w:pBdr>
        <w:spacing w:line="85" w:lineRule="atLeast"/>
        <w:ind w:firstLine="480"/>
        <w:jc w:val="right"/>
        <w:rPr>
          <w:rFonts w:ascii="宋体" w:hAnsi="宋体" w:cs="宋体"/>
          <w:color w:val="auto"/>
          <w:highlight w:val="none"/>
        </w:rPr>
      </w:pPr>
      <w:r>
        <w:rPr>
          <w:rFonts w:hint="eastAsia" w:ascii="宋体" w:hAnsi="宋体" w:cs="宋体"/>
          <w:color w:val="auto"/>
          <w:spacing w:val="15"/>
          <w:sz w:val="22"/>
          <w:highlight w:val="none"/>
        </w:rPr>
        <w:t>  企业名称（盖章）：</w:t>
      </w:r>
    </w:p>
    <w:p w14:paraId="0DAFE6B0">
      <w:pPr>
        <w:pBdr>
          <w:top w:val="none" w:color="000000" w:sz="0" w:space="0"/>
          <w:left w:val="none" w:color="000000" w:sz="0" w:space="0"/>
          <w:bottom w:val="none" w:color="000000" w:sz="0" w:space="0"/>
          <w:right w:val="none" w:color="000000" w:sz="0" w:space="0"/>
        </w:pBdr>
        <w:spacing w:line="85" w:lineRule="atLeast"/>
        <w:ind w:firstLine="4560"/>
        <w:jc w:val="right"/>
        <w:rPr>
          <w:rFonts w:ascii="宋体" w:hAnsi="宋体" w:cs="宋体"/>
          <w:color w:val="auto"/>
          <w:spacing w:val="15"/>
          <w:sz w:val="22"/>
          <w:highlight w:val="none"/>
        </w:rPr>
      </w:pPr>
      <w:r>
        <w:rPr>
          <w:rFonts w:hint="eastAsia" w:ascii="宋体" w:hAnsi="宋体" w:cs="宋体"/>
          <w:color w:val="auto"/>
          <w:spacing w:val="15"/>
          <w:sz w:val="22"/>
          <w:highlight w:val="none"/>
        </w:rPr>
        <w:t>日 期：</w:t>
      </w:r>
    </w:p>
    <w:p w14:paraId="556E47E9">
      <w:pPr>
        <w:rPr>
          <w:rFonts w:ascii="宋体" w:hAnsi="宋体" w:cs="宋体"/>
          <w:b/>
          <w:color w:val="auto"/>
          <w:spacing w:val="15"/>
          <w:szCs w:val="21"/>
          <w:highlight w:val="none"/>
        </w:rPr>
      </w:pPr>
    </w:p>
    <w:p w14:paraId="0762DA57">
      <w:pPr>
        <w:jc w:val="center"/>
        <w:rPr>
          <w:rFonts w:ascii="宋体" w:hAnsi="宋体" w:cs="宋体"/>
          <w:color w:val="auto"/>
          <w:szCs w:val="21"/>
          <w:highlight w:val="none"/>
        </w:rPr>
      </w:pPr>
      <w:r>
        <w:rPr>
          <w:rFonts w:hint="eastAsia" w:ascii="宋体" w:hAnsi="宋体" w:cs="宋体"/>
          <w:b/>
          <w:color w:val="auto"/>
          <w:spacing w:val="15"/>
          <w:szCs w:val="21"/>
          <w:highlight w:val="none"/>
        </w:rPr>
        <w:br w:type="page" w:clear="all"/>
      </w:r>
    </w:p>
    <w:p w14:paraId="138D3690">
      <w:pPr>
        <w:spacing w:line="360" w:lineRule="auto"/>
        <w:outlineLvl w:val="1"/>
        <w:rPr>
          <w:rFonts w:ascii="宋体" w:hAnsi="宋体" w:cs="宋体"/>
          <w:b/>
          <w:color w:val="auto"/>
          <w:spacing w:val="15"/>
          <w:szCs w:val="21"/>
          <w:highlight w:val="none"/>
        </w:rPr>
      </w:pPr>
      <w:bookmarkStart w:id="705" w:name="_Toc11679"/>
      <w:bookmarkStart w:id="706" w:name="_Toc9177"/>
      <w:r>
        <w:rPr>
          <w:rFonts w:hint="eastAsia" w:ascii="宋体" w:hAnsi="宋体" w:cs="宋体"/>
          <w:b/>
          <w:color w:val="auto"/>
          <w:spacing w:val="15"/>
          <w:szCs w:val="21"/>
          <w:highlight w:val="none"/>
        </w:rPr>
        <w:t>附件十六、南京市政府采购供应商信用记录表暨信用承诺书</w:t>
      </w:r>
      <w:bookmarkEnd w:id="705"/>
      <w:bookmarkEnd w:id="706"/>
    </w:p>
    <w:p w14:paraId="749715F8">
      <w:pPr>
        <w:spacing w:line="360" w:lineRule="auto"/>
        <w:rPr>
          <w:rFonts w:ascii="宋体" w:hAnsi="宋体" w:cs="宋体"/>
          <w:bCs/>
          <w:color w:val="auto"/>
          <w:szCs w:val="21"/>
          <w:highlight w:val="none"/>
          <w:lang w:val="zh-CN" w:bidi="zh-CN"/>
        </w:rPr>
      </w:pPr>
      <w:r>
        <w:rPr>
          <w:rFonts w:hint="eastAsia" w:ascii="宋体" w:hAnsi="宋体" w:cs="宋体"/>
          <w:bCs/>
          <w:color w:val="auto"/>
          <w:szCs w:val="21"/>
          <w:highlight w:val="none"/>
          <w:lang w:val="zh-CN" w:bidi="zh-CN"/>
        </w:rPr>
        <w:t>供应商参加本次政府采购活动时，</w:t>
      </w:r>
      <w:r>
        <w:rPr>
          <w:rFonts w:hint="eastAsia" w:ascii="宋体" w:hAnsi="宋体" w:cs="宋体"/>
          <w:bCs/>
          <w:color w:val="auto"/>
          <w:szCs w:val="21"/>
          <w:highlight w:val="none"/>
          <w:u w:val="single"/>
          <w:lang w:val="zh-CN" w:bidi="zh-CN"/>
        </w:rPr>
        <w:t>在磋商文件发布之日起至递交响应文件截止日前</w:t>
      </w:r>
      <w:r>
        <w:rPr>
          <w:rFonts w:hint="eastAsia" w:ascii="宋体" w:hAnsi="宋体" w:cs="宋体"/>
          <w:bCs/>
          <w:color w:val="auto"/>
          <w:szCs w:val="21"/>
          <w:highlight w:val="none"/>
          <w:lang w:val="zh-CN" w:bidi="zh-CN"/>
        </w:rPr>
        <w:t>，应先登录“南京公共采购信息网”在线打印其</w:t>
      </w:r>
      <w:r>
        <w:rPr>
          <w:rFonts w:hint="eastAsia" w:ascii="宋体" w:hAnsi="宋体" w:cs="宋体"/>
          <w:bCs/>
          <w:color w:val="auto"/>
          <w:szCs w:val="21"/>
          <w:highlight w:val="none"/>
          <w:lang w:bidi="zh-CN"/>
        </w:rPr>
        <w:t>附带二维码的</w:t>
      </w:r>
      <w:r>
        <w:rPr>
          <w:rFonts w:hint="eastAsia" w:ascii="宋体" w:hAnsi="宋体" w:cs="宋体"/>
          <w:bCs/>
          <w:color w:val="auto"/>
          <w:szCs w:val="21"/>
          <w:highlight w:val="none"/>
          <w:lang w:val="zh-CN" w:bidi="zh-CN"/>
        </w:rPr>
        <w:t>《南京市政府采购供应商信用记录表暨信用承诺书》，</w:t>
      </w:r>
      <w:r>
        <w:rPr>
          <w:rFonts w:hint="eastAsia" w:ascii="宋体" w:hAnsi="宋体" w:cs="宋体"/>
          <w:bCs/>
          <w:color w:val="auto"/>
          <w:szCs w:val="21"/>
          <w:highlight w:val="none"/>
          <w:lang w:bidi="zh-CN"/>
        </w:rPr>
        <w:t>法定代表人签名并</w:t>
      </w:r>
      <w:r>
        <w:rPr>
          <w:rFonts w:hint="eastAsia" w:ascii="宋体" w:hAnsi="宋体" w:cs="宋体"/>
          <w:bCs/>
          <w:color w:val="auto"/>
          <w:szCs w:val="21"/>
          <w:highlight w:val="none"/>
          <w:lang w:val="zh-CN" w:bidi="zh-CN"/>
        </w:rPr>
        <w:t>加盖单位公章后作为响应文件的组成部分。</w:t>
      </w:r>
    </w:p>
    <w:tbl>
      <w:tblPr>
        <w:tblStyle w:val="32"/>
        <w:tblW w:w="0" w:type="auto"/>
        <w:jc w:val="center"/>
        <w:tblLayout w:type="fixed"/>
        <w:tblCellMar>
          <w:top w:w="15" w:type="dxa"/>
          <w:left w:w="15" w:type="dxa"/>
          <w:bottom w:w="15" w:type="dxa"/>
          <w:right w:w="15" w:type="dxa"/>
        </w:tblCellMar>
      </w:tblPr>
      <w:tblGrid>
        <w:gridCol w:w="1731"/>
        <w:gridCol w:w="2105"/>
        <w:gridCol w:w="2415"/>
        <w:gridCol w:w="2289"/>
      </w:tblGrid>
      <w:tr w14:paraId="383AB218">
        <w:tblPrEx>
          <w:tblCellMar>
            <w:top w:w="15" w:type="dxa"/>
            <w:left w:w="15" w:type="dxa"/>
            <w:bottom w:w="15" w:type="dxa"/>
            <w:right w:w="15" w:type="dxa"/>
          </w:tblCellMar>
        </w:tblPrEx>
        <w:trPr>
          <w:trHeight w:val="578" w:hRule="atLeast"/>
          <w:jc w:val="center"/>
        </w:trPr>
        <w:tc>
          <w:tcPr>
            <w:tcW w:w="8540" w:type="dxa"/>
            <w:gridSpan w:val="4"/>
            <w:vAlign w:val="center"/>
          </w:tcPr>
          <w:p w14:paraId="6FCFC7B9">
            <w:pPr>
              <w:widowControl/>
              <w:jc w:val="center"/>
              <w:textAlignment w:val="center"/>
              <w:rPr>
                <w:rFonts w:ascii="黑体" w:hAnsi="宋体" w:eastAsia="黑体" w:cs="黑体"/>
                <w:color w:val="auto"/>
                <w:sz w:val="32"/>
                <w:szCs w:val="40"/>
                <w:highlight w:val="none"/>
              </w:rPr>
            </w:pPr>
            <w:r>
              <w:rPr>
                <w:rFonts w:hint="eastAsia" w:ascii="黑体" w:hAnsi="宋体" w:eastAsia="黑体" w:cs="黑体"/>
                <w:color w:val="auto"/>
                <w:sz w:val="32"/>
                <w:szCs w:val="40"/>
                <w:highlight w:val="none"/>
                <w:lang w:bidi="ar"/>
              </w:rPr>
              <w:t>南京市政府采购供应商信用记录表暨信用承诺书（附件）</w:t>
            </w:r>
          </w:p>
        </w:tc>
      </w:tr>
      <w:tr w14:paraId="4AFC3F1C">
        <w:tblPrEx>
          <w:tblCellMar>
            <w:top w:w="15" w:type="dxa"/>
            <w:left w:w="15" w:type="dxa"/>
            <w:bottom w:w="15" w:type="dxa"/>
            <w:right w:w="15" w:type="dxa"/>
          </w:tblCellMar>
        </w:tblPrEx>
        <w:trPr>
          <w:trHeight w:val="550" w:hRule="atLeast"/>
          <w:jc w:val="center"/>
        </w:trPr>
        <w:tc>
          <w:tcPr>
            <w:tcW w:w="8540" w:type="dxa"/>
            <w:gridSpan w:val="4"/>
            <w:vAlign w:val="center"/>
          </w:tcPr>
          <w:p w14:paraId="3A04B551">
            <w:pPr>
              <w:jc w:val="left"/>
              <w:rPr>
                <w:rFonts w:ascii="宋体" w:hAnsi="宋体" w:cs="宋体"/>
                <w:color w:val="auto"/>
                <w:sz w:val="18"/>
                <w:szCs w:val="21"/>
                <w:highlight w:val="none"/>
              </w:rPr>
            </w:pPr>
            <w:r>
              <w:rPr>
                <w:rFonts w:hint="eastAsia" w:ascii="宋体" w:hAnsi="宋体" w:cs="宋体"/>
                <w:b/>
                <w:bCs/>
                <w:color w:val="auto"/>
                <w:sz w:val="18"/>
                <w:szCs w:val="21"/>
                <w:highlight w:val="none"/>
                <w:lang w:bidi="ar"/>
              </w:rPr>
              <w:t>（仅为示范格式，直接填写无效，需至“南京政府采购供应商诚信档案管理系统”在线打印）</w:t>
            </w:r>
          </w:p>
        </w:tc>
      </w:tr>
      <w:tr w14:paraId="012CC012">
        <w:tblPrEx>
          <w:tblCellMar>
            <w:top w:w="15" w:type="dxa"/>
            <w:left w:w="15" w:type="dxa"/>
            <w:bottom w:w="15" w:type="dxa"/>
            <w:right w:w="15" w:type="dxa"/>
          </w:tblCellMar>
        </w:tblPrEx>
        <w:trPr>
          <w:trHeight w:val="641" w:hRule="atLeast"/>
          <w:jc w:val="center"/>
        </w:trPr>
        <w:tc>
          <w:tcPr>
            <w:tcW w:w="1731" w:type="dxa"/>
            <w:tcBorders>
              <w:top w:val="single" w:color="000000" w:sz="18" w:space="0"/>
              <w:left w:val="single" w:color="000000" w:sz="18" w:space="0"/>
              <w:bottom w:val="single" w:color="000000" w:sz="4" w:space="0"/>
              <w:right w:val="single" w:color="000000" w:sz="4" w:space="0"/>
            </w:tcBorders>
            <w:vAlign w:val="center"/>
          </w:tcPr>
          <w:p w14:paraId="10EA8D0A">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单位名称</w:t>
            </w:r>
          </w:p>
        </w:tc>
        <w:tc>
          <w:tcPr>
            <w:tcW w:w="2105" w:type="dxa"/>
            <w:tcBorders>
              <w:top w:val="single" w:color="000000" w:sz="18" w:space="0"/>
              <w:left w:val="single" w:color="000000" w:sz="4" w:space="0"/>
              <w:bottom w:val="single" w:color="000000" w:sz="4" w:space="0"/>
              <w:right w:val="single" w:color="000000" w:sz="4" w:space="0"/>
            </w:tcBorders>
            <w:vAlign w:val="center"/>
          </w:tcPr>
          <w:p w14:paraId="31DC4586">
            <w:pPr>
              <w:jc w:val="left"/>
              <w:rPr>
                <w:rFonts w:ascii="宋体" w:hAnsi="宋体" w:cs="宋体"/>
                <w:color w:val="auto"/>
                <w:szCs w:val="22"/>
                <w:highlight w:val="none"/>
              </w:rPr>
            </w:pPr>
          </w:p>
        </w:tc>
        <w:tc>
          <w:tcPr>
            <w:tcW w:w="2415" w:type="dxa"/>
            <w:tcBorders>
              <w:top w:val="single" w:color="000000" w:sz="18" w:space="0"/>
              <w:left w:val="single" w:color="000000" w:sz="4" w:space="0"/>
              <w:bottom w:val="single" w:color="000000" w:sz="4" w:space="0"/>
              <w:right w:val="single" w:color="000000" w:sz="4" w:space="0"/>
            </w:tcBorders>
            <w:vAlign w:val="center"/>
          </w:tcPr>
          <w:p w14:paraId="16D88302">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统一社会信用代码</w:t>
            </w:r>
          </w:p>
        </w:tc>
        <w:tc>
          <w:tcPr>
            <w:tcW w:w="2289" w:type="dxa"/>
            <w:tcBorders>
              <w:top w:val="single" w:color="000000" w:sz="18" w:space="0"/>
              <w:left w:val="single" w:color="000000" w:sz="4" w:space="0"/>
              <w:bottom w:val="single" w:color="000000" w:sz="4" w:space="0"/>
              <w:right w:val="single" w:color="000000" w:sz="18" w:space="0"/>
            </w:tcBorders>
            <w:vAlign w:val="center"/>
          </w:tcPr>
          <w:p w14:paraId="39F93BE6">
            <w:pPr>
              <w:jc w:val="left"/>
              <w:rPr>
                <w:rFonts w:ascii="宋体" w:hAnsi="宋体" w:cs="宋体"/>
                <w:color w:val="auto"/>
                <w:szCs w:val="22"/>
                <w:highlight w:val="none"/>
              </w:rPr>
            </w:pPr>
          </w:p>
        </w:tc>
      </w:tr>
      <w:tr w14:paraId="41EFB6DD">
        <w:tblPrEx>
          <w:tblCellMar>
            <w:top w:w="15" w:type="dxa"/>
            <w:left w:w="15" w:type="dxa"/>
            <w:bottom w:w="15" w:type="dxa"/>
            <w:right w:w="15" w:type="dxa"/>
          </w:tblCellMar>
        </w:tblPrEx>
        <w:trPr>
          <w:trHeight w:val="573" w:hRule="atLeast"/>
          <w:jc w:val="center"/>
        </w:trPr>
        <w:tc>
          <w:tcPr>
            <w:tcW w:w="1731" w:type="dxa"/>
            <w:tcBorders>
              <w:top w:val="single" w:color="000000" w:sz="4" w:space="0"/>
              <w:left w:val="single" w:color="000000" w:sz="18" w:space="0"/>
              <w:bottom w:val="single" w:color="000000" w:sz="4" w:space="0"/>
              <w:right w:val="single" w:color="000000" w:sz="4" w:space="0"/>
            </w:tcBorders>
            <w:vAlign w:val="center"/>
          </w:tcPr>
          <w:p w14:paraId="720959C0">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法定代表人</w:t>
            </w:r>
          </w:p>
        </w:tc>
        <w:tc>
          <w:tcPr>
            <w:tcW w:w="2105" w:type="dxa"/>
            <w:tcBorders>
              <w:top w:val="single" w:color="000000" w:sz="4" w:space="0"/>
              <w:left w:val="single" w:color="000000" w:sz="4" w:space="0"/>
              <w:bottom w:val="single" w:color="000000" w:sz="4" w:space="0"/>
              <w:right w:val="single" w:color="000000" w:sz="4" w:space="0"/>
            </w:tcBorders>
            <w:vAlign w:val="center"/>
          </w:tcPr>
          <w:p w14:paraId="3ECAC499">
            <w:pPr>
              <w:jc w:val="left"/>
              <w:rPr>
                <w:rFonts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vAlign w:val="center"/>
          </w:tcPr>
          <w:p w14:paraId="1761AC2E">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联系人</w:t>
            </w:r>
          </w:p>
        </w:tc>
        <w:tc>
          <w:tcPr>
            <w:tcW w:w="2289" w:type="dxa"/>
            <w:tcBorders>
              <w:top w:val="single" w:color="000000" w:sz="4" w:space="0"/>
              <w:left w:val="single" w:color="000000" w:sz="4" w:space="0"/>
              <w:bottom w:val="single" w:color="000000" w:sz="4" w:space="0"/>
              <w:right w:val="single" w:color="000000" w:sz="18" w:space="0"/>
            </w:tcBorders>
            <w:vAlign w:val="center"/>
          </w:tcPr>
          <w:p w14:paraId="1C0A64B5">
            <w:pPr>
              <w:jc w:val="left"/>
              <w:rPr>
                <w:rFonts w:ascii="宋体" w:hAnsi="宋体" w:cs="宋体"/>
                <w:color w:val="auto"/>
                <w:szCs w:val="22"/>
                <w:highlight w:val="none"/>
              </w:rPr>
            </w:pPr>
          </w:p>
        </w:tc>
      </w:tr>
      <w:tr w14:paraId="66B04C49">
        <w:tblPrEx>
          <w:tblCellMar>
            <w:top w:w="15" w:type="dxa"/>
            <w:left w:w="15" w:type="dxa"/>
            <w:bottom w:w="15" w:type="dxa"/>
            <w:right w:w="15" w:type="dxa"/>
          </w:tblCellMar>
        </w:tblPrEx>
        <w:trPr>
          <w:trHeight w:val="697" w:hRule="atLeast"/>
          <w:jc w:val="center"/>
        </w:trPr>
        <w:tc>
          <w:tcPr>
            <w:tcW w:w="1731" w:type="dxa"/>
            <w:tcBorders>
              <w:top w:val="single" w:color="000000" w:sz="4" w:space="0"/>
              <w:left w:val="single" w:color="000000" w:sz="18" w:space="0"/>
              <w:bottom w:val="single" w:color="000000" w:sz="4" w:space="0"/>
              <w:right w:val="single" w:color="000000" w:sz="4" w:space="0"/>
            </w:tcBorders>
            <w:vAlign w:val="center"/>
          </w:tcPr>
          <w:p w14:paraId="2021E171">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联系地址</w:t>
            </w:r>
          </w:p>
        </w:tc>
        <w:tc>
          <w:tcPr>
            <w:tcW w:w="2105" w:type="dxa"/>
            <w:tcBorders>
              <w:top w:val="single" w:color="000000" w:sz="4" w:space="0"/>
              <w:left w:val="single" w:color="000000" w:sz="4" w:space="0"/>
              <w:bottom w:val="single" w:color="000000" w:sz="4" w:space="0"/>
              <w:right w:val="single" w:color="000000" w:sz="4" w:space="0"/>
            </w:tcBorders>
            <w:vAlign w:val="center"/>
          </w:tcPr>
          <w:p w14:paraId="1B5A8FF3">
            <w:pPr>
              <w:jc w:val="left"/>
              <w:rPr>
                <w:rFonts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vAlign w:val="center"/>
          </w:tcPr>
          <w:p w14:paraId="3B23FF3D">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联系电话</w:t>
            </w:r>
          </w:p>
        </w:tc>
        <w:tc>
          <w:tcPr>
            <w:tcW w:w="2289" w:type="dxa"/>
            <w:tcBorders>
              <w:top w:val="single" w:color="000000" w:sz="4" w:space="0"/>
              <w:left w:val="single" w:color="000000" w:sz="4" w:space="0"/>
              <w:bottom w:val="single" w:color="000000" w:sz="4" w:space="0"/>
              <w:right w:val="single" w:color="000000" w:sz="18" w:space="0"/>
            </w:tcBorders>
            <w:vAlign w:val="center"/>
          </w:tcPr>
          <w:p w14:paraId="6E340844">
            <w:pPr>
              <w:jc w:val="left"/>
              <w:rPr>
                <w:rFonts w:ascii="宋体" w:hAnsi="宋体" w:cs="宋体"/>
                <w:color w:val="auto"/>
                <w:szCs w:val="22"/>
                <w:highlight w:val="none"/>
              </w:rPr>
            </w:pPr>
          </w:p>
        </w:tc>
      </w:tr>
      <w:tr w14:paraId="6AB81F4A">
        <w:tblPrEx>
          <w:tblCellMar>
            <w:top w:w="15" w:type="dxa"/>
            <w:left w:w="15" w:type="dxa"/>
            <w:bottom w:w="15" w:type="dxa"/>
            <w:right w:w="15" w:type="dxa"/>
          </w:tblCellMar>
        </w:tblPrEx>
        <w:trPr>
          <w:trHeight w:val="911" w:hRule="atLeast"/>
          <w:jc w:val="center"/>
        </w:trPr>
        <w:tc>
          <w:tcPr>
            <w:tcW w:w="1731" w:type="dxa"/>
            <w:tcBorders>
              <w:top w:val="single" w:color="000000" w:sz="4" w:space="0"/>
              <w:left w:val="single" w:color="000000" w:sz="18" w:space="0"/>
              <w:bottom w:val="single" w:color="000000" w:sz="4" w:space="0"/>
              <w:right w:val="single" w:color="000000" w:sz="4" w:space="0"/>
            </w:tcBorders>
            <w:vAlign w:val="center"/>
          </w:tcPr>
          <w:p w14:paraId="2CDBA673">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诚信档案记录情况</w:t>
            </w:r>
          </w:p>
        </w:tc>
        <w:tc>
          <w:tcPr>
            <w:tcW w:w="6809" w:type="dxa"/>
            <w:gridSpan w:val="3"/>
            <w:tcBorders>
              <w:top w:val="single" w:color="000000" w:sz="4" w:space="0"/>
              <w:left w:val="single" w:color="000000" w:sz="4" w:space="0"/>
              <w:bottom w:val="single" w:color="000000" w:sz="4" w:space="0"/>
              <w:right w:val="single" w:color="000000" w:sz="18" w:space="0"/>
            </w:tcBorders>
            <w:vAlign w:val="center"/>
          </w:tcPr>
          <w:p w14:paraId="5CA40852">
            <w:pPr>
              <w:jc w:val="left"/>
              <w:rPr>
                <w:rFonts w:ascii="宋体" w:hAnsi="宋体" w:cs="宋体"/>
                <w:color w:val="auto"/>
                <w:szCs w:val="22"/>
                <w:highlight w:val="none"/>
              </w:rPr>
            </w:pPr>
          </w:p>
        </w:tc>
      </w:tr>
      <w:tr w14:paraId="3870500A">
        <w:tblPrEx>
          <w:tblCellMar>
            <w:top w:w="15" w:type="dxa"/>
            <w:left w:w="15" w:type="dxa"/>
            <w:bottom w:w="15" w:type="dxa"/>
            <w:right w:w="15" w:type="dxa"/>
          </w:tblCellMar>
        </w:tblPrEx>
        <w:trPr>
          <w:trHeight w:val="5212" w:hRule="atLeast"/>
          <w:jc w:val="center"/>
        </w:trPr>
        <w:tc>
          <w:tcPr>
            <w:tcW w:w="1731" w:type="dxa"/>
            <w:tcBorders>
              <w:top w:val="single" w:color="000000" w:sz="4" w:space="0"/>
              <w:left w:val="single" w:color="000000" w:sz="18" w:space="0"/>
              <w:bottom w:val="single" w:color="000000" w:sz="18" w:space="0"/>
              <w:right w:val="single" w:color="000000" w:sz="4" w:space="0"/>
            </w:tcBorders>
            <w:vAlign w:val="center"/>
          </w:tcPr>
          <w:p w14:paraId="5EA97C88">
            <w:pPr>
              <w:widowControl/>
              <w:jc w:val="left"/>
              <w:textAlignment w:val="center"/>
              <w:rPr>
                <w:rFonts w:ascii="宋体" w:hAnsi="宋体" w:cs="宋体"/>
                <w:b/>
                <w:color w:val="auto"/>
                <w:szCs w:val="22"/>
                <w:highlight w:val="none"/>
              </w:rPr>
            </w:pPr>
            <w:r>
              <w:rPr>
                <w:rFonts w:hint="eastAsia" w:ascii="宋体" w:hAnsi="宋体" w:cs="宋体"/>
                <w:b/>
                <w:color w:val="auto"/>
                <w:szCs w:val="22"/>
                <w:highlight w:val="none"/>
                <w:lang w:bidi="ar"/>
              </w:rPr>
              <w:t>信用承诺</w:t>
            </w:r>
          </w:p>
        </w:tc>
        <w:tc>
          <w:tcPr>
            <w:tcW w:w="6809" w:type="dxa"/>
            <w:gridSpan w:val="3"/>
            <w:tcBorders>
              <w:top w:val="single" w:color="000000" w:sz="4" w:space="0"/>
              <w:left w:val="single" w:color="000000" w:sz="4" w:space="0"/>
              <w:bottom w:val="single" w:color="000000" w:sz="18" w:space="0"/>
              <w:right w:val="single" w:color="000000" w:sz="18" w:space="0"/>
            </w:tcBorders>
            <w:vAlign w:val="center"/>
          </w:tcPr>
          <w:p w14:paraId="024AC86D">
            <w:pPr>
              <w:widowControl/>
              <w:spacing w:line="400" w:lineRule="exact"/>
              <w:jc w:val="left"/>
              <w:rPr>
                <w:rFonts w:ascii="宋体" w:hAnsi="宋体" w:cs="宋体"/>
                <w:b/>
                <w:color w:val="auto"/>
                <w:highlight w:val="none"/>
                <w:lang w:bidi="ar"/>
              </w:rPr>
            </w:pPr>
            <w:r>
              <w:rPr>
                <w:rFonts w:hint="eastAsia" w:ascii="宋体" w:hAnsi="宋体" w:cs="宋体"/>
                <w:b/>
                <w:color w:val="auto"/>
                <w:highlight w:val="none"/>
                <w:lang w:bidi="ar"/>
              </w:rPr>
              <w:t>信用承诺：</w:t>
            </w:r>
          </w:p>
          <w:p w14:paraId="7919D7DB">
            <w:pPr>
              <w:widowControl/>
              <w:spacing w:line="400" w:lineRule="exact"/>
              <w:ind w:firstLine="210" w:firstLineChars="100"/>
              <w:jc w:val="left"/>
              <w:rPr>
                <w:rFonts w:ascii="宋体" w:hAnsi="宋体" w:cs="宋体"/>
                <w:color w:val="auto"/>
                <w:highlight w:val="none"/>
              </w:rPr>
            </w:pPr>
            <w:r>
              <w:rPr>
                <w:rFonts w:hint="eastAsia" w:ascii="宋体" w:hAnsi="宋体" w:cs="宋体"/>
                <w:color w:val="auto"/>
                <w:highlight w:val="none"/>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cs="宋体"/>
                <w:color w:val="auto"/>
                <w:highlight w:val="none"/>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auto"/>
                <w:highlight w:val="none"/>
                <w:lang w:bidi="ar"/>
              </w:rPr>
              <w:br w:type="textWrapping"/>
            </w:r>
            <w:r>
              <w:rPr>
                <w:rFonts w:hint="eastAsia" w:ascii="宋体" w:hAnsi="宋体" w:cs="宋体"/>
                <w:color w:val="auto"/>
                <w:highlight w:val="none"/>
                <w:lang w:bidi="ar"/>
              </w:rPr>
              <w:t xml:space="preserve">                      供应商名称（盖章）：</w:t>
            </w:r>
            <w:r>
              <w:rPr>
                <w:rFonts w:hint="eastAsia" w:ascii="宋体" w:hAnsi="宋体" w:cs="宋体"/>
                <w:color w:val="auto"/>
                <w:highlight w:val="none"/>
                <w:lang w:bidi="ar"/>
              </w:rPr>
              <w:br w:type="textWrapping"/>
            </w:r>
            <w:r>
              <w:rPr>
                <w:rFonts w:hint="eastAsia" w:ascii="宋体" w:hAnsi="宋体" w:cs="宋体"/>
                <w:color w:val="auto"/>
                <w:highlight w:val="none"/>
                <w:lang w:bidi="ar"/>
              </w:rPr>
              <w:t xml:space="preserve">                      法定代表人（签字）：</w:t>
            </w:r>
            <w:r>
              <w:rPr>
                <w:rFonts w:hint="eastAsia" w:ascii="宋体" w:hAnsi="宋体" w:cs="宋体"/>
                <w:color w:val="auto"/>
                <w:highlight w:val="none"/>
                <w:lang w:bidi="ar"/>
              </w:rPr>
              <w:br w:type="textWrapping"/>
            </w:r>
            <w:r>
              <w:rPr>
                <w:rFonts w:hint="eastAsia" w:ascii="宋体" w:hAnsi="宋体" w:cs="宋体"/>
                <w:color w:val="auto"/>
                <w:highlight w:val="none"/>
                <w:lang w:bidi="ar"/>
              </w:rPr>
              <w:t xml:space="preserve">                      二〇    年  月    日</w:t>
            </w:r>
          </w:p>
        </w:tc>
      </w:tr>
    </w:tbl>
    <w:p w14:paraId="0CD85D07">
      <w:pPr>
        <w:autoSpaceDE w:val="0"/>
        <w:autoSpaceDN w:val="0"/>
        <w:adjustRightInd w:val="0"/>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注：1、供应商在中标（成交）后，应按采购文件要求，将上述由信用承诺书替代的证明材料提交采购人或采购代理机构核验。经核验无误后，由采购人或采购代理机构发出中标（成交）通知书。</w:t>
      </w:r>
    </w:p>
    <w:p w14:paraId="1A07BC45">
      <w:pPr>
        <w:jc w:val="left"/>
        <w:rPr>
          <w:rFonts w:ascii="宋体" w:hAnsi="宋体" w:cs="宋体"/>
          <w:b/>
          <w:color w:val="auto"/>
          <w:spacing w:val="15"/>
          <w:szCs w:val="21"/>
          <w:highlight w:val="none"/>
        </w:rPr>
      </w:pPr>
      <w:r>
        <w:rPr>
          <w:rFonts w:hint="eastAsia" w:ascii="宋体" w:hAnsi="宋体" w:cs="宋体"/>
          <w:b/>
          <w:color w:val="auto"/>
          <w:szCs w:val="21"/>
          <w:highlight w:val="none"/>
          <w:lang w:val="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22E38E1">
      <w:pPr>
        <w:rPr>
          <w:rFonts w:ascii="宋体" w:hAnsi="宋体" w:cs="宋体"/>
          <w:color w:val="auto"/>
          <w:highlight w:val="none"/>
        </w:rPr>
      </w:pPr>
    </w:p>
    <w:p w14:paraId="4E825CFA">
      <w:pPr>
        <w:rPr>
          <w:rFonts w:ascii="宋体" w:hAnsi="宋体" w:cs="宋体"/>
          <w:color w:val="auto"/>
          <w:highlight w:val="none"/>
        </w:rPr>
      </w:pPr>
    </w:p>
    <w:p w14:paraId="7CC7E665">
      <w:pPr>
        <w:rPr>
          <w:rFonts w:ascii="宋体" w:hAnsi="宋体" w:cs="宋体"/>
          <w:b/>
          <w:color w:val="auto"/>
          <w:spacing w:val="15"/>
          <w:szCs w:val="21"/>
          <w:highlight w:val="none"/>
        </w:rPr>
      </w:pPr>
      <w:bookmarkStart w:id="707" w:name="_Toc8654"/>
      <w:r>
        <w:rPr>
          <w:rFonts w:hint="eastAsia" w:ascii="宋体" w:hAnsi="宋体" w:cs="宋体"/>
          <w:b/>
          <w:color w:val="auto"/>
          <w:spacing w:val="15"/>
          <w:szCs w:val="21"/>
          <w:highlight w:val="none"/>
        </w:rPr>
        <w:br w:type="page"/>
      </w:r>
    </w:p>
    <w:p w14:paraId="52256165">
      <w:pPr>
        <w:spacing w:line="360" w:lineRule="auto"/>
        <w:outlineLvl w:val="1"/>
        <w:rPr>
          <w:rFonts w:ascii="宋体" w:hAnsi="宋体" w:cs="宋体"/>
          <w:b/>
          <w:color w:val="auto"/>
          <w:spacing w:val="15"/>
          <w:szCs w:val="21"/>
          <w:highlight w:val="none"/>
        </w:rPr>
      </w:pPr>
      <w:bookmarkStart w:id="708" w:name="_Toc6545"/>
      <w:r>
        <w:rPr>
          <w:rFonts w:hint="eastAsia" w:ascii="宋体" w:hAnsi="宋体" w:cs="宋体"/>
          <w:b/>
          <w:color w:val="auto"/>
          <w:spacing w:val="15"/>
          <w:szCs w:val="21"/>
          <w:highlight w:val="none"/>
        </w:rPr>
        <w:t>附件十七、“信用中国”、“中国政府采购网”网站截图</w:t>
      </w:r>
      <w:bookmarkEnd w:id="707"/>
      <w:bookmarkEnd w:id="708"/>
    </w:p>
    <w:p w14:paraId="43740DD8">
      <w:pPr>
        <w:rPr>
          <w:rFonts w:ascii="宋体" w:hAnsi="宋体" w:cs="宋体"/>
          <w:color w:val="auto"/>
          <w:highlight w:val="none"/>
        </w:rPr>
      </w:pPr>
    </w:p>
    <w:p w14:paraId="47193C25">
      <w:pPr>
        <w:rPr>
          <w:rFonts w:ascii="宋体" w:hAnsi="宋体" w:cs="宋体"/>
          <w:color w:val="auto"/>
          <w:highlight w:val="none"/>
        </w:rPr>
      </w:pPr>
      <w:bookmarkStart w:id="709" w:name="_Toc28609"/>
    </w:p>
    <w:p w14:paraId="2441173F">
      <w:pPr>
        <w:rPr>
          <w:rFonts w:ascii="宋体" w:hAnsi="宋体" w:cs="宋体"/>
          <w:color w:val="auto"/>
          <w:highlight w:val="none"/>
        </w:rPr>
      </w:pPr>
    </w:p>
    <w:p w14:paraId="3460F290">
      <w:pPr>
        <w:spacing w:line="360" w:lineRule="auto"/>
        <w:outlineLvl w:val="1"/>
        <w:rPr>
          <w:rFonts w:ascii="宋体" w:hAnsi="宋体" w:cs="宋体"/>
          <w:b/>
          <w:color w:val="auto"/>
          <w:spacing w:val="15"/>
          <w:szCs w:val="21"/>
          <w:highlight w:val="none"/>
        </w:rPr>
      </w:pPr>
      <w:bookmarkStart w:id="710" w:name="_Toc21552"/>
      <w:r>
        <w:rPr>
          <w:rFonts w:hint="eastAsia" w:ascii="宋体" w:hAnsi="宋体" w:cs="宋体"/>
          <w:b/>
          <w:color w:val="auto"/>
          <w:spacing w:val="15"/>
          <w:szCs w:val="21"/>
          <w:highlight w:val="none"/>
        </w:rPr>
        <w:t>附件十八、磋商供应商认为需提供的其他资料</w:t>
      </w:r>
      <w:bookmarkEnd w:id="709"/>
      <w:bookmarkEnd w:id="710"/>
    </w:p>
    <w:p w14:paraId="0729A670">
      <w:pPr>
        <w:rPr>
          <w:rFonts w:ascii="宋体" w:hAnsi="宋体" w:cs="宋体"/>
          <w:b/>
          <w:color w:val="auto"/>
          <w:spacing w:val="15"/>
          <w:szCs w:val="21"/>
          <w:highlight w:val="none"/>
        </w:rPr>
      </w:pPr>
    </w:p>
    <w:p w14:paraId="5D2B5286">
      <w:pPr>
        <w:rPr>
          <w:rFonts w:ascii="宋体" w:hAnsi="宋体" w:cs="宋体"/>
          <w:color w:val="auto"/>
          <w:highlight w:val="none"/>
        </w:rPr>
      </w:pPr>
    </w:p>
    <w:p w14:paraId="7DD489B0">
      <w:pPr>
        <w:rPr>
          <w:rFonts w:ascii="宋体" w:hAnsi="宋体" w:cs="宋体"/>
          <w:color w:val="auto"/>
          <w:highlight w:val="none"/>
        </w:rPr>
      </w:pPr>
    </w:p>
    <w:p w14:paraId="14DB788C">
      <w:pPr>
        <w:rPr>
          <w:rFonts w:ascii="宋体" w:hAnsi="宋体" w:cs="宋体"/>
          <w:color w:val="auto"/>
          <w:highlight w:val="none"/>
        </w:rPr>
      </w:pPr>
    </w:p>
    <w:p w14:paraId="46C23FDB">
      <w:pPr>
        <w:rPr>
          <w:rFonts w:ascii="宋体" w:hAnsi="宋体" w:cs="宋体"/>
          <w:color w:val="auto"/>
          <w:highlight w:val="none"/>
        </w:rPr>
      </w:pPr>
    </w:p>
    <w:p w14:paraId="0E0A7073">
      <w:pPr>
        <w:rPr>
          <w:rFonts w:ascii="宋体" w:hAnsi="宋体" w:cs="宋体"/>
          <w:color w:val="auto"/>
          <w:highlight w:val="none"/>
        </w:rPr>
      </w:pPr>
    </w:p>
    <w:p w14:paraId="7E538D5C">
      <w:pPr>
        <w:rPr>
          <w:rFonts w:ascii="宋体" w:hAnsi="宋体" w:cs="宋体"/>
          <w:b/>
          <w:color w:val="auto"/>
          <w:spacing w:val="15"/>
          <w:szCs w:val="21"/>
          <w:highlight w:val="none"/>
        </w:rPr>
      </w:pPr>
    </w:p>
    <w:p w14:paraId="759AF4FC">
      <w:pPr>
        <w:rPr>
          <w:rFonts w:ascii="宋体" w:hAnsi="宋体" w:cs="宋体"/>
          <w:color w:val="auto"/>
          <w:highlight w:val="none"/>
        </w:rPr>
      </w:pPr>
    </w:p>
    <w:p w14:paraId="6AA8D417">
      <w:pPr>
        <w:rPr>
          <w:rFonts w:ascii="宋体" w:hAnsi="宋体" w:cs="宋体"/>
          <w:color w:val="auto"/>
          <w:highlight w:val="none"/>
        </w:rPr>
      </w:pPr>
    </w:p>
    <w:p w14:paraId="295DD987">
      <w:pPr>
        <w:rPr>
          <w:rFonts w:ascii="宋体" w:hAnsi="宋体" w:cs="宋体"/>
          <w:color w:val="auto"/>
          <w:highlight w:val="none"/>
        </w:rPr>
      </w:pPr>
    </w:p>
    <w:p w14:paraId="7686B3A5">
      <w:pPr>
        <w:rPr>
          <w:rFonts w:ascii="宋体" w:hAnsi="宋体" w:cs="宋体"/>
          <w:color w:val="auto"/>
          <w:highlight w:val="none"/>
        </w:rPr>
      </w:pPr>
    </w:p>
    <w:p w14:paraId="444B7E4F">
      <w:pPr>
        <w:rPr>
          <w:rFonts w:ascii="宋体" w:hAnsi="宋体" w:cs="宋体"/>
          <w:color w:val="auto"/>
          <w:highlight w:val="none"/>
          <w:lang w:val="zh-CN"/>
        </w:rPr>
      </w:pPr>
    </w:p>
    <w:p w14:paraId="100B715F">
      <w:pPr>
        <w:rPr>
          <w:rFonts w:ascii="宋体" w:hAnsi="宋体" w:cs="宋体"/>
          <w:color w:val="auto"/>
          <w:szCs w:val="21"/>
          <w:highlight w:val="none"/>
          <w:lang w:val="zh-CN"/>
        </w:rPr>
      </w:pPr>
    </w:p>
    <w:sectPr>
      <w:headerReference r:id="rId5" w:type="default"/>
      <w:footerReference r:id="rId6" w:type="default"/>
      <w:pgSz w:w="11906" w:h="16838"/>
      <w:pgMar w:top="1418" w:right="1418" w:bottom="1418" w:left="1418"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ヒラギノ角ゴ Pro W3">
    <w:altName w:val="DejaVu Math TeX Gyre"/>
    <w:panose1 w:val="00000000000000000000"/>
    <w:charset w:val="00"/>
    <w:family w:val="auto"/>
    <w:pitch w:val="default"/>
    <w:sig w:usb0="00000000" w:usb1="00000000" w:usb2="00000000" w:usb3="00000000" w:csb0="00000000" w:csb1="00000000"/>
  </w:font>
  <w:font w:name="KNLe">
    <w:altName w:val="DejaVu Math TeX Gyr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5328F">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C15E1">
                          <w:pPr>
                            <w:pStyle w:val="2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zXHcGsQBAACQAwAADgAAAAAAAAABACAAAAAeAQAAZHJzL2Uyb0RvYy54bWxQ&#10;SwUGAAAAAAYABgBZAQAAVAUAAAAA&#10;">
              <v:fill on="f" focussize="0,0"/>
              <v:stroke on="f"/>
              <v:imagedata o:title=""/>
              <o:lock v:ext="edit" aspectratio="f"/>
              <v:textbox inset="0mm,0mm,0mm,0mm" style="mso-fit-shape-to-text:t;">
                <w:txbxContent>
                  <w:p w14:paraId="7AFC15E1">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50549">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ECFAF0">
                          <w:pPr>
                            <w:pStyle w:val="2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gglcQBAACQ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ZgglcQBAACQAwAADgAAAAAAAAABACAAAAAeAQAAZHJzL2Uyb0RvYy54bWxQ&#10;SwUGAAAAAAYABgBZAQAAVAUAAAAA&#10;">
              <v:fill on="f" focussize="0,0"/>
              <v:stroke on="f"/>
              <v:imagedata o:title=""/>
              <o:lock v:ext="edit" aspectratio="f"/>
              <v:textbox inset="0mm,0mm,0mm,0mm" style="mso-fit-shape-to-text:t;">
                <w:txbxContent>
                  <w:p w14:paraId="32ECFAF0">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6F04C">
    <w:pPr>
      <w:tabs>
        <w:tab w:val="center" w:pos="4535"/>
      </w:tabs>
      <w:spacing w:line="0" w:lineRule="atLeast"/>
      <w:rPr>
        <w:sz w:val="16"/>
        <w:szCs w:val="0"/>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7BB74E">
                          <w:pPr>
                            <w:pStyle w:val="222"/>
                            <w:tabs>
                              <w:tab w:val="clear" w:pos="4153"/>
                              <w:tab w:val="clear" w:pos="8306"/>
                            </w:tabs>
                          </w:pPr>
                          <w:r>
                            <w:fldChar w:fldCharType="begin"/>
                          </w:r>
                          <w:r>
                            <w:instrText xml:space="preserve"> PAGE  \* MERGEFORMAT </w:instrText>
                          </w:r>
                          <w:r>
                            <w:fldChar w:fldCharType="separate"/>
                          </w:r>
                          <w:r>
                            <w:t>19</w:t>
                          </w:r>
                          <w:r>
                            <w:fldChar w:fldCharType="end"/>
                          </w:r>
                        </w:p>
                        <w:p w14:paraId="0DEA78F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7BB74E">
                    <w:pPr>
                      <w:pStyle w:val="222"/>
                      <w:tabs>
                        <w:tab w:val="clear" w:pos="4153"/>
                        <w:tab w:val="clear" w:pos="8306"/>
                      </w:tabs>
                    </w:pPr>
                    <w:r>
                      <w:fldChar w:fldCharType="begin"/>
                    </w:r>
                    <w:r>
                      <w:instrText xml:space="preserve"> PAGE  \* MERGEFORMAT </w:instrText>
                    </w:r>
                    <w:r>
                      <w:fldChar w:fldCharType="separate"/>
                    </w:r>
                    <w:r>
                      <w:t>19</w:t>
                    </w:r>
                    <w:r>
                      <w:fldChar w:fldCharType="end"/>
                    </w:r>
                  </w:p>
                  <w:p w14:paraId="0DEA78F5"/>
                </w:txbxContent>
              </v:textbox>
            </v:shape>
          </w:pict>
        </mc:Fallback>
      </mc:AlternateContent>
    </w:r>
    <w:r>
      <w:rPr>
        <w:rFonts w:hint="eastAsia"/>
        <w:sz w:val="16"/>
        <w:szCs w:val="0"/>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18378">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C895EC"/>
    <w:multiLevelType w:val="singleLevel"/>
    <w:tmpl w:val="53C895EC"/>
    <w:lvl w:ilvl="0" w:tentative="0">
      <w:start w:val="3"/>
      <w:numFmt w:val="decimal"/>
      <w:suff w:val="nothing"/>
      <w:lvlText w:val="%1、"/>
      <w:lvlJc w:val="left"/>
      <w:pPr>
        <w:ind w:left="0" w:firstLine="0"/>
      </w:pPr>
    </w:lvl>
  </w:abstractNum>
  <w:abstractNum w:abstractNumId="1">
    <w:nsid w:val="552DE5DA"/>
    <w:multiLevelType w:val="multilevel"/>
    <w:tmpl w:val="552DE5DA"/>
    <w:lvl w:ilvl="0" w:tentative="0">
      <w:start w:val="2"/>
      <w:numFmt w:val="decimal"/>
      <w:suff w:val="nothing"/>
      <w:lvlText w:val="%1、"/>
      <w:lvlJc w:val="left"/>
      <w:pPr>
        <w:ind w:left="0" w:firstLine="0"/>
      </w:pPr>
    </w:lvl>
    <w:lvl w:ilvl="1" w:tentative="0">
      <w:start w:val="0"/>
      <w:numFmt w:val="bullet"/>
      <w:lvlText w:val="•"/>
      <w:lvlJc w:val="left"/>
      <w:pPr>
        <w:ind w:left="1978" w:hanging="159"/>
      </w:pPr>
      <w:rPr>
        <w:rFonts w:hint="default"/>
        <w:lang w:val="zh-CN" w:eastAsia="zh-CN" w:bidi="zh-CN"/>
      </w:rPr>
    </w:lvl>
    <w:lvl w:ilvl="2" w:tentative="0">
      <w:start w:val="0"/>
      <w:numFmt w:val="bullet"/>
      <w:lvlText w:val="•"/>
      <w:lvlJc w:val="left"/>
      <w:pPr>
        <w:ind w:left="2217" w:hanging="159"/>
      </w:pPr>
      <w:rPr>
        <w:rFonts w:hint="default"/>
        <w:lang w:val="zh-CN" w:eastAsia="zh-CN" w:bidi="zh-CN"/>
      </w:rPr>
    </w:lvl>
    <w:lvl w:ilvl="3" w:tentative="0">
      <w:start w:val="0"/>
      <w:numFmt w:val="bullet"/>
      <w:lvlText w:val="•"/>
      <w:lvlJc w:val="left"/>
      <w:pPr>
        <w:ind w:left="2456" w:hanging="159"/>
      </w:pPr>
      <w:rPr>
        <w:rFonts w:hint="default"/>
        <w:lang w:val="zh-CN" w:eastAsia="zh-CN" w:bidi="zh-CN"/>
      </w:rPr>
    </w:lvl>
    <w:lvl w:ilvl="4" w:tentative="0">
      <w:start w:val="0"/>
      <w:numFmt w:val="bullet"/>
      <w:lvlText w:val="•"/>
      <w:lvlJc w:val="left"/>
      <w:pPr>
        <w:ind w:left="2695" w:hanging="159"/>
      </w:pPr>
      <w:rPr>
        <w:rFonts w:hint="default"/>
        <w:lang w:val="zh-CN" w:eastAsia="zh-CN" w:bidi="zh-CN"/>
      </w:rPr>
    </w:lvl>
    <w:lvl w:ilvl="5" w:tentative="0">
      <w:start w:val="0"/>
      <w:numFmt w:val="bullet"/>
      <w:lvlText w:val="•"/>
      <w:lvlJc w:val="left"/>
      <w:pPr>
        <w:ind w:left="2934" w:hanging="159"/>
      </w:pPr>
      <w:rPr>
        <w:rFonts w:hint="default"/>
        <w:lang w:val="zh-CN" w:eastAsia="zh-CN" w:bidi="zh-CN"/>
      </w:rPr>
    </w:lvl>
    <w:lvl w:ilvl="6" w:tentative="0">
      <w:start w:val="0"/>
      <w:numFmt w:val="bullet"/>
      <w:lvlText w:val="•"/>
      <w:lvlJc w:val="left"/>
      <w:pPr>
        <w:ind w:left="3173" w:hanging="159"/>
      </w:pPr>
      <w:rPr>
        <w:rFonts w:hint="default"/>
        <w:lang w:val="zh-CN" w:eastAsia="zh-CN" w:bidi="zh-CN"/>
      </w:rPr>
    </w:lvl>
    <w:lvl w:ilvl="7" w:tentative="0">
      <w:start w:val="0"/>
      <w:numFmt w:val="bullet"/>
      <w:lvlText w:val="•"/>
      <w:lvlJc w:val="left"/>
      <w:pPr>
        <w:ind w:left="3412" w:hanging="159"/>
      </w:pPr>
      <w:rPr>
        <w:rFonts w:hint="default"/>
        <w:lang w:val="zh-CN" w:eastAsia="zh-CN" w:bidi="zh-CN"/>
      </w:rPr>
    </w:lvl>
    <w:lvl w:ilvl="8" w:tentative="0">
      <w:start w:val="0"/>
      <w:numFmt w:val="bullet"/>
      <w:lvlText w:val="•"/>
      <w:lvlJc w:val="left"/>
      <w:pPr>
        <w:ind w:left="3651" w:hanging="159"/>
      </w:pPr>
      <w:rPr>
        <w:rFonts w:hint="default"/>
        <w:lang w:val="zh-CN" w:eastAsia="zh-CN" w:bidi="zh-CN"/>
      </w:rPr>
    </w:lvl>
  </w:abstractNum>
  <w:abstractNum w:abstractNumId="2">
    <w:nsid w:val="5E319651"/>
    <w:multiLevelType w:val="singleLevel"/>
    <w:tmpl w:val="5E319651"/>
    <w:lvl w:ilvl="0" w:tentative="0">
      <w:start w:val="2"/>
      <w:numFmt w:val="chineseCounting"/>
      <w:suff w:val="nothing"/>
      <w:lvlText w:val="（%1）"/>
      <w:lvlJc w:val="left"/>
      <w:rPr>
        <w:rFonts w:hint="eastAsia"/>
      </w:rPr>
    </w:lvl>
  </w:abstractNum>
  <w:num w:numId="1">
    <w:abstractNumId w:val="2"/>
  </w:num>
  <w:num w:numId="2">
    <w:abstractNumId w:val="0"/>
    <w:lvlOverride w:ilvl="0">
      <w:startOverride w:val="3"/>
    </w:lvlOverride>
  </w:num>
  <w:num w:numId="3">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727"/>
    <w:rsid w:val="00055727"/>
    <w:rsid w:val="000D717B"/>
    <w:rsid w:val="0062672C"/>
    <w:rsid w:val="00724468"/>
    <w:rsid w:val="00DA2AC2"/>
    <w:rsid w:val="015E4AD6"/>
    <w:rsid w:val="01A952B0"/>
    <w:rsid w:val="020B6A0C"/>
    <w:rsid w:val="024A64B1"/>
    <w:rsid w:val="02812051"/>
    <w:rsid w:val="029625E6"/>
    <w:rsid w:val="03432E8D"/>
    <w:rsid w:val="034F152E"/>
    <w:rsid w:val="035A639C"/>
    <w:rsid w:val="03F62AC1"/>
    <w:rsid w:val="04F937C2"/>
    <w:rsid w:val="0544731E"/>
    <w:rsid w:val="057C28AE"/>
    <w:rsid w:val="05BA32E9"/>
    <w:rsid w:val="05D41B12"/>
    <w:rsid w:val="067A137F"/>
    <w:rsid w:val="07C5765D"/>
    <w:rsid w:val="086405C0"/>
    <w:rsid w:val="08761D0D"/>
    <w:rsid w:val="0B102F63"/>
    <w:rsid w:val="0B220922"/>
    <w:rsid w:val="0BC63786"/>
    <w:rsid w:val="0BF55835"/>
    <w:rsid w:val="0C57284E"/>
    <w:rsid w:val="0D110C4F"/>
    <w:rsid w:val="0E8D430E"/>
    <w:rsid w:val="0EA55AF2"/>
    <w:rsid w:val="0EAC37F7"/>
    <w:rsid w:val="0EF93C0C"/>
    <w:rsid w:val="0F386966"/>
    <w:rsid w:val="0F6E4136"/>
    <w:rsid w:val="10234F21"/>
    <w:rsid w:val="10B93AD7"/>
    <w:rsid w:val="11850D48"/>
    <w:rsid w:val="128B663F"/>
    <w:rsid w:val="13F433FE"/>
    <w:rsid w:val="14402F95"/>
    <w:rsid w:val="14AD77C8"/>
    <w:rsid w:val="14C173FE"/>
    <w:rsid w:val="14E106B1"/>
    <w:rsid w:val="155B73C8"/>
    <w:rsid w:val="162D57EF"/>
    <w:rsid w:val="16BB6FDC"/>
    <w:rsid w:val="18532440"/>
    <w:rsid w:val="186F1AF6"/>
    <w:rsid w:val="188161E1"/>
    <w:rsid w:val="18854998"/>
    <w:rsid w:val="19187E6D"/>
    <w:rsid w:val="193D1F88"/>
    <w:rsid w:val="19EC2827"/>
    <w:rsid w:val="19F85670"/>
    <w:rsid w:val="1A0D279E"/>
    <w:rsid w:val="1C0E6036"/>
    <w:rsid w:val="1CD96995"/>
    <w:rsid w:val="1EAF4E5C"/>
    <w:rsid w:val="1FFC578E"/>
    <w:rsid w:val="20BE1DAA"/>
    <w:rsid w:val="20D504B9"/>
    <w:rsid w:val="213827F6"/>
    <w:rsid w:val="22356D36"/>
    <w:rsid w:val="234751A1"/>
    <w:rsid w:val="23C12F77"/>
    <w:rsid w:val="23F26A01"/>
    <w:rsid w:val="2426102C"/>
    <w:rsid w:val="25490590"/>
    <w:rsid w:val="258B03EA"/>
    <w:rsid w:val="26084360"/>
    <w:rsid w:val="265F25D3"/>
    <w:rsid w:val="27EC5A7D"/>
    <w:rsid w:val="28A03AE1"/>
    <w:rsid w:val="291F582A"/>
    <w:rsid w:val="295D42DD"/>
    <w:rsid w:val="29852F00"/>
    <w:rsid w:val="2A247DBB"/>
    <w:rsid w:val="2AD01CF1"/>
    <w:rsid w:val="2AE056BF"/>
    <w:rsid w:val="2B0F45A7"/>
    <w:rsid w:val="2B1C2247"/>
    <w:rsid w:val="2BA45E9B"/>
    <w:rsid w:val="2BFF288E"/>
    <w:rsid w:val="2C291272"/>
    <w:rsid w:val="2C2960C4"/>
    <w:rsid w:val="2C40389F"/>
    <w:rsid w:val="2CB52DA7"/>
    <w:rsid w:val="2CBC42DB"/>
    <w:rsid w:val="2CCE6A2C"/>
    <w:rsid w:val="2D145EC5"/>
    <w:rsid w:val="2D575ECA"/>
    <w:rsid w:val="2D873C17"/>
    <w:rsid w:val="2DCE076A"/>
    <w:rsid w:val="2E271C28"/>
    <w:rsid w:val="2E580034"/>
    <w:rsid w:val="2EC90F31"/>
    <w:rsid w:val="2ED442EB"/>
    <w:rsid w:val="2EE708ED"/>
    <w:rsid w:val="2F236894"/>
    <w:rsid w:val="2F391C13"/>
    <w:rsid w:val="2F582004"/>
    <w:rsid w:val="2F990904"/>
    <w:rsid w:val="2FAD6F19"/>
    <w:rsid w:val="2FB510DD"/>
    <w:rsid w:val="2FC040E2"/>
    <w:rsid w:val="310B19E4"/>
    <w:rsid w:val="319C292D"/>
    <w:rsid w:val="31E0281A"/>
    <w:rsid w:val="324E0C09"/>
    <w:rsid w:val="3298242A"/>
    <w:rsid w:val="32B85545"/>
    <w:rsid w:val="3321758E"/>
    <w:rsid w:val="33D86C46"/>
    <w:rsid w:val="34014CC9"/>
    <w:rsid w:val="34F65EF8"/>
    <w:rsid w:val="35904557"/>
    <w:rsid w:val="360A60B7"/>
    <w:rsid w:val="364354E5"/>
    <w:rsid w:val="368648A5"/>
    <w:rsid w:val="36B23F7B"/>
    <w:rsid w:val="36E2757E"/>
    <w:rsid w:val="37E12A27"/>
    <w:rsid w:val="38CE2F80"/>
    <w:rsid w:val="39655A78"/>
    <w:rsid w:val="39F41EB5"/>
    <w:rsid w:val="3A071DF6"/>
    <w:rsid w:val="3A2D4229"/>
    <w:rsid w:val="3B6015E6"/>
    <w:rsid w:val="3B881692"/>
    <w:rsid w:val="3C5337B9"/>
    <w:rsid w:val="3CC52D38"/>
    <w:rsid w:val="3D424389"/>
    <w:rsid w:val="3DA4113C"/>
    <w:rsid w:val="3DDD67A7"/>
    <w:rsid w:val="3E2935FE"/>
    <w:rsid w:val="3E95498C"/>
    <w:rsid w:val="3EE82D81"/>
    <w:rsid w:val="3F7153F9"/>
    <w:rsid w:val="400022D9"/>
    <w:rsid w:val="40F50CAE"/>
    <w:rsid w:val="410536A8"/>
    <w:rsid w:val="41214D75"/>
    <w:rsid w:val="419751D9"/>
    <w:rsid w:val="41A6051F"/>
    <w:rsid w:val="41BC4FC9"/>
    <w:rsid w:val="41BC6E35"/>
    <w:rsid w:val="42003BB9"/>
    <w:rsid w:val="42F02AD9"/>
    <w:rsid w:val="43851473"/>
    <w:rsid w:val="439D0E1F"/>
    <w:rsid w:val="448A75A3"/>
    <w:rsid w:val="449000D0"/>
    <w:rsid w:val="44983767"/>
    <w:rsid w:val="457810EA"/>
    <w:rsid w:val="465507FF"/>
    <w:rsid w:val="470B19A9"/>
    <w:rsid w:val="47476D88"/>
    <w:rsid w:val="47496BD8"/>
    <w:rsid w:val="47504376"/>
    <w:rsid w:val="47694067"/>
    <w:rsid w:val="4874727A"/>
    <w:rsid w:val="48DB1B35"/>
    <w:rsid w:val="48FF56D4"/>
    <w:rsid w:val="491828E9"/>
    <w:rsid w:val="4921579A"/>
    <w:rsid w:val="4AF20333"/>
    <w:rsid w:val="4C313A81"/>
    <w:rsid w:val="4D6A398F"/>
    <w:rsid w:val="4DAE1331"/>
    <w:rsid w:val="505A1429"/>
    <w:rsid w:val="51027FA5"/>
    <w:rsid w:val="518A0B6A"/>
    <w:rsid w:val="524E267E"/>
    <w:rsid w:val="52F31E79"/>
    <w:rsid w:val="52F45CCD"/>
    <w:rsid w:val="5354676C"/>
    <w:rsid w:val="5385036A"/>
    <w:rsid w:val="54343F2E"/>
    <w:rsid w:val="54370568"/>
    <w:rsid w:val="54784B7D"/>
    <w:rsid w:val="54F40207"/>
    <w:rsid w:val="55FE4001"/>
    <w:rsid w:val="576C677A"/>
    <w:rsid w:val="58256929"/>
    <w:rsid w:val="58813671"/>
    <w:rsid w:val="58AB32D2"/>
    <w:rsid w:val="58FE255D"/>
    <w:rsid w:val="5967369D"/>
    <w:rsid w:val="59707CA0"/>
    <w:rsid w:val="5B1B1E1C"/>
    <w:rsid w:val="5BB97AB4"/>
    <w:rsid w:val="5BC7498B"/>
    <w:rsid w:val="5BE91F5E"/>
    <w:rsid w:val="5BF44F90"/>
    <w:rsid w:val="5C1843D5"/>
    <w:rsid w:val="5D633843"/>
    <w:rsid w:val="5E376C12"/>
    <w:rsid w:val="5EF71BAD"/>
    <w:rsid w:val="5FEA21DB"/>
    <w:rsid w:val="60737565"/>
    <w:rsid w:val="61CB3795"/>
    <w:rsid w:val="629422F6"/>
    <w:rsid w:val="62D96C8E"/>
    <w:rsid w:val="64604095"/>
    <w:rsid w:val="6497295D"/>
    <w:rsid w:val="653E65EE"/>
    <w:rsid w:val="659A1332"/>
    <w:rsid w:val="66477914"/>
    <w:rsid w:val="666E48EC"/>
    <w:rsid w:val="66CD47D4"/>
    <w:rsid w:val="67027BEE"/>
    <w:rsid w:val="67D06CA0"/>
    <w:rsid w:val="67E759A9"/>
    <w:rsid w:val="68BE670A"/>
    <w:rsid w:val="69CC46F8"/>
    <w:rsid w:val="6ACE5BBE"/>
    <w:rsid w:val="6B122D3D"/>
    <w:rsid w:val="6BBA11A5"/>
    <w:rsid w:val="6BC92B11"/>
    <w:rsid w:val="6C8700EC"/>
    <w:rsid w:val="6D341690"/>
    <w:rsid w:val="6D97577B"/>
    <w:rsid w:val="6DAE7F7E"/>
    <w:rsid w:val="6DB77BCC"/>
    <w:rsid w:val="6EA14B04"/>
    <w:rsid w:val="6F7E6BF3"/>
    <w:rsid w:val="70F9092E"/>
    <w:rsid w:val="716D5171"/>
    <w:rsid w:val="71724535"/>
    <w:rsid w:val="71C83D38"/>
    <w:rsid w:val="71F83CA3"/>
    <w:rsid w:val="738E738A"/>
    <w:rsid w:val="73C44DF0"/>
    <w:rsid w:val="74C9464C"/>
    <w:rsid w:val="75717FCA"/>
    <w:rsid w:val="75846F14"/>
    <w:rsid w:val="76A827A7"/>
    <w:rsid w:val="777A3055"/>
    <w:rsid w:val="77885C30"/>
    <w:rsid w:val="77A57945"/>
    <w:rsid w:val="77BD2282"/>
    <w:rsid w:val="786B1CDE"/>
    <w:rsid w:val="78736D6A"/>
    <w:rsid w:val="797057FE"/>
    <w:rsid w:val="79886110"/>
    <w:rsid w:val="7A0B3A05"/>
    <w:rsid w:val="7B627FB0"/>
    <w:rsid w:val="7B892BA7"/>
    <w:rsid w:val="7C5E2286"/>
    <w:rsid w:val="7CB36810"/>
    <w:rsid w:val="7CF33CCA"/>
    <w:rsid w:val="7D870317"/>
    <w:rsid w:val="7DCE51E9"/>
    <w:rsid w:val="7E726CB9"/>
    <w:rsid w:val="7EA51C4F"/>
    <w:rsid w:val="7F024ED5"/>
    <w:rsid w:val="7F3435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文本111"/>
    <w:basedOn w:val="1"/>
    <w:qFormat/>
    <w:uiPriority w:val="0"/>
    <w:pPr>
      <w:spacing w:after="1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spacing w:after="120"/>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unhideWhenUsed/>
    <w:qFormat/>
    <w:uiPriority w:val="0"/>
    <w:rPr>
      <w:rFonts w:ascii="宋体" w:hAnsi="Courier New"/>
      <w:szCs w:val="21"/>
    </w:rPr>
  </w:style>
  <w:style w:type="paragraph" w:styleId="18">
    <w:name w:val="toc 8"/>
    <w:basedOn w:val="1"/>
    <w:next w:val="1"/>
    <w:unhideWhenUsed/>
    <w:qFormat/>
    <w:uiPriority w:val="39"/>
    <w:pPr>
      <w:spacing w:after="57"/>
      <w:ind w:left="1984"/>
    </w:pPr>
  </w:style>
  <w:style w:type="paragraph" w:styleId="19">
    <w:name w:val="endnote text"/>
    <w:basedOn w:val="1"/>
    <w:link w:val="183"/>
    <w:semiHidden/>
    <w:unhideWhenUsed/>
    <w:qFormat/>
    <w:uiPriority w:val="99"/>
    <w:rPr>
      <w:sz w:val="20"/>
    </w:rPr>
  </w:style>
  <w:style w:type="paragraph" w:styleId="20">
    <w:name w:val="footer"/>
    <w:basedOn w:val="1"/>
    <w:link w:val="56"/>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1"/>
    <w:qFormat/>
    <w:uiPriority w:val="11"/>
    <w:pPr>
      <w:spacing w:before="200" w:after="200"/>
    </w:pPr>
    <w:rPr>
      <w:sz w:val="24"/>
    </w:rPr>
  </w:style>
  <w:style w:type="paragraph" w:styleId="25">
    <w:name w:val="footnote text"/>
    <w:basedOn w:val="1"/>
    <w:link w:val="182"/>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22"/>
    <w:rPr>
      <w:b/>
      <w:bCs/>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标题 111"/>
    <w:basedOn w:val="1"/>
    <w:next w:val="1"/>
    <w:link w:val="195"/>
    <w:qFormat/>
    <w:uiPriority w:val="0"/>
    <w:pPr>
      <w:keepNext/>
      <w:keepLines/>
      <w:spacing w:before="340" w:after="330" w:line="576" w:lineRule="auto"/>
      <w:outlineLvl w:val="0"/>
    </w:pPr>
    <w:rPr>
      <w:b/>
      <w:bCs/>
      <w:sz w:val="44"/>
      <w:szCs w:val="44"/>
    </w:rPr>
  </w:style>
  <w:style w:type="paragraph" w:customStyle="1" w:styleId="40">
    <w:name w:val="DAS正文"/>
    <w:qFormat/>
    <w:uiPriority w:val="0"/>
    <w:pPr>
      <w:widowControl w:val="0"/>
      <w:spacing w:line="360" w:lineRule="auto"/>
      <w:ind w:right="181" w:firstLine="480"/>
      <w:jc w:val="both"/>
    </w:pPr>
    <w:rPr>
      <w:rFonts w:ascii="Verdana" w:hAnsi="Verdana" w:eastAsia="宋体" w:cs="Times New Roman"/>
      <w:sz w:val="21"/>
      <w:szCs w:val="24"/>
      <w:lang w:val="en-US" w:eastAsia="zh-CN" w:bidi="ar-SA"/>
    </w:rPr>
  </w:style>
  <w:style w:type="character" w:customStyle="1" w:styleId="41">
    <w:name w:val="标题 3 字符1"/>
    <w:link w:val="5"/>
    <w:qFormat/>
    <w:uiPriority w:val="9"/>
    <w:rPr>
      <w:rFonts w:ascii="Arial" w:hAnsi="Arial" w:eastAsia="Arial" w:cs="Arial"/>
      <w:sz w:val="30"/>
      <w:szCs w:val="30"/>
    </w:rPr>
  </w:style>
  <w:style w:type="character" w:customStyle="1" w:styleId="42">
    <w:name w:val="标题 4 字符1"/>
    <w:link w:val="6"/>
    <w:qFormat/>
    <w:uiPriority w:val="9"/>
    <w:rPr>
      <w:rFonts w:ascii="Arial" w:hAnsi="Arial" w:eastAsia="Arial" w:cs="Arial"/>
      <w:b/>
      <w:bCs/>
      <w:sz w:val="26"/>
      <w:szCs w:val="26"/>
    </w:rPr>
  </w:style>
  <w:style w:type="character" w:customStyle="1" w:styleId="43">
    <w:name w:val="标题 5 字符1"/>
    <w:link w:val="7"/>
    <w:qFormat/>
    <w:uiPriority w:val="9"/>
    <w:rPr>
      <w:rFonts w:ascii="Arial" w:hAnsi="Arial" w:eastAsia="Arial" w:cs="Arial"/>
      <w:b/>
      <w:bCs/>
      <w:sz w:val="24"/>
      <w:szCs w:val="24"/>
    </w:rPr>
  </w:style>
  <w:style w:type="character" w:customStyle="1" w:styleId="44">
    <w:name w:val="标题 6 字符1"/>
    <w:link w:val="8"/>
    <w:qFormat/>
    <w:uiPriority w:val="9"/>
    <w:rPr>
      <w:rFonts w:ascii="Arial" w:hAnsi="Arial" w:eastAsia="Arial" w:cs="Arial"/>
      <w:b/>
      <w:bCs/>
      <w:sz w:val="22"/>
      <w:szCs w:val="22"/>
    </w:rPr>
  </w:style>
  <w:style w:type="character" w:customStyle="1" w:styleId="45">
    <w:name w:val="标题 7 字符1"/>
    <w:link w:val="9"/>
    <w:qFormat/>
    <w:uiPriority w:val="9"/>
    <w:rPr>
      <w:rFonts w:ascii="Arial" w:hAnsi="Arial" w:eastAsia="Arial" w:cs="Arial"/>
      <w:b/>
      <w:bCs/>
      <w:i/>
      <w:iCs/>
      <w:sz w:val="22"/>
      <w:szCs w:val="22"/>
    </w:rPr>
  </w:style>
  <w:style w:type="character" w:customStyle="1" w:styleId="46">
    <w:name w:val="标题 8 字符"/>
    <w:link w:val="10"/>
    <w:qFormat/>
    <w:uiPriority w:val="9"/>
    <w:rPr>
      <w:rFonts w:ascii="Arial" w:hAnsi="Arial" w:eastAsia="Arial" w:cs="Arial"/>
      <w:i/>
      <w:iCs/>
      <w:sz w:val="22"/>
      <w:szCs w:val="22"/>
    </w:rPr>
  </w:style>
  <w:style w:type="character" w:customStyle="1" w:styleId="47">
    <w:name w:val="标题 9 字符"/>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字符"/>
    <w:link w:val="31"/>
    <w:qFormat/>
    <w:uiPriority w:val="10"/>
    <w:rPr>
      <w:sz w:val="48"/>
      <w:szCs w:val="48"/>
    </w:rPr>
  </w:style>
  <w:style w:type="character" w:customStyle="1" w:styleId="51">
    <w:name w:val="副标题 字符2"/>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字符"/>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qFormat/>
    <w:uiPriority w:val="30"/>
    <w:rPr>
      <w:i/>
    </w:rPr>
  </w:style>
  <w:style w:type="character" w:customStyle="1" w:styleId="56">
    <w:name w:val="页脚 字符1"/>
    <w:link w:val="20"/>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
    <w:link w:val="25"/>
    <w:qFormat/>
    <w:uiPriority w:val="99"/>
    <w:rPr>
      <w:sz w:val="18"/>
    </w:rPr>
  </w:style>
  <w:style w:type="character" w:customStyle="1" w:styleId="183">
    <w:name w:val="尾注文本 字符"/>
    <w:link w:val="19"/>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21"/>
    <w:basedOn w:val="1"/>
    <w:next w:val="1"/>
    <w:link w:val="196"/>
    <w:qFormat/>
    <w:uiPriority w:val="0"/>
    <w:pPr>
      <w:keepNext/>
      <w:keepLines/>
      <w:spacing w:before="260" w:after="260" w:line="413" w:lineRule="auto"/>
      <w:outlineLvl w:val="1"/>
    </w:pPr>
    <w:rPr>
      <w:rFonts w:ascii="Arial" w:hAnsi="Arial" w:eastAsia="黑体"/>
      <w:b/>
      <w:bCs/>
      <w:sz w:val="32"/>
      <w:szCs w:val="32"/>
    </w:rPr>
  </w:style>
  <w:style w:type="paragraph" w:customStyle="1" w:styleId="186">
    <w:name w:val="标题 31"/>
    <w:basedOn w:val="1"/>
    <w:next w:val="1"/>
    <w:link w:val="197"/>
    <w:qFormat/>
    <w:uiPriority w:val="0"/>
    <w:pPr>
      <w:keepNext/>
      <w:keepLines/>
      <w:spacing w:before="260" w:after="260" w:line="413" w:lineRule="auto"/>
      <w:outlineLvl w:val="2"/>
    </w:pPr>
    <w:rPr>
      <w:b/>
      <w:bCs/>
      <w:sz w:val="32"/>
      <w:szCs w:val="32"/>
    </w:rPr>
  </w:style>
  <w:style w:type="paragraph" w:customStyle="1" w:styleId="187">
    <w:name w:val="标题 41"/>
    <w:basedOn w:val="1"/>
    <w:next w:val="1"/>
    <w:link w:val="198"/>
    <w:qFormat/>
    <w:uiPriority w:val="0"/>
    <w:pPr>
      <w:keepNext/>
      <w:keepLines/>
      <w:spacing w:before="120" w:after="120"/>
      <w:outlineLvl w:val="3"/>
    </w:pPr>
    <w:rPr>
      <w:rFonts w:ascii="Arial" w:hAnsi="Arial" w:eastAsia="黑体"/>
      <w:b/>
      <w:sz w:val="28"/>
      <w:szCs w:val="20"/>
    </w:rPr>
  </w:style>
  <w:style w:type="paragraph" w:customStyle="1" w:styleId="188">
    <w:name w:val="标题 51"/>
    <w:basedOn w:val="1"/>
    <w:next w:val="1"/>
    <w:link w:val="199"/>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89">
    <w:name w:val="标题 61"/>
    <w:basedOn w:val="1"/>
    <w:next w:val="1"/>
    <w:link w:val="200"/>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customStyle="1" w:styleId="190">
    <w:name w:val="标题 71"/>
    <w:basedOn w:val="1"/>
    <w:next w:val="1"/>
    <w:link w:val="201"/>
    <w:qFormat/>
    <w:uiPriority w:val="0"/>
    <w:pPr>
      <w:keepNext/>
      <w:keepLines/>
      <w:tabs>
        <w:tab w:val="left" w:pos="1296"/>
      </w:tabs>
      <w:spacing w:before="240" w:after="64" w:line="317" w:lineRule="auto"/>
      <w:ind w:left="1296" w:hanging="1296"/>
      <w:outlineLvl w:val="6"/>
    </w:pPr>
    <w:rPr>
      <w:b/>
      <w:bCs/>
      <w:sz w:val="24"/>
    </w:rPr>
  </w:style>
  <w:style w:type="paragraph" w:customStyle="1" w:styleId="191">
    <w:name w:val="标题 81"/>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customStyle="1" w:styleId="192">
    <w:name w:val="标题 91"/>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193">
    <w:name w:val="默认段落字体1"/>
    <w:unhideWhenUsed/>
    <w:qFormat/>
    <w:uiPriority w:val="1"/>
  </w:style>
  <w:style w:type="table" w:customStyle="1" w:styleId="194">
    <w:name w:val="普通表格1"/>
    <w:unhideWhenUsed/>
    <w:qFormat/>
    <w:uiPriority w:val="99"/>
    <w:tblPr>
      <w:tblCellMar>
        <w:top w:w="0" w:type="dxa"/>
        <w:left w:w="0" w:type="dxa"/>
        <w:bottom w:w="0" w:type="dxa"/>
        <w:right w:w="0" w:type="dxa"/>
      </w:tblCellMar>
    </w:tblPr>
  </w:style>
  <w:style w:type="character" w:customStyle="1" w:styleId="195">
    <w:name w:val="标题 1 字符"/>
    <w:link w:val="39"/>
    <w:qFormat/>
    <w:uiPriority w:val="0"/>
    <w:rPr>
      <w:rFonts w:eastAsia="宋体"/>
      <w:b/>
      <w:bCs/>
      <w:sz w:val="44"/>
      <w:szCs w:val="44"/>
      <w:lang w:val="en-US" w:eastAsia="zh-CN" w:bidi="ar-SA"/>
    </w:rPr>
  </w:style>
  <w:style w:type="character" w:customStyle="1" w:styleId="196">
    <w:name w:val="标题 2 字符"/>
    <w:link w:val="185"/>
    <w:semiHidden/>
    <w:qFormat/>
    <w:uiPriority w:val="0"/>
    <w:rPr>
      <w:rFonts w:ascii="Arial" w:hAnsi="Arial" w:eastAsia="黑体"/>
      <w:b/>
      <w:bCs/>
      <w:sz w:val="32"/>
      <w:szCs w:val="32"/>
      <w:lang w:val="en-US" w:eastAsia="zh-CN" w:bidi="ar-SA"/>
    </w:rPr>
  </w:style>
  <w:style w:type="character" w:customStyle="1" w:styleId="197">
    <w:name w:val="标题 3 字符"/>
    <w:link w:val="186"/>
    <w:semiHidden/>
    <w:qFormat/>
    <w:uiPriority w:val="0"/>
    <w:rPr>
      <w:rFonts w:eastAsia="宋体"/>
      <w:b/>
      <w:bCs/>
      <w:sz w:val="32"/>
      <w:szCs w:val="32"/>
      <w:lang w:val="en-US" w:eastAsia="zh-CN" w:bidi="ar-SA"/>
    </w:rPr>
  </w:style>
  <w:style w:type="character" w:customStyle="1" w:styleId="198">
    <w:name w:val="标题 4 字符"/>
    <w:link w:val="187"/>
    <w:qFormat/>
    <w:uiPriority w:val="0"/>
    <w:rPr>
      <w:rFonts w:ascii="Arial" w:hAnsi="Arial" w:eastAsia="黑体"/>
      <w:b/>
      <w:sz w:val="28"/>
      <w:lang w:val="en-US" w:eastAsia="zh-CN" w:bidi="ar-SA"/>
    </w:rPr>
  </w:style>
  <w:style w:type="character" w:customStyle="1" w:styleId="199">
    <w:name w:val="标题 5 字符"/>
    <w:link w:val="188"/>
    <w:semiHidden/>
    <w:qFormat/>
    <w:uiPriority w:val="0"/>
    <w:rPr>
      <w:rFonts w:eastAsia="宋体"/>
      <w:b/>
      <w:bCs/>
      <w:sz w:val="28"/>
      <w:szCs w:val="28"/>
      <w:lang w:val="en-US" w:eastAsia="zh-CN" w:bidi="ar-SA"/>
    </w:rPr>
  </w:style>
  <w:style w:type="character" w:customStyle="1" w:styleId="200">
    <w:name w:val="标题 6 字符"/>
    <w:link w:val="189"/>
    <w:semiHidden/>
    <w:qFormat/>
    <w:uiPriority w:val="0"/>
    <w:rPr>
      <w:rFonts w:ascii="Arial" w:hAnsi="Arial" w:eastAsia="黑体"/>
      <w:b/>
      <w:bCs/>
      <w:sz w:val="24"/>
      <w:szCs w:val="24"/>
      <w:lang w:val="en-US" w:eastAsia="zh-CN" w:bidi="ar-SA"/>
    </w:rPr>
  </w:style>
  <w:style w:type="character" w:customStyle="1" w:styleId="201">
    <w:name w:val="标题 7 字符"/>
    <w:link w:val="190"/>
    <w:semiHidden/>
    <w:qFormat/>
    <w:uiPriority w:val="0"/>
    <w:rPr>
      <w:rFonts w:eastAsia="宋体"/>
      <w:b/>
      <w:bCs/>
      <w:sz w:val="24"/>
      <w:szCs w:val="24"/>
      <w:lang w:val="en-US" w:eastAsia="zh-CN" w:bidi="ar-SA"/>
    </w:rPr>
  </w:style>
  <w:style w:type="paragraph" w:customStyle="1" w:styleId="202">
    <w:name w:val="列表编号 21"/>
    <w:basedOn w:val="1"/>
    <w:qFormat/>
    <w:uiPriority w:val="0"/>
    <w:pPr>
      <w:tabs>
        <w:tab w:val="left" w:pos="1440"/>
      </w:tabs>
      <w:spacing w:line="360" w:lineRule="auto"/>
      <w:ind w:left="1440" w:hanging="1440"/>
    </w:pPr>
    <w:rPr>
      <w:sz w:val="24"/>
    </w:rPr>
  </w:style>
  <w:style w:type="paragraph" w:customStyle="1" w:styleId="203">
    <w:name w:val="列表编号1"/>
    <w:basedOn w:val="1"/>
    <w:qFormat/>
    <w:uiPriority w:val="0"/>
    <w:pPr>
      <w:tabs>
        <w:tab w:val="left" w:pos="2952"/>
      </w:tabs>
      <w:ind w:left="2952" w:hanging="432"/>
    </w:pPr>
  </w:style>
  <w:style w:type="paragraph" w:customStyle="1" w:styleId="204">
    <w:name w:val="正文缩进11"/>
    <w:basedOn w:val="1"/>
    <w:qFormat/>
    <w:uiPriority w:val="0"/>
    <w:pPr>
      <w:ind w:firstLine="420"/>
    </w:pPr>
    <w:rPr>
      <w:szCs w:val="20"/>
    </w:rPr>
  </w:style>
  <w:style w:type="paragraph" w:customStyle="1" w:styleId="205">
    <w:name w:val="文档结构图1"/>
    <w:basedOn w:val="1"/>
    <w:link w:val="206"/>
    <w:qFormat/>
    <w:uiPriority w:val="0"/>
    <w:pPr>
      <w:shd w:val="clear" w:color="auto" w:fill="000080"/>
    </w:pPr>
  </w:style>
  <w:style w:type="character" w:customStyle="1" w:styleId="206">
    <w:name w:val="文档结构图 字符"/>
    <w:link w:val="205"/>
    <w:semiHidden/>
    <w:qFormat/>
    <w:uiPriority w:val="0"/>
    <w:rPr>
      <w:rFonts w:eastAsia="宋体"/>
      <w:sz w:val="21"/>
      <w:szCs w:val="24"/>
      <w:lang w:val="en-US" w:eastAsia="zh-CN" w:bidi="ar-SA"/>
    </w:rPr>
  </w:style>
  <w:style w:type="paragraph" w:customStyle="1" w:styleId="207">
    <w:name w:val="批注文字1"/>
    <w:basedOn w:val="1"/>
    <w:link w:val="208"/>
    <w:qFormat/>
    <w:uiPriority w:val="0"/>
    <w:pPr>
      <w:jc w:val="left"/>
    </w:pPr>
    <w:rPr>
      <w:szCs w:val="20"/>
    </w:rPr>
  </w:style>
  <w:style w:type="character" w:customStyle="1" w:styleId="208">
    <w:name w:val="批注文字 字符"/>
    <w:link w:val="207"/>
    <w:qFormat/>
    <w:uiPriority w:val="0"/>
    <w:rPr>
      <w:rFonts w:eastAsia="宋体"/>
      <w:sz w:val="21"/>
      <w:lang w:val="en-US" w:eastAsia="zh-CN" w:bidi="ar-SA"/>
    </w:rPr>
  </w:style>
  <w:style w:type="paragraph" w:customStyle="1" w:styleId="209">
    <w:name w:val="称呼1"/>
    <w:basedOn w:val="1"/>
    <w:next w:val="1"/>
    <w:qFormat/>
    <w:uiPriority w:val="0"/>
    <w:rPr>
      <w:rFonts w:ascii="仿宋_GB2312" w:eastAsia="仿宋_GB2312"/>
      <w:sz w:val="28"/>
      <w:szCs w:val="20"/>
    </w:rPr>
  </w:style>
  <w:style w:type="paragraph" w:customStyle="1" w:styleId="210">
    <w:name w:val="正文文本 31"/>
    <w:basedOn w:val="1"/>
    <w:qFormat/>
    <w:uiPriority w:val="0"/>
    <w:pPr>
      <w:spacing w:after="120"/>
    </w:pPr>
    <w:rPr>
      <w:sz w:val="16"/>
      <w:szCs w:val="16"/>
    </w:rPr>
  </w:style>
  <w:style w:type="paragraph" w:customStyle="1" w:styleId="211">
    <w:name w:val="正文文本1"/>
    <w:basedOn w:val="1"/>
    <w:next w:val="1"/>
    <w:qFormat/>
    <w:uiPriority w:val="0"/>
    <w:pPr>
      <w:jc w:val="center"/>
    </w:pPr>
    <w:rPr>
      <w:rFonts w:ascii="方正大黑简体" w:eastAsia="方正大黑简体"/>
      <w:position w:val="6"/>
      <w:sz w:val="30"/>
      <w:szCs w:val="20"/>
    </w:rPr>
  </w:style>
  <w:style w:type="paragraph" w:customStyle="1" w:styleId="212">
    <w:name w:val="正文文本缩进1"/>
    <w:basedOn w:val="1"/>
    <w:qFormat/>
    <w:uiPriority w:val="0"/>
    <w:pPr>
      <w:spacing w:after="120"/>
      <w:ind w:left="420"/>
    </w:pPr>
  </w:style>
  <w:style w:type="paragraph" w:customStyle="1" w:styleId="213">
    <w:name w:val="索引 41"/>
    <w:basedOn w:val="1"/>
    <w:next w:val="1"/>
    <w:qFormat/>
    <w:uiPriority w:val="99"/>
    <w:pPr>
      <w:ind w:left="1260"/>
    </w:pPr>
    <w:rPr>
      <w:rFonts w:ascii="Calibri" w:hAnsi="Calibri"/>
      <w:szCs w:val="22"/>
    </w:rPr>
  </w:style>
  <w:style w:type="paragraph" w:customStyle="1" w:styleId="214">
    <w:name w:val="目录 31"/>
    <w:basedOn w:val="1"/>
    <w:next w:val="1"/>
    <w:qFormat/>
    <w:uiPriority w:val="39"/>
    <w:pPr>
      <w:ind w:left="840"/>
    </w:pPr>
  </w:style>
  <w:style w:type="paragraph" w:customStyle="1" w:styleId="215">
    <w:name w:val="纯文本1"/>
    <w:basedOn w:val="1"/>
    <w:link w:val="216"/>
    <w:qFormat/>
    <w:uiPriority w:val="0"/>
    <w:rPr>
      <w:rFonts w:ascii="宋体" w:hAnsi="Courier New"/>
      <w:szCs w:val="21"/>
    </w:rPr>
  </w:style>
  <w:style w:type="character" w:customStyle="1" w:styleId="216">
    <w:name w:val="纯文本 字符"/>
    <w:link w:val="215"/>
    <w:qFormat/>
    <w:uiPriority w:val="0"/>
    <w:rPr>
      <w:rFonts w:ascii="宋体" w:hAnsi="Courier New" w:eastAsia="宋体"/>
      <w:sz w:val="21"/>
      <w:szCs w:val="21"/>
      <w:lang w:val="en-US" w:eastAsia="zh-CN" w:bidi="ar-SA"/>
    </w:rPr>
  </w:style>
  <w:style w:type="paragraph" w:customStyle="1" w:styleId="217">
    <w:name w:val="索引 31"/>
    <w:basedOn w:val="1"/>
    <w:next w:val="1"/>
    <w:qFormat/>
    <w:uiPriority w:val="0"/>
    <w:pPr>
      <w:ind w:left="840"/>
    </w:pPr>
    <w:rPr>
      <w:szCs w:val="20"/>
    </w:rPr>
  </w:style>
  <w:style w:type="paragraph" w:customStyle="1" w:styleId="218">
    <w:name w:val="日期1"/>
    <w:basedOn w:val="1"/>
    <w:next w:val="1"/>
    <w:qFormat/>
    <w:uiPriority w:val="0"/>
    <w:pPr>
      <w:ind w:left="100"/>
    </w:pPr>
    <w:rPr>
      <w:sz w:val="28"/>
      <w:szCs w:val="20"/>
    </w:rPr>
  </w:style>
  <w:style w:type="paragraph" w:customStyle="1" w:styleId="219">
    <w:name w:val="正文文本缩进 21"/>
    <w:basedOn w:val="1"/>
    <w:next w:val="1"/>
    <w:qFormat/>
    <w:uiPriority w:val="0"/>
    <w:pPr>
      <w:spacing w:line="400" w:lineRule="exact"/>
      <w:ind w:firstLine="480"/>
    </w:pPr>
    <w:rPr>
      <w:rFonts w:ascii="宋体" w:hAnsi="宋体"/>
      <w:sz w:val="24"/>
    </w:rPr>
  </w:style>
  <w:style w:type="paragraph" w:customStyle="1" w:styleId="220">
    <w:name w:val="批注框文本1"/>
    <w:basedOn w:val="1"/>
    <w:link w:val="221"/>
    <w:qFormat/>
    <w:uiPriority w:val="0"/>
    <w:rPr>
      <w:sz w:val="18"/>
      <w:szCs w:val="18"/>
    </w:rPr>
  </w:style>
  <w:style w:type="character" w:customStyle="1" w:styleId="221">
    <w:name w:val="批注框文本 字符"/>
    <w:link w:val="220"/>
    <w:semiHidden/>
    <w:qFormat/>
    <w:uiPriority w:val="0"/>
    <w:rPr>
      <w:rFonts w:eastAsia="宋体"/>
      <w:sz w:val="18"/>
      <w:szCs w:val="18"/>
      <w:lang w:val="en-US" w:eastAsia="zh-CN" w:bidi="ar-SA"/>
    </w:rPr>
  </w:style>
  <w:style w:type="paragraph" w:customStyle="1" w:styleId="222">
    <w:name w:val="页脚1"/>
    <w:basedOn w:val="1"/>
    <w:link w:val="223"/>
    <w:qFormat/>
    <w:uiPriority w:val="99"/>
    <w:pPr>
      <w:tabs>
        <w:tab w:val="center" w:pos="4153"/>
        <w:tab w:val="right" w:pos="8306"/>
      </w:tabs>
      <w:jc w:val="left"/>
    </w:pPr>
    <w:rPr>
      <w:sz w:val="18"/>
      <w:szCs w:val="18"/>
    </w:rPr>
  </w:style>
  <w:style w:type="character" w:customStyle="1" w:styleId="223">
    <w:name w:val="页脚 字符"/>
    <w:link w:val="222"/>
    <w:qFormat/>
    <w:uiPriority w:val="99"/>
    <w:rPr>
      <w:rFonts w:eastAsia="宋体"/>
      <w:sz w:val="18"/>
      <w:szCs w:val="18"/>
      <w:lang w:val="en-US" w:eastAsia="zh-CN" w:bidi="ar-SA"/>
    </w:rPr>
  </w:style>
  <w:style w:type="paragraph" w:customStyle="1" w:styleId="224">
    <w:name w:val="页眉1"/>
    <w:basedOn w:val="1"/>
    <w:link w:val="225"/>
    <w:qFormat/>
    <w:uiPriority w:val="0"/>
    <w:pPr>
      <w:pBdr>
        <w:bottom w:val="single" w:color="000000" w:sz="6" w:space="1"/>
      </w:pBdr>
      <w:tabs>
        <w:tab w:val="center" w:pos="4153"/>
        <w:tab w:val="right" w:pos="8306"/>
      </w:tabs>
      <w:jc w:val="center"/>
    </w:pPr>
    <w:rPr>
      <w:sz w:val="18"/>
      <w:szCs w:val="18"/>
    </w:rPr>
  </w:style>
  <w:style w:type="character" w:customStyle="1" w:styleId="225">
    <w:name w:val="页眉 字符"/>
    <w:link w:val="224"/>
    <w:qFormat/>
    <w:uiPriority w:val="0"/>
    <w:rPr>
      <w:rFonts w:eastAsia="宋体"/>
      <w:sz w:val="18"/>
      <w:szCs w:val="18"/>
      <w:lang w:val="en-US" w:eastAsia="zh-CN" w:bidi="ar-SA"/>
    </w:rPr>
  </w:style>
  <w:style w:type="paragraph" w:customStyle="1" w:styleId="226">
    <w:name w:val="签名1"/>
    <w:basedOn w:val="1"/>
    <w:qFormat/>
    <w:uiPriority w:val="0"/>
    <w:pPr>
      <w:spacing w:after="600" w:line="312" w:lineRule="atLeast"/>
      <w:jc w:val="center"/>
    </w:pPr>
    <w:rPr>
      <w:rFonts w:eastAsia="仿宋_GB2312"/>
      <w:sz w:val="24"/>
      <w:szCs w:val="20"/>
    </w:rPr>
  </w:style>
  <w:style w:type="paragraph" w:customStyle="1" w:styleId="227">
    <w:name w:val="目录 11"/>
    <w:basedOn w:val="1"/>
    <w:next w:val="1"/>
    <w:qFormat/>
    <w:uiPriority w:val="39"/>
  </w:style>
  <w:style w:type="paragraph" w:customStyle="1" w:styleId="228">
    <w:name w:val="索引标题1"/>
    <w:basedOn w:val="1"/>
    <w:next w:val="229"/>
    <w:qFormat/>
    <w:uiPriority w:val="0"/>
    <w:rPr>
      <w:szCs w:val="20"/>
    </w:rPr>
  </w:style>
  <w:style w:type="paragraph" w:customStyle="1" w:styleId="229">
    <w:name w:val="索引 11"/>
    <w:basedOn w:val="1"/>
    <w:next w:val="1"/>
    <w:qFormat/>
    <w:uiPriority w:val="0"/>
    <w:pPr>
      <w:tabs>
        <w:tab w:val="left" w:pos="1260"/>
      </w:tabs>
      <w:jc w:val="center"/>
    </w:pPr>
    <w:rPr>
      <w:rFonts w:ascii="仿宋_GB2312" w:hAnsi="宋体" w:eastAsia="仿宋_GB2312"/>
      <w:sz w:val="30"/>
      <w:szCs w:val="20"/>
    </w:rPr>
  </w:style>
  <w:style w:type="paragraph" w:customStyle="1" w:styleId="230">
    <w:name w:val="副标题1"/>
    <w:basedOn w:val="1"/>
    <w:next w:val="1"/>
    <w:link w:val="231"/>
    <w:qFormat/>
    <w:uiPriority w:val="0"/>
    <w:pPr>
      <w:widowControl/>
      <w:spacing w:after="560"/>
      <w:jc w:val="center"/>
    </w:pPr>
    <w:rPr>
      <w:rFonts w:ascii="Cambria" w:hAnsi="Cambria"/>
      <w:caps/>
      <w:spacing w:val="20"/>
      <w:sz w:val="18"/>
      <w:szCs w:val="18"/>
      <w:lang w:eastAsia="en-US" w:bidi="en-US"/>
    </w:rPr>
  </w:style>
  <w:style w:type="character" w:customStyle="1" w:styleId="231">
    <w:name w:val="副标题 字符"/>
    <w:link w:val="230"/>
    <w:qFormat/>
    <w:uiPriority w:val="0"/>
    <w:rPr>
      <w:rFonts w:ascii="Cambria" w:hAnsi="Cambria" w:eastAsia="宋体"/>
      <w:caps/>
      <w:spacing w:val="20"/>
      <w:sz w:val="18"/>
      <w:szCs w:val="18"/>
      <w:lang w:val="en-US" w:eastAsia="en-US" w:bidi="en-US"/>
    </w:rPr>
  </w:style>
  <w:style w:type="paragraph" w:customStyle="1" w:styleId="232">
    <w:name w:val="脚注文本1"/>
    <w:basedOn w:val="1"/>
    <w:qFormat/>
    <w:uiPriority w:val="0"/>
    <w:pPr>
      <w:jc w:val="left"/>
    </w:pPr>
    <w:rPr>
      <w:sz w:val="18"/>
      <w:szCs w:val="18"/>
    </w:rPr>
  </w:style>
  <w:style w:type="paragraph" w:customStyle="1" w:styleId="233">
    <w:name w:val="正文文本缩进 31"/>
    <w:basedOn w:val="1"/>
    <w:qFormat/>
    <w:uiPriority w:val="0"/>
    <w:pPr>
      <w:spacing w:before="120" w:after="120" w:line="264" w:lineRule="auto"/>
      <w:ind w:left="480"/>
    </w:pPr>
    <w:rPr>
      <w:b/>
      <w:bCs/>
      <w:sz w:val="24"/>
      <w:szCs w:val="20"/>
    </w:rPr>
  </w:style>
  <w:style w:type="paragraph" w:customStyle="1" w:styleId="234">
    <w:name w:val="目录 21"/>
    <w:basedOn w:val="1"/>
    <w:next w:val="1"/>
    <w:qFormat/>
    <w:uiPriority w:val="39"/>
    <w:pPr>
      <w:ind w:left="420"/>
    </w:pPr>
  </w:style>
  <w:style w:type="paragraph" w:customStyle="1" w:styleId="235">
    <w:name w:val="正文文本 211"/>
    <w:basedOn w:val="1"/>
    <w:qFormat/>
    <w:uiPriority w:val="0"/>
    <w:pPr>
      <w:jc w:val="center"/>
    </w:pPr>
    <w:rPr>
      <w:b/>
      <w:bCs/>
      <w:sz w:val="72"/>
      <w:szCs w:val="20"/>
    </w:rPr>
  </w:style>
  <w:style w:type="paragraph" w:customStyle="1" w:styleId="23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37">
    <w:name w:val="普通(网站)1111"/>
    <w:basedOn w:val="1"/>
    <w:qFormat/>
    <w:uiPriority w:val="99"/>
    <w:pPr>
      <w:widowControl/>
      <w:spacing w:before="100" w:beforeAutospacing="1" w:after="100" w:afterAutospacing="1"/>
      <w:jc w:val="left"/>
    </w:pPr>
    <w:rPr>
      <w:rFonts w:ascii="宋体" w:hAnsi="宋体" w:cs="宋体"/>
      <w:sz w:val="24"/>
    </w:rPr>
  </w:style>
  <w:style w:type="paragraph" w:customStyle="1" w:styleId="238">
    <w:name w:val="标题1"/>
    <w:basedOn w:val="1"/>
    <w:qFormat/>
    <w:uiPriority w:val="0"/>
    <w:pPr>
      <w:widowControl/>
      <w:spacing w:line="420" w:lineRule="exact"/>
      <w:jc w:val="center"/>
    </w:pPr>
    <w:rPr>
      <w:rFonts w:eastAsia="黑体"/>
      <w:b/>
      <w:sz w:val="28"/>
      <w:szCs w:val="20"/>
      <w:lang w:val="en-GB"/>
    </w:rPr>
  </w:style>
  <w:style w:type="paragraph" w:customStyle="1" w:styleId="239">
    <w:name w:val="批注主题1"/>
    <w:basedOn w:val="207"/>
    <w:next w:val="207"/>
    <w:qFormat/>
    <w:uiPriority w:val="0"/>
    <w:rPr>
      <w:b/>
      <w:bCs/>
      <w:szCs w:val="24"/>
    </w:rPr>
  </w:style>
  <w:style w:type="paragraph" w:customStyle="1" w:styleId="240">
    <w:name w:val="正文首行缩进1"/>
    <w:basedOn w:val="211"/>
    <w:link w:val="241"/>
    <w:qFormat/>
    <w:uiPriority w:val="0"/>
    <w:pPr>
      <w:spacing w:after="120"/>
      <w:ind w:firstLine="420"/>
      <w:jc w:val="both"/>
    </w:pPr>
    <w:rPr>
      <w:rFonts w:ascii="Times New Roman" w:eastAsia="宋体"/>
      <w:position w:val="0"/>
      <w:sz w:val="21"/>
      <w:szCs w:val="24"/>
    </w:rPr>
  </w:style>
  <w:style w:type="character" w:customStyle="1" w:styleId="241">
    <w:name w:val="正文文本首行缩进 字符"/>
    <w:link w:val="240"/>
    <w:qFormat/>
    <w:uiPriority w:val="0"/>
    <w:rPr>
      <w:rFonts w:eastAsia="宋体"/>
      <w:sz w:val="21"/>
      <w:szCs w:val="24"/>
      <w:lang w:val="en-US" w:eastAsia="zh-CN" w:bidi="ar-SA"/>
    </w:rPr>
  </w:style>
  <w:style w:type="paragraph" w:customStyle="1" w:styleId="242">
    <w:name w:val="正文首行缩进 21"/>
    <w:basedOn w:val="212"/>
    <w:qFormat/>
    <w:uiPriority w:val="99"/>
    <w:pPr>
      <w:spacing w:after="0" w:line="360" w:lineRule="auto"/>
      <w:ind w:left="0" w:firstLine="420"/>
    </w:pPr>
    <w:rPr>
      <w:rFonts w:ascii="宋体" w:hAnsi="宋体"/>
    </w:rPr>
  </w:style>
  <w:style w:type="table" w:customStyle="1" w:styleId="243">
    <w:name w:val="网格型1"/>
    <w:basedOn w:val="194"/>
    <w:qFormat/>
    <w:uiPriority w:val="59"/>
    <w:rPr>
      <w:rFonts w:ascii="Calibri" w:hAnsi="Calibri"/>
      <w:sz w:val="21"/>
      <w:szCs w:val="22"/>
    </w:rPr>
  </w:style>
  <w:style w:type="character" w:customStyle="1" w:styleId="244">
    <w:name w:val="要点1"/>
    <w:qFormat/>
    <w:uiPriority w:val="0"/>
    <w:rPr>
      <w:b/>
      <w:bCs/>
    </w:rPr>
  </w:style>
  <w:style w:type="character" w:customStyle="1" w:styleId="245">
    <w:name w:val="页码1"/>
    <w:qFormat/>
    <w:uiPriority w:val="0"/>
  </w:style>
  <w:style w:type="character" w:customStyle="1" w:styleId="246">
    <w:name w:val="已访问的超链接1"/>
    <w:qFormat/>
    <w:uiPriority w:val="0"/>
    <w:rPr>
      <w:color w:val="800080"/>
      <w:u w:val="single"/>
    </w:rPr>
  </w:style>
  <w:style w:type="character" w:customStyle="1" w:styleId="247">
    <w:name w:val="强调1"/>
    <w:qFormat/>
    <w:uiPriority w:val="20"/>
    <w:rPr>
      <w:i/>
    </w:rPr>
  </w:style>
  <w:style w:type="character" w:customStyle="1" w:styleId="248">
    <w:name w:val="行号1"/>
    <w:qFormat/>
    <w:uiPriority w:val="0"/>
  </w:style>
  <w:style w:type="character" w:customStyle="1" w:styleId="249">
    <w:name w:val="超链接1"/>
    <w:qFormat/>
    <w:uiPriority w:val="99"/>
    <w:rPr>
      <w:color w:val="0000FF"/>
      <w:u w:val="single"/>
    </w:rPr>
  </w:style>
  <w:style w:type="character" w:customStyle="1" w:styleId="250">
    <w:name w:val="批注引用1"/>
    <w:qFormat/>
    <w:uiPriority w:val="0"/>
    <w:rPr>
      <w:sz w:val="21"/>
      <w:szCs w:val="21"/>
    </w:rPr>
  </w:style>
  <w:style w:type="character" w:customStyle="1" w:styleId="251">
    <w:name w:val="脚注引用1"/>
    <w:qFormat/>
    <w:uiPriority w:val="0"/>
    <w:rPr>
      <w:vertAlign w:val="superscript"/>
    </w:rPr>
  </w:style>
  <w:style w:type="paragraph" w:customStyle="1" w:styleId="252">
    <w:name w:val="列表段落"/>
    <w:basedOn w:val="1"/>
    <w:next w:val="1"/>
    <w:qFormat/>
    <w:uiPriority w:val="99"/>
    <w:pPr>
      <w:ind w:firstLine="420"/>
    </w:pPr>
  </w:style>
  <w:style w:type="paragraph" w:customStyle="1" w:styleId="253">
    <w:name w:val="标题 11"/>
    <w:basedOn w:val="1"/>
    <w:next w:val="1"/>
    <w:qFormat/>
    <w:uiPriority w:val="0"/>
    <w:pPr>
      <w:keepNext/>
      <w:keepLines/>
      <w:spacing w:before="340" w:after="330" w:line="576" w:lineRule="auto"/>
      <w:outlineLvl w:val="0"/>
    </w:pPr>
    <w:rPr>
      <w:b/>
      <w:bCs/>
      <w:sz w:val="44"/>
      <w:szCs w:val="44"/>
    </w:rPr>
  </w:style>
  <w:style w:type="paragraph" w:customStyle="1" w:styleId="254">
    <w:name w:val="首行缩进"/>
    <w:basedOn w:val="1"/>
    <w:qFormat/>
    <w:uiPriority w:val="99"/>
    <w:pPr>
      <w:spacing w:line="360" w:lineRule="auto"/>
      <w:ind w:firstLine="420"/>
    </w:pPr>
  </w:style>
  <w:style w:type="character" w:customStyle="1" w:styleId="255">
    <w:name w:val="正文 + 宋体 Char"/>
    <w:qFormat/>
    <w:uiPriority w:val="0"/>
    <w:rPr>
      <w:rFonts w:eastAsia="宋体"/>
      <w:sz w:val="21"/>
      <w:szCs w:val="24"/>
      <w:lang w:val="en-US" w:eastAsia="zh-CN" w:bidi="ar-SA"/>
    </w:rPr>
  </w:style>
  <w:style w:type="character" w:customStyle="1" w:styleId="256">
    <w:name w:val="样式 样式 样式 样式 内容 + 首行缩进:  2 字符18 + 首行缩进:  5.71 厘米 + 首行缩进:  8.04 厘米... Char"/>
    <w:link w:val="257"/>
    <w:qFormat/>
    <w:uiPriority w:val="0"/>
    <w:rPr>
      <w:rFonts w:ascii="Trebuchet MS" w:hAnsi="Trebuchet MS"/>
      <w:color w:val="404040"/>
      <w:sz w:val="24"/>
      <w:lang w:eastAsia="en-US" w:bidi="en-US"/>
    </w:rPr>
  </w:style>
  <w:style w:type="paragraph" w:customStyle="1" w:styleId="257">
    <w:name w:val="样式 样式 样式 样式 内容 + 首行缩进:  2 字符18 + 首行缩进:  5.71 厘米 + 首行缩进:  8.04 厘米..."/>
    <w:basedOn w:val="1"/>
    <w:link w:val="256"/>
    <w:qFormat/>
    <w:uiPriority w:val="0"/>
    <w:pPr>
      <w:widowControl/>
      <w:spacing w:line="360" w:lineRule="auto"/>
      <w:ind w:firstLine="480"/>
      <w:jc w:val="left"/>
    </w:pPr>
    <w:rPr>
      <w:rFonts w:ascii="Trebuchet MS" w:hAnsi="Trebuchet MS"/>
      <w:color w:val="404040"/>
      <w:sz w:val="24"/>
      <w:szCs w:val="20"/>
      <w:lang w:eastAsia="en-US" w:bidi="en-US"/>
    </w:rPr>
  </w:style>
  <w:style w:type="character" w:customStyle="1" w:styleId="258">
    <w:name w:val="style131"/>
    <w:qFormat/>
    <w:uiPriority w:val="0"/>
    <w:rPr>
      <w:rFonts w:cs="Times New Roman"/>
      <w:sz w:val="18"/>
      <w:szCs w:val="18"/>
    </w:rPr>
  </w:style>
  <w:style w:type="character" w:customStyle="1" w:styleId="259">
    <w:name w:val="1page sec3 Char2"/>
    <w:qFormat/>
    <w:uiPriority w:val="0"/>
    <w:rPr>
      <w:rFonts w:eastAsia="宋体"/>
      <w:sz w:val="18"/>
      <w:szCs w:val="18"/>
      <w:lang w:val="en-US" w:eastAsia="zh-CN" w:bidi="ar-SA"/>
    </w:rPr>
  </w:style>
  <w:style w:type="character" w:customStyle="1" w:styleId="260">
    <w:name w:val="华宇段落1 Char Char Char"/>
    <w:qFormat/>
    <w:uiPriority w:val="0"/>
    <w:rPr>
      <w:rFonts w:eastAsia="宋体"/>
      <w:bCs/>
      <w:sz w:val="24"/>
      <w:szCs w:val="24"/>
      <w:lang w:val="en-US" w:eastAsia="zh-CN" w:bidi="ar-SA"/>
    </w:rPr>
  </w:style>
  <w:style w:type="character" w:customStyle="1" w:styleId="261">
    <w:name w:val="h Char Char"/>
    <w:qFormat/>
    <w:uiPriority w:val="0"/>
    <w:rPr>
      <w:sz w:val="18"/>
      <w:szCs w:val="18"/>
    </w:rPr>
  </w:style>
  <w:style w:type="character" w:customStyle="1" w:styleId="262">
    <w:name w:val="小四 段落 宋体 Char1"/>
    <w:qFormat/>
    <w:uiPriority w:val="0"/>
    <w:rPr>
      <w:rFonts w:eastAsia="宋体"/>
      <w:sz w:val="24"/>
      <w:szCs w:val="24"/>
      <w:lang w:val="en-US" w:eastAsia="zh-CN" w:bidi="ar-SA"/>
    </w:rPr>
  </w:style>
  <w:style w:type="character" w:customStyle="1" w:styleId="263">
    <w:name w:val="正文缩进 Char1"/>
    <w:link w:val="264"/>
    <w:qFormat/>
    <w:uiPriority w:val="0"/>
    <w:rPr>
      <w:rFonts w:eastAsia="宋体"/>
      <w:lang w:bidi="ar-SA"/>
    </w:rPr>
  </w:style>
  <w:style w:type="paragraph" w:customStyle="1" w:styleId="264">
    <w:name w:val="正文缩进1"/>
    <w:basedOn w:val="1"/>
    <w:link w:val="263"/>
    <w:qFormat/>
    <w:uiPriority w:val="0"/>
    <w:pPr>
      <w:ind w:firstLine="420"/>
    </w:pPr>
    <w:rPr>
      <w:sz w:val="20"/>
      <w:szCs w:val="20"/>
    </w:rPr>
  </w:style>
  <w:style w:type="character" w:customStyle="1" w:styleId="265">
    <w:name w:val="无间隔 Char"/>
    <w:link w:val="266"/>
    <w:qFormat/>
    <w:uiPriority w:val="0"/>
    <w:rPr>
      <w:rFonts w:ascii="Calibri" w:hAnsi="Calibri" w:eastAsia="微软雅黑"/>
      <w:sz w:val="24"/>
      <w:szCs w:val="22"/>
      <w:lang w:val="en-US" w:eastAsia="zh-CN" w:bidi="ar-SA"/>
    </w:rPr>
  </w:style>
  <w:style w:type="paragraph" w:customStyle="1" w:styleId="266">
    <w:name w:val="无间隔1"/>
    <w:link w:val="265"/>
    <w:qFormat/>
    <w:uiPriority w:val="0"/>
    <w:pPr>
      <w:widowControl w:val="0"/>
      <w:jc w:val="both"/>
    </w:pPr>
    <w:rPr>
      <w:rFonts w:ascii="Calibri" w:hAnsi="Calibri" w:eastAsia="微软雅黑" w:cs="Times New Roman"/>
      <w:sz w:val="24"/>
      <w:szCs w:val="22"/>
      <w:lang w:val="en-US" w:eastAsia="zh-CN" w:bidi="ar-SA"/>
    </w:rPr>
  </w:style>
  <w:style w:type="character" w:customStyle="1" w:styleId="267">
    <w:name w:val="引用 Char"/>
    <w:link w:val="268"/>
    <w:qFormat/>
    <w:uiPriority w:val="0"/>
    <w:rPr>
      <w:rFonts w:ascii="Cambria" w:hAnsi="Cambria" w:eastAsia="宋体"/>
      <w:i/>
      <w:iCs/>
      <w:sz w:val="22"/>
      <w:szCs w:val="22"/>
      <w:lang w:val="en-US" w:eastAsia="en-US" w:bidi="en-US"/>
    </w:rPr>
  </w:style>
  <w:style w:type="paragraph" w:customStyle="1" w:styleId="268">
    <w:name w:val="引用1"/>
    <w:basedOn w:val="1"/>
    <w:next w:val="1"/>
    <w:link w:val="267"/>
    <w:qFormat/>
    <w:uiPriority w:val="0"/>
    <w:pPr>
      <w:widowControl/>
      <w:spacing w:after="200" w:line="252" w:lineRule="auto"/>
      <w:jc w:val="left"/>
    </w:pPr>
    <w:rPr>
      <w:rFonts w:ascii="Cambria" w:hAnsi="Cambria"/>
      <w:i/>
      <w:iCs/>
      <w:sz w:val="22"/>
      <w:szCs w:val="22"/>
      <w:lang w:eastAsia="en-US" w:bidi="en-US"/>
    </w:rPr>
  </w:style>
  <w:style w:type="character" w:customStyle="1" w:styleId="269">
    <w:name w:val="特点 Char1"/>
    <w:qFormat/>
    <w:uiPriority w:val="0"/>
    <w:rPr>
      <w:rFonts w:eastAsia="宋体"/>
      <w:sz w:val="21"/>
      <w:lang w:val="en-US" w:eastAsia="zh-CN" w:bidi="ar-SA"/>
    </w:rPr>
  </w:style>
  <w:style w:type="character" w:customStyle="1" w:styleId="270">
    <w:name w:val="Header Char"/>
    <w:qFormat/>
    <w:uiPriority w:val="0"/>
    <w:rPr>
      <w:rFonts w:cs="Times New Roman"/>
      <w:sz w:val="18"/>
      <w:szCs w:val="18"/>
    </w:rPr>
  </w:style>
  <w:style w:type="character" w:customStyle="1" w:styleId="271">
    <w:name w:val="Heading 1 Char"/>
    <w:qFormat/>
    <w:uiPriority w:val="0"/>
    <w:rPr>
      <w:rFonts w:ascii="Times New Roman" w:hAnsi="Times New Roman" w:eastAsia="宋体" w:cs="Times New Roman"/>
      <w:b/>
      <w:bCs/>
      <w:sz w:val="44"/>
      <w:szCs w:val="44"/>
    </w:rPr>
  </w:style>
  <w:style w:type="character" w:customStyle="1" w:styleId="272">
    <w:name w:val="标题 211"/>
    <w:qFormat/>
    <w:uiPriority w:val="0"/>
    <w:rPr>
      <w:rFonts w:ascii="黑体" w:eastAsia="黑体"/>
      <w:b/>
      <w:sz w:val="30"/>
      <w:szCs w:val="30"/>
      <w:lang w:val="en-US" w:eastAsia="zh-CN" w:bidi="ar-SA"/>
    </w:rPr>
  </w:style>
  <w:style w:type="character" w:customStyle="1" w:styleId="273">
    <w:name w:val="Char Char2"/>
    <w:qFormat/>
    <w:uiPriority w:val="0"/>
    <w:rPr>
      <w:rFonts w:ascii="宋体" w:hAnsi="Courier New" w:eastAsia="宋体"/>
      <w:sz w:val="21"/>
      <w:szCs w:val="21"/>
      <w:lang w:val="en-US" w:eastAsia="zh-CN" w:bidi="ar-SA"/>
    </w:rPr>
  </w:style>
  <w:style w:type="character" w:customStyle="1" w:styleId="274">
    <w:name w:val="1page sec3 Char"/>
    <w:qFormat/>
    <w:uiPriority w:val="0"/>
    <w:rPr>
      <w:rFonts w:eastAsia="宋体"/>
      <w:sz w:val="18"/>
      <w:lang w:val="en-US" w:eastAsia="zh-CN"/>
    </w:rPr>
  </w:style>
  <w:style w:type="character" w:customStyle="1" w:styleId="275">
    <w:name w:val="normalfont1"/>
    <w:qFormat/>
    <w:uiPriority w:val="0"/>
    <w:rPr>
      <w:rFonts w:ascii="ˎ̥" w:hAnsi="ˎ̥"/>
      <w:sz w:val="18"/>
      <w:szCs w:val="18"/>
      <w:u w:val="none"/>
    </w:rPr>
  </w:style>
  <w:style w:type="character" w:customStyle="1" w:styleId="276">
    <w:name w:val="sect1.2.3 Char1"/>
    <w:qFormat/>
    <w:uiPriority w:val="0"/>
    <w:rPr>
      <w:rFonts w:eastAsia="宋体"/>
      <w:b/>
      <w:bCs/>
      <w:sz w:val="32"/>
      <w:szCs w:val="32"/>
      <w:lang w:val="en-US" w:eastAsia="zh-CN" w:bidi="ar-SA"/>
    </w:rPr>
  </w:style>
  <w:style w:type="character" w:customStyle="1" w:styleId="277">
    <w:name w:val="样式 宋体 小四"/>
    <w:qFormat/>
    <w:uiPriority w:val="0"/>
    <w:rPr>
      <w:rFonts w:ascii="宋体" w:hAnsi="宋体"/>
      <w:sz w:val="24"/>
    </w:rPr>
  </w:style>
  <w:style w:type="character" w:customStyle="1" w:styleId="278">
    <w:name w:val="页脚 Char"/>
    <w:qFormat/>
    <w:uiPriority w:val="99"/>
    <w:rPr>
      <w:lang w:eastAsia="zh-CN"/>
    </w:rPr>
  </w:style>
  <w:style w:type="character" w:customStyle="1" w:styleId="279">
    <w:name w:val="样式 首行缩进:  2 字符 Char Char"/>
    <w:link w:val="280"/>
    <w:qFormat/>
    <w:uiPriority w:val="0"/>
    <w:rPr>
      <w:rFonts w:eastAsia="宋体" w:cs="宋体"/>
      <w:sz w:val="24"/>
      <w:lang w:val="en-US" w:eastAsia="zh-CN" w:bidi="ar-SA"/>
    </w:rPr>
  </w:style>
  <w:style w:type="paragraph" w:customStyle="1" w:styleId="280">
    <w:name w:val="样式 首行缩进:  2 字符"/>
    <w:basedOn w:val="1"/>
    <w:link w:val="279"/>
    <w:qFormat/>
    <w:uiPriority w:val="0"/>
    <w:pPr>
      <w:spacing w:line="360" w:lineRule="auto"/>
      <w:ind w:firstLine="480"/>
    </w:pPr>
    <w:rPr>
      <w:rFonts w:cs="宋体"/>
      <w:sz w:val="24"/>
      <w:szCs w:val="20"/>
    </w:rPr>
  </w:style>
  <w:style w:type="character" w:customStyle="1" w:styleId="281">
    <w:name w:val="textcontents"/>
    <w:qFormat/>
    <w:uiPriority w:val="0"/>
  </w:style>
  <w:style w:type="character" w:customStyle="1" w:styleId="282">
    <w:name w:val="明显引用 Char"/>
    <w:link w:val="283"/>
    <w:qFormat/>
    <w:uiPriority w:val="0"/>
    <w:rPr>
      <w:rFonts w:ascii="Cambria" w:hAnsi="Cambria" w:eastAsia="宋体"/>
      <w:caps/>
      <w:color w:val="622423"/>
      <w:spacing w:val="5"/>
      <w:lang w:val="en-US" w:eastAsia="en-US" w:bidi="en-US"/>
    </w:rPr>
  </w:style>
  <w:style w:type="paragraph" w:customStyle="1" w:styleId="283">
    <w:name w:val="明显引用1"/>
    <w:basedOn w:val="1"/>
    <w:next w:val="1"/>
    <w:link w:val="282"/>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84">
    <w:name w:val="ih151"/>
    <w:qFormat/>
    <w:uiPriority w:val="0"/>
    <w:rPr>
      <w:color w:val="666666"/>
      <w:sz w:val="18"/>
      <w:szCs w:val="18"/>
      <w:u w:val="none"/>
    </w:rPr>
  </w:style>
  <w:style w:type="character" w:customStyle="1" w:styleId="285">
    <w:name w:val="content_lineheight1"/>
    <w:qFormat/>
    <w:uiPriority w:val="0"/>
  </w:style>
  <w:style w:type="character" w:customStyle="1" w:styleId="286">
    <w:name w:val="标题 3 Char1"/>
    <w:qFormat/>
    <w:uiPriority w:val="0"/>
    <w:rPr>
      <w:rFonts w:eastAsia="宋体"/>
      <w:b/>
      <w:bCs/>
      <w:sz w:val="32"/>
      <w:szCs w:val="32"/>
      <w:lang w:val="en-US" w:eastAsia="zh-CN" w:bidi="ar-SA"/>
    </w:rPr>
  </w:style>
  <w:style w:type="character" w:customStyle="1" w:styleId="287">
    <w:name w:val="apple-style-span"/>
    <w:qFormat/>
    <w:uiPriority w:val="0"/>
  </w:style>
  <w:style w:type="character" w:customStyle="1" w:styleId="28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89">
    <w:name w:val="样式 宋体"/>
    <w:qFormat/>
    <w:uiPriority w:val="0"/>
    <w:rPr>
      <w:rFonts w:ascii="宋体" w:hAnsi="宋体" w:eastAsia="宋体"/>
      <w:sz w:val="24"/>
      <w:szCs w:val="24"/>
    </w:rPr>
  </w:style>
  <w:style w:type="character" w:customStyle="1" w:styleId="290">
    <w:name w:val="Title1 Char"/>
    <w:qFormat/>
    <w:uiPriority w:val="0"/>
    <w:rPr>
      <w:rFonts w:eastAsia="宋体"/>
      <w:b/>
      <w:bCs/>
      <w:sz w:val="44"/>
      <w:szCs w:val="44"/>
      <w:lang w:val="en-US" w:eastAsia="zh-CN" w:bidi="ar-SA"/>
    </w:rPr>
  </w:style>
  <w:style w:type="character" w:customStyle="1" w:styleId="291">
    <w:name w:val="1page sec3 Char1"/>
    <w:qFormat/>
    <w:uiPriority w:val="0"/>
    <w:rPr>
      <w:sz w:val="18"/>
      <w:szCs w:val="18"/>
    </w:rPr>
  </w:style>
  <w:style w:type="character" w:customStyle="1" w:styleId="292">
    <w:name w:val="小四 段落 宋体 Char Char Char1"/>
    <w:qFormat/>
    <w:uiPriority w:val="0"/>
    <w:rPr>
      <w:rFonts w:ascii="宋体" w:hAnsi="宋体" w:eastAsia="宋体"/>
      <w:sz w:val="24"/>
      <w:szCs w:val="24"/>
      <w:lang w:val="en-US" w:eastAsia="zh-CN" w:bidi="ar-SA"/>
    </w:rPr>
  </w:style>
  <w:style w:type="character" w:customStyle="1" w:styleId="293">
    <w:name w:val="小四 段落 宋体 Char Char Char Char Char Char Char Char"/>
    <w:qFormat/>
    <w:uiPriority w:val="0"/>
    <w:rPr>
      <w:rFonts w:eastAsia="宋体"/>
      <w:sz w:val="24"/>
      <w:szCs w:val="24"/>
      <w:lang w:val="en-US" w:eastAsia="zh-CN" w:bidi="ar-SA"/>
    </w:rPr>
  </w:style>
  <w:style w:type="character" w:customStyle="1" w:styleId="294">
    <w:name w:val="Heading 2 Char"/>
    <w:qFormat/>
    <w:uiPriority w:val="0"/>
    <w:rPr>
      <w:rFonts w:ascii="Calibri Light" w:hAnsi="Calibri Light" w:eastAsia="宋体" w:cs="Times New Roman"/>
      <w:b/>
      <w:bCs/>
      <w:sz w:val="32"/>
      <w:szCs w:val="32"/>
    </w:rPr>
  </w:style>
  <w:style w:type="character" w:customStyle="1" w:styleId="295">
    <w:name w:val="小四 段落 宋体 Char Char Char Char1"/>
    <w:qFormat/>
    <w:uiPriority w:val="0"/>
    <w:rPr>
      <w:rFonts w:eastAsia="宋体"/>
      <w:sz w:val="24"/>
      <w:szCs w:val="24"/>
      <w:lang w:val="en-US" w:eastAsia="zh-CN" w:bidi="ar-SA"/>
    </w:rPr>
  </w:style>
  <w:style w:type="character" w:customStyle="1" w:styleId="296">
    <w:name w:val="标题 3 Char"/>
    <w:qFormat/>
    <w:uiPriority w:val="0"/>
    <w:rPr>
      <w:rFonts w:eastAsia="仿宋_GB2312"/>
      <w:b/>
      <w:bCs/>
      <w:sz w:val="28"/>
      <w:szCs w:val="32"/>
      <w:lang w:val="en-US" w:eastAsia="zh-CN" w:bidi="ar-SA"/>
    </w:rPr>
  </w:style>
  <w:style w:type="character" w:customStyle="1" w:styleId="297">
    <w:name w:val="标准小四 Char Char"/>
    <w:qFormat/>
    <w:uiPriority w:val="0"/>
    <w:rPr>
      <w:rFonts w:ascii="Arial" w:hAnsi="Arial" w:eastAsia="宋体"/>
      <w:sz w:val="24"/>
      <w:szCs w:val="21"/>
      <w:lang w:val="en-US" w:eastAsia="zh-CN" w:bidi="ar-SA"/>
    </w:rPr>
  </w:style>
  <w:style w:type="character" w:customStyle="1" w:styleId="298">
    <w:name w:val="subtitle1"/>
    <w:qFormat/>
    <w:uiPriority w:val="0"/>
    <w:rPr>
      <w:rFonts w:ascii="Georgia" w:hAnsi="Georgia"/>
      <w:b/>
      <w:bCs/>
      <w:color w:val="666666"/>
      <w:sz w:val="18"/>
      <w:szCs w:val="18"/>
    </w:rPr>
  </w:style>
  <w:style w:type="character" w:customStyle="1" w:styleId="299">
    <w:name w:val="标准文本 Char Char"/>
    <w:qFormat/>
    <w:uiPriority w:val="0"/>
    <w:rPr>
      <w:rFonts w:eastAsia="宋体" w:cs="宋体"/>
      <w:sz w:val="24"/>
      <w:szCs w:val="24"/>
      <w:lang w:val="en-US" w:eastAsia="zh-CN" w:bidi="ar-SA"/>
    </w:rPr>
  </w:style>
  <w:style w:type="character" w:customStyle="1" w:styleId="300">
    <w:name w:val="3zw"/>
    <w:qFormat/>
    <w:uiPriority w:val="0"/>
  </w:style>
  <w:style w:type="character" w:customStyle="1" w:styleId="301">
    <w:name w:val="t1"/>
    <w:qFormat/>
    <w:uiPriority w:val="0"/>
  </w:style>
  <w:style w:type="character" w:customStyle="1" w:styleId="302">
    <w:name w:val="H2 Char1"/>
    <w:qFormat/>
    <w:uiPriority w:val="0"/>
    <w:rPr>
      <w:rFonts w:ascii="Arial" w:hAnsi="Arial" w:eastAsia="黑体"/>
      <w:b/>
      <w:bCs/>
      <w:sz w:val="32"/>
      <w:szCs w:val="32"/>
      <w:lang w:val="en-US" w:eastAsia="zh-CN" w:bidi="ar-SA"/>
    </w:rPr>
  </w:style>
  <w:style w:type="character" w:customStyle="1" w:styleId="303">
    <w:name w:val="2nd level Char"/>
    <w:qFormat/>
    <w:uiPriority w:val="0"/>
    <w:rPr>
      <w:rFonts w:ascii="Arial" w:hAnsi="Arial" w:eastAsia="黑体"/>
      <w:b/>
      <w:bCs/>
      <w:sz w:val="32"/>
      <w:szCs w:val="32"/>
      <w:lang w:val="en-US" w:eastAsia="zh-CN" w:bidi="ar-SA"/>
    </w:rPr>
  </w:style>
  <w:style w:type="character" w:customStyle="1" w:styleId="304">
    <w:name w:val="Footer Char"/>
    <w:qFormat/>
    <w:uiPriority w:val="0"/>
    <w:rPr>
      <w:rFonts w:cs="Times New Roman"/>
      <w:sz w:val="18"/>
      <w:szCs w:val="18"/>
    </w:rPr>
  </w:style>
  <w:style w:type="character" w:customStyle="1" w:styleId="305">
    <w:name w:val="副标题 字符1"/>
    <w:qFormat/>
    <w:uiPriority w:val="0"/>
    <w:rPr>
      <w:rFonts w:ascii="Cambria" w:hAnsi="Cambria"/>
      <w:sz w:val="24"/>
      <w:szCs w:val="24"/>
    </w:rPr>
  </w:style>
  <w:style w:type="paragraph" w:customStyle="1" w:styleId="306">
    <w:name w:val="p16"/>
    <w:basedOn w:val="1"/>
    <w:qFormat/>
    <w:uiPriority w:val="0"/>
    <w:pPr>
      <w:widowControl/>
      <w:ind w:left="720"/>
      <w:jc w:val="left"/>
    </w:pPr>
    <w:rPr>
      <w:rFonts w:ascii="Arial" w:hAnsi="Arial" w:cs="Arial"/>
      <w:sz w:val="24"/>
    </w:rPr>
  </w:style>
  <w:style w:type="paragraph" w:customStyle="1" w:styleId="307">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0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309">
    <w:name w:val="华宇段落1 Char"/>
    <w:basedOn w:val="1"/>
    <w:qFormat/>
    <w:uiPriority w:val="0"/>
    <w:pPr>
      <w:spacing w:line="360" w:lineRule="auto"/>
      <w:ind w:firstLine="200"/>
    </w:pPr>
    <w:rPr>
      <w:bCs/>
      <w:sz w:val="24"/>
    </w:rPr>
  </w:style>
  <w:style w:type="paragraph" w:customStyle="1" w:styleId="31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1">
    <w:name w:val="样式 样式 首行缩进:  2 字符 + 行距: 1.5 倍行距"/>
    <w:basedOn w:val="1"/>
    <w:qFormat/>
    <w:uiPriority w:val="0"/>
    <w:pPr>
      <w:spacing w:line="360" w:lineRule="auto"/>
      <w:ind w:firstLine="470"/>
    </w:pPr>
    <w:rPr>
      <w:sz w:val="24"/>
      <w:szCs w:val="20"/>
    </w:rPr>
  </w:style>
  <w:style w:type="paragraph" w:customStyle="1" w:styleId="31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3">
    <w:name w:val="1"/>
    <w:basedOn w:val="1"/>
    <w:next w:val="235"/>
    <w:qFormat/>
    <w:uiPriority w:val="0"/>
    <w:pPr>
      <w:spacing w:line="360" w:lineRule="auto"/>
    </w:pPr>
    <w:rPr>
      <w:rFonts w:eastAsia="仿宋_GB2312"/>
      <w:sz w:val="24"/>
    </w:rPr>
  </w:style>
  <w:style w:type="paragraph" w:customStyle="1" w:styleId="314">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15">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6">
    <w:name w:val="z-窗体底端1"/>
    <w:basedOn w:val="1"/>
    <w:next w:val="1"/>
    <w:qFormat/>
    <w:uiPriority w:val="0"/>
    <w:pPr>
      <w:widowControl/>
      <w:pBdr>
        <w:top w:val="single" w:color="000000" w:sz="6" w:space="1"/>
      </w:pBdr>
      <w:jc w:val="center"/>
    </w:pPr>
    <w:rPr>
      <w:rFonts w:ascii="Arial" w:hAnsi="Arial" w:cs="Arial"/>
      <w:vanish/>
      <w:sz w:val="16"/>
      <w:szCs w:val="16"/>
    </w:rPr>
  </w:style>
  <w:style w:type="paragraph" w:customStyle="1" w:styleId="31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18">
    <w:name w:val="正文 + 宋体"/>
    <w:basedOn w:val="1"/>
    <w:qFormat/>
    <w:uiPriority w:val="0"/>
    <w:pPr>
      <w:spacing w:line="360" w:lineRule="auto"/>
      <w:ind w:firstLine="420"/>
    </w:pPr>
  </w:style>
  <w:style w:type="paragraph" w:customStyle="1" w:styleId="319">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20">
    <w:name w:val="flName"/>
    <w:basedOn w:val="321"/>
    <w:qFormat/>
    <w:uiPriority w:val="0"/>
    <w:pPr>
      <w:spacing w:before="0" w:line="113" w:lineRule="atLeast"/>
    </w:pPr>
  </w:style>
  <w:style w:type="paragraph" w:customStyle="1" w:styleId="321">
    <w:name w:val="flNote"/>
    <w:basedOn w:val="1"/>
    <w:qFormat/>
    <w:uiPriority w:val="0"/>
    <w:pPr>
      <w:spacing w:before="567" w:line="360" w:lineRule="atLeast"/>
      <w:jc w:val="center"/>
    </w:pPr>
    <w:rPr>
      <w:rFonts w:eastAsia="黑体"/>
      <w:b/>
      <w:sz w:val="24"/>
      <w:szCs w:val="20"/>
    </w:rPr>
  </w:style>
  <w:style w:type="paragraph" w:customStyle="1" w:styleId="322">
    <w:name w:val="标题 4宋体"/>
    <w:basedOn w:val="187"/>
    <w:qFormat/>
    <w:uiPriority w:val="0"/>
    <w:pPr>
      <w:keepLines w:val="0"/>
      <w:spacing w:before="0" w:after="0" w:line="360" w:lineRule="auto"/>
      <w:jc w:val="left"/>
    </w:pPr>
    <w:rPr>
      <w:rFonts w:ascii="宋体" w:hAnsi="宋体" w:eastAsia="宋体"/>
      <w:bCs/>
      <w:color w:val="000000"/>
      <w:sz w:val="24"/>
    </w:rPr>
  </w:style>
  <w:style w:type="paragraph" w:customStyle="1" w:styleId="323">
    <w:name w:val="Char Char Char Char Char Char Char Char Char Char Char"/>
    <w:basedOn w:val="1"/>
    <w:qFormat/>
    <w:uiPriority w:val="0"/>
    <w:rPr>
      <w:rFonts w:ascii="Tahoma" w:hAnsi="Tahoma"/>
      <w:sz w:val="24"/>
      <w:szCs w:val="20"/>
    </w:rPr>
  </w:style>
  <w:style w:type="paragraph" w:customStyle="1" w:styleId="324">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18"/>
      <w:szCs w:val="18"/>
    </w:rPr>
  </w:style>
  <w:style w:type="paragraph" w:customStyle="1" w:styleId="325">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32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7">
    <w:name w:val="章标题"/>
    <w:next w:val="308"/>
    <w:qFormat/>
    <w:uiPriority w:val="0"/>
    <w:pPr>
      <w:jc w:val="both"/>
      <w:outlineLvl w:val="1"/>
    </w:pPr>
    <w:rPr>
      <w:rFonts w:ascii="Times New Roman" w:hAnsi="Times New Roman" w:eastAsia="黑体" w:cs="Times New Roman"/>
      <w:sz w:val="21"/>
      <w:lang w:val="en-US" w:eastAsia="zh-CN" w:bidi="ar-SA"/>
    </w:rPr>
  </w:style>
  <w:style w:type="paragraph" w:customStyle="1" w:styleId="328">
    <w:name w:val="样式2"/>
    <w:basedOn w:val="1"/>
    <w:qFormat/>
    <w:uiPriority w:val="0"/>
    <w:pPr>
      <w:spacing w:line="360" w:lineRule="auto"/>
      <w:ind w:left="200"/>
    </w:pPr>
    <w:rPr>
      <w:rFonts w:ascii="宋体" w:hAnsi="宋体"/>
      <w:b/>
      <w:sz w:val="24"/>
    </w:rPr>
  </w:style>
  <w:style w:type="paragraph" w:customStyle="1" w:styleId="329">
    <w:name w:val="表头_5"/>
    <w:basedOn w:val="1"/>
    <w:qFormat/>
    <w:uiPriority w:val="0"/>
    <w:pPr>
      <w:spacing w:line="360" w:lineRule="auto"/>
    </w:pPr>
    <w:rPr>
      <w:b/>
      <w:bCs/>
      <w:sz w:val="28"/>
      <w:szCs w:val="21"/>
    </w:rPr>
  </w:style>
  <w:style w:type="paragraph" w:customStyle="1" w:styleId="330">
    <w:name w:val="符号与编号 Char Char"/>
    <w:basedOn w:val="1"/>
    <w:qFormat/>
    <w:uiPriority w:val="0"/>
    <w:pPr>
      <w:tabs>
        <w:tab w:val="left" w:pos="840"/>
      </w:tabs>
      <w:spacing w:line="400" w:lineRule="atLeast"/>
      <w:ind w:left="839" w:hanging="419"/>
    </w:pPr>
    <w:rPr>
      <w:sz w:val="24"/>
    </w:rPr>
  </w:style>
  <w:style w:type="paragraph" w:customStyle="1" w:styleId="331">
    <w:name w:val="段落"/>
    <w:qFormat/>
    <w:uiPriority w:val="0"/>
    <w:pPr>
      <w:spacing w:before="120" w:after="120" w:line="360" w:lineRule="auto"/>
      <w:ind w:firstLine="480"/>
      <w:jc w:val="both"/>
    </w:pPr>
    <w:rPr>
      <w:rFonts w:ascii="Times New Roman" w:hAnsi="Times New Roman" w:eastAsia="仿宋_GB2312" w:cs="Times New Roman"/>
      <w:sz w:val="24"/>
      <w:szCs w:val="24"/>
      <w:lang w:val="en-US" w:eastAsia="zh-CN" w:bidi="ar-SA"/>
    </w:rPr>
  </w:style>
  <w:style w:type="paragraph" w:customStyle="1" w:styleId="332">
    <w:name w:val="标准小四"/>
    <w:basedOn w:val="1"/>
    <w:qFormat/>
    <w:uiPriority w:val="0"/>
    <w:pPr>
      <w:spacing w:line="360" w:lineRule="auto"/>
      <w:ind w:firstLine="480"/>
    </w:pPr>
    <w:rPr>
      <w:rFonts w:ascii="Arial" w:hAnsi="Arial"/>
      <w:sz w:val="24"/>
      <w:szCs w:val="21"/>
    </w:rPr>
  </w:style>
  <w:style w:type="paragraph" w:customStyle="1" w:styleId="333">
    <w:name w:val="标题1，章节第一层"/>
    <w:basedOn w:val="319"/>
    <w:next w:val="319"/>
    <w:qFormat/>
    <w:uiPriority w:val="0"/>
    <w:pPr>
      <w:tabs>
        <w:tab w:val="left" w:pos="693"/>
      </w:tabs>
      <w:ind w:left="272" w:hanging="272"/>
      <w:jc w:val="center"/>
      <w:outlineLvl w:val="0"/>
    </w:pPr>
    <w:rPr>
      <w:rFonts w:eastAsia="黑体"/>
      <w:color w:val="000000"/>
      <w:sz w:val="32"/>
      <w:szCs w:val="24"/>
      <w:lang w:val="zh-CN"/>
    </w:rPr>
  </w:style>
  <w:style w:type="paragraph" w:customStyle="1" w:styleId="334">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35">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36">
    <w:name w:val="Char Char Char Char Char Char Char Char Char Char Char Char Char Char"/>
    <w:basedOn w:val="1"/>
    <w:qFormat/>
    <w:uiPriority w:val="0"/>
    <w:rPr>
      <w:rFonts w:ascii="Tahoma" w:hAnsi="Tahoma"/>
      <w:sz w:val="24"/>
      <w:szCs w:val="20"/>
    </w:rPr>
  </w:style>
  <w:style w:type="paragraph" w:customStyle="1" w:styleId="337">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38">
    <w:name w:val="小四 段落 宋体 Char"/>
    <w:basedOn w:val="203"/>
    <w:qFormat/>
    <w:uiPriority w:val="0"/>
    <w:pPr>
      <w:tabs>
        <w:tab w:val="clear" w:pos="2952"/>
      </w:tabs>
      <w:ind w:left="0" w:right="-33" w:firstLine="600"/>
      <w:jc w:val="left"/>
    </w:pPr>
    <w:rPr>
      <w:rFonts w:ascii="仿宋_GB2312" w:eastAsia="仿宋_GB2312"/>
      <w:sz w:val="30"/>
      <w:szCs w:val="30"/>
    </w:rPr>
  </w:style>
  <w:style w:type="paragraph" w:customStyle="1" w:styleId="339">
    <w:name w:val="正文 首行缩进:  2 字符 Char"/>
    <w:basedOn w:val="1"/>
    <w:qFormat/>
    <w:uiPriority w:val="0"/>
    <w:pPr>
      <w:spacing w:line="360" w:lineRule="auto"/>
      <w:ind w:firstLine="480"/>
    </w:pPr>
    <w:rPr>
      <w:rFonts w:cs="宋体"/>
      <w:sz w:val="24"/>
      <w:szCs w:val="20"/>
    </w:rPr>
  </w:style>
  <w:style w:type="paragraph" w:customStyle="1" w:styleId="340">
    <w:name w:val="7"/>
    <w:basedOn w:val="1"/>
    <w:next w:val="237"/>
    <w:qFormat/>
    <w:uiPriority w:val="0"/>
    <w:pPr>
      <w:widowControl/>
      <w:spacing w:before="100" w:beforeAutospacing="1" w:after="100" w:afterAutospacing="1"/>
      <w:jc w:val="left"/>
    </w:pPr>
    <w:rPr>
      <w:rFonts w:ascii="宋体" w:hAnsi="宋体"/>
      <w:sz w:val="24"/>
      <w:szCs w:val="20"/>
    </w:rPr>
  </w:style>
  <w:style w:type="paragraph" w:customStyle="1" w:styleId="341">
    <w:name w:val="列出段落1"/>
    <w:basedOn w:val="1"/>
    <w:qFormat/>
    <w:uiPriority w:val="0"/>
    <w:pPr>
      <w:ind w:firstLine="420"/>
    </w:pPr>
    <w:rPr>
      <w:rFonts w:ascii="Calibri" w:hAnsi="Calibri"/>
      <w:szCs w:val="22"/>
    </w:rPr>
  </w:style>
  <w:style w:type="paragraph" w:customStyle="1" w:styleId="342">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43">
    <w:name w:val="项目符号，二级"/>
    <w:basedOn w:val="319"/>
    <w:next w:val="319"/>
    <w:qFormat/>
    <w:uiPriority w:val="0"/>
    <w:pPr>
      <w:tabs>
        <w:tab w:val="left" w:pos="1211"/>
        <w:tab w:val="left" w:pos="1337"/>
      </w:tabs>
      <w:ind w:left="1337" w:right="-27" w:firstLine="480"/>
    </w:pPr>
    <w:rPr>
      <w:bCs w:val="0"/>
      <w:color w:val="000000"/>
      <w:sz w:val="24"/>
      <w:szCs w:val="24"/>
    </w:rPr>
  </w:style>
  <w:style w:type="paragraph" w:customStyle="1" w:styleId="344">
    <w:name w:val="项目符号，一级"/>
    <w:basedOn w:val="319"/>
    <w:next w:val="319"/>
    <w:qFormat/>
    <w:uiPriority w:val="0"/>
    <w:pPr>
      <w:tabs>
        <w:tab w:val="left" w:pos="1320"/>
      </w:tabs>
      <w:spacing w:line="240" w:lineRule="atLeast"/>
      <w:ind w:left="376" w:firstLine="0"/>
    </w:pPr>
    <w:rPr>
      <w:bCs w:val="0"/>
      <w:color w:val="000000"/>
      <w:szCs w:val="24"/>
    </w:rPr>
  </w:style>
  <w:style w:type="paragraph" w:customStyle="1" w:styleId="345">
    <w:name w:val="样式1"/>
    <w:basedOn w:val="1"/>
    <w:qFormat/>
    <w:uiPriority w:val="0"/>
    <w:pPr>
      <w:spacing w:line="300" w:lineRule="auto"/>
      <w:ind w:firstLine="480"/>
    </w:pPr>
    <w:rPr>
      <w:sz w:val="24"/>
    </w:rPr>
  </w:style>
  <w:style w:type="paragraph" w:customStyle="1" w:styleId="346">
    <w:name w:val="样式 标题 2第一章 标题 2Heading 2 HiddenHeading 2 CCBSheading 2H2h2..."/>
    <w:basedOn w:val="185"/>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347">
    <w:name w:val="Char Char Char Char Char Char Char"/>
    <w:basedOn w:val="1"/>
    <w:qFormat/>
    <w:uiPriority w:val="0"/>
    <w:rPr>
      <w:rFonts w:ascii="Tahoma" w:hAnsi="Tahoma"/>
      <w:sz w:val="24"/>
      <w:szCs w:val="20"/>
    </w:rPr>
  </w:style>
  <w:style w:type="paragraph" w:customStyle="1" w:styleId="348">
    <w:name w:val="默认段落字体 Para Char Char Char Char Char Char Char"/>
    <w:basedOn w:val="1"/>
    <w:qFormat/>
    <w:uiPriority w:val="0"/>
    <w:rPr>
      <w:rFonts w:ascii="Tahoma" w:hAnsi="Tahoma"/>
      <w:sz w:val="24"/>
      <w:szCs w:val="20"/>
    </w:rPr>
  </w:style>
  <w:style w:type="paragraph" w:customStyle="1" w:styleId="34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50">
    <w:name w:val="Char Char Char Char Char Char Char Char Char Char Char Char Char Char Char Char Char Char Char Char Char"/>
    <w:basedOn w:val="1"/>
    <w:qFormat/>
    <w:uiPriority w:val="0"/>
    <w:rPr>
      <w:rFonts w:ascii="Tahoma" w:hAnsi="Tahoma"/>
      <w:sz w:val="24"/>
      <w:szCs w:val="20"/>
    </w:rPr>
  </w:style>
  <w:style w:type="paragraph" w:customStyle="1" w:styleId="351">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2">
    <w:name w:val="正文 居中"/>
    <w:basedOn w:val="1"/>
    <w:qFormat/>
    <w:uiPriority w:val="0"/>
    <w:pPr>
      <w:spacing w:line="360" w:lineRule="auto"/>
      <w:jc w:val="center"/>
    </w:pPr>
    <w:rPr>
      <w:sz w:val="24"/>
      <w:szCs w:val="20"/>
    </w:rPr>
  </w:style>
  <w:style w:type="paragraph" w:customStyle="1" w:styleId="353">
    <w:name w:val="Char Char Char1"/>
    <w:basedOn w:val="1"/>
    <w:qFormat/>
    <w:uiPriority w:val="0"/>
    <w:rPr>
      <w:rFonts w:ascii="Tahoma" w:hAnsi="Tahoma"/>
      <w:sz w:val="24"/>
      <w:szCs w:val="20"/>
    </w:rPr>
  </w:style>
  <w:style w:type="paragraph" w:customStyle="1" w:styleId="354">
    <w:name w:val="宏图高科"/>
    <w:basedOn w:val="1"/>
    <w:qFormat/>
    <w:uiPriority w:val="0"/>
    <w:pPr>
      <w:spacing w:line="360" w:lineRule="auto"/>
      <w:ind w:firstLine="480"/>
    </w:pPr>
    <w:rPr>
      <w:rFonts w:eastAsia="楷体_GB2312"/>
      <w:sz w:val="24"/>
      <w:szCs w:val="20"/>
    </w:rPr>
  </w:style>
  <w:style w:type="paragraph" w:customStyle="1" w:styleId="355">
    <w:name w:val="小四 段落 宋体 Char Char Char Char"/>
    <w:basedOn w:val="1"/>
    <w:qFormat/>
    <w:uiPriority w:val="0"/>
    <w:pPr>
      <w:spacing w:line="360" w:lineRule="auto"/>
      <w:ind w:right="-33" w:firstLine="480"/>
      <w:jc w:val="left"/>
    </w:pPr>
    <w:rPr>
      <w:sz w:val="24"/>
    </w:rPr>
  </w:style>
  <w:style w:type="paragraph" w:customStyle="1" w:styleId="356">
    <w:name w:val="tableau"/>
    <w:basedOn w:val="1"/>
    <w:qFormat/>
    <w:uiPriority w:val="0"/>
    <w:pPr>
      <w:widowControl/>
      <w:spacing w:before="20" w:after="20"/>
      <w:jc w:val="center"/>
    </w:pPr>
    <w:rPr>
      <w:rFonts w:ascii="Arial" w:hAnsi="Arial"/>
      <w:sz w:val="16"/>
      <w:szCs w:val="20"/>
      <w:lang w:val="en-GB" w:eastAsia="en-US"/>
    </w:rPr>
  </w:style>
  <w:style w:type="paragraph" w:customStyle="1" w:styleId="357">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58">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59">
    <w:name w:val="Char Char Char Char Char Char Char Char Char1"/>
    <w:basedOn w:val="1"/>
    <w:qFormat/>
    <w:uiPriority w:val="0"/>
    <w:pPr>
      <w:tabs>
        <w:tab w:val="left" w:pos="360"/>
      </w:tabs>
      <w:ind w:left="360" w:hanging="360"/>
    </w:pPr>
    <w:rPr>
      <w:sz w:val="24"/>
    </w:rPr>
  </w:style>
  <w:style w:type="paragraph" w:customStyle="1" w:styleId="360">
    <w:name w:val="项目符号：一级"/>
    <w:basedOn w:val="319"/>
    <w:next w:val="319"/>
    <w:qFormat/>
    <w:uiPriority w:val="0"/>
    <w:pPr>
      <w:ind w:right="-134"/>
    </w:pPr>
    <w:rPr>
      <w:bCs w:val="0"/>
    </w:rPr>
  </w:style>
  <w:style w:type="paragraph" w:customStyle="1" w:styleId="361">
    <w:name w:val="正文缩进2字符"/>
    <w:basedOn w:val="1"/>
    <w:qFormat/>
    <w:uiPriority w:val="0"/>
    <w:pPr>
      <w:spacing w:line="300" w:lineRule="auto"/>
      <w:ind w:firstLine="200"/>
    </w:pPr>
    <w:rPr>
      <w:rFonts w:ascii="仿宋_GB2312" w:eastAsia="仿宋_GB2312"/>
      <w:sz w:val="32"/>
      <w:szCs w:val="32"/>
    </w:rPr>
  </w:style>
  <w:style w:type="paragraph" w:customStyle="1" w:styleId="362">
    <w:name w:val="font6"/>
    <w:basedOn w:val="1"/>
    <w:qFormat/>
    <w:uiPriority w:val="0"/>
    <w:pPr>
      <w:widowControl/>
      <w:spacing w:before="100" w:beforeAutospacing="1" w:after="100" w:afterAutospacing="1"/>
      <w:jc w:val="left"/>
    </w:pPr>
    <w:rPr>
      <w:szCs w:val="21"/>
    </w:rPr>
  </w:style>
  <w:style w:type="paragraph" w:customStyle="1" w:styleId="363">
    <w:name w:val="标题3，章节第三层"/>
    <w:basedOn w:val="1"/>
    <w:next w:val="319"/>
    <w:qFormat/>
    <w:uiPriority w:val="0"/>
    <w:pPr>
      <w:spacing w:before="78" w:line="300" w:lineRule="auto"/>
      <w:outlineLvl w:val="2"/>
    </w:pPr>
    <w:rPr>
      <w:rFonts w:ascii="Arial" w:hAnsi="Arial" w:eastAsia="华文细黑"/>
      <w:sz w:val="30"/>
    </w:rPr>
  </w:style>
  <w:style w:type="paragraph" w:customStyle="1" w:styleId="364">
    <w:name w:val="表蕊"/>
    <w:basedOn w:val="1"/>
    <w:qFormat/>
    <w:uiPriority w:val="0"/>
    <w:pPr>
      <w:spacing w:line="320" w:lineRule="atLeast"/>
      <w:jc w:val="left"/>
    </w:pPr>
    <w:rPr>
      <w:rFonts w:eastAsia="楷体_GB2312"/>
      <w:spacing w:val="-10"/>
      <w:szCs w:val="20"/>
    </w:rPr>
  </w:style>
  <w:style w:type="paragraph" w:customStyle="1" w:styleId="365">
    <w:name w:val="公文正文"/>
    <w:basedOn w:val="212"/>
    <w:qFormat/>
    <w:uiPriority w:val="0"/>
    <w:pPr>
      <w:spacing w:after="0"/>
      <w:ind w:left="0" w:firstLine="200"/>
    </w:pPr>
    <w:rPr>
      <w:rFonts w:ascii="仿宋_GB2312" w:hAnsi="宋体" w:eastAsia="仿宋_GB2312"/>
      <w:sz w:val="28"/>
    </w:rPr>
  </w:style>
  <w:style w:type="paragraph" w:customStyle="1" w:styleId="366">
    <w:name w:val="样式4 Char"/>
    <w:basedOn w:val="1"/>
    <w:qFormat/>
    <w:uiPriority w:val="0"/>
    <w:pPr>
      <w:widowControl/>
      <w:spacing w:line="360" w:lineRule="auto"/>
      <w:ind w:firstLine="480"/>
      <w:jc w:val="left"/>
    </w:pPr>
    <w:rPr>
      <w:rFonts w:cs="宋体"/>
      <w:color w:val="000000"/>
      <w:sz w:val="24"/>
    </w:rPr>
  </w:style>
  <w:style w:type="paragraph" w:customStyle="1" w:styleId="367">
    <w:name w:val="zw"/>
    <w:basedOn w:val="1"/>
    <w:qFormat/>
    <w:uiPriority w:val="0"/>
    <w:pPr>
      <w:widowControl/>
      <w:spacing w:line="360" w:lineRule="auto"/>
      <w:ind w:firstLine="480"/>
      <w:jc w:val="left"/>
    </w:pPr>
    <w:rPr>
      <w:rFonts w:ascii="宋体" w:hAnsi="宋体"/>
      <w:bCs/>
      <w:sz w:val="24"/>
      <w:szCs w:val="20"/>
    </w:rPr>
  </w:style>
  <w:style w:type="paragraph" w:customStyle="1" w:styleId="368">
    <w:name w:val="retrait3"/>
    <w:basedOn w:val="1"/>
    <w:qFormat/>
    <w:uiPriority w:val="0"/>
    <w:pPr>
      <w:widowControl/>
      <w:spacing w:before="20" w:after="20"/>
      <w:ind w:left="851"/>
      <w:jc w:val="left"/>
    </w:pPr>
    <w:rPr>
      <w:rFonts w:ascii="Arial" w:hAnsi="Arial"/>
      <w:sz w:val="24"/>
      <w:szCs w:val="20"/>
      <w:lang w:val="en-GB"/>
    </w:rPr>
  </w:style>
  <w:style w:type="paragraph" w:customStyle="1" w:styleId="369">
    <w:name w:val="Char2"/>
    <w:basedOn w:val="205"/>
    <w:qFormat/>
    <w:uiPriority w:val="0"/>
    <w:rPr>
      <w:rFonts w:ascii="Tahoma" w:hAnsi="Tahoma"/>
      <w:sz w:val="24"/>
    </w:rPr>
  </w:style>
  <w:style w:type="paragraph" w:customStyle="1" w:styleId="370">
    <w:name w:val="方案正文"/>
    <w:basedOn w:val="1"/>
    <w:qFormat/>
    <w:uiPriority w:val="0"/>
    <w:pPr>
      <w:spacing w:before="156" w:line="360" w:lineRule="auto"/>
      <w:ind w:firstLine="359"/>
      <w:jc w:val="left"/>
    </w:pPr>
    <w:rPr>
      <w:rFonts w:ascii="Arial" w:hAnsi="Arial" w:cs="宋体"/>
      <w:sz w:val="24"/>
      <w:szCs w:val="21"/>
    </w:rPr>
  </w:style>
  <w:style w:type="paragraph" w:customStyle="1" w:styleId="371">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72">
    <w:name w:val="小四 段落 宋体 Char Char Char"/>
    <w:basedOn w:val="203"/>
    <w:qFormat/>
    <w:uiPriority w:val="0"/>
    <w:pPr>
      <w:tabs>
        <w:tab w:val="clear" w:pos="2952"/>
      </w:tabs>
      <w:spacing w:line="360" w:lineRule="auto"/>
      <w:ind w:left="0" w:right="-33" w:firstLine="545"/>
      <w:jc w:val="left"/>
    </w:pPr>
    <w:rPr>
      <w:sz w:val="24"/>
    </w:rPr>
  </w:style>
  <w:style w:type="paragraph" w:customStyle="1" w:styleId="373">
    <w:name w:val="文档正文"/>
    <w:basedOn w:val="1"/>
    <w:qFormat/>
    <w:uiPriority w:val="0"/>
    <w:pPr>
      <w:spacing w:line="360" w:lineRule="auto"/>
    </w:pPr>
    <w:rPr>
      <w:rFonts w:ascii="宋体" w:hAnsi="宋体"/>
      <w:b/>
      <w:bCs/>
    </w:rPr>
  </w:style>
  <w:style w:type="paragraph" w:customStyle="1" w:styleId="374">
    <w:name w:val="丁华标题2"/>
    <w:basedOn w:val="185"/>
    <w:next w:val="375"/>
    <w:qFormat/>
    <w:uiPriority w:val="0"/>
    <w:pPr>
      <w:tabs>
        <w:tab w:val="left" w:pos="567"/>
      </w:tabs>
      <w:spacing w:before="120" w:after="120"/>
      <w:ind w:left="567" w:hanging="567"/>
      <w:jc w:val="left"/>
    </w:pPr>
    <w:rPr>
      <w:color w:val="000000"/>
      <w:sz w:val="28"/>
      <w:szCs w:val="20"/>
    </w:rPr>
  </w:style>
  <w:style w:type="paragraph" w:customStyle="1" w:styleId="375">
    <w:name w:val="丁华正文"/>
    <w:basedOn w:val="233"/>
    <w:qFormat/>
    <w:uiPriority w:val="0"/>
    <w:pPr>
      <w:spacing w:before="0" w:after="0" w:line="360" w:lineRule="auto"/>
      <w:ind w:left="0" w:firstLine="510"/>
    </w:pPr>
    <w:rPr>
      <w:rFonts w:ascii="宋体" w:hAnsi="Arial"/>
      <w:bCs w:val="0"/>
      <w:color w:val="000000"/>
      <w:szCs w:val="16"/>
    </w:rPr>
  </w:style>
  <w:style w:type="paragraph" w:customStyle="1" w:styleId="376">
    <w:name w:val="表格内容"/>
    <w:basedOn w:val="1"/>
    <w:qFormat/>
    <w:uiPriority w:val="0"/>
    <w:pPr>
      <w:widowControl/>
      <w:spacing w:before="60" w:line="300" w:lineRule="auto"/>
      <w:jc w:val="center"/>
    </w:pPr>
    <w:rPr>
      <w:szCs w:val="20"/>
    </w:rPr>
  </w:style>
  <w:style w:type="paragraph" w:customStyle="1" w:styleId="377">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378">
    <w:name w:val="正文表标题"/>
    <w:next w:val="308"/>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9">
    <w:name w:val="列出段落11"/>
    <w:basedOn w:val="1"/>
    <w:qFormat/>
    <w:uiPriority w:val="0"/>
    <w:pPr>
      <w:widowControl/>
      <w:ind w:left="720"/>
      <w:contextualSpacing/>
      <w:jc w:val="left"/>
    </w:pPr>
    <w:rPr>
      <w:rFonts w:ascii="Arial" w:hAnsi="Arial" w:eastAsia="黑体"/>
      <w:sz w:val="24"/>
      <w:lang w:eastAsia="en-US"/>
    </w:rPr>
  </w:style>
  <w:style w:type="paragraph" w:customStyle="1" w:styleId="380">
    <w:name w:val="正文--表格内正文"/>
    <w:basedOn w:val="1"/>
    <w:qFormat/>
    <w:uiPriority w:val="0"/>
    <w:pPr>
      <w:spacing w:line="0" w:lineRule="atLeast"/>
      <w:jc w:val="center"/>
    </w:pPr>
    <w:rPr>
      <w:rFonts w:ascii="宋体" w:hAnsi="宋体"/>
      <w:color w:val="000000"/>
      <w:sz w:val="24"/>
    </w:rPr>
  </w:style>
  <w:style w:type="paragraph" w:customStyle="1" w:styleId="381">
    <w:name w:val="公文标题 2"/>
    <w:basedOn w:val="1"/>
    <w:next w:val="365"/>
    <w:qFormat/>
    <w:uiPriority w:val="0"/>
    <w:pPr>
      <w:outlineLvl w:val="1"/>
    </w:pPr>
    <w:rPr>
      <w:rFonts w:ascii="仿宋_GB2312" w:hAnsi="宋体" w:eastAsia="仿宋_GB2312"/>
      <w:sz w:val="28"/>
    </w:rPr>
  </w:style>
  <w:style w:type="paragraph" w:customStyle="1" w:styleId="382">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83">
    <w:name w:val="样式 段后: 0.5 行 左  0.75 字符"/>
    <w:basedOn w:val="1"/>
    <w:qFormat/>
    <w:uiPriority w:val="0"/>
    <w:pPr>
      <w:widowControl/>
      <w:spacing w:line="360" w:lineRule="auto"/>
      <w:ind w:firstLine="420"/>
    </w:pPr>
    <w:rPr>
      <w:rFonts w:hAnsi="Arial" w:cs="Arial"/>
      <w:szCs w:val="21"/>
    </w:rPr>
  </w:style>
  <w:style w:type="paragraph" w:customStyle="1" w:styleId="384">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85">
    <w:name w:val="Char1 Char Char Char"/>
    <w:basedOn w:val="1"/>
    <w:qFormat/>
    <w:uiPriority w:val="0"/>
    <w:rPr>
      <w:rFonts w:ascii="Tahoma" w:hAnsi="Tahoma"/>
      <w:sz w:val="24"/>
      <w:szCs w:val="20"/>
    </w:rPr>
  </w:style>
  <w:style w:type="paragraph" w:customStyle="1" w:styleId="386">
    <w:name w:val="z-窗体顶端1"/>
    <w:basedOn w:val="1"/>
    <w:next w:val="1"/>
    <w:qFormat/>
    <w:uiPriority w:val="0"/>
    <w:pPr>
      <w:widowControl/>
      <w:pBdr>
        <w:bottom w:val="single" w:color="000000" w:sz="6" w:space="1"/>
      </w:pBdr>
      <w:jc w:val="center"/>
    </w:pPr>
    <w:rPr>
      <w:rFonts w:ascii="Arial" w:hAnsi="Arial" w:cs="Arial"/>
      <w:vanish/>
      <w:sz w:val="16"/>
      <w:szCs w:val="16"/>
    </w:rPr>
  </w:style>
  <w:style w:type="paragraph" w:customStyle="1" w:styleId="387">
    <w:name w:val="Char Char Char Char Char Char Char1"/>
    <w:basedOn w:val="1"/>
    <w:qFormat/>
    <w:uiPriority w:val="0"/>
    <w:pPr>
      <w:jc w:val="left"/>
    </w:pPr>
    <w:rPr>
      <w:rFonts w:ascii="Tahoma" w:hAnsi="Tahoma"/>
      <w:sz w:val="24"/>
      <w:szCs w:val="20"/>
    </w:rPr>
  </w:style>
  <w:style w:type="paragraph" w:customStyle="1" w:styleId="388">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89">
    <w:name w:val="正文文本 New New"/>
    <w:basedOn w:val="1"/>
    <w:qFormat/>
    <w:uiPriority w:val="0"/>
    <w:pPr>
      <w:widowControl/>
      <w:spacing w:before="60" w:after="60" w:line="360" w:lineRule="auto"/>
      <w:ind w:firstLine="200"/>
    </w:pPr>
    <w:rPr>
      <w:rFonts w:eastAsia="华文楷体"/>
      <w:sz w:val="24"/>
    </w:rPr>
  </w:style>
  <w:style w:type="paragraph" w:customStyle="1" w:styleId="390">
    <w:name w:val="Char Char1 Char Char Char Char1 Char Char Char Char Char Char"/>
    <w:basedOn w:val="1"/>
    <w:qFormat/>
    <w:uiPriority w:val="0"/>
    <w:rPr>
      <w:rFonts w:ascii="Tahoma" w:hAnsi="Tahoma"/>
      <w:sz w:val="24"/>
      <w:szCs w:val="20"/>
    </w:rPr>
  </w:style>
  <w:style w:type="paragraph" w:customStyle="1" w:styleId="391">
    <w:name w:val="表格内文字"/>
    <w:basedOn w:val="1"/>
    <w:qFormat/>
    <w:uiPriority w:val="0"/>
    <w:pPr>
      <w:spacing w:line="300" w:lineRule="atLeast"/>
    </w:pPr>
    <w:rPr>
      <w:sz w:val="18"/>
    </w:rPr>
  </w:style>
  <w:style w:type="paragraph" w:customStyle="1" w:styleId="392">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93">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394">
    <w:name w:val="正文lzq"/>
    <w:basedOn w:val="1"/>
    <w:qFormat/>
    <w:uiPriority w:val="0"/>
    <w:pPr>
      <w:spacing w:line="360" w:lineRule="auto"/>
      <w:ind w:firstLine="480"/>
    </w:pPr>
    <w:rPr>
      <w:sz w:val="24"/>
      <w:szCs w:val="20"/>
    </w:rPr>
  </w:style>
  <w:style w:type="paragraph" w:customStyle="1" w:styleId="395">
    <w:name w:val="标题2，章节第二层"/>
    <w:basedOn w:val="1"/>
    <w:next w:val="319"/>
    <w:qFormat/>
    <w:uiPriority w:val="0"/>
    <w:pPr>
      <w:tabs>
        <w:tab w:val="left" w:pos="630"/>
        <w:tab w:val="left" w:pos="992"/>
      </w:tabs>
      <w:spacing w:before="312" w:after="312" w:line="300" w:lineRule="auto"/>
      <w:ind w:left="992" w:hanging="567"/>
      <w:outlineLvl w:val="1"/>
    </w:pPr>
    <w:rPr>
      <w:rFonts w:ascii="Arial" w:hAnsi="Arial" w:eastAsia="黑体"/>
      <w:sz w:val="28"/>
      <w:lang w:val="zh-CN"/>
    </w:rPr>
  </w:style>
  <w:style w:type="paragraph" w:customStyle="1" w:styleId="396">
    <w:name w:val="目录标题"/>
    <w:basedOn w:val="39"/>
    <w:next w:val="1"/>
    <w:unhideWhenUsed/>
    <w:qFormat/>
    <w:uiPriority w:val="39"/>
    <w:pPr>
      <w:widowControl/>
      <w:spacing w:before="480" w:after="0" w:line="276" w:lineRule="auto"/>
      <w:jc w:val="left"/>
      <w:outlineLvl w:val="9"/>
    </w:pPr>
    <w:rPr>
      <w:rFonts w:ascii="Cambria" w:hAnsi="Cambria"/>
      <w:color w:val="365F91"/>
      <w:sz w:val="28"/>
      <w:szCs w:val="28"/>
    </w:rPr>
  </w:style>
  <w:style w:type="paragraph" w:customStyle="1" w:styleId="397">
    <w:name w:val="Test2"/>
    <w:basedOn w:val="185"/>
    <w:qFormat/>
    <w:uiPriority w:val="0"/>
    <w:pPr>
      <w:widowControl/>
      <w:spacing w:line="480" w:lineRule="exact"/>
      <w:jc w:val="center"/>
    </w:pPr>
    <w:rPr>
      <w:rFonts w:ascii="黑体"/>
      <w:sz w:val="24"/>
      <w:szCs w:val="24"/>
    </w:rPr>
  </w:style>
  <w:style w:type="paragraph" w:customStyle="1" w:styleId="398">
    <w:name w:val="Char Char11"/>
    <w:basedOn w:val="1"/>
    <w:qFormat/>
    <w:uiPriority w:val="0"/>
    <w:rPr>
      <w:rFonts w:ascii="Tahoma" w:hAnsi="Tahoma"/>
      <w:sz w:val="24"/>
      <w:szCs w:val="20"/>
    </w:rPr>
  </w:style>
  <w:style w:type="paragraph" w:customStyle="1" w:styleId="399">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400">
    <w:name w:val="flType"/>
    <w:basedOn w:val="320"/>
    <w:qFormat/>
    <w:uiPriority w:val="0"/>
    <w:pPr>
      <w:spacing w:after="284"/>
    </w:pPr>
    <w:rPr>
      <w:rFonts w:eastAsia="宋体"/>
      <w:b w:val="0"/>
    </w:rPr>
  </w:style>
  <w:style w:type="paragraph" w:customStyle="1" w:styleId="401">
    <w:name w:val="Char Char Char Char Char Char Char Char Char"/>
    <w:basedOn w:val="1"/>
    <w:qFormat/>
    <w:uiPriority w:val="0"/>
    <w:rPr>
      <w:szCs w:val="21"/>
    </w:rPr>
  </w:style>
  <w:style w:type="paragraph" w:customStyle="1" w:styleId="402">
    <w:name w:val="Char"/>
    <w:basedOn w:val="1"/>
    <w:qFormat/>
    <w:uiPriority w:val="0"/>
    <w:pPr>
      <w:spacing w:line="360" w:lineRule="auto"/>
    </w:pPr>
    <w:rPr>
      <w:rFonts w:ascii="Tahoma" w:hAnsi="Tahoma"/>
      <w:sz w:val="24"/>
      <w:szCs w:val="20"/>
    </w:rPr>
  </w:style>
  <w:style w:type="paragraph" w:customStyle="1" w:styleId="403">
    <w:name w:val="a0"/>
    <w:basedOn w:val="1"/>
    <w:qFormat/>
    <w:uiPriority w:val="0"/>
    <w:pPr>
      <w:widowControl/>
      <w:spacing w:before="100" w:beforeAutospacing="1" w:after="100" w:afterAutospacing="1"/>
    </w:pPr>
    <w:rPr>
      <w:rFonts w:ascii="宋体" w:hAnsi="宋体" w:cs="宋体"/>
      <w:sz w:val="24"/>
    </w:rPr>
  </w:style>
  <w:style w:type="paragraph" w:customStyle="1" w:styleId="404">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05">
    <w:name w:val="正文1"/>
    <w:basedOn w:val="1"/>
    <w:next w:val="1"/>
    <w:qFormat/>
    <w:uiPriority w:val="0"/>
    <w:pPr>
      <w:spacing w:before="156" w:line="360" w:lineRule="auto"/>
      <w:ind w:firstLine="510"/>
    </w:pPr>
    <w:rPr>
      <w:sz w:val="24"/>
      <w:szCs w:val="20"/>
    </w:rPr>
  </w:style>
  <w:style w:type="paragraph" w:customStyle="1" w:styleId="406">
    <w:name w:val="a"/>
    <w:basedOn w:val="1"/>
    <w:qFormat/>
    <w:uiPriority w:val="0"/>
    <w:pPr>
      <w:widowControl/>
      <w:spacing w:before="100" w:beforeAutospacing="1" w:after="100" w:afterAutospacing="1"/>
    </w:pPr>
    <w:rPr>
      <w:rFonts w:ascii="宋体" w:hAnsi="宋体" w:cs="宋体"/>
      <w:sz w:val="24"/>
    </w:rPr>
  </w:style>
  <w:style w:type="paragraph" w:customStyle="1" w:styleId="407">
    <w:name w:val="标准文本"/>
    <w:basedOn w:val="1"/>
    <w:qFormat/>
    <w:uiPriority w:val="0"/>
    <w:pPr>
      <w:spacing w:line="360" w:lineRule="auto"/>
      <w:ind w:firstLine="480"/>
    </w:pPr>
    <w:rPr>
      <w:rFonts w:cs="宋体"/>
      <w:sz w:val="24"/>
    </w:rPr>
  </w:style>
  <w:style w:type="paragraph" w:customStyle="1" w:styleId="408">
    <w:name w:val="CD 正文"/>
    <w:basedOn w:val="1"/>
    <w:qFormat/>
    <w:uiPriority w:val="0"/>
    <w:pPr>
      <w:jc w:val="left"/>
    </w:pPr>
    <w:rPr>
      <w:rFonts w:ascii="Arial" w:hAnsi="Arial" w:eastAsia="微软雅黑"/>
    </w:rPr>
  </w:style>
  <w:style w:type="paragraph" w:customStyle="1" w:styleId="409">
    <w:name w:val="样式 标题 3H3sect1.2.3BOD 0Heading 3 - oldh3l3CTLevel 3 Head..."/>
    <w:basedOn w:val="186"/>
    <w:qFormat/>
    <w:uiPriority w:val="0"/>
    <w:pPr>
      <w:spacing w:line="240" w:lineRule="auto"/>
      <w:jc w:val="left"/>
    </w:pPr>
    <w:rPr>
      <w:rFonts w:cs="宋体"/>
      <w:sz w:val="30"/>
      <w:szCs w:val="20"/>
    </w:rPr>
  </w:style>
  <w:style w:type="paragraph" w:customStyle="1" w:styleId="410">
    <w:name w:val="正文文本 21"/>
    <w:basedOn w:val="1"/>
    <w:qFormat/>
    <w:uiPriority w:val="0"/>
    <w:pPr>
      <w:widowControl/>
      <w:ind w:left="720" w:hanging="720"/>
    </w:pPr>
    <w:rPr>
      <w:sz w:val="24"/>
      <w:szCs w:val="20"/>
      <w:lang w:val="en-GB"/>
    </w:rPr>
  </w:style>
  <w:style w:type="paragraph" w:customStyle="1" w:styleId="411">
    <w:name w:val="Char Char Char"/>
    <w:basedOn w:val="205"/>
    <w:qFormat/>
    <w:uiPriority w:val="0"/>
    <w:pPr>
      <w:spacing w:line="436" w:lineRule="exact"/>
    </w:pPr>
  </w:style>
  <w:style w:type="paragraph" w:customStyle="1" w:styleId="412">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13">
    <w:name w:val="普通(网站)1"/>
    <w:basedOn w:val="1"/>
    <w:qFormat/>
    <w:uiPriority w:val="0"/>
    <w:pPr>
      <w:widowControl/>
      <w:spacing w:before="100" w:beforeAutospacing="1" w:after="100" w:afterAutospacing="1"/>
      <w:jc w:val="left"/>
    </w:pPr>
    <w:rPr>
      <w:rFonts w:ascii="宋体" w:cs="宋体"/>
      <w:sz w:val="24"/>
    </w:rPr>
  </w:style>
  <w:style w:type="paragraph" w:customStyle="1" w:styleId="414">
    <w:name w:val="Char Char Char Char Char Char Char Char Char Char Char1 Char Char Char1"/>
    <w:basedOn w:val="1"/>
    <w:qFormat/>
    <w:uiPriority w:val="0"/>
    <w:pPr>
      <w:ind w:firstLine="200"/>
      <w:jc w:val="left"/>
    </w:pPr>
    <w:rPr>
      <w:rFonts w:ascii="Tahoma" w:hAnsi="Tahoma"/>
      <w:sz w:val="24"/>
    </w:rPr>
  </w:style>
  <w:style w:type="paragraph" w:customStyle="1" w:styleId="415">
    <w:name w:val="方案文档"/>
    <w:basedOn w:val="1"/>
    <w:qFormat/>
    <w:uiPriority w:val="0"/>
    <w:pPr>
      <w:spacing w:before="60" w:after="60" w:line="360" w:lineRule="auto"/>
      <w:ind w:firstLine="225"/>
    </w:pPr>
    <w:rPr>
      <w:rFonts w:ascii="宋体"/>
      <w:color w:val="000000"/>
      <w:sz w:val="24"/>
      <w:szCs w:val="20"/>
    </w:rPr>
  </w:style>
  <w:style w:type="paragraph" w:customStyle="1" w:styleId="416">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17">
    <w:name w:val="Char Char Char Char Char"/>
    <w:basedOn w:val="1"/>
    <w:qFormat/>
    <w:uiPriority w:val="0"/>
    <w:rPr>
      <w:rFonts w:ascii="Tahoma" w:hAnsi="Tahoma"/>
      <w:sz w:val="24"/>
      <w:szCs w:val="20"/>
    </w:rPr>
  </w:style>
  <w:style w:type="paragraph" w:customStyle="1" w:styleId="418">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419">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20">
    <w:name w:val="样式3"/>
    <w:basedOn w:val="1"/>
    <w:next w:val="1"/>
    <w:qFormat/>
    <w:uiPriority w:val="0"/>
    <w:pPr>
      <w:spacing w:line="360" w:lineRule="auto"/>
    </w:pPr>
    <w:rPr>
      <w:szCs w:val="20"/>
    </w:rPr>
  </w:style>
  <w:style w:type="paragraph" w:customStyle="1" w:styleId="421">
    <w:name w:val="样式"/>
    <w:basedOn w:val="1"/>
    <w:qFormat/>
    <w:uiPriority w:val="0"/>
    <w:pPr>
      <w:spacing w:before="120" w:after="120" w:line="360" w:lineRule="auto"/>
    </w:pPr>
    <w:rPr>
      <w:rFonts w:ascii="宋体"/>
      <w:sz w:val="24"/>
      <w:szCs w:val="20"/>
    </w:rPr>
  </w:style>
  <w:style w:type="paragraph" w:customStyle="1" w:styleId="422">
    <w:name w:val="符号与编号"/>
    <w:basedOn w:val="1"/>
    <w:qFormat/>
    <w:uiPriority w:val="0"/>
    <w:pPr>
      <w:tabs>
        <w:tab w:val="left" w:pos="900"/>
      </w:tabs>
      <w:spacing w:line="400" w:lineRule="atLeast"/>
      <w:ind w:left="900" w:hanging="420"/>
    </w:pPr>
    <w:rPr>
      <w:sz w:val="24"/>
    </w:rPr>
  </w:style>
  <w:style w:type="paragraph" w:customStyle="1" w:styleId="423">
    <w:name w:val="默认段落字体 Para Char"/>
    <w:basedOn w:val="1"/>
    <w:qFormat/>
    <w:uiPriority w:val="0"/>
    <w:pPr>
      <w:spacing w:line="360" w:lineRule="auto"/>
    </w:pPr>
    <w:rPr>
      <w:sz w:val="24"/>
    </w:rPr>
  </w:style>
  <w:style w:type="paragraph" w:customStyle="1" w:styleId="424">
    <w:name w:val="无间隔2"/>
    <w:qFormat/>
    <w:uiPriority w:val="1"/>
    <w:pPr>
      <w:widowControl w:val="0"/>
      <w:contextualSpacing/>
      <w:jc w:val="both"/>
    </w:pPr>
    <w:rPr>
      <w:rFonts w:ascii="Times New Roman" w:hAnsi="Times New Roman" w:eastAsia="宋体" w:cs="Times New Roman"/>
      <w:sz w:val="24"/>
      <w:lang w:val="en-US" w:eastAsia="zh-CN" w:bidi="ar-SA"/>
    </w:rPr>
  </w:style>
  <w:style w:type="paragraph" w:customStyle="1" w:styleId="425">
    <w:name w:val="二级条标题"/>
    <w:basedOn w:val="1"/>
    <w:next w:val="308"/>
    <w:qFormat/>
    <w:uiPriority w:val="0"/>
    <w:pPr>
      <w:widowControl/>
      <w:tabs>
        <w:tab w:val="left" w:pos="2240"/>
      </w:tabs>
      <w:ind w:hanging="420"/>
      <w:outlineLvl w:val="3"/>
    </w:pPr>
    <w:rPr>
      <w:rFonts w:eastAsia="黑体"/>
      <w:szCs w:val="20"/>
    </w:rPr>
  </w:style>
  <w:style w:type="paragraph" w:customStyle="1" w:styleId="426">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27">
    <w:name w:val="马刚标题4"/>
    <w:basedOn w:val="349"/>
    <w:next w:val="1"/>
    <w:qFormat/>
    <w:uiPriority w:val="0"/>
    <w:pPr>
      <w:tabs>
        <w:tab w:val="left" w:pos="1050"/>
      </w:tabs>
      <w:spacing w:before="100" w:after="40"/>
      <w:outlineLvl w:val="3"/>
    </w:pPr>
    <w:rPr>
      <w:b w:val="0"/>
    </w:rPr>
  </w:style>
  <w:style w:type="paragraph" w:customStyle="1" w:styleId="428">
    <w:name w:val="插图"/>
    <w:basedOn w:val="1"/>
    <w:qFormat/>
    <w:uiPriority w:val="0"/>
    <w:pPr>
      <w:tabs>
        <w:tab w:val="left" w:pos="1620"/>
      </w:tabs>
      <w:jc w:val="center"/>
    </w:pPr>
    <w:rPr>
      <w:bCs/>
      <w:color w:val="000000"/>
      <w:szCs w:val="22"/>
    </w:rPr>
  </w:style>
  <w:style w:type="paragraph" w:customStyle="1" w:styleId="429">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430">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31">
    <w:name w:val="样式 标题 3H32nd Subheadl3CTh3Level 3 Headlevel_3PIM 3Headi...2"/>
    <w:basedOn w:val="186"/>
    <w:qFormat/>
    <w:uiPriority w:val="0"/>
    <w:pPr>
      <w:tabs>
        <w:tab w:val="left" w:pos="709"/>
      </w:tabs>
      <w:spacing w:after="120" w:line="360" w:lineRule="auto"/>
      <w:ind w:left="709" w:hanging="709"/>
      <w:jc w:val="left"/>
    </w:pPr>
    <w:rPr>
      <w:rFonts w:cs="宋体"/>
      <w:sz w:val="30"/>
      <w:szCs w:val="20"/>
    </w:rPr>
  </w:style>
  <w:style w:type="paragraph" w:customStyle="1" w:styleId="432">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33">
    <w:name w:val="默认段落字体 Para Char Char Char Char Char Char Char Char Char1 Char Char Char Char Char Char Char"/>
    <w:basedOn w:val="205"/>
    <w:qFormat/>
    <w:uiPriority w:val="0"/>
    <w:rPr>
      <w:szCs w:val="20"/>
    </w:rPr>
  </w:style>
  <w:style w:type="paragraph" w:customStyle="1" w:styleId="434">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4"/>
    </w:rPr>
  </w:style>
  <w:style w:type="paragraph" w:customStyle="1" w:styleId="435">
    <w:name w:val="正文2"/>
    <w:basedOn w:val="1"/>
    <w:qFormat/>
    <w:uiPriority w:val="0"/>
    <w:pPr>
      <w:spacing w:before="156" w:line="360" w:lineRule="auto"/>
      <w:ind w:firstLine="510"/>
    </w:pPr>
    <w:rPr>
      <w:sz w:val="24"/>
      <w:szCs w:val="20"/>
    </w:rPr>
  </w:style>
  <w:style w:type="paragraph" w:customStyle="1" w:styleId="4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7">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38">
    <w:name w:val="Char Char1"/>
    <w:basedOn w:val="1"/>
    <w:qFormat/>
    <w:uiPriority w:val="0"/>
    <w:pPr>
      <w:widowControl/>
      <w:spacing w:after="160" w:line="240" w:lineRule="exact"/>
      <w:jc w:val="left"/>
    </w:pPr>
    <w:rPr>
      <w:rFonts w:eastAsia="仿宋_GB2312"/>
      <w:sz w:val="28"/>
    </w:rPr>
  </w:style>
  <w:style w:type="paragraph" w:customStyle="1" w:styleId="439">
    <w:name w:val="p0"/>
    <w:basedOn w:val="1"/>
    <w:qFormat/>
    <w:uiPriority w:val="0"/>
    <w:pPr>
      <w:widowControl/>
    </w:pPr>
    <w:rPr>
      <w:szCs w:val="21"/>
    </w:rPr>
  </w:style>
  <w:style w:type="paragraph" w:customStyle="1" w:styleId="440">
    <w:name w:val="列出段落2"/>
    <w:basedOn w:val="1"/>
    <w:qFormat/>
    <w:uiPriority w:val="0"/>
    <w:pPr>
      <w:widowControl/>
      <w:ind w:left="720"/>
      <w:contextualSpacing/>
      <w:jc w:val="left"/>
    </w:pPr>
    <w:rPr>
      <w:rFonts w:ascii="Arial" w:hAnsi="Arial" w:eastAsia="黑体"/>
      <w:sz w:val="24"/>
      <w:lang w:eastAsia="en-US"/>
    </w:rPr>
  </w:style>
  <w:style w:type="paragraph" w:customStyle="1" w:styleId="441">
    <w:name w:val="Char1"/>
    <w:basedOn w:val="1"/>
    <w:qFormat/>
    <w:uiPriority w:val="0"/>
    <w:rPr>
      <w:rFonts w:ascii="仿宋_GB2312" w:eastAsia="仿宋_GB2312"/>
      <w:b/>
      <w:sz w:val="32"/>
      <w:szCs w:val="32"/>
    </w:rPr>
  </w:style>
  <w:style w:type="paragraph" w:customStyle="1" w:styleId="442">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43">
    <w:name w:val="小四 段落 宋体"/>
    <w:basedOn w:val="203"/>
    <w:qFormat/>
    <w:uiPriority w:val="0"/>
    <w:pPr>
      <w:tabs>
        <w:tab w:val="clear" w:pos="2952"/>
      </w:tabs>
      <w:spacing w:line="360" w:lineRule="auto"/>
      <w:ind w:left="113" w:right="113" w:firstLine="425"/>
      <w:jc w:val="left"/>
    </w:pPr>
    <w:rPr>
      <w:sz w:val="24"/>
    </w:rPr>
  </w:style>
  <w:style w:type="paragraph" w:customStyle="1" w:styleId="444">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w:hAnsi="Arial" w:cs="Arial"/>
      <w:sz w:val="20"/>
      <w:szCs w:val="20"/>
    </w:rPr>
  </w:style>
  <w:style w:type="paragraph" w:customStyle="1" w:styleId="445">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46">
    <w:name w:val="马刚标题1"/>
    <w:basedOn w:val="39"/>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447">
    <w:name w:val="TOC 标题2"/>
    <w:basedOn w:val="39"/>
    <w:next w:val="1"/>
    <w:qFormat/>
    <w:uiPriority w:val="39"/>
    <w:pPr>
      <w:widowControl/>
      <w:spacing w:before="480" w:after="0" w:line="276" w:lineRule="auto"/>
      <w:jc w:val="left"/>
      <w:outlineLvl w:val="9"/>
    </w:pPr>
    <w:rPr>
      <w:rFonts w:ascii="Cambria" w:hAnsi="Cambria"/>
      <w:color w:val="365F91"/>
      <w:sz w:val="28"/>
      <w:szCs w:val="28"/>
    </w:rPr>
  </w:style>
  <w:style w:type="character" w:customStyle="1" w:styleId="448">
    <w:name w:val="font21"/>
    <w:qFormat/>
    <w:uiPriority w:val="0"/>
    <w:rPr>
      <w:rFonts w:ascii="Times New Roman" w:hAnsi="Times New Roman"/>
      <w:color w:val="000000"/>
      <w:sz w:val="20"/>
      <w:u w:val="none"/>
    </w:rPr>
  </w:style>
  <w:style w:type="character" w:customStyle="1" w:styleId="449">
    <w:name w:val="纯文本 字符1"/>
    <w:qFormat/>
    <w:uiPriority w:val="0"/>
    <w:rPr>
      <w:rFonts w:ascii="宋体" w:hAnsi="Courier New"/>
      <w:sz w:val="21"/>
    </w:rPr>
  </w:style>
  <w:style w:type="paragraph" w:customStyle="1" w:styleId="450">
    <w:name w:val="正文 A"/>
    <w:qFormat/>
    <w:uiPriority w:val="0"/>
    <w:pPr>
      <w:widowControl w:val="0"/>
      <w:jc w:val="both"/>
    </w:pPr>
    <w:rPr>
      <w:rFonts w:ascii="Times New Roman" w:hAnsi="Times New Roman" w:eastAsia="ヒラギノ角ゴ Pro W3" w:cs="Times New Roman"/>
      <w:color w:val="000000"/>
      <w:sz w:val="21"/>
      <w:lang w:val="en-US" w:eastAsia="zh-CN" w:bidi="ar-SA"/>
    </w:rPr>
  </w:style>
  <w:style w:type="character" w:customStyle="1" w:styleId="451">
    <w:name w:val="rvts9"/>
    <w:qFormat/>
    <w:uiPriority w:val="99"/>
    <w:rPr>
      <w:rFonts w:ascii="KNLe" w:hAnsi="KNLe"/>
    </w:rPr>
  </w:style>
  <w:style w:type="character" w:customStyle="1" w:styleId="452">
    <w:name w:val="rvts11"/>
    <w:qFormat/>
    <w:uiPriority w:val="0"/>
    <w:rPr>
      <w:rFonts w:ascii="KNLe" w:hAnsi="KNLe" w:cs="Times New Roman"/>
      <w:u w:val="single"/>
    </w:rPr>
  </w:style>
  <w:style w:type="paragraph" w:customStyle="1" w:styleId="453">
    <w:name w:val="WPSOffice手动目录 1"/>
    <w:qFormat/>
    <w:uiPriority w:val="0"/>
    <w:rPr>
      <w:rFonts w:ascii="Times New Roman" w:hAnsi="Times New Roman" w:eastAsia="宋体" w:cs="Times New Roman"/>
      <w:lang w:val="en-US" w:eastAsia="zh-CN" w:bidi="ar-SA"/>
    </w:rPr>
  </w:style>
  <w:style w:type="paragraph" w:customStyle="1" w:styleId="454">
    <w:name w:val="WPSOffice手动目录 2"/>
    <w:qFormat/>
    <w:uiPriority w:val="0"/>
    <w:rPr>
      <w:rFonts w:ascii="Times New Roman" w:hAnsi="Times New Roman" w:eastAsia="宋体" w:cs="Times New Roman"/>
      <w:lang w:val="en-US" w:eastAsia="zh-CN" w:bidi="ar-SA"/>
    </w:rPr>
  </w:style>
  <w:style w:type="paragraph" w:customStyle="1" w:styleId="455">
    <w:name w:val="yzz表文"/>
    <w:basedOn w:val="1"/>
    <w:qFormat/>
    <w:uiPriority w:val="0"/>
    <w:pPr>
      <w:widowControl/>
      <w:jc w:val="center"/>
    </w:pPr>
    <w:rPr>
      <w:lang w:val="en-GB"/>
    </w:rPr>
  </w:style>
  <w:style w:type="character" w:customStyle="1" w:styleId="456">
    <w:name w:val="NormalCharacter1"/>
    <w:semiHidden/>
    <w:qFormat/>
    <w:uiPriority w:val="0"/>
  </w:style>
  <w:style w:type="paragraph" w:customStyle="1" w:styleId="45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58">
    <w:name w:val="Table Paragraph"/>
    <w:basedOn w:val="1"/>
    <w:qFormat/>
    <w:uiPriority w:val="99"/>
    <w:pPr>
      <w:jc w:val="left"/>
    </w:pPr>
    <w:rPr>
      <w:rFonts w:ascii="Calibri" w:hAnsi="Calibri"/>
      <w:sz w:val="22"/>
      <w:szCs w:val="22"/>
      <w:lang w:eastAsia="en-US"/>
    </w:rPr>
  </w:style>
  <w:style w:type="paragraph" w:customStyle="1" w:styleId="459">
    <w:name w:val="普通(网站)111"/>
    <w:basedOn w:val="1"/>
    <w:qFormat/>
    <w:uiPriority w:val="99"/>
    <w:pPr>
      <w:widowControl/>
      <w:spacing w:before="100" w:beforeAutospacing="1" w:after="100" w:afterAutospacing="1"/>
      <w:jc w:val="left"/>
    </w:pPr>
    <w:rPr>
      <w:rFonts w:ascii="Trebuchet MS" w:hAnsi="Trebuchet MS" w:cs="Trebuchet MS"/>
      <w:sz w:val="24"/>
    </w:rPr>
  </w:style>
  <w:style w:type="character" w:customStyle="1" w:styleId="460">
    <w:name w:val="NormalCharacter"/>
    <w:semiHidden/>
    <w:qFormat/>
    <w:uiPriority w:val="0"/>
  </w:style>
  <w:style w:type="character" w:customStyle="1" w:styleId="461">
    <w:name w:val="rvts13"/>
    <w:qFormat/>
    <w:uiPriority w:val="0"/>
    <w:rPr>
      <w:rFonts w:hint="default" w:ascii="KNLe" w:hAnsi="KNLe"/>
      <w:color w:val="000000"/>
    </w:rPr>
  </w:style>
  <w:style w:type="paragraph" w:customStyle="1" w:styleId="462">
    <w:name w:val="文本块1"/>
    <w:basedOn w:val="1"/>
    <w:unhideWhenUsed/>
    <w:qFormat/>
    <w:uiPriority w:val="99"/>
    <w:pPr>
      <w:spacing w:before="100" w:beforeAutospacing="1" w:after="120"/>
      <w:ind w:left="1440" w:right="144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79</Pages>
  <Words>624</Words>
  <Characters>706</Characters>
  <Lines>485</Lines>
  <Paragraphs>136</Paragraphs>
  <TotalTime>1</TotalTime>
  <ScaleCrop>false</ScaleCrop>
  <LinksUpToDate>false</LinksUpToDate>
  <CharactersWithSpaces>756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2022-04-02T06:48:00Z</dcterms:created>
  <dc:creator>nanji</dc:creator>
  <cp:lastModifiedBy>ZZ211156</cp:lastModifiedBy>
  <dcterms:modified xsi:type="dcterms:W3CDTF">2026-08-20T08:48:42Z</dcterms:modified>
  <dc:title>招 标 </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eyJoZGlkIjoiNmMyZDY5YmZjYWQxOThkYWU3Njk1NGExZDE0YzUyNTUiLCJ1c2VySWQiOiIxMzE5NTc3NDE2In0=</vt:lpwstr>
  </property>
  <property fmtid="{D5CDD505-2E9C-101B-9397-08002B2CF9AE}" pid="3" name="KSOProductBuildVer">
    <vt:lpwstr>2052-12.1.0.28043</vt:lpwstr>
  </property>
  <property fmtid="{D5CDD505-2E9C-101B-9397-08002B2CF9AE}" pid="4" name="ICV">
    <vt:lpwstr>6F48E9A556604DC2B382AF2167BA2308_13</vt:lpwstr>
  </property>
</Properties>
</file>