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48"/>
          <w:szCs w:val="48"/>
          <w:highlight w:val="none"/>
        </w:rPr>
      </w:pPr>
      <w:r>
        <w:rPr>
          <w:rFonts w:ascii="宋体" w:hAnsi="宋体"/>
          <w:b/>
          <w:color w:val="auto"/>
          <w:sz w:val="48"/>
          <w:szCs w:val="48"/>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太仓市政府采购</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rFonts w:ascii="宋体" w:hAnsi="宋体" w:cs="宋体"/>
          <w:color w:val="auto"/>
          <w:sz w:val="32"/>
          <w:highlight w:val="none"/>
        </w:rPr>
        <w:t xml:space="preserve"> </w:t>
      </w:r>
      <w:r/>
    </w:p>
    <w:p>
      <w:pPr>
        <w:ind w:firstLine="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r>
      <w:r/>
    </w:p>
    <w:p>
      <w:pPr>
        <w:ind w:firstLine="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r>
      <w:r/>
    </w:p>
    <w:p>
      <w:pPr>
        <w:ind w:firstLine="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项目编号：JSZC-320585-JZCG-G2026-0070</w:t>
      </w:r>
      <w:r/>
    </w:p>
    <w:p>
      <w:pPr>
        <w:ind w:firstLine="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项目名称：太仓市娄江新城医院（瑞金医院太仓分院）</w:t>
      </w:r>
      <w:r/>
      <w:r>
        <w:rPr>
          <w:rFonts w:hint="eastAsia" w:ascii="宋体" w:hAnsi="宋体" w:cs="宋体"/>
          <w:b/>
          <w:color w:val="auto"/>
          <w:sz w:val="36"/>
          <w:highlight w:val="none"/>
        </w:rPr>
        <w:t xml:space="preserve">数智化二期建设</w:t>
      </w:r>
      <w:r/>
      <w:r>
        <w:rPr>
          <w:rFonts w:ascii="宋体" w:hAnsi="宋体" w:cs="宋体"/>
          <w:b/>
          <w:color w:val="auto"/>
          <w:sz w:val="36"/>
          <w:highlight w:val="none"/>
        </w:rPr>
      </w:r>
    </w:p>
    <w:p>
      <w:pPr>
        <w:ind w:firstLine="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采购单位：太仓市娄江新城医院（瑞金医院太仓分院）</w:t>
      </w:r>
      <w:r/>
    </w:p>
    <w:p>
      <w:pPr>
        <w:ind w:firstLine="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采购项目类别：服务类</w:t>
      </w:r>
      <w:r/>
    </w:p>
    <w:p>
      <w:pPr>
        <w:ind w:firstLine="1084"/>
        <w:spacing w:line="560" w:lineRule="exact"/>
        <w:rPr>
          <w:rFonts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标的所属行业：软件和信息技术服务业</w:t>
      </w:r>
      <w:r/>
    </w:p>
    <w:p>
      <w:pPr>
        <w:spacing w:line="85" w:lineRule="atLeas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pStyle w:val="1093"/>
        <w:ind w:firstLine="560"/>
        <w:rPr>
          <w:color w:val="auto"/>
          <w:sz w:val="28"/>
          <w:highlight w:val="none"/>
        </w:rPr>
      </w:pPr>
      <w:r>
        <w:rPr>
          <w:color w:val="auto"/>
          <w:sz w:val="28"/>
          <w:highlight w:val="none"/>
        </w:rPr>
      </w:r>
      <w:r/>
    </w:p>
    <w:p>
      <w:pPr>
        <w:rPr>
          <w:color w:val="auto"/>
          <w:highlight w:val="none"/>
        </w:rPr>
      </w:pPr>
      <w:r>
        <w:rPr>
          <w:color w:val="auto"/>
          <w:highlight w:val="none"/>
        </w:rPr>
      </w:r>
      <w:r/>
    </w:p>
    <w:p>
      <w:pPr>
        <w:pStyle w:val="1037"/>
        <w:rPr>
          <w:color w:val="auto"/>
          <w:highlight w:val="none"/>
        </w:rPr>
      </w:pPr>
      <w:r>
        <w:rPr>
          <w:color w:val="auto"/>
          <w:highlight w:val="none"/>
        </w:rPr>
      </w:r>
      <w:r/>
    </w:p>
    <w:p>
      <w:pPr>
        <w:pStyle w:val="1037"/>
        <w:ind w:firstLine="0"/>
        <w:rPr>
          <w:color w:val="auto"/>
          <w:highlight w:val="none"/>
        </w:rPr>
      </w:pPr>
      <w:r>
        <w:rPr>
          <w:color w:val="auto"/>
          <w:highlight w:val="none"/>
        </w:rPr>
      </w:r>
      <w:r/>
    </w:p>
    <w:p>
      <w:pPr>
        <w:pStyle w:val="1037"/>
        <w:ind w:left="0" w:firstLine="0"/>
        <w:rPr>
          <w:color w:val="auto"/>
          <w:highlight w:val="none"/>
        </w:rPr>
      </w:pPr>
      <w:r>
        <w:rPr>
          <w:color w:val="auto"/>
          <w:highlight w:val="none"/>
        </w:rPr>
      </w:r>
      <w:r/>
    </w:p>
    <w:p>
      <w:pPr>
        <w:pStyle w:val="1037"/>
        <w:rPr>
          <w:color w:val="auto"/>
          <w:highlight w:val="none"/>
        </w:rPr>
      </w:pPr>
      <w:r>
        <w:rPr>
          <w:color w:val="auto"/>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44"/>
          <w:highlight w:val="none"/>
        </w:rPr>
        <w:t xml:space="preserve">苏州市公共资源交易中心太仓分中心</w:t>
      </w:r>
      <w:r/>
    </w:p>
    <w:p>
      <w:pPr>
        <w:jc w:val="center"/>
        <w:spacing w:line="85" w:lineRule="atLeas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44"/>
          <w:highlight w:val="none"/>
        </w:rPr>
        <w:t xml:space="preserve">202</w:t>
      </w:r>
      <w:r>
        <w:rPr>
          <w:rFonts w:hint="eastAsia" w:ascii="宋体" w:hAnsi="宋体" w:cs="宋体"/>
          <w:color w:val="auto"/>
          <w:sz w:val="44"/>
          <w:highlight w:val="none"/>
        </w:rPr>
        <w:t xml:space="preserve">6</w:t>
      </w:r>
      <w:r>
        <w:rPr>
          <w:rFonts w:ascii="宋体" w:hAnsi="宋体" w:cs="宋体"/>
          <w:color w:val="auto"/>
          <w:sz w:val="44"/>
          <w:highlight w:val="none"/>
        </w:rPr>
        <w:t xml:space="preserve">年</w:t>
      </w:r>
      <w:r>
        <w:rPr>
          <w:rFonts w:hint="eastAsia" w:ascii="宋体" w:hAnsi="宋体" w:cs="宋体"/>
          <w:color w:val="auto"/>
          <w:sz w:val="44"/>
          <w:highlight w:val="none"/>
        </w:rPr>
        <w:t xml:space="preserve">8</w:t>
      </w:r>
      <w:r>
        <w:rPr>
          <w:rFonts w:ascii="宋体" w:hAnsi="宋体" w:cs="宋体"/>
          <w:color w:val="auto"/>
          <w:sz w:val="44"/>
          <w:highlight w:val="none"/>
        </w:rPr>
        <w:t xml:space="preserve">月</w:t>
      </w:r>
      <w:r/>
    </w:p>
    <w:p>
      <w:pPr>
        <w:jc w:val="center"/>
        <w:spacing w:before="240" w:after="24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8"/>
          <w:szCs w:val="48"/>
          <w:highlight w:val="none"/>
        </w:rPr>
        <w:br w:type="page" w:clear="all"/>
      </w:r>
      <w:r/>
    </w:p>
    <w:p>
      <w:pPr>
        <w:jc w:val="center"/>
        <w:spacing w:line="480" w:lineRule="auto"/>
        <w:rPr>
          <w:rFonts w:ascii="仿宋" w:hAnsi="仿宋" w:eastAsia="仿宋" w:cs="仿宋"/>
          <w:b/>
          <w:bCs/>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44"/>
          <w:szCs w:val="44"/>
          <w:highlight w:val="none"/>
        </w:rPr>
        <w:t xml:space="preserve">目录</w:t>
      </w:r>
      <w:r/>
    </w:p>
    <w:p>
      <w:pPr>
        <w:ind w:firstLine="600"/>
        <w:spacing w:line="480" w:lineRule="auto"/>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80" w:lineRule="auto"/>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第一部分：招标公告</w:t>
      </w:r>
      <w:r/>
    </w:p>
    <w:p>
      <w:pPr>
        <w:ind w:firstLine="600"/>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第二部分：投标人须知</w:t>
      </w:r>
      <w:r/>
    </w:p>
    <w:p>
      <w:pPr>
        <w:ind w:firstLine="600"/>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第三部分：项目需求</w:t>
      </w:r>
      <w:r/>
    </w:p>
    <w:p>
      <w:pPr>
        <w:ind w:firstLine="600"/>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第四部分：投标文件格式</w:t>
      </w:r>
      <w:r/>
    </w:p>
    <w:p>
      <w:pPr>
        <w:ind w:firstLine="600"/>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第五部分：评标方法与评标标准</w:t>
      </w:r>
      <w:r/>
    </w:p>
    <w:p>
      <w:pPr>
        <w:ind w:firstLine="600"/>
        <w:spacing w:line="48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第六部分：合同格式</w:t>
      </w:r>
      <w:r/>
    </w:p>
    <w:p>
      <w:pPr>
        <w:ind w:firstLine="480"/>
        <w:spacing w:before="240" w:after="24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firstLine="480"/>
        <w:spacing w:before="240" w:after="24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firstLine="480"/>
        <w:spacing w:before="240" w:after="240"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80"/>
        <w:spacing w:before="240" w:after="240"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480"/>
        <w:spacing w:before="240" w:after="240"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480"/>
        <w:spacing w:before="240" w:after="240"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480"/>
        <w:spacing w:before="240" w:after="240"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jc w:val="center"/>
        <w:spacing w:line="480" w:lineRule="auto"/>
        <w:rPr>
          <w:rFonts w:ascii="仿宋" w:hAnsi="仿宋" w:eastAsia="仿宋" w:cs="仿宋"/>
          <w:b/>
          <w:bCs/>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4"/>
          <w:szCs w:val="24"/>
          <w:highlight w:val="none"/>
        </w:rPr>
        <w:br w:type="page" w:clear="all"/>
      </w:r>
      <w:r>
        <w:rPr>
          <w:rFonts w:hint="eastAsia" w:ascii="仿宋" w:hAnsi="仿宋" w:eastAsia="仿宋" w:cs="仿宋"/>
          <w:b/>
          <w:bCs/>
          <w:color w:val="auto"/>
          <w:sz w:val="44"/>
          <w:szCs w:val="44"/>
          <w:highlight w:val="none"/>
        </w:rPr>
        <w:t xml:space="preserve">第一部分  招标公告</w:t>
      </w:r>
      <w:r/>
    </w:p>
    <w:p>
      <w:pPr>
        <w:pStyle w:val="1000"/>
        <w:ind w:left="440"/>
        <w:rPr>
          <w:rFonts w:ascii="仿宋" w:hAnsi="仿宋" w:eastAsia="仿宋" w:cs="仿宋"/>
          <w:color w:val="auto"/>
          <w:highlight w:val="none"/>
        </w:rPr>
      </w:pPr>
      <w:r>
        <w:rPr>
          <w:rFonts w:ascii="仿宋" w:hAnsi="仿宋" w:eastAsia="仿宋" w:cs="仿宋"/>
          <w:color w:val="auto"/>
          <w:highlight w:val="none"/>
        </w:rPr>
      </w:r>
      <w:r/>
    </w:p>
    <w:tbl>
      <w:tblPr>
        <w:tblStyle w:val="985"/>
        <w:tblW w:w="9733" w:type="dxa"/>
        <w:tblInd w:w="-13"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1032"/>
              <w:spacing w:line="15" w:lineRule="atLeast"/>
              <w:rPr>
                <w:rFonts w:ascii="仿宋" w:hAnsi="仿宋" w:eastAsia="仿宋" w:cs="仿宋"/>
                <w:color w:val="auto"/>
                <w:highlight w:val="none"/>
              </w:rPr>
            </w:pPr>
            <w:r>
              <w:rPr>
                <w:rFonts w:hint="eastAsia" w:ascii="仿宋" w:hAnsi="仿宋" w:eastAsia="仿宋" w:cs="仿宋"/>
                <w:color w:val="auto"/>
                <w:highlight w:val="none"/>
              </w:rPr>
              <w:t xml:space="preserve">项目概况</w:t>
            </w:r>
            <w:r/>
          </w:p>
          <w:p>
            <w:pPr>
              <w:spacing w:line="360" w:lineRule="auto"/>
              <w:rPr>
                <w:color w:val="auto"/>
                <w:highlight w:val="none"/>
              </w:rPr>
            </w:pPr>
            <w:r>
              <w:rPr>
                <w:rFonts w:hint="eastAsia" w:ascii="仿宋" w:hAnsi="仿宋" w:eastAsia="仿宋"/>
                <w:color w:val="auto"/>
                <w:sz w:val="22"/>
                <w:szCs w:val="21"/>
                <w:highlight w:val="none"/>
              </w:rPr>
              <w:t xml:space="preserve">太仓市娄江新城医院（瑞金医院太仓分院）数智化二期建设采购JSZC-320585-JZCG-G2026-0070</w:t>
            </w:r>
            <w:r>
              <w:rPr>
                <w:rFonts w:hint="eastAsia" w:ascii="仿宋" w:hAnsi="仿宋" w:eastAsia="仿宋" w:cs="仿宋"/>
                <w:color w:val="auto"/>
                <w:sz w:val="24"/>
                <w:highlight w:val="none"/>
              </w:rPr>
              <w:t xml:space="preserve">招标项目的潜在投标人应在“苏采云”系统（网址：http://jszfcg.jsczt.cn/）自行下载获取招标文件，并于2026-</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15</w:t>
            </w:r>
            <w:r>
              <w:rPr>
                <w:rFonts w:hint="eastAsia" w:ascii="仿宋" w:hAnsi="仿宋" w:eastAsia="仿宋" w:cs="仿宋"/>
                <w:color w:val="auto"/>
                <w:sz w:val="24"/>
                <w:highlight w:val="none"/>
              </w:rPr>
              <w:t xml:space="preserve">日 09:30</w:t>
            </w:r>
            <w:r>
              <w:rPr>
                <w:rFonts w:ascii="Calibri" w:hAnsi="Calibri" w:eastAsia="仿宋" w:cs="Calibri"/>
                <w:color w:val="auto"/>
                <w:sz w:val="24"/>
                <w:highlight w:val="none"/>
              </w:rPr>
              <w:t xml:space="preserve"> </w:t>
            </w:r>
            <w:r>
              <w:rPr>
                <w:rFonts w:hint="eastAsia" w:ascii="仿宋" w:hAnsi="仿宋" w:eastAsia="仿宋" w:cs="仿宋"/>
                <w:color w:val="auto"/>
                <w:sz w:val="24"/>
                <w:highlight w:val="none"/>
              </w:rPr>
              <w:t xml:space="preserve">（北京时间）前递交投标文件。</w:t>
            </w:r>
            <w:r/>
          </w:p>
        </w:tc>
      </w:tr>
    </w:tbl>
    <w:p>
      <w:pPr>
        <w:pStyle w:val="976"/>
        <w:numPr>
          <w:ilvl w:val="1"/>
          <w:numId w:val="0"/>
        </w:numPr>
        <w:ind w:left="420"/>
        <w:jc w:val="both"/>
        <w:spacing w:line="560" w:lineRule="exact"/>
        <w:shd w:val="clear" w:color="auto" w:fill="ffffff"/>
        <w:rPr>
          <w:rFonts w:ascii="黑体" w:hAnsi="黑体" w:eastAsia="黑体" w:cs="仿宋"/>
          <w:color w:val="auto"/>
          <w:highlight w:val="none"/>
        </w:rPr>
      </w:pPr>
      <w:r>
        <w:rPr>
          <w:rStyle w:val="1039"/>
          <w:rFonts w:hint="eastAsia" w:ascii="黑体" w:hAnsi="黑体" w:eastAsia="黑体" w:cs="仿宋"/>
          <w:b/>
          <w:bCs/>
          <w:color w:val="auto"/>
          <w:highlight w:val="none"/>
          <w:shd w:val="clear" w:color="auto" w:fill="ffffff"/>
        </w:rPr>
        <w:t xml:space="preserve">一、项目基本情况</w:t>
      </w:r>
      <w:r/>
    </w:p>
    <w:p>
      <w:pPr>
        <w:ind w:firstLine="480"/>
        <w:spacing w:line="56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highlight w:val="none"/>
        </w:rPr>
        <w:t xml:space="preserve">JSZC-320585-JZCG-G2026-0070</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项目名称：太仓市娄江新城医院（瑞金医院太仓分院）数智化二期建设</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预算金额：2110万元（人民币贰仟壹佰壹拾万元整）</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最高限价（如有）：</w:t>
      </w:r>
      <w:r>
        <w:rPr>
          <w:rFonts w:ascii="仿宋" w:hAnsi="仿宋" w:eastAsia="仿宋" w:cs="仿宋"/>
          <w:color w:val="auto"/>
          <w:sz w:val="24"/>
          <w:szCs w:val="24"/>
          <w:highlight w:val="none"/>
        </w:rPr>
        <w:t xml:space="preserve">2110</w:t>
      </w:r>
      <w:r>
        <w:rPr>
          <w:rFonts w:hint="eastAsia" w:ascii="仿宋" w:hAnsi="仿宋" w:eastAsia="仿宋" w:cs="仿宋"/>
          <w:color w:val="auto"/>
          <w:sz w:val="24"/>
          <w:szCs w:val="24"/>
          <w:highlight w:val="none"/>
        </w:rPr>
        <w:t xml:space="preserve">万元（人民币贰仟壹佰壹拾万元整）</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采购方式：公开招标</w:t>
      </w:r>
      <w:r>
        <w:rPr>
          <w:rFonts w:ascii="Calibri" w:hAnsi="Calibri" w:eastAsia="仿宋" w:cs="Calibri"/>
          <w:color w:val="auto"/>
          <w:sz w:val="24"/>
          <w:szCs w:val="24"/>
          <w:highlight w:val="none"/>
        </w:rPr>
        <w:t xml:space="preserve"> </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采购需求：</w:t>
      </w:r>
      <w:r/>
    </w:p>
    <w:tbl>
      <w:tblPr>
        <w:tblStyle w:val="985"/>
        <w:tblW w:w="93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890"/>
        <w:gridCol w:w="1705"/>
        <w:gridCol w:w="5034"/>
      </w:tblGrid>
      <w:tr>
        <w:trPr>
          <w:trHeight w:val="1054"/>
        </w:trPr>
        <w:tc>
          <w:tcPr>
            <w:tcW w:w="706"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序号</w:t>
            </w:r>
            <w:r/>
          </w:p>
        </w:tc>
        <w:tc>
          <w:tcPr>
            <w:tcW w:w="1890"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项目</w:t>
            </w:r>
            <w:r/>
          </w:p>
        </w:tc>
        <w:tc>
          <w:tcPr>
            <w:tcW w:w="1705"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类型</w:t>
            </w:r>
            <w:r/>
          </w:p>
        </w:tc>
        <w:tc>
          <w:tcPr>
            <w:tcW w:w="50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需求建设板块</w:t>
            </w:r>
            <w:r/>
          </w:p>
        </w:tc>
      </w:tr>
      <w:tr>
        <w:trPr>
          <w:trHeight w:val="408"/>
        </w:trPr>
        <w:tc>
          <w:tcPr>
            <w:tcW w:w="706" w:type="dxa"/>
            <w:vAlign w:val="center"/>
            <w:textDirection w:val="lrTb"/>
            <w:noWrap/>
          </w:tcPr>
          <w:p>
            <w:pPr>
              <w:jc w:val="center"/>
              <w:spacing w:line="360" w:lineRule="auto"/>
              <w:rPr>
                <w:color w:val="auto"/>
                <w:sz w:val="24"/>
                <w:szCs w:val="24"/>
                <w:highlight w:val="none"/>
              </w:rPr>
            </w:pPr>
            <w:r>
              <w:rPr>
                <w:rFonts w:hint="eastAsia"/>
                <w:color w:val="auto"/>
                <w:sz w:val="24"/>
                <w:szCs w:val="24"/>
                <w:highlight w:val="none"/>
              </w:rPr>
              <w:t xml:space="preserve">1</w:t>
            </w:r>
            <w:r/>
          </w:p>
        </w:tc>
        <w:tc>
          <w:tcPr>
            <w:tcW w:w="1890" w:type="dxa"/>
            <w:vAlign w:val="center"/>
            <w:vMerge w:val="restart"/>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太仓市娄江新城医院（瑞金医院太仓分院）数智化二期建设</w:t>
            </w:r>
            <w:r/>
          </w:p>
        </w:tc>
        <w:tc>
          <w:tcPr>
            <w:tcW w:w="1705" w:type="dxa"/>
            <w:vAlign w:val="center"/>
            <w:vMerge w:val="restart"/>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AI 能力及智能体建设</w:t>
            </w:r>
            <w:r/>
          </w:p>
        </w:tc>
        <w:tc>
          <w:tcPr>
            <w:tcW w:w="50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基于智能体的数字医生助手</w:t>
            </w:r>
            <w:r/>
          </w:p>
        </w:tc>
      </w:tr>
      <w:tr>
        <w:trPr>
          <w:trHeight w:val="408"/>
        </w:trPr>
        <w:tc>
          <w:tcPr>
            <w:tcW w:w="706" w:type="dxa"/>
            <w:vAlign w:val="center"/>
            <w:textDirection w:val="lrTb"/>
            <w:noWrap/>
          </w:tcPr>
          <w:p>
            <w:pPr>
              <w:jc w:val="center"/>
              <w:spacing w:line="360" w:lineRule="auto"/>
              <w:rPr>
                <w:color w:val="auto"/>
                <w:sz w:val="24"/>
                <w:szCs w:val="24"/>
                <w:highlight w:val="none"/>
              </w:rPr>
            </w:pPr>
            <w:r>
              <w:rPr>
                <w:rFonts w:hint="eastAsia"/>
                <w:color w:val="auto"/>
                <w:sz w:val="24"/>
                <w:szCs w:val="24"/>
                <w:highlight w:val="none"/>
              </w:rPr>
              <w:t xml:space="preserve">2</w:t>
            </w:r>
            <w:r/>
          </w:p>
        </w:tc>
        <w:tc>
          <w:tcPr>
            <w:tcW w:w="1890" w:type="dxa"/>
            <w:vAlign w:val="center"/>
            <w:vMerge w:val="continue"/>
            <w:textDirection w:val="lrTb"/>
            <w:noWrap w:val="false"/>
          </w:tcPr>
          <w:p>
            <w:pPr>
              <w:spacing w:line="360" w:lineRule="auto"/>
              <w:rPr>
                <w:color w:val="auto"/>
                <w:sz w:val="24"/>
                <w:szCs w:val="24"/>
                <w:highlight w:val="none"/>
              </w:rPr>
            </w:pPr>
            <w:r>
              <w:rPr>
                <w:color w:val="auto"/>
                <w:sz w:val="24"/>
                <w:szCs w:val="24"/>
                <w:highlight w:val="none"/>
              </w:rPr>
            </w:r>
            <w:r/>
          </w:p>
        </w:tc>
        <w:tc>
          <w:tcPr>
            <w:tcW w:w="1705" w:type="dxa"/>
            <w:vAlign w:val="center"/>
            <w:vMerge w:val="continue"/>
            <w:textDirection w:val="lrTb"/>
            <w:noWrap w:val="false"/>
          </w:tcPr>
          <w:p>
            <w:pPr>
              <w:spacing w:line="360" w:lineRule="auto"/>
              <w:rPr>
                <w:color w:val="auto"/>
                <w:sz w:val="24"/>
                <w:szCs w:val="24"/>
                <w:highlight w:val="none"/>
              </w:rPr>
            </w:pPr>
            <w:r>
              <w:rPr>
                <w:color w:val="auto"/>
                <w:sz w:val="24"/>
                <w:szCs w:val="24"/>
                <w:highlight w:val="none"/>
              </w:rPr>
            </w:r>
            <w:r/>
          </w:p>
        </w:tc>
        <w:tc>
          <w:tcPr>
            <w:tcW w:w="50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元宇宙智能推演场景拓展</w:t>
            </w:r>
            <w:r/>
          </w:p>
        </w:tc>
      </w:tr>
      <w:tr>
        <w:trPr>
          <w:trHeight w:val="408"/>
        </w:trPr>
        <w:tc>
          <w:tcPr>
            <w:tcW w:w="706" w:type="dxa"/>
            <w:vAlign w:val="center"/>
            <w:textDirection w:val="lrTb"/>
            <w:noWrap/>
          </w:tcPr>
          <w:p>
            <w:pPr>
              <w:jc w:val="center"/>
              <w:spacing w:line="360" w:lineRule="auto"/>
              <w:rPr>
                <w:color w:val="auto"/>
                <w:sz w:val="24"/>
                <w:szCs w:val="24"/>
                <w:highlight w:val="none"/>
              </w:rPr>
            </w:pPr>
            <w:r>
              <w:rPr>
                <w:rFonts w:hint="eastAsia"/>
                <w:color w:val="auto"/>
                <w:sz w:val="24"/>
                <w:szCs w:val="24"/>
                <w:highlight w:val="none"/>
              </w:rPr>
              <w:t xml:space="preserve">3</w:t>
            </w:r>
            <w:r/>
          </w:p>
        </w:tc>
        <w:tc>
          <w:tcPr>
            <w:tcW w:w="1890" w:type="dxa"/>
            <w:vAlign w:val="center"/>
            <w:vMerge w:val="continue"/>
            <w:textDirection w:val="lrTb"/>
            <w:noWrap w:val="false"/>
          </w:tcPr>
          <w:p>
            <w:pPr>
              <w:spacing w:line="360" w:lineRule="auto"/>
              <w:rPr>
                <w:color w:val="auto"/>
                <w:sz w:val="24"/>
                <w:szCs w:val="24"/>
                <w:highlight w:val="none"/>
              </w:rPr>
            </w:pPr>
            <w:r>
              <w:rPr>
                <w:color w:val="auto"/>
                <w:sz w:val="24"/>
                <w:szCs w:val="24"/>
                <w:highlight w:val="none"/>
              </w:rPr>
            </w:r>
            <w:r/>
          </w:p>
        </w:tc>
        <w:tc>
          <w:tcPr>
            <w:tcW w:w="1705" w:type="dxa"/>
            <w:vAlign w:val="center"/>
            <w:vMerge w:val="continue"/>
            <w:textDirection w:val="lrTb"/>
            <w:noWrap w:val="false"/>
          </w:tcPr>
          <w:p>
            <w:pPr>
              <w:spacing w:line="360" w:lineRule="auto"/>
              <w:rPr>
                <w:color w:val="auto"/>
                <w:sz w:val="24"/>
                <w:szCs w:val="24"/>
                <w:highlight w:val="none"/>
              </w:rPr>
            </w:pPr>
            <w:r>
              <w:rPr>
                <w:color w:val="auto"/>
                <w:sz w:val="24"/>
                <w:szCs w:val="24"/>
                <w:highlight w:val="none"/>
              </w:rPr>
            </w:r>
            <w:r/>
          </w:p>
        </w:tc>
        <w:tc>
          <w:tcPr>
            <w:tcW w:w="50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基于 AI 中台全域健康管理升级</w:t>
            </w:r>
            <w:r/>
          </w:p>
        </w:tc>
      </w:tr>
      <w:tr>
        <w:trPr>
          <w:trHeight w:val="408"/>
        </w:trPr>
        <w:tc>
          <w:tcPr>
            <w:tcW w:w="706" w:type="dxa"/>
            <w:vAlign w:val="center"/>
            <w:textDirection w:val="lrTb"/>
            <w:noWrap/>
          </w:tcPr>
          <w:p>
            <w:pPr>
              <w:jc w:val="center"/>
              <w:spacing w:line="360" w:lineRule="auto"/>
              <w:rPr>
                <w:color w:val="auto"/>
                <w:sz w:val="24"/>
                <w:szCs w:val="24"/>
                <w:highlight w:val="none"/>
              </w:rPr>
            </w:pPr>
            <w:r>
              <w:rPr>
                <w:rFonts w:hint="eastAsia"/>
                <w:color w:val="auto"/>
                <w:sz w:val="24"/>
                <w:szCs w:val="24"/>
                <w:highlight w:val="none"/>
              </w:rPr>
              <w:t xml:space="preserve">4</w:t>
            </w:r>
            <w:r/>
          </w:p>
        </w:tc>
        <w:tc>
          <w:tcPr>
            <w:tcW w:w="1890" w:type="dxa"/>
            <w:vAlign w:val="center"/>
            <w:vMerge w:val="continue"/>
            <w:textDirection w:val="lrTb"/>
            <w:noWrap w:val="false"/>
          </w:tcPr>
          <w:p>
            <w:pPr>
              <w:spacing w:line="360" w:lineRule="auto"/>
              <w:rPr>
                <w:color w:val="auto"/>
                <w:sz w:val="24"/>
                <w:szCs w:val="24"/>
                <w:highlight w:val="none"/>
              </w:rPr>
            </w:pPr>
            <w:r>
              <w:rPr>
                <w:color w:val="auto"/>
                <w:sz w:val="24"/>
                <w:szCs w:val="24"/>
                <w:highlight w:val="none"/>
              </w:rPr>
            </w:r>
            <w:r/>
          </w:p>
        </w:tc>
        <w:tc>
          <w:tcPr>
            <w:tcW w:w="1705" w:type="dxa"/>
            <w:vAlign w:val="center"/>
            <w:vMerge w:val="continue"/>
            <w:textDirection w:val="lrTb"/>
            <w:noWrap w:val="false"/>
          </w:tcPr>
          <w:p>
            <w:pPr>
              <w:spacing w:line="360" w:lineRule="auto"/>
              <w:rPr>
                <w:color w:val="auto"/>
                <w:sz w:val="24"/>
                <w:szCs w:val="24"/>
                <w:highlight w:val="none"/>
              </w:rPr>
            </w:pPr>
            <w:r>
              <w:rPr>
                <w:color w:val="auto"/>
                <w:sz w:val="24"/>
                <w:szCs w:val="24"/>
                <w:highlight w:val="none"/>
              </w:rPr>
            </w:r>
            <w:r/>
          </w:p>
        </w:tc>
        <w:tc>
          <w:tcPr>
            <w:tcW w:w="5034" w:type="dxa"/>
            <w:vAlign w:val="center"/>
            <w:textDirection w:val="lrTb"/>
            <w:noWrap w:val="false"/>
          </w:tcPr>
          <w:p>
            <w:pPr>
              <w:jc w:val="center"/>
              <w:spacing w:line="360" w:lineRule="auto"/>
              <w:rPr>
                <w:color w:val="auto"/>
                <w:sz w:val="24"/>
                <w:szCs w:val="24"/>
                <w:highlight w:val="none"/>
              </w:rPr>
            </w:pPr>
            <w:r>
              <w:rPr>
                <w:rFonts w:hint="eastAsia"/>
                <w:color w:val="auto"/>
                <w:sz w:val="24"/>
                <w:szCs w:val="24"/>
                <w:highlight w:val="none"/>
              </w:rPr>
              <w:t xml:space="preserve">统一医学人工智能中心（AI 中台）升级</w:t>
            </w:r>
            <w:r/>
          </w:p>
        </w:tc>
      </w:tr>
    </w:tbl>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具体内容及要求以采购文件项目需求为准。</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合同履行期限：合同签订生效后1</w:t>
      </w: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个月内完成项目建设，组织项目验收，验收通过后进入服务期，服务期为一年。</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本项目（是</w:t>
      </w:r>
      <w:r>
        <w:rPr>
          <w:rFonts w:ascii="仿宋" w:hAnsi="仿宋" w:eastAsia="仿宋" w:cs="仿宋"/>
          <w:color w:val="auto"/>
          <w:sz w:val="24"/>
          <w:szCs w:val="24"/>
          <w:highlight w:val="none"/>
        </w:rPr>
        <w:t xml:space="preserve">/否）接受联合体投标：不接受联合体</w:t>
      </w:r>
      <w:r>
        <w:rPr>
          <w:rFonts w:hint="eastAsia" w:ascii="仿宋" w:hAnsi="仿宋" w:eastAsia="仿宋" w:cs="仿宋"/>
          <w:color w:val="auto"/>
          <w:sz w:val="24"/>
          <w:szCs w:val="24"/>
          <w:highlight w:val="none"/>
        </w:rPr>
        <w:t xml:space="preserve">。</w:t>
      </w:r>
      <w:r/>
    </w:p>
    <w:p>
      <w:pPr>
        <w:pStyle w:val="976"/>
        <w:numPr>
          <w:ilvl w:val="1"/>
          <w:numId w:val="0"/>
        </w:numPr>
        <w:ind w:left="420"/>
        <w:jc w:val="both"/>
        <w:spacing w:line="560" w:lineRule="exact"/>
        <w:shd w:val="clear" w:color="auto" w:fill="ffffff"/>
        <w:rPr>
          <w:rFonts w:ascii="仿宋" w:hAnsi="仿宋" w:eastAsia="仿宋" w:cs="仿宋"/>
          <w:color w:val="auto"/>
          <w:highlight w:val="none"/>
        </w:rPr>
      </w:pPr>
      <w:r>
        <w:rPr>
          <w:rStyle w:val="1039"/>
          <w:rFonts w:hint="eastAsia" w:ascii="黑体" w:hAnsi="黑体" w:eastAsia="黑体" w:cs="仿宋"/>
          <w:b/>
          <w:bCs/>
          <w:color w:val="auto"/>
          <w:highlight w:val="none"/>
          <w:shd w:val="clear" w:color="auto" w:fill="ffffff"/>
        </w:rPr>
        <w:t xml:space="preserve">二、申请人的资格要求</w:t>
      </w:r>
      <w:r/>
    </w:p>
    <w:p>
      <w:pPr>
        <w:pStyle w:val="1032"/>
        <w:ind w:firstLine="480"/>
        <w:spacing w:line="560" w:lineRule="exact"/>
        <w:rPr>
          <w:rFonts w:ascii="仿宋" w:hAnsi="仿宋" w:eastAsia="仿宋" w:cs="仿宋"/>
          <w:color w:val="auto"/>
          <w:highlight w:val="none"/>
        </w:rPr>
        <w:outlineLvl w:val="2"/>
      </w:pPr>
      <w:r>
        <w:rPr>
          <w:rFonts w:hint="eastAsia" w:ascii="仿宋" w:hAnsi="仿宋" w:eastAsia="仿宋" w:cs="仿宋"/>
          <w:color w:val="auto"/>
          <w:highlight w:val="none"/>
          <w:shd w:val="clear" w:color="auto" w:fill="ffffff"/>
        </w:rPr>
        <w:t xml:space="preserve">（一）满足《中华人民共和国政府采购法》第二十二条规定；</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1.具有独立承担民事责任的能力证明。包括法人或者其他组织的营业执照等证明文件，自然人的身份证明；</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2.具有良好的商业信誉和健全的财务会计制度证明</w:t>
      </w:r>
      <w:r>
        <w:rPr>
          <w:rFonts w:hint="eastAsia" w:ascii="仿宋" w:hAnsi="仿宋" w:eastAsia="仿宋" w:cs="仿宋"/>
          <w:color w:val="auto"/>
          <w:sz w:val="24"/>
          <w:szCs w:val="24"/>
          <w:highlight w:val="none"/>
        </w:rPr>
        <w:t xml:space="preserve">；</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3.具备履行合同所必需的设备和专业技术能力的证明材料或承诺；</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4.依法缴纳税收和社会保障资金的相关资料；</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5.参加政府采购活动前三年内在经营活动中没有重大违法记录的书面声明函；</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6.法律、行政法规规定的其他条件</w:t>
      </w:r>
      <w:r/>
    </w:p>
    <w:p>
      <w:pPr>
        <w:pStyle w:val="1032"/>
        <w:ind w:firstLine="480"/>
        <w:spacing w:line="560" w:lineRule="exact"/>
        <w:rPr>
          <w:rFonts w:ascii="仿宋" w:hAnsi="仿宋" w:eastAsia="仿宋" w:cs="仿宋"/>
          <w:color w:val="auto"/>
          <w:highlight w:val="none"/>
          <w:shd w:val="clear" w:color="auto" w:fill="ffffff"/>
        </w:rPr>
        <w:outlineLvl w:val="2"/>
      </w:pPr>
      <w:r>
        <w:rPr>
          <w:rFonts w:hint="eastAsia" w:ascii="仿宋" w:hAnsi="仿宋" w:eastAsia="仿宋" w:cs="仿宋"/>
          <w:color w:val="auto"/>
          <w:highlight w:val="none"/>
          <w:shd w:val="clear" w:color="auto" w:fill="ffffff"/>
        </w:rPr>
        <w:t xml:space="preserve">（二）落实政府采购政策需满足的资格要求：无</w:t>
      </w:r>
      <w:r/>
    </w:p>
    <w:p>
      <w:pPr>
        <w:pStyle w:val="1032"/>
        <w:numPr>
          <w:ilvl w:val="0"/>
          <w:numId w:val="2"/>
        </w:numPr>
        <w:ind w:firstLine="480"/>
        <w:spacing w:line="560" w:lineRule="exact"/>
        <w:rPr>
          <w:rFonts w:ascii="仿宋" w:hAnsi="仿宋" w:eastAsia="仿宋" w:cs="仿宋"/>
          <w:color w:val="auto"/>
          <w:highlight w:val="none"/>
          <w:shd w:val="clear" w:color="auto" w:fill="ffffff"/>
        </w:rPr>
        <w:outlineLvl w:val="2"/>
      </w:pPr>
      <w:r>
        <w:rPr>
          <w:rFonts w:hint="eastAsia" w:ascii="仿宋" w:hAnsi="仿宋" w:eastAsia="仿宋" w:cs="仿宋"/>
          <w:color w:val="auto"/>
          <w:highlight w:val="none"/>
          <w:shd w:val="clear" w:color="auto" w:fill="ffffff"/>
        </w:rPr>
        <w:t xml:space="preserve">本项目的特定资格要求：</w:t>
      </w:r>
      <w:r>
        <w:rPr>
          <w:rFonts w:hint="eastAsia" w:ascii="仿宋" w:hAnsi="仿宋" w:eastAsia="仿宋" w:cs="仿宋"/>
          <w:color w:val="auto"/>
          <w:szCs w:val="24"/>
          <w:highlight w:val="none"/>
        </w:rPr>
        <w:t xml:space="preserve">无</w:t>
      </w:r>
      <w:r/>
    </w:p>
    <w:p>
      <w:pPr>
        <w:pStyle w:val="1032"/>
        <w:ind w:firstLine="480"/>
        <w:spacing w:line="560" w:lineRule="exact"/>
        <w:rPr>
          <w:rFonts w:ascii="仿宋" w:hAnsi="仿宋" w:eastAsia="仿宋" w:cs="仿宋"/>
          <w:color w:val="auto"/>
          <w:highlight w:val="none"/>
          <w:shd w:val="clear" w:color="auto" w:fill="ffffff"/>
        </w:rPr>
        <w:outlineLvl w:val="2"/>
      </w:pPr>
      <w:r>
        <w:rPr>
          <w:rFonts w:hint="eastAsia" w:ascii="仿宋" w:hAnsi="仿宋" w:eastAsia="仿宋" w:cs="仿宋"/>
          <w:color w:val="auto"/>
          <w:highlight w:val="none"/>
          <w:shd w:val="clear" w:color="auto" w:fill="ffffff"/>
        </w:rPr>
        <w:t xml:space="preserve">（四）拒绝下述供应商参加本次采购活动</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3、法人的分支机构不得参加投标（除银行、保险、石油石化、电力、电信等行业特殊情况外）</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76"/>
        <w:numPr>
          <w:ilvl w:val="1"/>
          <w:numId w:val="0"/>
        </w:numPr>
        <w:ind w:left="420"/>
        <w:jc w:val="both"/>
        <w:spacing w:line="560" w:lineRule="exact"/>
        <w:shd w:val="clear" w:color="auto" w:fill="ffffff"/>
        <w:rPr>
          <w:rStyle w:val="1039"/>
          <w:rFonts w:ascii="黑体" w:hAnsi="黑体" w:eastAsia="黑体" w:cs="仿宋"/>
          <w:b/>
          <w:bCs/>
          <w:color w:val="auto"/>
          <w:highlight w:val="none"/>
          <w:shd w:val="clear" w:color="auto" w:fill="ffffff"/>
        </w:rPr>
      </w:pPr>
      <w:r>
        <w:rPr>
          <w:rStyle w:val="1039"/>
          <w:rFonts w:hint="eastAsia" w:ascii="黑体" w:hAnsi="黑体" w:eastAsia="黑体" w:cs="仿宋"/>
          <w:b/>
          <w:bCs/>
          <w:color w:val="auto"/>
          <w:highlight w:val="none"/>
          <w:shd w:val="clear" w:color="auto" w:fill="ffffff"/>
        </w:rPr>
        <w:t xml:space="preserve">三、获取招标文件</w:t>
      </w:r>
      <w:r/>
    </w:p>
    <w:p>
      <w:pPr>
        <w:pStyle w:val="976"/>
        <w:numPr>
          <w:ilvl w:val="1"/>
          <w:numId w:val="0"/>
        </w:numPr>
        <w:ind w:left="420"/>
        <w:jc w:val="both"/>
        <w:spacing w:line="560" w:lineRule="exact"/>
        <w:shd w:val="clear" w:color="auto" w:fill="ffffff"/>
        <w:rPr>
          <w:rFonts w:eastAsia="仿宋"/>
          <w:color w:val="auto"/>
          <w:highlight w:val="none"/>
        </w:rPr>
      </w:pPr>
      <w:r>
        <w:rPr>
          <w:rFonts w:hint="eastAsia" w:ascii="仿宋" w:hAnsi="仿宋" w:eastAsia="仿宋" w:cs="仿宋"/>
          <w:color w:val="auto"/>
          <w:sz w:val="24"/>
          <w:szCs w:val="24"/>
          <w:highlight w:val="none"/>
          <w:shd w:val="clear" w:color="auto" w:fill="ffffff"/>
        </w:rPr>
        <w:t xml:space="preserve">时间：自招标文件公告发布之日起5个工作日</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地点：“苏采云”系统（网址：</w:t>
      </w:r>
      <w:r>
        <w:rPr>
          <w:rFonts w:ascii="仿宋" w:hAnsi="仿宋" w:eastAsia="仿宋" w:cs="仿宋"/>
          <w:color w:val="auto"/>
          <w:sz w:val="24"/>
          <w:szCs w:val="24"/>
          <w:highlight w:val="none"/>
        </w:rPr>
        <w:t xml:space="preserve">http://jszfcg.jsczt.cn/）自行下载</w:t>
      </w:r>
      <w:r>
        <w:rPr>
          <w:rFonts w:ascii="Calibri" w:hAnsi="Calibri" w:eastAsia="仿宋" w:cs="Calibri"/>
          <w:color w:val="auto"/>
          <w:sz w:val="24"/>
          <w:szCs w:val="24"/>
          <w:highlight w:val="none"/>
        </w:rPr>
        <w:t xml:space="preserve"> </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方式：自行下载</w:t>
      </w:r>
      <w:r>
        <w:rPr>
          <w:rFonts w:ascii="Calibri" w:hAnsi="Calibri" w:eastAsia="仿宋" w:cs="Calibri"/>
          <w:color w:val="auto"/>
          <w:sz w:val="24"/>
          <w:szCs w:val="24"/>
          <w:highlight w:val="none"/>
        </w:rPr>
        <w:t xml:space="preserve"> </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售价：</w:t>
      </w:r>
      <w:r>
        <w:rPr>
          <w:rFonts w:ascii="仿宋" w:hAnsi="仿宋" w:eastAsia="仿宋" w:cs="仿宋"/>
          <w:color w:val="auto"/>
          <w:sz w:val="24"/>
          <w:szCs w:val="24"/>
          <w:highlight w:val="none"/>
        </w:rPr>
        <w:t xml:space="preserve">0.00元</w:t>
      </w:r>
      <w:r>
        <w:rPr>
          <w:rFonts w:ascii="Calibri" w:hAnsi="Calibri" w:eastAsia="仿宋" w:cs="Calibri"/>
          <w:color w:val="auto"/>
          <w:sz w:val="24"/>
          <w:szCs w:val="24"/>
          <w:highlight w:val="none"/>
        </w:rPr>
        <w:t xml:space="preserve"> </w:t>
      </w:r>
      <w:r/>
    </w:p>
    <w:p>
      <w:pPr>
        <w:pStyle w:val="976"/>
        <w:numPr>
          <w:ilvl w:val="1"/>
          <w:numId w:val="0"/>
        </w:numPr>
        <w:ind w:left="420"/>
        <w:jc w:val="both"/>
        <w:spacing w:line="560" w:lineRule="exact"/>
        <w:shd w:val="clear" w:color="auto" w:fill="ffffff"/>
        <w:rPr>
          <w:rFonts w:ascii="仿宋" w:hAnsi="仿宋" w:eastAsia="仿宋" w:cs="仿宋"/>
          <w:color w:val="auto"/>
          <w:highlight w:val="none"/>
        </w:rPr>
      </w:pPr>
      <w:r>
        <w:rPr>
          <w:rStyle w:val="1039"/>
          <w:rFonts w:hint="eastAsia" w:ascii="黑体" w:hAnsi="黑体" w:eastAsia="黑体" w:cs="仿宋"/>
          <w:b/>
          <w:bCs/>
          <w:color w:val="auto"/>
          <w:highlight w:val="none"/>
          <w:shd w:val="clear" w:color="auto" w:fill="ffffff"/>
        </w:rPr>
        <w:t xml:space="preserve">四、提交投标文件截止时间、开标时间和地点</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rPr>
        <w:t xml:space="preserve">6</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15</w:t>
      </w:r>
      <w:r>
        <w:rPr>
          <w:rFonts w:ascii="仿宋" w:hAnsi="仿宋" w:eastAsia="仿宋" w:cs="仿宋"/>
          <w:color w:val="auto"/>
          <w:sz w:val="24"/>
          <w:szCs w:val="24"/>
          <w:highlight w:val="none"/>
        </w:rPr>
        <w:t xml:space="preserve"> 09:30</w:t>
      </w:r>
      <w:r>
        <w:rPr>
          <w:rFonts w:ascii="Calibri" w:hAnsi="Calibri" w:eastAsia="仿宋" w:cs="Calibri"/>
          <w:color w:val="auto"/>
          <w:sz w:val="24"/>
          <w:szCs w:val="24"/>
          <w:highlight w:val="none"/>
        </w:rPr>
        <w:t xml:space="preserve"> </w:t>
      </w:r>
      <w:r>
        <w:rPr>
          <w:rFonts w:ascii="仿宋" w:hAnsi="仿宋" w:eastAsia="仿宋" w:cs="仿宋"/>
          <w:color w:val="auto"/>
          <w:sz w:val="24"/>
          <w:szCs w:val="24"/>
          <w:highlight w:val="none"/>
        </w:rPr>
        <w:t xml:space="preserve">（北京时间）</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地点：苏采云系统</w:t>
      </w:r>
      <w:r>
        <w:rPr>
          <w:rFonts w:ascii="Calibri" w:hAnsi="Calibri" w:eastAsia="仿宋" w:cs="Calibri"/>
          <w:color w:val="auto"/>
          <w:sz w:val="24"/>
          <w:szCs w:val="24"/>
          <w:highlight w:val="none"/>
        </w:rPr>
        <w:t xml:space="preserve"> </w:t>
      </w:r>
      <w:r/>
    </w:p>
    <w:p>
      <w:pPr>
        <w:pStyle w:val="976"/>
        <w:numPr>
          <w:ilvl w:val="1"/>
          <w:numId w:val="0"/>
        </w:numPr>
        <w:ind w:left="420"/>
        <w:jc w:val="both"/>
        <w:spacing w:line="560" w:lineRule="exact"/>
        <w:shd w:val="clear" w:color="auto" w:fill="ffffff"/>
        <w:rPr>
          <w:rStyle w:val="1039"/>
          <w:rFonts w:ascii="黑体" w:hAnsi="黑体" w:eastAsia="黑体"/>
          <w:b/>
          <w:bCs/>
          <w:color w:val="auto"/>
          <w:highlight w:val="none"/>
          <w:shd w:val="clear" w:color="auto" w:fill="ffffff"/>
        </w:rPr>
      </w:pPr>
      <w:r>
        <w:rPr>
          <w:rStyle w:val="1039"/>
          <w:rFonts w:hint="eastAsia" w:ascii="黑体" w:hAnsi="黑体" w:eastAsia="黑体" w:cs="仿宋"/>
          <w:b/>
          <w:bCs/>
          <w:color w:val="auto"/>
          <w:highlight w:val="none"/>
          <w:shd w:val="clear" w:color="auto" w:fill="ffffff"/>
        </w:rPr>
        <w:t xml:space="preserve">五、公告期限</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自本公告发布之日起</w:t>
      </w:r>
      <w:r>
        <w:rPr>
          <w:rFonts w:ascii="仿宋" w:hAnsi="仿宋" w:eastAsia="仿宋" w:cs="仿宋"/>
          <w:color w:val="auto"/>
          <w:sz w:val="24"/>
          <w:szCs w:val="24"/>
          <w:highlight w:val="none"/>
        </w:rPr>
        <w:t xml:space="preserve">5个工作日。</w:t>
      </w:r>
      <w:r/>
    </w:p>
    <w:p>
      <w:pPr>
        <w:pStyle w:val="976"/>
        <w:numPr>
          <w:ilvl w:val="1"/>
          <w:numId w:val="0"/>
        </w:numPr>
        <w:ind w:left="420"/>
        <w:jc w:val="both"/>
        <w:spacing w:line="560" w:lineRule="exact"/>
        <w:shd w:val="clear" w:color="auto" w:fill="ffffff"/>
        <w:rPr>
          <w:rStyle w:val="1039"/>
          <w:rFonts w:ascii="黑体" w:hAnsi="黑体" w:eastAsia="黑体"/>
          <w:b/>
          <w:bCs/>
          <w:color w:val="auto"/>
          <w:highlight w:val="none"/>
          <w:shd w:val="clear" w:color="auto" w:fill="ffffff"/>
        </w:rPr>
      </w:pPr>
      <w:r>
        <w:rPr>
          <w:rStyle w:val="1039"/>
          <w:rFonts w:hint="eastAsia" w:ascii="黑体" w:hAnsi="黑体" w:eastAsia="黑体" w:cs="仿宋"/>
          <w:b/>
          <w:bCs/>
          <w:color w:val="auto"/>
          <w:highlight w:val="none"/>
          <w:shd w:val="clear" w:color="auto" w:fill="ffffff"/>
        </w:rPr>
        <w:t xml:space="preserve">六、其他补充事宜</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t xml:space="preserve">3、本项目采用不见面开标，投标人开标时无需到开标现场进行解密，采取网上开标大厅解密电子投标文件，投标人远程解密要求如下：</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2）投标人登录苏采云系统，点击开标大厅，选择开标项目，完成不见面开标流程。</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3）投标截止时间后根据系统提示解密电子投标文件。</w:t>
      </w:r>
      <w:r>
        <w:rPr>
          <w:rFonts w:hint="eastAsia" w:ascii="仿宋" w:hAnsi="仿宋" w:eastAsia="仿宋" w:cs="仿宋"/>
          <w:b/>
          <w:color w:val="auto"/>
          <w:sz w:val="24"/>
          <w:szCs w:val="24"/>
          <w:highlight w:val="none"/>
        </w:rPr>
        <w:t xml:space="preserve">解密时间为</w:t>
      </w:r>
      <w:r>
        <w:rPr>
          <w:rFonts w:ascii="仿宋" w:hAnsi="仿宋" w:eastAsia="仿宋" w:cs="仿宋"/>
          <w:b/>
          <w:color w:val="auto"/>
          <w:sz w:val="24"/>
          <w:szCs w:val="24"/>
          <w:highlight w:val="none"/>
        </w:rPr>
        <w:t xml:space="preserve">15分钟，</w:t>
      </w:r>
      <w:r>
        <w:rPr>
          <w:rFonts w:hint="eastAsia" w:ascii="仿宋" w:hAnsi="仿宋" w:eastAsia="仿宋" w:cs="仿宋"/>
          <w:color w:val="auto"/>
          <w:sz w:val="24"/>
          <w:szCs w:val="24"/>
          <w:highlight w:val="none"/>
        </w:rPr>
        <w:t xml:space="preserve">未在规定时间内完成解密，其投标文件将被拒绝，不参与后续投标流程。</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4、</w:t>
      </w:r>
      <w:r>
        <w:rPr>
          <w:rFonts w:hint="eastAsia" w:ascii="仿宋" w:hAnsi="仿宋" w:eastAsia="仿宋" w:cs="仿宋"/>
          <w:b/>
          <w:color w:val="auto"/>
          <w:sz w:val="24"/>
          <w:szCs w:val="24"/>
          <w:highlight w:val="none"/>
        </w:rPr>
        <w:t xml:space="preserve">有关苏采云系统驱动安装，</w:t>
      </w:r>
      <w:r>
        <w:rPr>
          <w:rFonts w:hint="eastAsia" w:ascii="仿宋" w:hAnsi="仿宋" w:eastAsia="仿宋" w:cs="仿宋"/>
          <w:color w:val="auto"/>
          <w:sz w:val="24"/>
          <w:szCs w:val="24"/>
          <w:highlight w:val="none"/>
        </w:rPr>
        <w:t xml:space="preserve">登录苏州政府采购网，点击页面底部苏采云图标，进入苏采云政府采购一体化平台，点击“驱动下载”，下载</w:t>
      </w:r>
      <w:r>
        <w:rPr>
          <w:rFonts w:hint="eastAsia" w:ascii="仿宋" w:hAnsi="仿宋" w:eastAsia="仿宋" w:cs="仿宋"/>
          <w:b/>
          <w:color w:val="auto"/>
          <w:sz w:val="24"/>
          <w:szCs w:val="24"/>
          <w:highlight w:val="none"/>
        </w:rPr>
        <w:t xml:space="preserve">“政务</w:t>
      </w:r>
      <w:r>
        <w:rPr>
          <w:rFonts w:ascii="仿宋" w:hAnsi="仿宋" w:eastAsia="仿宋" w:cs="仿宋"/>
          <w:b/>
          <w:color w:val="auto"/>
          <w:sz w:val="24"/>
          <w:szCs w:val="24"/>
          <w:highlight w:val="none"/>
        </w:rPr>
        <w:t xml:space="preserve">CA、方正签章控件驱动安装包及安装说明”</w:t>
      </w:r>
      <w:r>
        <w:rPr>
          <w:rFonts w:hint="eastAsia" w:ascii="仿宋" w:hAnsi="仿宋" w:eastAsia="仿宋" w:cs="仿宋"/>
          <w:color w:val="auto"/>
          <w:sz w:val="24"/>
          <w:szCs w:val="24"/>
          <w:highlight w:val="none"/>
        </w:rPr>
        <w:t xml:space="preserve">文件，按要求安装驱动。</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5、</w:t>
      </w:r>
      <w:r>
        <w:rPr>
          <w:rFonts w:hint="eastAsia" w:ascii="仿宋" w:hAnsi="仿宋" w:eastAsia="仿宋" w:cs="仿宋"/>
          <w:b/>
          <w:color w:val="auto"/>
          <w:sz w:val="24"/>
          <w:szCs w:val="24"/>
          <w:highlight w:val="none"/>
        </w:rPr>
        <w:t xml:space="preserve">有关供应商注册、报名、下载电子招标文件、制作上传电子投标文件</w:t>
      </w:r>
      <w:r>
        <w:rPr>
          <w:rFonts w:hint="eastAsia" w:ascii="仿宋" w:hAnsi="仿宋" w:eastAsia="仿宋" w:cs="仿宋"/>
          <w:color w:val="auto"/>
          <w:sz w:val="24"/>
          <w:szCs w:val="24"/>
          <w:highlight w:val="none"/>
        </w:rPr>
        <w:t xml:space="preserve">、不见面开标及其他注意事项登录苏州政府采购网，在“下载中心”栏目下载“</w:t>
      </w:r>
      <w:r>
        <w:rPr>
          <w:rFonts w:hint="eastAsia" w:ascii="仿宋" w:hAnsi="仿宋" w:eastAsia="仿宋" w:cs="仿宋"/>
          <w:b/>
          <w:color w:val="auto"/>
          <w:sz w:val="24"/>
          <w:szCs w:val="24"/>
          <w:highlight w:val="none"/>
        </w:rPr>
        <w:t xml:space="preserve">苏采云系统供应商操作</w:t>
      </w:r>
      <w:r>
        <w:rPr>
          <w:rFonts w:hint="eastAsia" w:ascii="仿宋" w:hAnsi="仿宋" w:eastAsia="仿宋" w:cs="仿宋"/>
          <w:b/>
          <w:bCs/>
          <w:color w:val="auto"/>
          <w:sz w:val="24"/>
          <w:szCs w:val="24"/>
          <w:highlight w:val="none"/>
        </w:rPr>
        <w:t xml:space="preserve">手册</w:t>
      </w:r>
      <w:r>
        <w:rPr>
          <w:rFonts w:hint="eastAsia" w:ascii="仿宋" w:hAnsi="仿宋" w:eastAsia="仿宋" w:cs="仿宋"/>
          <w:color w:val="auto"/>
          <w:sz w:val="24"/>
          <w:szCs w:val="24"/>
          <w:highlight w:val="none"/>
        </w:rPr>
        <w:t xml:space="preserve">”查阅。</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6、有关办理CA数字申领及电子签章事项，登录苏州政府采购网，点击页面底部苏采云图标，进入苏采云政府采购一体化平台，下载“新CA办理指南”文件查阅。</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7、有关电子投标制作技术疑问，请咨询苏采云软件公司客服：18261002950、0512-69820854、0519-86722802</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8、政府采购监督电话：0512-53512539</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9、本次招标投标保证金：本项目无须缴纳投标保证金。</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10、政府采购信用融资政策：中标供应商可凭政府采购合同办理融资贷款，详情请见江苏政府采购网“政采贷”专栏。</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11、</w:t>
      </w:r>
      <w:r>
        <w:rPr>
          <w:rFonts w:ascii="仿宋" w:hAnsi="仿宋" w:eastAsia="仿宋" w:cs="仿宋"/>
          <w:color w:val="auto"/>
          <w:sz w:val="24"/>
          <w:szCs w:val="24"/>
          <w:highlight w:val="none"/>
        </w:rPr>
        <w:t xml:space="preserve">政府采购履约资金扶持政策：</w:t>
      </w:r>
      <w:r>
        <w:rPr>
          <w:rFonts w:hint="eastAsia" w:ascii="仿宋" w:hAnsi="仿宋" w:eastAsia="仿宋" w:cs="仿宋"/>
          <w:color w:val="auto"/>
          <w:sz w:val="24"/>
          <w:szCs w:val="24"/>
          <w:highlight w:val="none"/>
        </w:rPr>
        <w:t xml:space="preserve">依据《关于在全省政府采购领域推行电子履约保函（保险）的通知》（苏财购〔2023〕150号），中标供应商可通过江苏政府采购网“政府采购电子履约保函（保险）综合服务平台”线上办理履约保函（保险）。</w:t>
      </w:r>
      <w:r/>
    </w:p>
    <w:p>
      <w:pPr>
        <w:pStyle w:val="976"/>
        <w:numPr>
          <w:ilvl w:val="1"/>
          <w:numId w:val="0"/>
        </w:numPr>
        <w:ind w:left="420"/>
        <w:jc w:val="both"/>
        <w:spacing w:line="560" w:lineRule="exact"/>
        <w:shd w:val="clear" w:color="auto" w:fill="ffffff"/>
        <w:rPr>
          <w:rStyle w:val="1039"/>
          <w:rFonts w:ascii="黑体" w:hAnsi="黑体" w:eastAsia="黑体"/>
          <w:b/>
          <w:bCs/>
          <w:color w:val="auto"/>
          <w:highlight w:val="none"/>
          <w:shd w:val="clear" w:color="auto" w:fill="ffffff"/>
        </w:rPr>
      </w:pPr>
      <w:r>
        <w:rPr>
          <w:rStyle w:val="1039"/>
          <w:rFonts w:hint="eastAsia" w:ascii="黑体" w:hAnsi="黑体" w:eastAsia="黑体" w:cs="仿宋"/>
          <w:b/>
          <w:bCs/>
          <w:color w:val="auto"/>
          <w:highlight w:val="none"/>
          <w:shd w:val="clear" w:color="auto" w:fill="ffffff"/>
        </w:rPr>
        <w:t xml:space="preserve">七、对本次招标提出询问，请按以下方式联系</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1.采购人信息</w:t>
      </w:r>
      <w:r>
        <w:rPr>
          <w:rFonts w:ascii="Calibri" w:hAnsi="Calibri" w:eastAsia="仿宋" w:cs="Calibri"/>
          <w:color w:val="auto"/>
          <w:sz w:val="24"/>
          <w:szCs w:val="24"/>
          <w:highlight w:val="none"/>
        </w:rPr>
        <w:t xml:space="preserve"> </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单位名称：太仓市娄江新城医院（瑞金医院太仓分院）</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单位地址：太仓市上海东路666号</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联系人：曹泽鑫</w:t>
      </w:r>
      <w:r>
        <w:rPr>
          <w:rFonts w:ascii="仿宋" w:hAnsi="仿宋" w:eastAsia="仿宋" w:cs="仿宋"/>
          <w:color w:val="auto"/>
          <w:sz w:val="24"/>
          <w:szCs w:val="24"/>
          <w:highlight w:val="none"/>
        </w:rPr>
        <w:t xml:space="preserve"> </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：19906228697</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2.采购代理机构信息（如有）</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单位名称：苏州市公共资源交易中心太仓分中心</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单位地址：太仓市陆渡街道万金北路88号3栋2楼</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联系人：冯晔</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联系电话：</w:t>
      </w:r>
      <w:r>
        <w:rPr>
          <w:rFonts w:ascii="仿宋" w:hAnsi="仿宋" w:eastAsia="仿宋" w:cs="仿宋"/>
          <w:color w:val="auto"/>
          <w:sz w:val="24"/>
          <w:szCs w:val="24"/>
          <w:highlight w:val="none"/>
        </w:rPr>
        <w:t xml:space="preserve">0512-53890639</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3.项目联系方式</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项目联系人：冯晔</w:t>
      </w:r>
      <w:r/>
    </w:p>
    <w:p>
      <w:pPr>
        <w:ind w:firstLine="480"/>
        <w:spacing w:line="56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rPr>
          <w:rFonts w:ascii="仿宋" w:hAnsi="仿宋" w:eastAsia="仿宋" w:cs="仿宋"/>
          <w:color w:val="auto"/>
          <w:sz w:val="24"/>
          <w:szCs w:val="24"/>
          <w:highlight w:val="none"/>
        </w:rPr>
        <w:t xml:space="preserve">0512-53890639</w:t>
      </w:r>
      <w:r/>
    </w:p>
    <w:p>
      <w:pPr>
        <w:pStyle w:val="1032"/>
        <w:spacing w:line="360" w:lineRule="auto"/>
        <w:rPr>
          <w:rFonts w:ascii="仿宋" w:hAnsi="仿宋" w:eastAsia="仿宋" w:cs="仿宋"/>
          <w:b/>
          <w:color w:val="auto"/>
          <w:szCs w:val="24"/>
          <w:highlight w:val="none"/>
        </w:rPr>
      </w:pPr>
      <w:r>
        <w:rPr>
          <w:rFonts w:ascii="仿宋" w:hAnsi="仿宋" w:eastAsia="仿宋" w:cs="仿宋"/>
          <w:b/>
          <w:color w:val="auto"/>
          <w:szCs w:val="24"/>
          <w:highlight w:val="none"/>
        </w:rPr>
      </w:r>
      <w:r/>
    </w:p>
    <w:p>
      <w:pPr>
        <w:rPr>
          <w:rFonts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p>
    <w:p>
      <w:pPr>
        <w:jc w:val="center"/>
        <w:spacing w:line="480" w:lineRule="auto"/>
        <w:rPr>
          <w:rFonts w:ascii="仿宋" w:hAnsi="仿宋" w:eastAsia="仿宋" w:cs="仿宋"/>
          <w:b/>
          <w:bCs/>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44"/>
          <w:szCs w:val="44"/>
          <w:highlight w:val="none"/>
        </w:rPr>
        <w:t xml:space="preserve">第二部分  投标人须知</w:t>
      </w:r>
      <w:r/>
    </w:p>
    <w:p>
      <w:pPr>
        <w:ind w:firstLine="883"/>
        <w:jc w:val="center"/>
        <w:spacing w:line="360" w:lineRule="auto"/>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一、说明和释义</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 </w:t>
      </w:r>
      <w:r>
        <w:rPr>
          <w:rFonts w:hint="eastAsia" w:ascii="仿宋" w:hAnsi="仿宋" w:eastAsia="仿宋" w:cs="仿宋"/>
          <w:b/>
          <w:color w:val="auto"/>
          <w:sz w:val="24"/>
          <w:szCs w:val="24"/>
          <w:highlight w:val="none"/>
        </w:rPr>
        <w:t xml:space="preserve">说明</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1.1本招标文件仅适用于苏州市公共资源交易中心太仓分中心组织的招标活动。</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1.2本次招标活动及因本次招标产生的合同受中国法律制约和保护。</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1.3本招标文件的解释权属于采购人。</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 </w:t>
      </w:r>
      <w:r>
        <w:rPr>
          <w:rFonts w:hint="eastAsia" w:ascii="仿宋" w:hAnsi="仿宋" w:eastAsia="仿宋" w:cs="仿宋"/>
          <w:b/>
          <w:color w:val="auto"/>
          <w:sz w:val="24"/>
          <w:szCs w:val="24"/>
          <w:highlight w:val="none"/>
        </w:rPr>
        <w:t xml:space="preserve">词语释义</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2.1采购代理机构：具体组织实施招标活动的法人。本项目采购代理机构是苏州市公共资源交易中心太仓分中心。</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rPr>
        <w:t xml:space="preserve"> </w:t>
      </w:r>
      <w:r>
        <w:rPr>
          <w:rFonts w:ascii="仿宋" w:hAnsi="仿宋" w:eastAsia="仿宋" w:cs="仿宋"/>
          <w:color w:val="auto"/>
          <w:sz w:val="24"/>
          <w:szCs w:val="24"/>
          <w:highlight w:val="none"/>
        </w:rPr>
        <w:t xml:space="preserve">投标人：经认定有资格响应招标，参加投标竞争的法人或其他组织和自然人。</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2.3响应：投标人根据采购人或采购代理机构发布的招标文件，编制投标文件并按规定投标的行为。</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2.5甲方（采购方）：合同中明确规定的实际购买货物和服务的法人或其他组织和自然人（采购人）</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2.6乙方（供应商）：合同中规定的向采购方提供货物和服务的法人或其他组织和自然人（中标人）</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2.7货物：系指乙方按招标采购文件规定，应向甲方提供的一切设备、备品、备件、工具、手册及其它有关技术资料和材料。</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2.9知识产权：指专利权、商标权、著作权等无形财产专有权的统称。</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2.10天：日历日。</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2.11交货地点：合同中明确约定的乙方提交的货物和服务最终到达地点。</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2.12</w:t>
      </w:r>
      <w:r>
        <w:rPr>
          <w:rFonts w:hint="eastAsia" w:ascii="仿宋" w:hAnsi="仿宋" w:eastAsia="仿宋" w:cs="仿宋"/>
          <w:color w:val="auto"/>
          <w:sz w:val="24"/>
          <w:szCs w:val="24"/>
          <w:highlight w:val="none"/>
        </w:rPr>
        <w:t xml:space="preserve">合同价款：根据合同规定，乙方在正确地履行合同义务后甲方应支付乙方的价款。</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2.13</w:t>
      </w:r>
      <w:r>
        <w:rPr>
          <w:rFonts w:hint="eastAsia" w:ascii="仿宋" w:hAnsi="仿宋" w:eastAsia="仿宋" w:cs="仿宋"/>
          <w:color w:val="auto"/>
          <w:sz w:val="24"/>
          <w:szCs w:val="24"/>
          <w:highlight w:val="none"/>
        </w:rPr>
        <w:t xml:space="preserve">产地：货物开采、生长、生产、最终制造、加工或提供服务的来源地。</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2.14不可抗力：不能预见、不能避免并且不能克服的客观情况。</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2.15</w:t>
      </w:r>
      <w:r>
        <w:rPr>
          <w:rFonts w:hint="eastAsia" w:ascii="仿宋" w:hAnsi="仿宋" w:eastAsia="仿宋" w:cs="仿宋"/>
          <w:color w:val="auto"/>
          <w:sz w:val="24"/>
          <w:szCs w:val="24"/>
          <w:highlight w:val="none"/>
        </w:rPr>
        <w:t xml:space="preserve">实质性响应：满足有关本次采购标的、数量、质量、价款或者报酬、履行期限、履行地点和方式、违约责任和解决争议方法等要求。</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2.16</w:t>
      </w:r>
      <w:r>
        <w:rPr>
          <w:rFonts w:hint="eastAsia" w:ascii="仿宋" w:hAnsi="仿宋" w:eastAsia="仿宋" w:cs="仿宋"/>
          <w:color w:val="auto"/>
          <w:sz w:val="24"/>
          <w:szCs w:val="24"/>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2.17进口产品：指通过中国海关报关验收进入中国境内且产自境外的产品。</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2.18书面形式：指书面文字、合同书、信件和传真等可以有形地表现所载内容的形式。</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二、</w:t>
      </w:r>
      <w:r>
        <w:rPr>
          <w:rFonts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rPr>
        <w:t xml:space="preserve">投标人</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 </w:t>
      </w:r>
      <w:r>
        <w:rPr>
          <w:rFonts w:hint="eastAsia" w:ascii="仿宋" w:hAnsi="仿宋" w:eastAsia="仿宋" w:cs="仿宋"/>
          <w:b/>
          <w:color w:val="auto"/>
          <w:sz w:val="24"/>
          <w:szCs w:val="24"/>
          <w:highlight w:val="none"/>
        </w:rPr>
        <w:t xml:space="preserve">合格投标人的基本条件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3.1符合《中华人民共和国政府采购法》第二十二条第一款之规定；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3.2满足本文件实质性条款的规定。</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4．合格投标人的特定条件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4.1</w:t>
      </w:r>
      <w:r>
        <w:rPr>
          <w:rFonts w:hint="eastAsia" w:ascii="仿宋" w:hAnsi="仿宋" w:eastAsia="仿宋" w:cs="仿宋"/>
          <w:color w:val="auto"/>
          <w:sz w:val="24"/>
          <w:szCs w:val="24"/>
          <w:highlight w:val="none"/>
        </w:rPr>
        <w:t xml:space="preserve">按招标公告规定。</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5. </w:t>
      </w:r>
      <w:r>
        <w:rPr>
          <w:rFonts w:hint="eastAsia" w:ascii="仿宋" w:hAnsi="仿宋" w:eastAsia="仿宋" w:cs="仿宋"/>
          <w:b/>
          <w:color w:val="auto"/>
          <w:sz w:val="24"/>
          <w:szCs w:val="24"/>
          <w:highlight w:val="none"/>
        </w:rPr>
        <w:t xml:space="preserve">投标人代表</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6. </w:t>
      </w:r>
      <w:r>
        <w:rPr>
          <w:rFonts w:hint="eastAsia" w:ascii="仿宋" w:hAnsi="仿宋" w:eastAsia="仿宋" w:cs="仿宋"/>
          <w:b/>
          <w:color w:val="auto"/>
          <w:sz w:val="24"/>
          <w:szCs w:val="24"/>
          <w:highlight w:val="none"/>
        </w:rPr>
        <w:t xml:space="preserve">联合投标及转包、分包</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6.1本项目不接受联合体投标。</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6.2本项目不接受转包。</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6.3本项目不接受分包。</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7. 投标费用 </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7.1投标人应自行承担所有准备及参加投标的相关费用。不论投标结果如何，采购代理机构在任何情况下均无义务也无责任承担这些费用。</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7.2 </w:t>
      </w:r>
      <w:r>
        <w:rPr>
          <w:rFonts w:hint="eastAsia" w:ascii="仿宋" w:hAnsi="仿宋" w:eastAsia="仿宋" w:cs="仿宋"/>
          <w:color w:val="auto"/>
          <w:sz w:val="24"/>
          <w:szCs w:val="24"/>
          <w:highlight w:val="none"/>
        </w:rPr>
        <w:t xml:space="preserve">本次招标项目不收取标书费及中标服务费，请投标人在投标时充分考虑这一因素。</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三、招标文件说明</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8. </w:t>
      </w:r>
      <w:r>
        <w:rPr>
          <w:rFonts w:hint="eastAsia" w:ascii="仿宋" w:hAnsi="仿宋" w:eastAsia="仿宋" w:cs="仿宋"/>
          <w:b/>
          <w:color w:val="auto"/>
          <w:sz w:val="24"/>
          <w:szCs w:val="24"/>
          <w:highlight w:val="none"/>
        </w:rPr>
        <w:t xml:space="preserve">招标文件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8.2招标文件及其更正文件不是直接从采购代理机构或指定媒体获得的，采购代理机构对招标文件及其补遗的真实性、完整性不承担任何责任。</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9. </w:t>
      </w:r>
      <w:r>
        <w:rPr>
          <w:rFonts w:hint="eastAsia" w:ascii="仿宋" w:hAnsi="仿宋" w:eastAsia="仿宋" w:cs="仿宋"/>
          <w:b/>
          <w:color w:val="auto"/>
          <w:sz w:val="24"/>
          <w:szCs w:val="24"/>
          <w:highlight w:val="none"/>
        </w:rPr>
        <w:t xml:space="preserve">招标文件的澄清</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9.1投标人在获取招标文件后，若有疑问，应于投标截止时间之前，向采购代理机构提出，采购代理机构将予以解答。</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9.2如有必要，问题答复将以“变更公告”形式由采购代理机构按照本须知第10条的规定发出。</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10.招标文件的修改</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10.1采购代理机构无论出于自己的考虑，还是出于对投标人提问的澄清，均可对已发出的招标文件用补充文件的方式进行必要澄清或者修改。</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10.3招标文件的更正（含澄清、修改等）内容与原招标文件在同一内容上表述不一致时，以发出日期最接近开标时间的公告为准。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t xml:space="preserve">10.5招标文件若有最新的答疑文件，投标供应商必须下载并使用该文件制作新的电子投标文件，否则将无法完成电子投标文件的上传及投标。</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11.质疑</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11.1</w:t>
      </w:r>
      <w:r>
        <w:rPr>
          <w:rFonts w:hint="eastAsia" w:ascii="仿宋" w:hAnsi="仿宋" w:eastAsia="仿宋" w:cs="仿宋"/>
          <w:color w:val="auto"/>
          <w:sz w:val="24"/>
          <w:szCs w:val="24"/>
          <w:highlight w:val="none"/>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rPr>
        <w:t xml:space="preserve">提出质疑的供应商应当是参与所质疑项目采购活动的供应商，未参加投标活动的供应商或在投标活动中自身权益未受到损害的供应商所提出的质疑不予受理。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11.3上述应知其权益受到损害之日是指：</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11.3.1对采购文件提出质疑的，为获取采购文件或者采购文件公告期限届满之日起计算；</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11.3.2对采购过程提出质疑的，自采购程序环节结束之日起计算；</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11.3.3对中标结果提出质疑的，自中标结果公告期限届满之日起计算。</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11.4</w:t>
      </w:r>
      <w:r>
        <w:rPr>
          <w:rFonts w:hint="eastAsia" w:ascii="仿宋" w:hAnsi="仿宋" w:eastAsia="仿宋" w:cs="仿宋"/>
          <w:color w:val="auto"/>
          <w:sz w:val="24"/>
          <w:szCs w:val="24"/>
          <w:highlight w:val="none"/>
        </w:rPr>
        <w:t xml:space="preserve">供应商提出质疑应当提交质疑函和必要的证明材料。质疑函应当包括下列内容：</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11.4.1</w:t>
      </w:r>
      <w:r>
        <w:rPr>
          <w:rFonts w:hint="eastAsia" w:ascii="仿宋" w:hAnsi="仿宋" w:eastAsia="仿宋" w:cs="仿宋"/>
          <w:color w:val="auto"/>
          <w:sz w:val="24"/>
          <w:szCs w:val="24"/>
          <w:highlight w:val="none"/>
        </w:rPr>
        <w:t xml:space="preserve">供应商的姓名或者名称、地址、邮编、联系人及联系电话；</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11.4.2</w:t>
      </w:r>
      <w:r>
        <w:rPr>
          <w:rFonts w:hint="eastAsia" w:ascii="仿宋" w:hAnsi="仿宋" w:eastAsia="仿宋" w:cs="仿宋"/>
          <w:color w:val="auto"/>
          <w:sz w:val="24"/>
          <w:szCs w:val="24"/>
          <w:highlight w:val="none"/>
        </w:rPr>
        <w:t xml:space="preserve">质疑项目的名称、编号；</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11.4.3</w:t>
      </w:r>
      <w:r>
        <w:rPr>
          <w:rFonts w:hint="eastAsia" w:ascii="仿宋" w:hAnsi="仿宋" w:eastAsia="仿宋" w:cs="仿宋"/>
          <w:color w:val="auto"/>
          <w:sz w:val="24"/>
          <w:szCs w:val="24"/>
          <w:highlight w:val="none"/>
        </w:rPr>
        <w:t xml:space="preserve">具体、明确的质疑事项和与质疑事项相关的请求；</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11.4.4</w:t>
      </w:r>
      <w:r>
        <w:rPr>
          <w:rFonts w:hint="eastAsia" w:ascii="仿宋" w:hAnsi="仿宋" w:eastAsia="仿宋" w:cs="仿宋"/>
          <w:color w:val="auto"/>
          <w:sz w:val="24"/>
          <w:szCs w:val="24"/>
          <w:highlight w:val="none"/>
        </w:rPr>
        <w:t xml:space="preserve">事实依据；</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11.4.5</w:t>
      </w:r>
      <w:r>
        <w:rPr>
          <w:rFonts w:hint="eastAsia" w:ascii="仿宋" w:hAnsi="仿宋" w:eastAsia="仿宋" w:cs="仿宋"/>
          <w:color w:val="auto"/>
          <w:sz w:val="24"/>
          <w:szCs w:val="24"/>
          <w:highlight w:val="none"/>
        </w:rPr>
        <w:t xml:space="preserve">必要的法律依据；</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11.4.6</w:t>
      </w:r>
      <w:r>
        <w:rPr>
          <w:rFonts w:hint="eastAsia" w:ascii="仿宋" w:hAnsi="仿宋" w:eastAsia="仿宋" w:cs="仿宋"/>
          <w:color w:val="auto"/>
          <w:sz w:val="24"/>
          <w:szCs w:val="24"/>
          <w:highlight w:val="none"/>
        </w:rPr>
        <w:t xml:space="preserve">提出质疑的日期。</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rPr>
        <w:t xml:space="preserve">5</w:t>
      </w:r>
      <w:r>
        <w:rPr>
          <w:rFonts w:ascii="仿宋" w:hAnsi="仿宋" w:eastAsia="仿宋" w:cs="仿宋"/>
          <w:color w:val="auto"/>
          <w:sz w:val="24"/>
          <w:szCs w:val="24"/>
          <w:highlight w:val="none"/>
        </w:rPr>
        <w:t xml:space="preserve">质疑函的格式和内容应当符合财政部《政府采购供应商质疑函范本》</w:t>
      </w:r>
      <w:r>
        <w:rPr>
          <w:rFonts w:hint="eastAsia" w:ascii="仿宋" w:hAnsi="仿宋" w:eastAsia="仿宋" w:cs="仿宋"/>
          <w:color w:val="auto"/>
          <w:sz w:val="24"/>
          <w:szCs w:val="24"/>
          <w:highlight w:val="none"/>
        </w:rPr>
        <w:t xml:space="preserve">要求，质疑函范本在财政部官网上提供下载。</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11.6</w:t>
      </w:r>
      <w:r>
        <w:rPr>
          <w:rFonts w:hint="eastAsia" w:ascii="仿宋" w:hAnsi="仿宋" w:eastAsia="仿宋" w:cs="仿宋"/>
          <w:color w:val="auto"/>
          <w:sz w:val="24"/>
          <w:szCs w:val="24"/>
          <w:highlight w:val="none"/>
        </w:rPr>
        <w:t xml:space="preserve">提交质疑函同时应当附如下证明材料：</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11.6.1对采购文件提出质疑的供应商提供参加本项目的《投标供应商确认函》；</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11.6.2质疑供应商的营业执照复印件加盖单位公章；</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11.6.3质疑供应商法定代表人身份证复印件加盖单位公章；</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11.7供应商为自然人的，应当由本人签字；供应商为法人或者其他组织的，应当由法定代表人、主要负责人，或者其授权代表签字或者盖章，并加盖公章</w:t>
      </w:r>
      <w:r>
        <w:rPr>
          <w:rFonts w:hint="eastAsia" w:ascii="仿宋" w:hAnsi="仿宋" w:eastAsia="仿宋" w:cs="仿宋"/>
          <w:color w:val="auto"/>
          <w:sz w:val="24"/>
          <w:szCs w:val="24"/>
          <w:highlight w:val="none"/>
        </w:rPr>
        <w:t xml:space="preserve">；</w:t>
      </w:r>
      <w:r>
        <w:rPr>
          <w:rFonts w:ascii="仿宋" w:hAnsi="仿宋" w:eastAsia="仿宋" w:cs="仿宋"/>
          <w:color w:val="auto"/>
          <w:sz w:val="24"/>
          <w:szCs w:val="24"/>
          <w:highlight w:val="none"/>
        </w:rPr>
        <w:t xml:space="preserve"> </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11.8供应商对招标项目技术、商务及其他要求，以及评审细则、标准提出询问或质疑的，应向采购人提出；供应商对采购过程及中标结果提出询问或质疑的，应向采购机代理构提出；</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11.9供应商如对本项目提出质疑须在法定质疑期内一次性提出针对同一采购程序环节的质疑。</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11.10</w:t>
      </w:r>
      <w:r>
        <w:rPr>
          <w:rFonts w:hint="eastAsia" w:ascii="仿宋" w:hAnsi="仿宋" w:eastAsia="仿宋" w:cs="仿宋"/>
          <w:color w:val="auto"/>
          <w:sz w:val="24"/>
          <w:szCs w:val="24"/>
          <w:highlight w:val="none"/>
        </w:rPr>
        <w:t xml:space="preserve">根据《政府采购质疑和投诉办法》（财政部第</w:t>
      </w:r>
      <w:r>
        <w:rPr>
          <w:rFonts w:ascii="仿宋" w:hAnsi="仿宋" w:eastAsia="仿宋" w:cs="仿宋"/>
          <w:color w:val="auto"/>
          <w:sz w:val="24"/>
          <w:szCs w:val="24"/>
          <w:highlight w:val="none"/>
        </w:rPr>
        <w:t xml:space="preserve">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11.11接受质疑函联系方式见采购公告联系事项。</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四、</w:t>
      </w:r>
      <w:r>
        <w:rPr>
          <w:rFonts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rPr>
        <w:t xml:space="preserve">投标文件说明</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12、提示与要求</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12.2无论是否递交投标文件，投标人都应将招标文件及以后的所有通知、文件等视为保密文件。</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13. </w:t>
      </w:r>
      <w:r>
        <w:rPr>
          <w:rFonts w:hint="eastAsia" w:ascii="仿宋" w:hAnsi="仿宋" w:eastAsia="仿宋" w:cs="仿宋"/>
          <w:b/>
          <w:color w:val="auto"/>
          <w:sz w:val="24"/>
          <w:szCs w:val="24"/>
          <w:highlight w:val="none"/>
        </w:rPr>
        <w:t xml:space="preserve">投标文件计量单位和使用文字</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14. </w:t>
      </w:r>
      <w:r>
        <w:rPr>
          <w:rFonts w:hint="eastAsia" w:ascii="仿宋" w:hAnsi="仿宋" w:eastAsia="仿宋" w:cs="仿宋"/>
          <w:b/>
          <w:color w:val="auto"/>
          <w:sz w:val="24"/>
          <w:szCs w:val="24"/>
          <w:highlight w:val="none"/>
        </w:rPr>
        <w:t xml:space="preserve">知识产权</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14.1</w:t>
      </w:r>
      <w:r>
        <w:rPr>
          <w:rFonts w:hint="eastAsia" w:ascii="仿宋" w:hAnsi="仿宋" w:eastAsia="仿宋" w:cs="仿宋"/>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15. </w:t>
      </w:r>
      <w:r>
        <w:rPr>
          <w:rFonts w:hint="eastAsia" w:ascii="仿宋" w:hAnsi="仿宋" w:eastAsia="仿宋" w:cs="仿宋"/>
          <w:b/>
          <w:color w:val="auto"/>
          <w:sz w:val="24"/>
          <w:szCs w:val="24"/>
          <w:highlight w:val="none"/>
        </w:rPr>
        <w:t xml:space="preserve">投标文件的组成</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b/>
          <w:color w:val="auto"/>
          <w:sz w:val="24"/>
          <w:szCs w:val="24"/>
          <w:highlight w:val="none"/>
        </w:rPr>
        <w:t xml:space="preserve">15.1报价部分（详见投标文件格式）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15.1.1封面</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15.1.2《开标一览表》(统一格式)；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15.1.3公开分项报价表；</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b/>
          <w:color w:val="auto"/>
          <w:sz w:val="24"/>
          <w:szCs w:val="24"/>
          <w:highlight w:val="none"/>
        </w:rPr>
        <w:t xml:space="preserve">15.2 </w:t>
      </w:r>
      <w:r>
        <w:rPr>
          <w:rFonts w:hint="eastAsia" w:ascii="仿宋" w:hAnsi="仿宋" w:eastAsia="仿宋" w:cs="仿宋"/>
          <w:b/>
          <w:color w:val="auto"/>
          <w:sz w:val="24"/>
          <w:szCs w:val="24"/>
          <w:highlight w:val="none"/>
        </w:rPr>
        <w:t xml:space="preserve">投标正文部分（包含资质证明和技术部分）</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仿宋" w:hAnsi="仿宋" w:eastAsia="仿宋" w:cs="仿宋"/>
          <w:b/>
          <w:color w:val="auto"/>
          <w:sz w:val="24"/>
          <w:szCs w:val="24"/>
          <w:highlight w:val="none"/>
        </w:rPr>
        <w:t xml:space="preserve">15.2.1资质证明文件部分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15.2.1.1关于资格文件的声明函（详见文件格式）；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15.2.1.2投标承诺函（详见文件格式）；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15.2.1.3投标人基本情况表（详见文件格式）；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15.2.1.4投标人法定代表人身份证复印件；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15.2.1.5投标人法定代表人授权委托书原件（如有授权）（详见文件格式）；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15.2.1.6投标人授权代理人身份证复印件（如有授权）；</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15.2.1.7投标单位营业执照副本或三证合一营业执照复印件；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15.2.1.8投标人参加本次政府采购活动前的财务状况报告或者银行出具的资信证明；</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15.2.1.9投标人根据项目需求提供履行合同所必需的设备和专业技术能力的证明材料；</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15.2.1.10投标人参加本次政府采购活动前半年（至少一个月）依法缴纳税收和社会保障资金的证明材料；</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15.2.1.11投标人参加政府采购活动前三年在经营活动中没有重大违法记录的书面申明（详见投标文件格式）；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15.2.1.12投标人证明其符合招标文件规定的投标人特定资格条件的证书、证明和文件材料；（如有）</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15.2.1.13中小企业声明函；</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15.2.1.14残疾人福利性单位声明函（如有）；</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仿宋" w:hAnsi="仿宋" w:eastAsia="仿宋" w:cs="仿宋"/>
          <w:b/>
          <w:color w:val="auto"/>
          <w:sz w:val="24"/>
          <w:szCs w:val="24"/>
          <w:highlight w:val="none"/>
        </w:rPr>
        <w:t xml:space="preserve">15.2.2技术部分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rPr>
        <w:t xml:space="preserve">1服务</w:t>
      </w:r>
      <w:r>
        <w:rPr>
          <w:rFonts w:ascii="仿宋" w:hAnsi="仿宋" w:eastAsia="仿宋" w:cs="仿宋"/>
          <w:color w:val="auto"/>
          <w:sz w:val="24"/>
          <w:szCs w:val="24"/>
          <w:highlight w:val="none"/>
        </w:rPr>
        <w:t xml:space="preserve">要求偏离表（详见文件格式）；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rPr>
        <w:t xml:space="preserve">2</w:t>
      </w:r>
      <w:r>
        <w:rPr>
          <w:rFonts w:ascii="仿宋" w:hAnsi="仿宋" w:eastAsia="仿宋" w:cs="仿宋"/>
          <w:color w:val="auto"/>
          <w:sz w:val="24"/>
          <w:szCs w:val="24"/>
          <w:highlight w:val="none"/>
        </w:rPr>
        <w:t xml:space="preserve">商务要求偏离表（详见文件格式）；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rPr>
        <w:t xml:space="preserve">3</w:t>
      </w:r>
      <w:r>
        <w:rPr>
          <w:rFonts w:ascii="仿宋" w:hAnsi="仿宋" w:eastAsia="仿宋" w:cs="仿宋"/>
          <w:color w:val="auto"/>
          <w:sz w:val="24"/>
          <w:szCs w:val="24"/>
          <w:highlight w:val="none"/>
        </w:rPr>
        <w:t xml:space="preserve">项目的技术及服务方案</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rPr>
        <w:t xml:space="preserve">4</w:t>
      </w:r>
      <w:r>
        <w:rPr>
          <w:rFonts w:ascii="仿宋" w:hAnsi="仿宋" w:eastAsia="仿宋" w:cs="仿宋"/>
          <w:color w:val="auto"/>
          <w:sz w:val="24"/>
          <w:szCs w:val="24"/>
          <w:highlight w:val="none"/>
        </w:rPr>
        <w:t xml:space="preserve">类似项目业绩一览表及相关证明材料（详见文件格式）；</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rPr>
        <w:t xml:space="preserve">5</w:t>
      </w:r>
      <w:r>
        <w:rPr>
          <w:rFonts w:ascii="仿宋" w:hAnsi="仿宋" w:eastAsia="仿宋" w:cs="仿宋"/>
          <w:color w:val="auto"/>
          <w:sz w:val="24"/>
          <w:szCs w:val="24"/>
          <w:highlight w:val="none"/>
        </w:rPr>
        <w:t xml:space="preserve">投入本项目技术（服务）人员一览表及相关证明材料；</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rPr>
        <w:t xml:space="preserve">6</w:t>
      </w:r>
      <w:r>
        <w:rPr>
          <w:rFonts w:ascii="仿宋" w:hAnsi="仿宋" w:eastAsia="仿宋" w:cs="仿宋"/>
          <w:color w:val="auto"/>
          <w:sz w:val="24"/>
          <w:szCs w:val="24"/>
          <w:highlight w:val="none"/>
        </w:rPr>
        <w:t xml:space="preserve">其他投标人认为需要提供的材料；</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b/>
          <w:color w:val="auto"/>
          <w:sz w:val="24"/>
          <w:szCs w:val="24"/>
          <w:highlight w:val="none"/>
        </w:rPr>
        <w:t xml:space="preserve">15.3投标文件由15.1、15.2款规定的内容共同组成。</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16. </w:t>
      </w:r>
      <w:r>
        <w:rPr>
          <w:rFonts w:hint="eastAsia" w:ascii="仿宋" w:hAnsi="仿宋" w:eastAsia="仿宋" w:cs="仿宋"/>
          <w:b/>
          <w:color w:val="auto"/>
          <w:sz w:val="24"/>
          <w:szCs w:val="24"/>
          <w:highlight w:val="none"/>
        </w:rPr>
        <w:t xml:space="preserve">投标文件编制要求</w:t>
      </w:r>
      <w:r>
        <w:rPr>
          <w:rFonts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rPr>
        <w:t xml:space="preserve">  </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电子投标文件编制要求：</w:t>
      </w:r>
      <w:r>
        <w:rPr>
          <w:rFonts w:hint="eastAsia" w:ascii="仿宋" w:hAnsi="仿宋" w:eastAsia="仿宋" w:cs="仿宋"/>
          <w:color w:val="auto"/>
          <w:sz w:val="24"/>
          <w:szCs w:val="24"/>
          <w:highlight w:val="none"/>
        </w:rPr>
        <w:t xml:space="preserve">投标人应使用</w:t>
      </w:r>
      <w:r>
        <w:rPr>
          <w:rFonts w:hint="eastAsia" w:ascii="仿宋" w:hAnsi="仿宋" w:eastAsia="仿宋" w:cs="仿宋"/>
          <w:b/>
          <w:color w:val="auto"/>
          <w:sz w:val="24"/>
          <w:szCs w:val="24"/>
          <w:highlight w:val="none"/>
        </w:rPr>
        <w:t xml:space="preserve">招标文件要求的投标文件制作软件制作电子投标文件</w:t>
      </w:r>
      <w:r>
        <w:rPr>
          <w:rFonts w:hint="eastAsia" w:ascii="仿宋" w:hAnsi="仿宋" w:eastAsia="仿宋" w:cs="仿宋"/>
          <w:color w:val="auto"/>
          <w:sz w:val="24"/>
          <w:szCs w:val="24"/>
          <w:highlight w:val="none"/>
        </w:rPr>
        <w:t xml:space="preserve">，电子投标文件按招标文件规定的格式制作，如果未按要求制作上传，可能导致投标无效。</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17. </w:t>
      </w:r>
      <w:r>
        <w:rPr>
          <w:rFonts w:hint="eastAsia" w:ascii="仿宋" w:hAnsi="仿宋" w:eastAsia="仿宋" w:cs="仿宋"/>
          <w:b/>
          <w:color w:val="auto"/>
          <w:sz w:val="24"/>
          <w:szCs w:val="24"/>
          <w:highlight w:val="none"/>
        </w:rPr>
        <w:t xml:space="preserve">投标报价（编制）要求的说明</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17.3 </w:t>
      </w:r>
      <w:r>
        <w:rPr>
          <w:rFonts w:hint="eastAsia" w:ascii="仿宋" w:hAnsi="仿宋" w:eastAsia="仿宋" w:cs="仿宋"/>
          <w:color w:val="auto"/>
          <w:sz w:val="24"/>
          <w:szCs w:val="24"/>
          <w:highlight w:val="none"/>
        </w:rPr>
        <w:t xml:space="preserve">一项投标内容只允许一个报价，采购代理机构不接受任何有选择性的投标报价。</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17.4投标文件报价中的单价和总价全部采用人民币表示，除非合同的特殊条款另有规定。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17.5最低的投标报价或最高的优惠比例是中标的重要条件，但不是中标的唯一条件。</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18. </w:t>
      </w:r>
      <w:r>
        <w:rPr>
          <w:rFonts w:hint="eastAsia" w:ascii="仿宋" w:hAnsi="仿宋" w:eastAsia="仿宋" w:cs="仿宋"/>
          <w:b/>
          <w:color w:val="auto"/>
          <w:sz w:val="24"/>
          <w:szCs w:val="24"/>
          <w:highlight w:val="none"/>
        </w:rPr>
        <w:t xml:space="preserve">投标保证金</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本项目无须缴纳投标保证金</w:t>
      </w:r>
      <w:r>
        <w:rPr>
          <w:rFonts w:hint="eastAsia" w:ascii="仿宋" w:hAnsi="仿宋" w:eastAsia="仿宋" w:cs="仿宋"/>
          <w:b/>
          <w:color w:val="auto"/>
          <w:sz w:val="24"/>
          <w:szCs w:val="24"/>
          <w:highlight w:val="none"/>
        </w:rPr>
        <w:t xml:space="preserve">。</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19. </w:t>
      </w:r>
      <w:r>
        <w:rPr>
          <w:rFonts w:hint="eastAsia" w:ascii="仿宋" w:hAnsi="仿宋" w:eastAsia="仿宋" w:cs="仿宋"/>
          <w:b/>
          <w:color w:val="auto"/>
          <w:sz w:val="24"/>
          <w:szCs w:val="24"/>
          <w:highlight w:val="none"/>
        </w:rPr>
        <w:t xml:space="preserve">投标文件的有效期</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19.1在本招标文件规定的开标之日起九十（90）天内，投标人所提交的投标文件应保持有效。</w:t>
      </w:r>
      <w:r>
        <w:rPr>
          <w:rFonts w:hint="eastAsia" w:ascii="仿宋" w:hAnsi="仿宋" w:eastAsia="仿宋" w:cs="仿宋"/>
          <w:b/>
          <w:color w:val="auto"/>
          <w:sz w:val="24"/>
          <w:szCs w:val="24"/>
          <w:highlight w:val="none"/>
        </w:rPr>
        <w:t xml:space="preserve">有效期短于这个规定期限的投标文件，将被认定为未实质性响应招标文件要求。</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五、</w:t>
      </w:r>
      <w:r>
        <w:rPr>
          <w:rFonts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rPr>
        <w:t xml:space="preserve">投标文件的提交、撤回和修改</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20. </w:t>
      </w:r>
      <w:r>
        <w:rPr>
          <w:rFonts w:hint="eastAsia" w:ascii="仿宋" w:hAnsi="仿宋" w:eastAsia="仿宋" w:cs="仿宋"/>
          <w:b/>
          <w:color w:val="auto"/>
          <w:sz w:val="24"/>
          <w:szCs w:val="24"/>
          <w:highlight w:val="none"/>
        </w:rPr>
        <w:t xml:space="preserve">投标文件的上传、提交</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20.1</w:t>
      </w:r>
      <w:r>
        <w:rPr>
          <w:rFonts w:ascii="仿宋" w:hAnsi="仿宋" w:eastAsia="仿宋" w:cs="仿宋"/>
          <w:b/>
          <w:color w:val="auto"/>
          <w:sz w:val="24"/>
          <w:szCs w:val="24"/>
          <w:highlight w:val="none"/>
        </w:rPr>
        <w:t xml:space="preserve">投标人应将制作好的加密电子投标文件按要求在投标截止时间前上传到交易系统平台中。</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21. </w:t>
      </w:r>
      <w:r>
        <w:rPr>
          <w:rFonts w:hint="eastAsia" w:ascii="仿宋" w:hAnsi="仿宋" w:eastAsia="仿宋" w:cs="仿宋"/>
          <w:b/>
          <w:color w:val="auto"/>
          <w:sz w:val="24"/>
          <w:szCs w:val="24"/>
          <w:highlight w:val="none"/>
        </w:rPr>
        <w:t xml:space="preserve">投标截止时间</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21.1</w:t>
      </w:r>
      <w:r>
        <w:rPr>
          <w:rFonts w:hint="eastAsia" w:ascii="仿宋" w:hAnsi="仿宋" w:eastAsia="仿宋" w:cs="仿宋"/>
          <w:b/>
          <w:color w:val="auto"/>
          <w:sz w:val="24"/>
          <w:szCs w:val="24"/>
          <w:highlight w:val="none"/>
        </w:rPr>
        <w:t xml:space="preserve">电子投标文件必须按招标公告中规定的网上投标截止时间前提交</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否则投标无效</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21.3在投标截止时间止，采购代理机构于本项目（或标段）收到的电子投标文件少于三份的，采购代理机构有权宣布本项目（或标段）招标失败。</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22. </w:t>
      </w:r>
      <w:r>
        <w:rPr>
          <w:rFonts w:hint="eastAsia" w:ascii="仿宋" w:hAnsi="仿宋" w:eastAsia="仿宋" w:cs="仿宋"/>
          <w:b/>
          <w:color w:val="auto"/>
          <w:sz w:val="24"/>
          <w:szCs w:val="24"/>
          <w:highlight w:val="none"/>
        </w:rPr>
        <w:t xml:space="preserve">投标文件的修改和撤回</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22.1投标人在提交投标文件截止时间前，可对其投标文件进行撤回或修改。</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23.2开标后投标人不得撤回投标。</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六、开标和评标</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23. </w:t>
      </w:r>
      <w:r>
        <w:rPr>
          <w:rFonts w:hint="eastAsia" w:ascii="仿宋" w:hAnsi="仿宋" w:eastAsia="仿宋" w:cs="仿宋"/>
          <w:b/>
          <w:color w:val="auto"/>
          <w:sz w:val="24"/>
          <w:szCs w:val="24"/>
          <w:highlight w:val="none"/>
        </w:rPr>
        <w:t xml:space="preserve">开标</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23.1采购代理机构按采购公告规定的时间、地点主持不见面开标活动。开标仪式由采购代理机构、采购人等主持。</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23.2</w:t>
      </w:r>
      <w:r>
        <w:rPr>
          <w:rFonts w:hint="eastAsia" w:ascii="仿宋" w:hAnsi="仿宋" w:eastAsia="仿宋" w:cs="仿宋"/>
          <w:b/>
          <w:color w:val="auto"/>
          <w:sz w:val="24"/>
          <w:szCs w:val="24"/>
          <w:highlight w:val="none"/>
        </w:rPr>
        <w:t xml:space="preserve">参加开标的投标法定代表人或授权代理人须在项目开标前登录苏采云不见面开标系统，进入苏采云网上不见面开标大厅，做好相关准备工作。</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23.3</w:t>
      </w:r>
      <w:r>
        <w:rPr>
          <w:rFonts w:hint="eastAsia" w:ascii="仿宋" w:hAnsi="仿宋" w:eastAsia="仿宋" w:cs="仿宋"/>
          <w:b/>
          <w:color w:val="auto"/>
          <w:sz w:val="24"/>
          <w:szCs w:val="24"/>
          <w:highlight w:val="none"/>
        </w:rPr>
        <w:t xml:space="preserve">本项目开标后在规定的解密时间内，投标人须自行登录网上开标大厅解密投标文件，解密时间为</w:t>
      </w:r>
      <w:r>
        <w:rPr>
          <w:rFonts w:ascii="仿宋" w:hAnsi="仿宋" w:eastAsia="仿宋" w:cs="仿宋"/>
          <w:b/>
          <w:color w:val="auto"/>
          <w:sz w:val="24"/>
          <w:szCs w:val="24"/>
          <w:highlight w:val="none"/>
        </w:rPr>
        <w:t xml:space="preserve">15分钟，因自身原因导致解密失败的，由投标人自行承担相关责任。</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23.4采购代理机构在开标仪式上，将公布投标人的名称、投标价格，并将作唱标记录。</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23.5投标人代表对开标过程和开标记录有疑义，以及认为采购人、采购代理机构相关工作人员有需要回避的情形的，</w:t>
      </w:r>
      <w:r>
        <w:rPr>
          <w:rFonts w:hint="eastAsia" w:ascii="仿宋" w:hAnsi="仿宋" w:eastAsia="仿宋" w:cs="仿宋"/>
          <w:b/>
          <w:color w:val="auto"/>
          <w:sz w:val="24"/>
          <w:szCs w:val="24"/>
          <w:highlight w:val="none"/>
        </w:rPr>
        <w:t xml:space="preserve">应通过不见面开标大厅提出</w:t>
      </w:r>
      <w:r>
        <w:rPr>
          <w:rFonts w:hint="eastAsia" w:ascii="仿宋" w:hAnsi="仿宋" w:eastAsia="仿宋" w:cs="仿宋"/>
          <w:color w:val="auto"/>
          <w:sz w:val="24"/>
          <w:szCs w:val="24"/>
          <w:highlight w:val="none"/>
        </w:rPr>
        <w:t xml:space="preserve">询问或者回避申请。采购人、采购代理机构对投标人代表提出的询问或者回避申请应当及时处理。</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24. </w:t>
      </w:r>
      <w:r>
        <w:rPr>
          <w:rFonts w:hint="eastAsia" w:ascii="仿宋" w:hAnsi="仿宋" w:eastAsia="仿宋" w:cs="仿宋"/>
          <w:b/>
          <w:color w:val="auto"/>
          <w:sz w:val="24"/>
          <w:szCs w:val="24"/>
          <w:highlight w:val="none"/>
        </w:rPr>
        <w:t xml:space="preserve">评标委员会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24.1评标委员会由采购人或委托采购代理机构依法组建，负责本项目的评标事务。</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24.2评标委员会独立履行下列职责</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仿宋" w:hAnsi="仿宋" w:eastAsia="仿宋" w:cs="仿宋"/>
          <w:color w:val="auto"/>
          <w:sz w:val="24"/>
          <w:szCs w:val="24"/>
          <w:highlight w:val="none"/>
        </w:rPr>
        <w:t xml:space="preserve">24.2.1审查投标文件是否符合招标文件的要求，并作出评价；</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24.2.2可以要求投标供应商对投标文件有关事项作出解释或澄清；</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24.2.3推荐中标候选供应商名单，或者受采购人委托按照事先确定的办法直接确定中标供应商；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24.2.4向采购代理机构或者有关部门报告非法干预评标工作的行为；</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24.3评标委员会成员应当履行下列义务</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仿宋" w:hAnsi="仿宋" w:eastAsia="仿宋" w:cs="仿宋"/>
          <w:color w:val="auto"/>
          <w:sz w:val="24"/>
          <w:szCs w:val="24"/>
          <w:highlight w:val="none"/>
        </w:rPr>
        <w:t xml:space="preserve">24.3.1遵纪守法，客观、公正、廉洁地履行职责；</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24.3.2按照招标文件规定的评标办法和评标标准进行评标，对评审意见承担个人责任；</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24.3.3对评标过程和结果，以及投标人的商业秘密保密；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24.3.4参与评标报告的起草；</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24.3.5配合采购代理机构答复投标供应商提出的质疑；</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24.3.6配合相关部门的投诉处理工作；</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25. </w:t>
      </w:r>
      <w:r>
        <w:rPr>
          <w:rFonts w:hint="eastAsia" w:ascii="仿宋" w:hAnsi="仿宋" w:eastAsia="仿宋" w:cs="仿宋"/>
          <w:b/>
          <w:color w:val="auto"/>
          <w:sz w:val="24"/>
          <w:szCs w:val="24"/>
          <w:highlight w:val="none"/>
        </w:rPr>
        <w:t xml:space="preserve">评标内容的保密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25.2</w:t>
      </w:r>
      <w:r>
        <w:rPr>
          <w:rFonts w:hint="eastAsia" w:ascii="仿宋" w:hAnsi="仿宋" w:eastAsia="仿宋" w:cs="仿宋"/>
          <w:color w:val="auto"/>
          <w:sz w:val="24"/>
          <w:szCs w:val="24"/>
          <w:highlight w:val="none"/>
        </w:rPr>
        <w:t xml:space="preserve">在投标文件的审查、澄清、评价和比较以及授予合同的过程中，投标人对采购代理机构和评标委员会成员施加影响的任何行为，都将取消其投标资格。</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25.3在评标期间，采购代理机构将通过指定联络人与投标人进行联系。</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26.对投标文件初审</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26.1投标文件初审分为资格性检查和符合性检查。</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仿宋" w:hAnsi="仿宋" w:eastAsia="仿宋" w:cs="仿宋"/>
          <w:color w:val="auto"/>
          <w:sz w:val="24"/>
          <w:szCs w:val="24"/>
          <w:highlight w:val="none"/>
        </w:rPr>
        <w:t xml:space="preserve">26.1.2 </w:t>
      </w:r>
      <w:r>
        <w:rPr>
          <w:rFonts w:hint="eastAsia" w:ascii="仿宋" w:hAnsi="仿宋" w:eastAsia="仿宋" w:cs="仿宋"/>
          <w:color w:val="auto"/>
          <w:sz w:val="24"/>
          <w:szCs w:val="24"/>
          <w:highlight w:val="none"/>
        </w:rPr>
        <w:t xml:space="preserve">关于信用记录查询：</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根据政府采购法及相关法规，以及《国务院关于建立完善守信联合激励和失信联合惩戒制度加快推进社会诚信建设的指导意见》（国发〔</w:t>
      </w:r>
      <w:r>
        <w:rPr>
          <w:rFonts w:ascii="仿宋" w:hAnsi="仿宋" w:eastAsia="仿宋" w:cs="仿宋"/>
          <w:color w:val="auto"/>
          <w:sz w:val="24"/>
          <w:szCs w:val="24"/>
          <w:highlight w:val="none"/>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26.1.2.1查询时间：评标</w:t>
      </w:r>
      <w:r>
        <w:rPr>
          <w:rFonts w:hint="eastAsia" w:ascii="仿宋" w:hAnsi="仿宋" w:eastAsia="仿宋" w:cs="仿宋"/>
          <w:color w:val="auto"/>
          <w:sz w:val="24"/>
          <w:szCs w:val="24"/>
          <w:highlight w:val="none"/>
        </w:rPr>
        <w:t xml:space="preserve">阶段。</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26.1.2.2查询渠道：通过“信用中国”网站、中国政府采购网等渠道查询相关主体信用记录。</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26.1.2.4信用记录使用规则：评审小组在对供应商进行资格性审查时，应根据查询结果对供应商的不良信用记录逐项甄别确认。</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26.2.1</w:t>
      </w:r>
      <w:r>
        <w:rPr>
          <w:rFonts w:hint="eastAsia" w:ascii="仿宋" w:hAnsi="仿宋" w:eastAsia="仿宋" w:cs="仿宋"/>
          <w:color w:val="auto"/>
          <w:sz w:val="24"/>
          <w:szCs w:val="24"/>
          <w:highlight w:val="none"/>
        </w:rPr>
        <w:t xml:space="preserve">不同投标人的投标文件由同一单位或者个人编制；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26.2.2不同投标人委托同一单位或者个人办理投标事宜；</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26.2.3不同投标人的投标文件载明的项目管理成员或者联系人员为同一人；</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26.2.4不同投标人的投标文件异常一致或者投标报价呈规律性差异；</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仿宋" w:hAnsi="仿宋" w:eastAsia="仿宋" w:cs="仿宋"/>
          <w:color w:val="auto"/>
          <w:sz w:val="24"/>
          <w:szCs w:val="24"/>
          <w:highlight w:val="none"/>
        </w:rPr>
        <w:t xml:space="preserve">26.2.5不同投标人的投标文件相互混装；</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w:t>
      </w:r>
      <w:r>
        <w:rPr>
          <w:rFonts w:hint="eastAsia" w:ascii="仿宋" w:hAnsi="仿宋" w:eastAsia="仿宋" w:cs="仿宋"/>
          <w:color w:val="auto"/>
          <w:sz w:val="24"/>
          <w:szCs w:val="24"/>
          <w:highlight w:val="none"/>
        </w:rPr>
        <w:t xml:space="preserve">且限制了合同中买方的权利或投标单位的义务。这些偏离或保留将会对其他实质上响应要求的投标单位的竞争地位产生不公正的影响。</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26.6评标委员会将对确定为实质性响应的投标进行审核，看其是否有计算上或累加上的算术错误，修正错误的原则如下：</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26.6.1投标文件中开标一览表（报价表）内容与投标文件中相应内容不一致的，以开标一览表（报价表）为准；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仿宋" w:hAnsi="仿宋" w:eastAsia="仿宋" w:cs="仿宋"/>
          <w:color w:val="auto"/>
          <w:sz w:val="24"/>
          <w:szCs w:val="24"/>
          <w:highlight w:val="none"/>
        </w:rPr>
        <w:t xml:space="preserve">26.6.2大写金额和小写金额不一致的，以大写金额为准；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26.6.3单价金额小数点或者百分比有明显错位的，以开标一览表的总价为准，并修改单价；</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26.6.4总价金额与按单价汇总金额不一致的，以单价金额计算结果为准。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同时出现两种以上不一致的，按照前款规定的顺序修正。</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26.6条规定经投标人确认后产生约束力，投标人不确认的，其投标无效。</w:t>
      </w:r>
      <w:r/>
    </w:p>
    <w:p>
      <w:pPr>
        <w:pStyle w:val="1189"/>
        <w:ind w:firstLine="420"/>
        <w:spacing w:line="48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26</w:t>
      </w:r>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7</w:t>
      </w:r>
      <w:r>
        <w:rPr>
          <w:rFonts w:hint="eastAsia" w:cs="微软雅黑" w:asciiTheme="minorEastAsia" w:hAnsiTheme="minorEastAsia" w:eastAsiaTheme="minorEastAsia"/>
          <w:b/>
          <w:color w:val="auto"/>
          <w:highlight w:val="none"/>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highlight w:val="none"/>
        </w:rPr>
        <w:t xml:space="preserve">2026</w:t>
      </w:r>
      <w:r>
        <w:rPr>
          <w:rFonts w:hint="eastAsia" w:cs="微软雅黑"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2号</w:t>
      </w:r>
      <w:r>
        <w:rPr>
          <w:rFonts w:hint="eastAsia" w:cs="微软雅黑" w:asciiTheme="minorEastAsia" w:hAnsiTheme="minorEastAsia" w:eastAsiaTheme="minorEastAsia"/>
          <w:b/>
          <w:color w:val="auto"/>
          <w:highlight w:val="none"/>
        </w:rPr>
        <w:t xml:space="preserve">），应当要求其在不见面开标大厅内合理的时间内提供说明，必要时提交相关证明材料：投标人不能证明其报价合理性的，评标委员会应当将其作为无效投标处理。：</w:t>
      </w:r>
      <w:r/>
    </w:p>
    <w:p>
      <w:pPr>
        <w:pStyle w:val="1189"/>
        <w:ind w:firstLine="482"/>
        <w:spacing w:line="480" w:lineRule="exact"/>
        <w:rPr>
          <w:rFonts w:asciiTheme="minorEastAsia" w:hAnsiTheme="minorEastAsia" w:eastAsiaTheme="minorEastAsia"/>
          <w:b/>
          <w:color w:val="auto"/>
          <w:highlight w:val="none"/>
        </w:rPr>
      </w:pPr>
      <w:r>
        <w:rPr>
          <w:rFonts w:hint="eastAsia" w:cs="微软雅黑" w:asciiTheme="minorEastAsia" w:hAnsiTheme="minorEastAsia" w:eastAsiaTheme="minorEastAsia"/>
          <w:b/>
          <w:color w:val="auto"/>
          <w:highlight w:val="none"/>
        </w:rPr>
        <w:t xml:space="preserve">异常低价投标（响应）审查的情形和具体要求如下：</w:t>
      </w:r>
      <w:r/>
    </w:p>
    <w:p>
      <w:pPr>
        <w:pStyle w:val="1189"/>
        <w:ind w:firstLine="482"/>
        <w:spacing w:line="480" w:lineRule="exact"/>
        <w:rPr>
          <w:rFonts w:cs="微软雅黑"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26</w:t>
      </w:r>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7.1</w:t>
      </w:r>
      <w:r>
        <w:rPr>
          <w:rFonts w:asciiTheme="minorEastAsia" w:hAnsiTheme="minorEastAsia" w:eastAsiaTheme="minorEastAsia"/>
          <w:b/>
          <w:color w:val="auto"/>
          <w:highlight w:val="none"/>
        </w:rPr>
        <w:t xml:space="preserve"> </w:t>
      </w:r>
      <w:r>
        <w:rPr>
          <w:rFonts w:hint="eastAsia" w:cs="微软雅黑" w:asciiTheme="minorEastAsia" w:hAnsiTheme="minorEastAsia" w:eastAsiaTheme="minorEastAsia"/>
          <w:b/>
          <w:color w:val="auto"/>
          <w:highlight w:val="none"/>
        </w:rPr>
        <w:t xml:space="preserve">投标（响应）报价低于全部通过符合性审查供应商投标（响应）报价平均值</w:t>
      </w:r>
      <w:r>
        <w:rPr>
          <w:rFonts w:asciiTheme="minorEastAsia" w:hAnsiTheme="minorEastAsia" w:eastAsiaTheme="minorEastAsia"/>
          <w:b/>
          <w:color w:val="auto"/>
          <w:highlight w:val="none"/>
        </w:rPr>
        <w:t xml:space="preserve">50%</w:t>
      </w:r>
      <w:r>
        <w:rPr>
          <w:rFonts w:hint="eastAsia" w:cs="微软雅黑" w:asciiTheme="minorEastAsia" w:hAnsiTheme="minorEastAsia" w:eastAsiaTheme="minorEastAsia"/>
          <w:b/>
          <w:color w:val="auto"/>
          <w:highlight w:val="none"/>
        </w:rPr>
        <w:t xml:space="preserve">的，即投标（响应）报价</w:t>
      </w:r>
      <w:r>
        <w:rPr>
          <w:rFonts w:asciiTheme="minorEastAsia" w:hAnsiTheme="minorEastAsia" w:eastAsiaTheme="minorEastAsia"/>
          <w:b/>
          <w:color w:val="auto"/>
          <w:highlight w:val="none"/>
        </w:rPr>
        <w:t xml:space="preserve">&lt;</w:t>
      </w:r>
      <w:r>
        <w:rPr>
          <w:rFonts w:hint="eastAsia" w:cs="微软雅黑" w:asciiTheme="minorEastAsia" w:hAnsiTheme="minorEastAsia" w:eastAsiaTheme="minorEastAsia"/>
          <w:b/>
          <w:color w:val="auto"/>
          <w:highlight w:val="none"/>
        </w:rPr>
        <w:t xml:space="preserve">全部通过符合性审查供应商投标（响应）报价平均值</w:t>
      </w:r>
      <w:r>
        <w:rPr>
          <w:rFonts w:asciiTheme="minorEastAsia" w:hAnsiTheme="minorEastAsia" w:eastAsiaTheme="minorEastAsia"/>
          <w:b/>
          <w:color w:val="auto"/>
          <w:highlight w:val="none"/>
        </w:rPr>
        <w:t xml:space="preserve">×50%</w:t>
      </w:r>
      <w:r>
        <w:rPr>
          <w:rFonts w:hint="eastAsia" w:cs="微软雅黑" w:asciiTheme="minorEastAsia" w:hAnsiTheme="minorEastAsia" w:eastAsiaTheme="minorEastAsia"/>
          <w:b/>
          <w:color w:val="auto"/>
          <w:highlight w:val="none"/>
        </w:rPr>
        <w:t xml:space="preserve">；</w:t>
      </w:r>
      <w:r/>
    </w:p>
    <w:p>
      <w:pPr>
        <w:pStyle w:val="1189"/>
        <w:ind w:firstLine="482"/>
        <w:spacing w:line="480" w:lineRule="exact"/>
        <w:rPr>
          <w:rFonts w:cs="微软雅黑"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26</w:t>
      </w:r>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7</w:t>
      </w:r>
      <w:r>
        <w:rPr>
          <w:rFonts w:asciiTheme="minorEastAsia" w:hAnsiTheme="minorEastAsia" w:eastAsiaTheme="minorEastAsia"/>
          <w:b/>
          <w:color w:val="auto"/>
          <w:highlight w:val="none"/>
        </w:rPr>
        <w:t xml:space="preserve">.2 </w:t>
      </w:r>
      <w:r>
        <w:rPr>
          <w:rFonts w:hint="eastAsia" w:cs="微软雅黑" w:asciiTheme="minorEastAsia" w:hAnsiTheme="minorEastAsia" w:eastAsiaTheme="minorEastAsia"/>
          <w:b/>
          <w:color w:val="auto"/>
          <w:highlight w:val="none"/>
        </w:rPr>
        <w:t xml:space="preserve">投标（响应）报价低于通过符合性审查的次低报价供应商投标（响应）报价</w:t>
      </w:r>
      <w:r>
        <w:rPr>
          <w:rFonts w:asciiTheme="minorEastAsia" w:hAnsiTheme="minorEastAsia" w:eastAsiaTheme="minorEastAsia"/>
          <w:b/>
          <w:color w:val="auto"/>
          <w:highlight w:val="none"/>
        </w:rPr>
        <w:t xml:space="preserve">50%</w:t>
      </w:r>
      <w:r>
        <w:rPr>
          <w:rFonts w:hint="eastAsia" w:cs="微软雅黑" w:asciiTheme="minorEastAsia" w:hAnsiTheme="minorEastAsia" w:eastAsiaTheme="minorEastAsia"/>
          <w:b/>
          <w:color w:val="auto"/>
          <w:highlight w:val="none"/>
        </w:rPr>
        <w:t xml:space="preserve">的，即投标（响应）报价</w:t>
      </w:r>
      <w:r>
        <w:rPr>
          <w:rFonts w:asciiTheme="minorEastAsia" w:hAnsiTheme="minorEastAsia" w:eastAsiaTheme="minorEastAsia"/>
          <w:b/>
          <w:color w:val="auto"/>
          <w:highlight w:val="none"/>
        </w:rPr>
        <w:t xml:space="preserve">&lt;</w:t>
      </w:r>
      <w:r>
        <w:rPr>
          <w:rFonts w:hint="eastAsia" w:cs="微软雅黑" w:asciiTheme="minorEastAsia" w:hAnsiTheme="minorEastAsia" w:eastAsiaTheme="minorEastAsia"/>
          <w:b/>
          <w:color w:val="auto"/>
          <w:highlight w:val="none"/>
        </w:rPr>
        <w:t xml:space="preserve">通过符合性审查的次低报价供应商投标（响应）报价</w:t>
      </w:r>
      <w:r>
        <w:rPr>
          <w:rFonts w:asciiTheme="minorEastAsia" w:hAnsiTheme="minorEastAsia" w:eastAsiaTheme="minorEastAsia"/>
          <w:b/>
          <w:color w:val="auto"/>
          <w:highlight w:val="none"/>
        </w:rPr>
        <w:t xml:space="preserve">×50%</w:t>
      </w:r>
      <w:r>
        <w:rPr>
          <w:rFonts w:hint="eastAsia" w:cs="微软雅黑" w:asciiTheme="minorEastAsia" w:hAnsiTheme="minorEastAsia" w:eastAsiaTheme="minorEastAsia"/>
          <w:b/>
          <w:color w:val="auto"/>
          <w:highlight w:val="none"/>
        </w:rPr>
        <w:t xml:space="preserve">；</w:t>
      </w:r>
      <w:r/>
    </w:p>
    <w:p>
      <w:pPr>
        <w:pStyle w:val="1189"/>
        <w:ind w:firstLine="482"/>
        <w:spacing w:line="480" w:lineRule="exact"/>
        <w:rPr>
          <w:rFonts w:cs="微软雅黑"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26</w:t>
      </w:r>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7</w:t>
      </w:r>
      <w:r>
        <w:rPr>
          <w:rFonts w:asciiTheme="minorEastAsia" w:hAnsiTheme="minorEastAsia" w:eastAsiaTheme="minorEastAsia"/>
          <w:b/>
          <w:color w:val="auto"/>
          <w:highlight w:val="none"/>
        </w:rPr>
        <w:t xml:space="preserve">.3 </w:t>
      </w:r>
      <w:r>
        <w:rPr>
          <w:rFonts w:hint="eastAsia" w:cs="微软雅黑" w:asciiTheme="minorEastAsia" w:hAnsiTheme="minorEastAsia" w:eastAsiaTheme="minorEastAsia"/>
          <w:b/>
          <w:color w:val="auto"/>
          <w:highlight w:val="none"/>
        </w:rPr>
        <w:t xml:space="preserve">投标（响应）报价低于采购项目最高限价</w:t>
      </w:r>
      <w:r>
        <w:rPr>
          <w:rFonts w:asciiTheme="minorEastAsia" w:hAnsiTheme="minorEastAsia" w:eastAsiaTheme="minorEastAsia"/>
          <w:b/>
          <w:color w:val="auto"/>
          <w:highlight w:val="none"/>
        </w:rPr>
        <w:t xml:space="preserve">45%</w:t>
      </w:r>
      <w:r>
        <w:rPr>
          <w:rFonts w:hint="eastAsia" w:cs="微软雅黑" w:asciiTheme="minorEastAsia" w:hAnsiTheme="minorEastAsia" w:eastAsiaTheme="minorEastAsia"/>
          <w:b/>
          <w:color w:val="auto"/>
          <w:highlight w:val="none"/>
        </w:rPr>
        <w:t xml:space="preserve">的，即投标（响应）报价</w:t>
      </w:r>
      <w:r>
        <w:rPr>
          <w:rFonts w:asciiTheme="minorEastAsia" w:hAnsiTheme="minorEastAsia" w:eastAsiaTheme="minorEastAsia"/>
          <w:b/>
          <w:color w:val="auto"/>
          <w:highlight w:val="none"/>
        </w:rPr>
        <w:t xml:space="preserve">&lt;</w:t>
      </w:r>
      <w:r>
        <w:rPr>
          <w:rFonts w:hint="eastAsia" w:cs="微软雅黑" w:asciiTheme="minorEastAsia" w:hAnsiTheme="minorEastAsia" w:eastAsiaTheme="minorEastAsia"/>
          <w:b/>
          <w:color w:val="auto"/>
          <w:highlight w:val="none"/>
        </w:rPr>
        <w:t xml:space="preserve">采购项目最高限价</w:t>
      </w:r>
      <w:r>
        <w:rPr>
          <w:rFonts w:asciiTheme="minorEastAsia" w:hAnsiTheme="minorEastAsia" w:eastAsiaTheme="minorEastAsia"/>
          <w:b/>
          <w:color w:val="auto"/>
          <w:highlight w:val="none"/>
        </w:rPr>
        <w:t xml:space="preserve">×45%</w:t>
      </w:r>
      <w:r>
        <w:rPr>
          <w:rFonts w:hint="eastAsia" w:cs="微软雅黑" w:asciiTheme="minorEastAsia" w:hAnsiTheme="minorEastAsia" w:eastAsiaTheme="minorEastAsia"/>
          <w:b/>
          <w:color w:val="auto"/>
          <w:highlight w:val="none"/>
        </w:rPr>
        <w:t xml:space="preserve">；</w:t>
      </w:r>
      <w:r/>
    </w:p>
    <w:p>
      <w:pPr>
        <w:pStyle w:val="1189"/>
        <w:ind w:firstLine="482"/>
        <w:spacing w:line="480" w:lineRule="exact"/>
        <w:rPr>
          <w:rFonts w:cs="微软雅黑"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26</w:t>
      </w:r>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7</w:t>
      </w:r>
      <w:r>
        <w:rPr>
          <w:rFonts w:asciiTheme="minorEastAsia" w:hAnsiTheme="minorEastAsia" w:eastAsiaTheme="minorEastAsia"/>
          <w:b/>
          <w:color w:val="auto"/>
          <w:highlight w:val="none"/>
        </w:rPr>
        <w:t xml:space="preserve">.4 </w:t>
      </w:r>
      <w:r>
        <w:rPr>
          <w:rFonts w:hint="eastAsia" w:cs="微软雅黑" w:asciiTheme="minorEastAsia" w:hAnsiTheme="minorEastAsia" w:eastAsiaTheme="minorEastAsia"/>
          <w:b/>
          <w:color w:val="auto"/>
          <w:highlight w:val="none"/>
        </w:rPr>
        <w:t xml:space="preserve">评审委员会基于专业判断，认为供应商报价过低，有可能影响产品质量或者不能诚信履约的其他情形。</w:t>
      </w:r>
      <w:r/>
    </w:p>
    <w:p>
      <w:pPr>
        <w:pStyle w:val="1189"/>
        <w:ind w:firstLine="482"/>
        <w:spacing w:line="48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26.8</w:t>
      </w:r>
      <w:r>
        <w:rPr>
          <w:rFonts w:asciiTheme="minorEastAsia" w:hAnsiTheme="minorEastAsia" w:eastAsiaTheme="minorEastAsia"/>
          <w:b/>
          <w:color w:val="auto"/>
          <w:highlight w:val="none"/>
        </w:rPr>
        <w:t xml:space="preserve"> </w:t>
      </w:r>
      <w:r>
        <w:rPr>
          <w:rFonts w:hint="eastAsia" w:ascii="宋体" w:hAnsi="宋体" w:cs="宋体"/>
          <w:b/>
          <w:bCs/>
          <w:color w:val="auto"/>
          <w:highlight w:val="none"/>
        </w:rPr>
        <w:t xml:space="preserve">评审委员会启动异常低价投标（响应）审查后，属于前述第</w:t>
      </w:r>
      <w:r>
        <w:rPr>
          <w:rFonts w:ascii="宋体" w:hAnsi="宋体" w:cs="宋体"/>
          <w:b/>
          <w:bCs/>
          <w:color w:val="auto"/>
          <w:highlight w:val="none"/>
        </w:rPr>
        <w:t xml:space="preserve">1</w:t>
      </w:r>
      <w:r>
        <w:rPr>
          <w:rFonts w:hint="eastAsia" w:ascii="宋体" w:hAnsi="宋体" w:cs="宋体"/>
          <w:b/>
          <w:bCs/>
          <w:color w:val="auto"/>
          <w:highlight w:val="none"/>
        </w:rPr>
        <w:t xml:space="preserve">项至第</w:t>
      </w:r>
      <w:r>
        <w:rPr>
          <w:rFonts w:ascii="宋体" w:hAnsi="宋体" w:cs="宋体"/>
          <w:b/>
          <w:bCs/>
          <w:color w:val="auto"/>
          <w:highlight w:val="none"/>
        </w:rPr>
        <w:t xml:space="preserve">4</w:t>
      </w:r>
      <w:r>
        <w:rPr>
          <w:rFonts w:hint="eastAsia" w:ascii="宋体" w:hAnsi="宋体" w:cs="宋体"/>
          <w:b/>
          <w:bCs/>
          <w:color w:val="auto"/>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color w:val="auto"/>
          <w:highlight w:val="none"/>
        </w:rPr>
        <w:t xml:space="preserve">30</w:t>
      </w:r>
      <w:r>
        <w:rPr>
          <w:rFonts w:hint="eastAsia" w:ascii="宋体" w:hAnsi="宋体" w:cs="宋体"/>
          <w:b/>
          <w:bCs/>
          <w:color w:val="auto"/>
          <w:highlight w:val="none"/>
        </w:rPr>
        <w:t xml:space="preserve">分钟。其中，属于第</w:t>
      </w:r>
      <w:r>
        <w:rPr>
          <w:rFonts w:ascii="宋体" w:hAnsi="宋体" w:cs="宋体"/>
          <w:b/>
          <w:bCs/>
          <w:color w:val="auto"/>
          <w:highlight w:val="none"/>
        </w:rPr>
        <w:t xml:space="preserve">3</w:t>
      </w:r>
      <w:r>
        <w:rPr>
          <w:rFonts w:hint="eastAsia" w:ascii="宋体" w:hAnsi="宋体" w:cs="宋体"/>
          <w:b/>
          <w:bCs/>
          <w:color w:val="auto"/>
          <w:highlight w:val="none"/>
        </w:rPr>
        <w:t xml:space="preserve">项情形，供应商已随投标（响应）文件一并提交相关书面说明及必要的证明材料的，在评审现场可不再重复提交。</w:t>
      </w:r>
      <w:r>
        <w:rPr>
          <w:rFonts w:hint="eastAsia" w:cs="微软雅黑" w:asciiTheme="minorEastAsia" w:hAnsiTheme="minorEastAsia" w:eastAsiaTheme="minorEastAsia"/>
          <w:b/>
          <w:color w:val="auto"/>
          <w:highlight w:val="none"/>
        </w:rPr>
        <w:t xml:space="preserve">。</w:t>
      </w:r>
      <w:r>
        <w:rPr>
          <w:rFonts w:asciiTheme="minorEastAsia" w:hAnsiTheme="minorEastAsia" w:eastAsiaTheme="minorEastAsia"/>
          <w:b/>
          <w:color w:val="auto"/>
          <w:highlight w:val="none"/>
        </w:rPr>
        <w:br/>
      </w:r>
      <w:r>
        <w:rPr>
          <w:rFonts w:hint="eastAsia" w:asciiTheme="minorEastAsia" w:hAnsiTheme="minorEastAsia" w:eastAsiaTheme="minorEastAsia"/>
          <w:b/>
          <w:color w:val="auto"/>
          <w:highlight w:val="none"/>
        </w:rPr>
        <w:t xml:space="preserve">    26.</w:t>
      </w:r>
      <w:r>
        <w:rPr>
          <w:rFonts w:asciiTheme="minorEastAsia" w:hAnsiTheme="minorEastAsia" w:eastAsiaTheme="minorEastAsia"/>
          <w:b/>
          <w:color w:val="auto"/>
          <w:highlight w:val="none"/>
        </w:rPr>
        <w:t xml:space="preserve">9 </w:t>
      </w: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27.投标的澄清</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28.无效投标和废标</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28.1无效投标的具体情形有： </w:t>
      </w:r>
      <w:r>
        <w:rPr>
          <w:rFonts w:hint="eastAsia" w:ascii="仿宋" w:hAnsi="仿宋" w:eastAsia="仿宋" w:cs="仿宋"/>
          <w:color w:val="auto"/>
          <w:sz w:val="24"/>
          <w:szCs w:val="24"/>
          <w:highlight w:val="none"/>
        </w:rPr>
        <w:t xml:space="preserve"> </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28.1.1投标文件未按招标文件要求签署、盖章或电子签章的；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28.1.2不具备招标文件中规定的资格要求的；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28.1.3报价超过招标文件中规定的预算金额或者最高限价的；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28.1.4</w:t>
      </w:r>
      <w:r>
        <w:rPr>
          <w:rFonts w:hint="eastAsia" w:ascii="仿宋" w:hAnsi="仿宋" w:eastAsia="仿宋" w:cs="仿宋"/>
          <w:b/>
          <w:color w:val="auto"/>
          <w:sz w:val="24"/>
          <w:szCs w:val="24"/>
          <w:highlight w:val="none"/>
        </w:rPr>
        <w:t xml:space="preserve">不同投标人的投标文件使用同一台电脑编制的；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28.1.5投标文件含有采购人不能接受的附加条件的；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28.1.6法律、法规和招标文件规定的其他无效情形。</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28.2 </w:t>
      </w:r>
      <w:r>
        <w:rPr>
          <w:rFonts w:hint="eastAsia" w:ascii="仿宋" w:hAnsi="仿宋" w:eastAsia="仿宋" w:cs="仿宋"/>
          <w:color w:val="auto"/>
          <w:sz w:val="24"/>
          <w:szCs w:val="24"/>
          <w:highlight w:val="none"/>
        </w:rPr>
        <w:t xml:space="preserve">在招标采购中，出现下列情形之一的，应予废标：</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28.2.1符合专业条件的供应商或者对招标文件作实质响应的供应商不足三家的；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28.2.2出现影响采购公正的违法、违规行为的；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28.2.3投标人的报价均超过了采购预算，采购人不能支付的；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28.2.4因重大变故，采购任务取消的。</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28.3 </w:t>
      </w:r>
      <w:r>
        <w:rPr>
          <w:rFonts w:hint="eastAsia" w:ascii="仿宋" w:hAnsi="仿宋" w:eastAsia="仿宋" w:cs="仿宋"/>
          <w:color w:val="auto"/>
          <w:sz w:val="24"/>
          <w:szCs w:val="24"/>
          <w:highlight w:val="none"/>
        </w:rPr>
        <w:t xml:space="preserve">废标后，采购人应当将废标理由通知所有投标人。</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29. </w:t>
      </w:r>
      <w:r>
        <w:rPr>
          <w:rFonts w:hint="eastAsia" w:ascii="仿宋" w:hAnsi="仿宋" w:eastAsia="仿宋" w:cs="仿宋"/>
          <w:b/>
          <w:color w:val="auto"/>
          <w:sz w:val="24"/>
          <w:szCs w:val="24"/>
          <w:highlight w:val="none"/>
        </w:rPr>
        <w:t xml:space="preserve">投标文件的评价和比较</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仿宋" w:hAnsi="仿宋" w:eastAsia="仿宋" w:cs="仿宋"/>
          <w:color w:val="auto"/>
          <w:sz w:val="24"/>
          <w:szCs w:val="24"/>
          <w:highlight w:val="none"/>
        </w:rPr>
        <w:t xml:space="preserve">   </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29.2.1服务的质量保证（保障）内容；</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29.2.2服务配备的人员；</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29.2.3投标者的资信情况和履约能力；</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29.2.4投标者提供的其他优惠条件；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29.2.5参与本项目政府采购工作的态度及信誉；</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29.2.6最低的投标报价或最高的优惠比例是中标的重要条件，但不是唯一条件。</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七、授予合同</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30. </w:t>
      </w:r>
      <w:r>
        <w:rPr>
          <w:rFonts w:hint="eastAsia" w:ascii="仿宋" w:hAnsi="仿宋" w:eastAsia="仿宋" w:cs="仿宋"/>
          <w:b/>
          <w:color w:val="auto"/>
          <w:sz w:val="24"/>
          <w:szCs w:val="24"/>
          <w:highlight w:val="none"/>
        </w:rPr>
        <w:t xml:space="preserve">中标供应商的确认</w:t>
      </w:r>
      <w:r>
        <w:rPr>
          <w:rFonts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rPr>
        <w:t xml:space="preserve">         </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30.2经评标委员会评审并确定中标供应商后，采购人或授权采购代理机构将在规定的时间内将中标结果在相关媒体上予以公告。</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30.4质疑函递交地点及联系方式详见公告内容</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31. </w:t>
      </w:r>
      <w:r>
        <w:rPr>
          <w:rFonts w:hint="eastAsia" w:ascii="仿宋" w:hAnsi="仿宋" w:eastAsia="仿宋" w:cs="仿宋"/>
          <w:b/>
          <w:color w:val="auto"/>
          <w:sz w:val="24"/>
          <w:szCs w:val="24"/>
          <w:highlight w:val="none"/>
        </w:rPr>
        <w:t xml:space="preserve">合同授予标准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32. </w:t>
      </w:r>
      <w:r>
        <w:rPr>
          <w:rFonts w:hint="eastAsia" w:ascii="仿宋" w:hAnsi="仿宋" w:eastAsia="仿宋" w:cs="仿宋"/>
          <w:b/>
          <w:color w:val="auto"/>
          <w:sz w:val="24"/>
          <w:szCs w:val="24"/>
          <w:highlight w:val="none"/>
        </w:rPr>
        <w:t xml:space="preserve">中标通知书</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32.3因系统存储空间有限，自中标结果公告届满之日起30日后，“苏采云”系统不再保证提供下载中标通知书服务,因未及时下载而造成的不利后果由中标供应商自行承担。</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32.4中标通知书将成为合同的组成部分。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32.5采购代理机构对未中标供应商不承担解释未中标原因的义务。</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33.履约保证金</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33.1中标供应商按合同约定要求提交履约保证金。</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33.2履约保证金用以约束供应商在合同履行中的行为，弥补合同执行中由于自身行为可能给采购人带来的各种损失。</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33.3履约保证金（无息）将在中标供应商合同履行完毕后，采购人在</w:t>
      </w:r>
      <w:r>
        <w:rPr>
          <w:rFonts w:hint="eastAsia" w:ascii="仿宋" w:hAnsi="仿宋" w:eastAsia="仿宋" w:cs="仿宋"/>
          <w:color w:val="auto"/>
          <w:sz w:val="24"/>
          <w:szCs w:val="24"/>
          <w:highlight w:val="none"/>
        </w:rPr>
        <w:t xml:space="preserve">十</w:t>
      </w:r>
      <w:r>
        <w:rPr>
          <w:rFonts w:ascii="仿宋" w:hAnsi="仿宋" w:eastAsia="仿宋" w:cs="仿宋"/>
          <w:color w:val="auto"/>
          <w:sz w:val="24"/>
          <w:szCs w:val="24"/>
          <w:highlight w:val="none"/>
        </w:rPr>
        <w:t xml:space="preserve">五个工作日内退还中标供应商。</w:t>
      </w:r>
      <w:r/>
    </w:p>
    <w:p>
      <w:pPr>
        <w:pStyle w:val="1639"/>
        <w:spacing w:line="360" w:lineRule="auto"/>
        <w:rPr>
          <w:color w:val="auto"/>
          <w:sz w:val="24"/>
          <w:szCs w:val="24"/>
          <w:highlight w:val="none"/>
        </w:rPr>
      </w:pPr>
      <w:r>
        <w:rPr>
          <w:rFonts w:hint="eastAsia" w:ascii="仿宋" w:hAnsi="仿宋" w:eastAsia="仿宋" w:cs="仿宋"/>
          <w:color w:val="auto"/>
          <w:sz w:val="24"/>
          <w:szCs w:val="24"/>
          <w:highlight w:val="none"/>
        </w:rPr>
        <w:t xml:space="preserve">33.4 </w:t>
      </w:r>
      <w:r>
        <w:rPr>
          <w:rFonts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rPr>
        <w:t xml:space="preserve">可以采用银行、保险公司、担保公司等第三方机构出具的履约保函（保险）代替缴纳履约保证金，保函（保险）有效期届满且担保人按照约定履行了担保责任后自动失效。如</w:t>
      </w:r>
      <w:r>
        <w:rPr>
          <w:rFonts w:ascii="仿宋" w:hAnsi="仿宋" w:eastAsia="仿宋" w:cs="仿宋"/>
          <w:color w:val="auto"/>
          <w:sz w:val="24"/>
          <w:szCs w:val="24"/>
          <w:highlight w:val="none"/>
        </w:rPr>
        <w:t xml:space="preserve">中标供应商</w:t>
      </w:r>
      <w:r>
        <w:rPr>
          <w:rFonts w:hint="eastAsia" w:ascii="仿宋" w:hAnsi="仿宋" w:eastAsia="仿宋" w:cs="仿宋"/>
          <w:color w:val="auto"/>
          <w:sz w:val="24"/>
          <w:szCs w:val="24"/>
          <w:highlight w:val="none"/>
        </w:rPr>
        <w:t xml:space="preserve">未按要求履行合同义务，由担保人按照合同约定对采购人承担赔偿责任。</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34. </w:t>
      </w:r>
      <w:r>
        <w:rPr>
          <w:rFonts w:hint="eastAsia" w:ascii="仿宋" w:hAnsi="仿宋" w:eastAsia="仿宋" w:cs="仿宋"/>
          <w:b/>
          <w:color w:val="auto"/>
          <w:sz w:val="24"/>
          <w:szCs w:val="24"/>
          <w:highlight w:val="none"/>
        </w:rPr>
        <w:t xml:space="preserve">合同的签订</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34.2中标供应商应按中标通知书中中规定，由法定代表人或授权代理人与采购人代表签订合同，否则按放弃中标权处理。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34.3签订合同及合同条款应以招标文件和中标供应商的投标文件及其澄清文件为依据。</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34.5签订合同后，中标人不得将</w:t>
      </w:r>
      <w:r>
        <w:rPr>
          <w:rFonts w:hint="eastAsia" w:ascii="仿宋" w:hAnsi="仿宋" w:eastAsia="仿宋" w:cs="仿宋"/>
          <w:color w:val="auto"/>
          <w:sz w:val="24"/>
          <w:szCs w:val="24"/>
          <w:highlight w:val="none"/>
        </w:rPr>
        <w:t xml:space="preserve">未在投标时声明的</w:t>
      </w:r>
      <w:r>
        <w:rPr>
          <w:rFonts w:ascii="仿宋" w:hAnsi="仿宋" w:eastAsia="仿宋" w:cs="仿宋"/>
          <w:color w:val="auto"/>
          <w:sz w:val="24"/>
          <w:szCs w:val="24"/>
          <w:highlight w:val="none"/>
        </w:rPr>
        <w:t xml:space="preserve">货物及其他相关服务进行转包。未经采购人同意，中标人也不得采用分包的形式履行合同，否则采购人有权终止合同。转包或分包造成采购人损失的，中标人应承担相应赔偿责任。</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八、政府采购相关政策</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35.节能产品和环境标志产品</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color w:val="auto"/>
          <w:sz w:val="24"/>
          <w:szCs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36.中小企业相关政策：</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t xml:space="preserve">36.1</w:t>
      </w:r>
      <w:r>
        <w:rPr>
          <w:rFonts w:hint="eastAsia" w:ascii="仿宋" w:hAnsi="仿宋" w:eastAsia="仿宋" w:cs="仿宋"/>
          <w:color w:val="auto"/>
          <w:sz w:val="24"/>
          <w:szCs w:val="24"/>
          <w:highlight w:val="none"/>
        </w:rPr>
        <w:t xml:space="preserve">根据《政府采购促进中小企业发展管理办法》（财库﹝</w:t>
      </w:r>
      <w:r>
        <w:rPr>
          <w:rFonts w:ascii="仿宋" w:hAnsi="仿宋" w:eastAsia="仿宋" w:cs="仿宋"/>
          <w:color w:val="auto"/>
          <w:sz w:val="24"/>
          <w:szCs w:val="24"/>
          <w:highlight w:val="none"/>
        </w:rPr>
        <w:t xml:space="preserve">2020﹞46号）</w:t>
      </w:r>
      <w:r>
        <w:rPr>
          <w:rFonts w:hint="eastAsia" w:ascii="仿宋" w:hAnsi="仿宋" w:eastAsia="仿宋" w:cs="仿宋"/>
          <w:color w:val="auto"/>
          <w:sz w:val="24"/>
          <w:szCs w:val="24"/>
          <w:highlight w:val="none"/>
        </w:rPr>
        <w:t xml:space="preserve">规定，</w:t>
      </w:r>
      <w:r>
        <w:rPr>
          <w:rFonts w:ascii="仿宋" w:hAnsi="仿宋" w:eastAsia="仿宋" w:cs="仿宋"/>
          <w:color w:val="auto"/>
          <w:sz w:val="24"/>
          <w:szCs w:val="24"/>
          <w:highlight w:val="none"/>
        </w:rPr>
        <w:t xml:space="preserve">第二条 本办法所称中小企业，是指在中华人民共和国境内依法设立，依据国务院批准的中小企业划分标准确定的中型企业、小型企业和微型企业，</w:t>
      </w:r>
      <w:r>
        <w:rPr>
          <w:rFonts w:ascii="仿宋" w:hAnsi="仿宋" w:eastAsia="仿宋" w:cs="仿宋"/>
          <w:b/>
          <w:color w:val="auto"/>
          <w:sz w:val="24"/>
          <w:szCs w:val="24"/>
          <w:highlight w:val="none"/>
        </w:rPr>
        <w:t xml:space="preserve">但与大企业的负责人为同一人，或者与大企业存在直接控股、管理关系的除外</w:t>
      </w:r>
      <w:r>
        <w:rPr>
          <w:rFonts w:ascii="仿宋" w:hAnsi="仿宋" w:eastAsia="仿宋" w:cs="仿宋"/>
          <w:color w:val="auto"/>
          <w:sz w:val="24"/>
          <w:szCs w:val="24"/>
          <w:highlight w:val="none"/>
        </w:rPr>
        <w:t xml:space="preserve">。符合中小企业划分标准的个体工商户，在政府采购活动中视同中小企业。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根据《政府采购促进中小企业发展管理办法》（财库〔2020〕46号）有关规定：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中小企业投标人应当提供中小企业声明函或残疾人福利性单位声明函或省级以上监狱管理局、戒毒管理局（含新疆生产建设兵团）出具的属于监狱企业的证明文件。</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36.1.1中小企业划分：</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（1）符合中小企业划分标准的个体工商户，在政府采购活动中视同中小企业。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（2）中小企业划分标准详见“工信部联企业〔2011〕300号通知”</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36.1.2残疾人福利性单位政策：</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ascii="仿宋" w:hAnsi="仿宋" w:eastAsia="仿宋" w:cs="仿宋"/>
          <w:color w:val="auto"/>
          <w:sz w:val="24"/>
          <w:szCs w:val="24"/>
          <w:highlight w:val="none"/>
        </w:rPr>
        <w:t xml:space="preserve">36.1.3监狱企业发展政策：</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36.1.4中标、成交供应商享受规定的中小企业扶持政策的，其声明函及相关证明材料应当随中标、成交结果同时公告，接受社会监督。</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outlineLvl w:val="4"/>
      </w:pPr>
      <w:r>
        <w:rPr>
          <w:rFonts w:ascii="宋体" w:hAnsi="宋体" w:cs="宋体"/>
          <w:color w:val="auto"/>
          <w:sz w:val="24"/>
          <w:szCs w:val="24"/>
          <w:highlight w:val="none"/>
        </w:rPr>
        <w:t xml:space="preserve">36.2</w:t>
      </w:r>
      <w:r>
        <w:rPr>
          <w:rFonts w:hint="eastAsia" w:ascii="仿宋" w:hAnsi="仿宋" w:eastAsia="仿宋" w:cs="仿宋"/>
          <w:color w:val="auto"/>
          <w:sz w:val="24"/>
          <w:szCs w:val="24"/>
          <w:highlight w:val="none"/>
        </w:rPr>
        <w:t xml:space="preserve">价格评审优惠的扶持政策</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rPr>
        <w:t xml:space="preserve">36.2.1非专门面向中小企业的标段</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根据《政府采购促进中小企业发展管理办法》（财库﹝2020﹞46号）的规定：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1)在货物采购项目中，货物由小、微企业制造，即货物由小、微企业生产且使用该小、微企业商号或者注册商标。对其报价给予20%的扣除，扣除后的价格参与价格评审。</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3)在货物采购项目中，供应商提供的货物既有小、微企业制造货物，也有中、大型企业制造货物的，不享受本办法规定的小、微企业价格扶持政策。</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5)符合中小企业划分标准的个体工商户，在政府采购活动中视同中小企业。</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6)残疾人福利性单位及监狱企业视同小型企业，享受评审中价格扣除等促进中小企业发展的政府采购政策。</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7)供应商按照本办法规定提供声明函内容不实的，属于提供虚假材料谋取中标、 成交， 依照《中华人民  共和国政府采购法》 等国家有关规定追究相应责任。</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36.2.2</w:t>
      </w:r>
      <w:r>
        <w:rPr>
          <w:rFonts w:hint="eastAsia" w:ascii="仿宋" w:hAnsi="仿宋" w:eastAsia="仿宋" w:cs="仿宋"/>
          <w:color w:val="auto"/>
          <w:sz w:val="24"/>
          <w:szCs w:val="24"/>
          <w:highlight w:val="none"/>
        </w:rPr>
        <w:t xml:space="preserve">属于专门面向中小企业预留采购的标段，不再执行价格评审优惠的扶持政策。</w:t>
      </w:r>
      <w:r/>
    </w:p>
    <w:p>
      <w:pPr>
        <w:ind w:firstLine="482"/>
        <w:spacing w:line="360" w:lineRule="auto"/>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37. </w:t>
      </w:r>
      <w:r>
        <w:rPr>
          <w:rFonts w:hint="eastAsia" w:ascii="仿宋" w:hAnsi="仿宋" w:eastAsia="仿宋" w:cs="仿宋"/>
          <w:b/>
          <w:color w:val="auto"/>
          <w:sz w:val="24"/>
          <w:szCs w:val="24"/>
          <w:highlight w:val="none"/>
        </w:rPr>
        <w:t xml:space="preserve">绿色数据中心政策</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37.1 </w:t>
      </w:r>
      <w:r>
        <w:rPr>
          <w:rFonts w:hint="eastAsia" w:ascii="仿宋" w:hAnsi="仿宋" w:eastAsia="仿宋" w:cs="仿宋"/>
          <w:color w:val="auto"/>
          <w:sz w:val="24"/>
          <w:szCs w:val="24"/>
          <w:highlight w:val="none"/>
        </w:rPr>
        <w:t xml:space="preserve">依据《绿色数据中心政府采购需求标准（试行）》（财办库〔2023〕7 号）文件精神，采购</w:t>
      </w:r>
      <w:r>
        <w:rPr>
          <w:rFonts w:hint="eastAsia" w:ascii="仿宋" w:hAnsi="仿宋" w:eastAsia="仿宋" w:cs="仿宋"/>
          <w:color w:val="auto"/>
          <w:sz w:val="24"/>
          <w:szCs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ascii="仿宋" w:hAnsi="仿宋" w:eastAsia="仿宋" w:cs="仿宋"/>
          <w:b/>
          <w:color w:val="auto"/>
          <w:sz w:val="24"/>
          <w:szCs w:val="24"/>
          <w:highlight w:val="none"/>
        </w:rPr>
        <w:t xml:space="preserve">38.商品包装、快递包装政策</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t xml:space="preserve">38.1 </w:t>
      </w:r>
      <w:r>
        <w:rPr>
          <w:rFonts w:hint="eastAsia" w:ascii="仿宋" w:hAnsi="仿宋" w:eastAsia="仿宋" w:cs="仿宋"/>
          <w:color w:val="auto"/>
          <w:sz w:val="24"/>
          <w:szCs w:val="24"/>
          <w:highlight w:val="none"/>
        </w:rPr>
        <w:t xml:space="preserve">依据</w:t>
      </w:r>
      <w:r>
        <w:rPr>
          <w:rFonts w:ascii="仿宋" w:hAnsi="仿宋" w:eastAsia="仿宋" w:cs="仿宋"/>
          <w:color w:val="auto"/>
          <w:sz w:val="24"/>
          <w:szCs w:val="24"/>
          <w:highlight w:val="none"/>
        </w:rPr>
        <w:t xml:space="preserve">《关于印发〈商品包装政府采购需求标准（试行）〉、〈快递包装政府采购需求标准（试行）〉的通知》（财办库〔2020〕123号）</w:t>
      </w:r>
      <w:r>
        <w:rPr>
          <w:rFonts w:hint="eastAsia" w:ascii="仿宋" w:hAnsi="仿宋" w:eastAsia="仿宋" w:cs="仿宋"/>
          <w:color w:val="auto"/>
          <w:sz w:val="24"/>
          <w:szCs w:val="24"/>
          <w:highlight w:val="none"/>
        </w:rPr>
        <w:t xml:space="preserve">文件</w:t>
      </w:r>
      <w:r>
        <w:rPr>
          <w:rFonts w:ascii="仿宋" w:hAnsi="仿宋" w:eastAsia="仿宋" w:cs="仿宋"/>
          <w:color w:val="auto"/>
          <w:sz w:val="24"/>
          <w:szCs w:val="24"/>
          <w:highlight w:val="none"/>
        </w:rPr>
        <w:t xml:space="preserve">精神</w:t>
      </w:r>
      <w:r>
        <w:rPr>
          <w:rFonts w:hint="eastAsia" w:ascii="仿宋" w:hAnsi="仿宋" w:eastAsia="仿宋" w:cs="仿宋"/>
          <w:color w:val="auto"/>
          <w:sz w:val="24"/>
          <w:szCs w:val="24"/>
          <w:highlight w:val="none"/>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w:t>
      </w:r>
      <w:r>
        <w:rPr>
          <w:rFonts w:ascii="宋体" w:hAnsi="宋体" w:cs="宋体"/>
          <w:b/>
          <w:color w:val="auto"/>
          <w:sz w:val="24"/>
          <w:highlight w:val="none"/>
        </w:rPr>
        <w:t xml:space="preserve">9</w:t>
      </w:r>
      <w:r>
        <w:rPr>
          <w:rFonts w:hint="eastAsia" w:ascii="宋体" w:hAnsi="宋体" w:cs="宋体"/>
          <w:b/>
          <w:color w:val="auto"/>
          <w:sz w:val="24"/>
          <w:highlight w:val="none"/>
        </w:rPr>
        <w:t xml:space="preserve">.采购本国产品的支持政策</w:t>
      </w:r>
      <w:r/>
    </w:p>
    <w:p>
      <w:pPr>
        <w:ind w:firstLine="480"/>
        <w:jc w:val="left"/>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仿宋" w:hAnsi="仿宋" w:eastAsia="仿宋" w:cs="仿宋"/>
          <w:b/>
          <w:color w:val="auto"/>
          <w:sz w:val="24"/>
          <w:highlight w:val="none"/>
        </w:rPr>
      </w:pPr>
      <w:r>
        <w:rPr>
          <w:rFonts w:hint="eastAsia" w:ascii="仿宋" w:hAnsi="仿宋" w:eastAsia="仿宋" w:cs="仿宋"/>
          <w:color w:val="auto"/>
          <w:sz w:val="24"/>
          <w:highlight w:val="none"/>
        </w:rPr>
        <w:t xml:space="preserve">39.3 本项目政府采购活动中既有本国产品又有非本国产品参与竞争的，依法对本国产品给予价格评审优惠，</w:t>
      </w:r>
      <w:r>
        <w:rPr>
          <w:rFonts w:hint="eastAsia" w:ascii="仿宋" w:hAnsi="仿宋" w:eastAsia="仿宋" w:cs="仿宋"/>
          <w:b/>
          <w:color w:val="auto"/>
          <w:sz w:val="24"/>
          <w:highlight w:val="none"/>
        </w:rPr>
        <w:t xml:space="preserve">对本国产品的报价给予20%的价格扣除，用扣除后的价格参与评审。</w:t>
      </w:r>
      <w:r/>
    </w:p>
    <w:p>
      <w:pPr>
        <w:ind w:firstLine="480"/>
        <w:jc w:val="left"/>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39.5 供应商需按照招标文件的要求提供《关于符合本国产品标准的声明函》（以下简称《声明函》），</w:t>
      </w:r>
      <w:r>
        <w:rPr>
          <w:rFonts w:hint="eastAsia" w:ascii="仿宋" w:hAnsi="仿宋" w:eastAsia="仿宋" w:cs="仿宋"/>
          <w:b/>
          <w:color w:val="auto"/>
          <w:sz w:val="24"/>
          <w:highlight w:val="none"/>
        </w:rPr>
        <w:t xml:space="preserve">如不提供将不享受本国产品价格评审优惠。</w:t>
      </w:r>
      <w:r/>
    </w:p>
    <w:p>
      <w:pPr>
        <w:ind w:firstLine="480"/>
        <w:jc w:val="left"/>
        <w:spacing w:line="500" w:lineRule="exact"/>
        <w:rPr>
          <w:rFonts w:ascii="仿宋" w:hAnsi="仿宋" w:eastAsia="仿宋" w:cs="仿宋"/>
          <w:b/>
          <w:color w:val="auto"/>
          <w:sz w:val="24"/>
          <w:highlight w:val="none"/>
        </w:rPr>
      </w:pPr>
      <w:r>
        <w:rPr>
          <w:rFonts w:hint="eastAsia" w:ascii="仿宋" w:hAnsi="仿宋" w:eastAsia="仿宋" w:cs="仿宋"/>
          <w:color w:val="auto"/>
          <w:sz w:val="24"/>
          <w:highlight w:val="none"/>
        </w:rPr>
        <w:t xml:space="preserve">39.6</w:t>
      </w:r>
      <w:r>
        <w:rPr>
          <w:rFonts w:hint="eastAsia" w:ascii="仿宋" w:hAnsi="仿宋" w:eastAsia="仿宋" w:cs="仿宋"/>
          <w:b/>
          <w:color w:val="auto"/>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仿宋" w:hAnsi="仿宋" w:eastAsia="仿宋" w:cs="仿宋"/>
          <w:color w:val="auto"/>
          <w:highlight w:val="none"/>
        </w:rPr>
      </w:pPr>
      <w:r>
        <w:rPr>
          <w:rFonts w:hint="eastAsia" w:ascii="仿宋" w:hAnsi="仿宋" w:eastAsia="仿宋" w:cs="仿宋"/>
          <w:color w:val="auto"/>
          <w:sz w:val="24"/>
          <w:highlight w:val="none"/>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szCs w:val="24"/>
          <w:highlight w:val="none"/>
        </w:rPr>
        <w:t xml:space="preserve">九、其他事项</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auto"/>
          <w:sz w:val="24"/>
          <w:szCs w:val="24"/>
          <w:highlight w:val="none"/>
        </w:rPr>
        <w:t xml:space="preserve">40</w:t>
      </w:r>
      <w:r>
        <w:rPr>
          <w:rFonts w:ascii="仿宋" w:hAnsi="仿宋" w:eastAsia="仿宋" w:cs="仿宋"/>
          <w:b/>
          <w:color w:val="auto"/>
          <w:sz w:val="24"/>
          <w:szCs w:val="24"/>
          <w:highlight w:val="none"/>
        </w:rPr>
        <w:t xml:space="preserve">. </w:t>
      </w:r>
      <w:r>
        <w:rPr>
          <w:rFonts w:hint="eastAsia" w:ascii="仿宋" w:hAnsi="仿宋" w:eastAsia="仿宋" w:cs="仿宋"/>
          <w:b/>
          <w:color w:val="auto"/>
          <w:sz w:val="24"/>
          <w:szCs w:val="24"/>
          <w:highlight w:val="none"/>
        </w:rPr>
        <w:t xml:space="preserve">监督和公证</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40</w:t>
      </w:r>
      <w:r>
        <w:rPr>
          <w:rFonts w:ascii="仿宋" w:hAnsi="仿宋" w:eastAsia="仿宋" w:cs="仿宋"/>
          <w:color w:val="auto"/>
          <w:sz w:val="24"/>
          <w:szCs w:val="24"/>
          <w:highlight w:val="none"/>
        </w:rPr>
        <w:t xml:space="preserve">.1政府有关监督部门将对招投标全过程进行监督。</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40</w:t>
      </w:r>
      <w:r>
        <w:rPr>
          <w:rFonts w:ascii="仿宋" w:hAnsi="仿宋" w:eastAsia="仿宋" w:cs="仿宋"/>
          <w:color w:val="auto"/>
          <w:sz w:val="24"/>
          <w:szCs w:val="24"/>
          <w:highlight w:val="none"/>
        </w:rPr>
        <w:t xml:space="preserve">.2采购代理机构的招标过程将通过公证机关进行公证。</w:t>
      </w:r>
      <w:r/>
    </w:p>
    <w:p>
      <w:pPr>
        <w:ind w:firstLine="482"/>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auto"/>
          <w:sz w:val="24"/>
          <w:szCs w:val="24"/>
          <w:highlight w:val="none"/>
        </w:rPr>
        <w:t xml:space="preserve">41</w:t>
      </w:r>
      <w:r>
        <w:rPr>
          <w:rFonts w:ascii="仿宋" w:hAnsi="仿宋" w:eastAsia="仿宋" w:cs="仿宋"/>
          <w:b/>
          <w:color w:val="auto"/>
          <w:sz w:val="24"/>
          <w:szCs w:val="24"/>
          <w:highlight w:val="none"/>
        </w:rPr>
        <w:t xml:space="preserve">.未尽事宜</w:t>
      </w:r>
      <w:r/>
    </w:p>
    <w:p>
      <w:pPr>
        <w:ind w:firstLine="48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cols w:num="1" w:sep="0" w:space="720" w:equalWidth="1"/>
          <w:docGrid w:linePitch="360"/>
        </w:sectPr>
      </w:pPr>
      <w:r>
        <w:rPr>
          <w:rFonts w:hint="eastAsia" w:ascii="仿宋" w:hAnsi="仿宋" w:eastAsia="仿宋" w:cs="仿宋"/>
          <w:color w:val="auto"/>
          <w:sz w:val="24"/>
          <w:szCs w:val="24"/>
          <w:highlight w:val="none"/>
        </w:rPr>
        <w:t xml:space="preserve">41</w:t>
      </w:r>
      <w:r>
        <w:rPr>
          <w:rFonts w:ascii="仿宋" w:hAnsi="仿宋" w:eastAsia="仿宋" w:cs="仿宋"/>
          <w:color w:val="auto"/>
          <w:sz w:val="24"/>
          <w:szCs w:val="24"/>
          <w:highlight w:val="none"/>
        </w:rPr>
        <w:t xml:space="preserve">.1按《中华人民共和国政府采购法》及其他有关法律法规的规定执行</w:t>
      </w:r>
      <w:r>
        <w:rPr>
          <w:rFonts w:hint="eastAsia" w:ascii="仿宋" w:hAnsi="仿宋" w:eastAsia="仿宋" w:cs="仿宋"/>
          <w:color w:val="auto"/>
          <w:sz w:val="24"/>
          <w:szCs w:val="24"/>
          <w:highlight w:val="none"/>
        </w:rPr>
        <w:t xml:space="preserve">。</w:t>
      </w:r>
      <w:r/>
    </w:p>
    <w:p>
      <w:pPr>
        <w:contextualSpacing/>
        <w:ind w:firstLine="480"/>
        <w:spacing w:line="360" w:lineRule="auto"/>
        <w:rPr>
          <w:rFonts w:ascii="宋体" w:hAnsi="宋体" w:cs="宋体"/>
          <w:color w:val="auto"/>
          <w:sz w:val="24"/>
          <w:szCs w:val="24"/>
          <w:highlight w:val="none"/>
        </w:rPr>
      </w:pPr>
      <w:r/>
      <w:bookmarkStart w:id="0" w:name="_Toc467507043"/>
      <w:r/>
      <w:bookmarkStart w:id="1" w:name="_Toc467507037"/>
      <w:r/>
      <w:bookmarkStart w:id="2" w:name="_Toc158691774"/>
      <w:r/>
      <w:bookmarkStart w:id="3" w:name="_Toc315875321"/>
      <w:r/>
      <w:bookmarkStart w:id="4" w:name="_Toc315868058"/>
      <w:r/>
      <w:r/>
    </w:p>
    <w:p>
      <w:pPr>
        <w:jc w:val="center"/>
        <w:spacing w:line="480" w:lineRule="auto"/>
        <w:rPr>
          <w:rFonts w:ascii="仿宋" w:hAnsi="仿宋" w:eastAsia="仿宋" w:cs="仿宋"/>
          <w:b/>
          <w:bCs/>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44"/>
          <w:szCs w:val="44"/>
          <w:highlight w:val="none"/>
        </w:rPr>
        <w:t xml:space="preserve">第三部分 项目需求</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说明：</w:t>
      </w:r>
      <w:r/>
    </w:p>
    <w:p>
      <w:pPr>
        <w:pStyle w:val="1189"/>
        <w:ind w:firstLine="482"/>
        <w:rPr>
          <w:rFonts w:ascii="宋体" w:hAnsi="宋体"/>
          <w:b/>
          <w:color w:val="auto"/>
          <w:highlight w:val="none"/>
        </w:rPr>
      </w:pPr>
      <w:r>
        <w:rPr>
          <w:rFonts w:hint="eastAsia" w:ascii="宋体" w:hAnsi="宋体"/>
          <w:b/>
          <w:color w:val="auto"/>
          <w:highlight w:val="none"/>
        </w:rPr>
        <w:t xml:space="preserve">“</w:t>
      </w:r>
      <w:r>
        <w:rPr>
          <w:rFonts w:ascii="宋体" w:hAnsi="宋体"/>
          <w:b/>
          <w:color w:val="auto"/>
          <w:highlight w:val="none"/>
        </w:rPr>
        <w:t xml:space="preserve">实质性要求”是指采购文件中已经指明不满足则响应无效的条款，或者不能负偏离的条款，或者采购需求中带“</w:t>
      </w:r>
      <w:r>
        <w:rPr>
          <w:rFonts w:ascii="MicrosoftYaHei" w:hAnsi="MicrosoftYaHei" w:eastAsia="MicrosoftYaHei" w:cs="MicrosoftYaHei"/>
          <w:color w:val="auto"/>
          <w:sz w:val="25"/>
          <w:szCs w:val="25"/>
          <w:highlight w:val="none"/>
        </w:rPr>
        <w:t xml:space="preserve">★</w:t>
      </w:r>
      <w:r>
        <w:rPr>
          <w:rFonts w:hint="eastAsia" w:ascii="宋体" w:hAnsi="宋体"/>
          <w:b/>
          <w:color w:val="auto"/>
          <w:highlight w:val="none"/>
        </w:rPr>
        <w:t xml:space="preserve">”</w:t>
      </w:r>
      <w:r>
        <w:rPr>
          <w:rFonts w:ascii="宋体" w:hAnsi="宋体"/>
          <w:b/>
          <w:color w:val="auto"/>
          <w:highlight w:val="none"/>
        </w:rPr>
        <w:t xml:space="preserve">的条款。</w:t>
      </w:r>
      <w:r/>
    </w:p>
    <w:p>
      <w:pPr>
        <w:pStyle w:val="1189"/>
        <w:ind w:firstLine="482"/>
        <w:rPr>
          <w:rFonts w:ascii="宋体" w:hAnsi="宋体"/>
          <w:b/>
          <w:color w:val="auto"/>
          <w:highlight w:val="none"/>
        </w:rPr>
      </w:pPr>
      <w:r>
        <w:rPr>
          <w:rFonts w:ascii="宋体" w:hAnsi="宋体"/>
          <w:b/>
          <w:color w:val="auto"/>
          <w:highlight w:val="none"/>
        </w:rPr>
      </w:r>
      <w:r/>
    </w:p>
    <w:p>
      <w:pPr>
        <w:pStyle w:val="1189"/>
        <w:ind w:firstLine="0"/>
        <w:rPr>
          <w:b/>
          <w:color w:val="auto"/>
          <w:highlight w:val="none"/>
        </w:rPr>
      </w:pPr>
      <w:r>
        <w:rPr>
          <w:rFonts w:hint="eastAsia"/>
          <w:b/>
          <w:color w:val="auto"/>
          <w:highlight w:val="none"/>
        </w:rPr>
        <w:t xml:space="preserve">一、项目背景</w:t>
      </w:r>
      <w:r/>
    </w:p>
    <w:p>
      <w:pPr>
        <w:pStyle w:val="1646"/>
        <w:ind w:firstLine="480"/>
        <w:rPr>
          <w:rFonts w:hint="default" w:ascii="Times New Roman" w:hAnsi="Times New Roman" w:eastAsia="宋体"/>
          <w:color w:val="auto"/>
          <w:sz w:val="24"/>
          <w:szCs w:val="24"/>
          <w:highlight w:val="none"/>
        </w:rPr>
      </w:pPr>
      <w:r/>
      <w:bookmarkStart w:id="5" w:name="_Toc149780984"/>
      <w:r/>
      <w:bookmarkStart w:id="6" w:name="_Toc926745085"/>
      <w:r>
        <w:rPr>
          <w:rFonts w:ascii="Times New Roman" w:hAnsi="Times New Roman" w:eastAsia="宋体"/>
          <w:color w:val="auto"/>
          <w:sz w:val="24"/>
          <w:szCs w:val="24"/>
          <w:highlight w:val="none"/>
        </w:rPr>
        <w:t xml:space="preserve">当前，我国医疗卫生事业正处</w:t>
      </w:r>
      <w:r>
        <w:rPr>
          <w:rFonts w:ascii="Times New Roman" w:hAnsi="Times New Roman" w:eastAsia="宋体"/>
          <w:color w:val="auto"/>
          <w:sz w:val="24"/>
          <w:szCs w:val="24"/>
          <w:highlight w:val="none"/>
        </w:rPr>
        <w:t xml:space="preserve">于从“规模扩张”向“质量提升”的关键转型期，人口老龄化程度持续加深、慢性病高发态势未得到根本改变，加之居民健康意识不断增强，对全周期健康服务、精准化诊疗、便捷化就医的需求日益迫切，全链条慢病防控与一体化健康管理已成为推动公共卫生事业发展、提升公立医院核心竞争力的重要抓手。为响应行业发展需求，国家先后出台多项指导性政策，为医院数智化建设提供了坚实政策支撑：《“健康中国2030”规划纲要》《“十四五”国民健康规划》明确提出，以数字化、智能化转型为抓手，完善慢性病防治体系，推动医疗服务从“疾病治疗”向“健康管理”</w:t>
      </w:r>
      <w:r>
        <w:rPr>
          <w:rFonts w:ascii="Times New Roman" w:hAnsi="Times New Roman" w:eastAsia="宋体"/>
          <w:color w:val="auto"/>
          <w:sz w:val="24"/>
          <w:szCs w:val="24"/>
          <w:highlight w:val="none"/>
        </w:rPr>
        <w:t xml:space="preserve">转变，支持人工智能、元宇宙等新技术在医疗领域的创新应用；国务院《关于深入实施“人工智能+”行动的意见》进一步明确，深化人工智能在医疗卫生领域的应用，推动AI与临床诊疗、健康管理、医院运营深度融合；国家卫生健康委等五部门《关于促进和规范“人工智能+医疗卫生”应用发展的实施意见》（国卫办规划发〔2025〕30号）细化要求，提出到2027年形成一批临床专病专科垂直大模型与智能体应用，三级医院普遍部署医学影像AI辅助诊断、临床决策支持、智能用药审核等应用，为本次二期项目拓展AI应用场景、优化赋能效能提供了具体指引。</w:t>
      </w:r>
      <w:r/>
    </w:p>
    <w:p>
      <w:pPr>
        <w:pStyle w:val="1646"/>
        <w:ind w:firstLine="480"/>
        <w:rPr>
          <w:rFonts w:hint="default"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从区域医疗服务发展现状来看，当前医疗服务体系仍存在诸多亟待破解的短板：院内外健康数据缺乏有效整合，导致慢病管理难以实现全程闭环；急救</w:t>
      </w:r>
      <w:r>
        <w:rPr>
          <w:rFonts w:ascii="Times New Roman" w:hAnsi="Times New Roman" w:eastAsia="宋体"/>
          <w:color w:val="auto"/>
          <w:sz w:val="24"/>
          <w:szCs w:val="24"/>
          <w:highlight w:val="none"/>
        </w:rPr>
        <w:t xml:space="preserve">体系智能化水平不足，资源调度的精准度和效率有待提升；医护人员面临大量重复性工作，临床诊疗效率受制约；患者就医流程繁琐，院内外服务衔接不畅，就医体验未能充分满足群众期待。传统信息化建设模式已难以适配新形势下医疗服务精细化、智能化、连续化的发展要求，以数智技术破解发展痛点、补齐服务短板，成为区域医疗高质量发展的必然选择。与此同时，医院数智化建设一期项目已顺利推进，核心人工智能平台已基本完成搭建并投入试运行，在临床辅助诊断、基础数据治理等方面初见成效，为本次二期项目建设奠定了坚实的技术基础、积累了宝贵的实施经验。</w:t>
      </w:r>
      <w:r/>
    </w:p>
    <w:p>
      <w:pPr>
        <w:pStyle w:val="1646"/>
        <w:ind w:firstLine="480"/>
        <w:rPr>
          <w:rFonts w:hint="default"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技术层面，数字医疗领域的技术创新迭代持续加速，人工智能医疗大模型、数字孪生、物联网、智能可穿戴设备等技术已实现规模化落地，在慢病筛查、临床辅助诊断、智能运营管理、急救调度等场景形成了成熟的应用方案，技术稳</w:t>
      </w:r>
      <w:r>
        <w:rPr>
          <w:rFonts w:ascii="Times New Roman" w:hAnsi="Times New Roman" w:eastAsia="宋体"/>
          <w:color w:val="auto"/>
          <w:sz w:val="24"/>
          <w:szCs w:val="24"/>
          <w:highlight w:val="none"/>
        </w:rPr>
        <w:t xml:space="preserve">定性与可行性得到充分验证。与此同时，《三级医院评审标准（2022年版）》及相关实施细则，将人工智能应用、智慧服务能力、数据治理水平作为三级医院评审的核心内容，明确要求三甲医院需构建完善的智能医疗服务体系，实现AI技术与临床、管理、服务的深度融合，这也为医院数智化建设划定了具体标准和硬性要求。国家卫生健康委等部门《关于进一步加强医疗机构电子病历信息使用管理的通知》，明确要求医疗机构以电子病历为核心，强化数据安全与规范使用，推动电子病历与AI技术深度融合，为二期项目优化数据治理、拓展AI应用场景提供了合规指引。</w:t>
      </w:r>
      <w:r/>
    </w:p>
    <w:p>
      <w:pPr>
        <w:pStyle w:val="1646"/>
        <w:ind w:firstLine="480"/>
        <w:rPr>
          <w:rFonts w:hint="default"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太仓市娄江新城医院作为瑞金医院太仓分院，依托瑞金总院的品牌优势、管理经验和技术资源，按照三级甲等综合医院标准高标准建设，已于2025年正式投入运营。作为长三角区域医疗协同发展的重要节点，医院肩负着提升区域医疗服务水平、推动优质医疗资源下沉、打造智慧医疗标杆的重要使命。要实现高起点运营、高质量发展，破解区域医疗服务短板，必须以数智化建设为支撑，深度融合人工智能等前沿技术，构建特色鲜明、高效便捷的智慧医疗服务体系，这既是医院自身发展的内在需求，也是落实区域医疗协同战略的重要举措。</w:t>
      </w:r>
      <w:r/>
    </w:p>
    <w:p>
      <w:pPr>
        <w:pStyle w:val="1646"/>
        <w:ind w:firstLine="480"/>
        <w:rPr>
          <w:rFonts w:hint="default"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基于上述背景，结合医院数智化一期建设成效，本项目作为数智化建设二期工程，严格遵循国家健康战略、公立医院高质量发展要求及三级医院评审标准，紧扣医疗行业数字化转型趋势，结合医院发展定位、现有信息化基础及业务发展短板，以“横向拓展应用场景、深入优化赋能应用、丰富用户体验”为核心目标，重点围绕元宇宙急救调度、患者全旅程智慧服务、AI医生辅助诊疗、医院精细化运营管理</w:t>
      </w:r>
      <w:r>
        <w:rPr>
          <w:rFonts w:ascii="Times New Roman" w:hAnsi="Times New Roman" w:eastAsia="宋体"/>
          <w:color w:val="auto"/>
          <w:sz w:val="24"/>
          <w:szCs w:val="24"/>
          <w:highlight w:val="none"/>
        </w:rPr>
        <w:t xml:space="preserve">、全域全周期健康管理、统一AI中台升级、智能硬件部署及基础资源扩容等关键领域开展建设，全面拓展一期人工智能平台的应用边界、优化赋能效能，构建完善的统一医学人工智能应用体系、全院智能知识管理体系、慢病全周期管理体系、明日智慧诊室、数字医生、元宇宙决策大脑等核心能力，实现急救响应智能化、就医服务便捷化、临床诊疗精准化、运营管理精细化、数据资源一体化，进一步为医院管理者、医护人员、患者提供全方位、高品质的数智化支撑；同时将数智化应用覆盖面由院内拓展至总院共享、医共体成员赋能，从而更充分地提升了整体项目建设的效能。</w:t>
      </w:r>
      <w:r/>
    </w:p>
    <w:p>
      <w:pPr>
        <w:pStyle w:val="1646"/>
        <w:ind w:firstLine="480"/>
        <w:rPr>
          <w:rFonts w:hint="default"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综上，本项目作为医院数智化建设二期工程，是对一期人工智能平台建设的延伸与深化，既符合国家顶层政策导向和医疗行业发展趋势，严格对标各项政策要求，又精准对接区域医疗服务需求和医院高质量运营、内涵升级的现实需要，聚焦应用场景拓展、赋能效能优化和用户体验提升，是提升医疗服务质量、优化资源配置、改善就医体验、强化慢性病防控能力的关键举措，政策依据充分、行业需求迫切、技术支撑成熟、实施条件具备，具有极强的必要性和可行性。</w:t>
      </w:r>
      <w:r/>
    </w:p>
    <w:p>
      <w:pPr>
        <w:pStyle w:val="1642"/>
        <w:contextualSpacing/>
        <w:spacing w:before="0" w:beforeAutospacing="0" w:after="0" w:line="360" w:lineRule="auto"/>
        <w:rPr>
          <w:rFonts w:eastAsia="宋体"/>
          <w:b/>
          <w:bCs/>
          <w:color w:val="auto"/>
          <w:sz w:val="24"/>
          <w:szCs w:val="24"/>
          <w:highlight w:val="none"/>
        </w:rPr>
      </w:pPr>
      <w:r>
        <w:rPr>
          <w:rFonts w:eastAsia="宋体"/>
          <w:b/>
          <w:bCs/>
          <w:color w:val="auto"/>
          <w:sz w:val="24"/>
          <w:szCs w:val="24"/>
          <w:highlight w:val="none"/>
        </w:rPr>
      </w:r>
      <w:bookmarkEnd w:id="5"/>
      <w:r/>
      <w:bookmarkEnd w:id="6"/>
      <w:r/>
      <w:r/>
    </w:p>
    <w:p>
      <w:pPr>
        <w:pStyle w:val="1189"/>
        <w:ind w:firstLine="0"/>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二、项目建设内容</w:t>
      </w:r>
      <w:r/>
    </w:p>
    <w:p>
      <w:pPr>
        <w:pStyle w:val="1189"/>
        <w:ind w:firstLine="482"/>
        <w:spacing w:line="46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1、</w:t>
      </w:r>
      <w:r>
        <w:rPr>
          <w:rFonts w:asciiTheme="minorEastAsia" w:hAnsiTheme="minorEastAsia" w:eastAsiaTheme="minorEastAsia"/>
          <w:b/>
          <w:color w:val="auto"/>
          <w:highlight w:val="none"/>
        </w:rPr>
        <w:t xml:space="preserve">基于智能体的数字医生助手</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依托医疗智能体技术搭建全场景病历文书智能书写体系，实现门诊语音实时诊疗、住院规范化病历自动生成、床边</w:t>
      </w:r>
      <w:r>
        <w:rPr>
          <w:rFonts w:asciiTheme="minorEastAsia" w:hAnsiTheme="minorEastAsia" w:eastAsiaTheme="minorEastAsia"/>
          <w:color w:val="auto"/>
          <w:highlight w:val="none"/>
        </w:rPr>
        <w:t xml:space="preserve">移动查房记录快速编撰等功能落地。研发适配多系统、多终端的医疗行业专属智能输入引擎，内置海量医学专业术语、药品名词、疾病词条与临床常用短句，大幅提升医疗文字录入效率。搭建独立化病历质控与护理文书质控两大智能审核体系，建立形式审核、内涵审核、实时审核、终末审核全流程质控规则，形成闭环式医疗质量管控机制。开发线上智能会诊协同管理系统，实现会诊申请提交、专家智能匹配、会诊排班调度、全程消息提醒、会诊资料留存、诊疗质量评价全流程线上化运转。搭配功能齐全的医护个人智能办公助理，依托各类垂直医疗智能体赋能临床全业务场景。</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科室层面覆盖医院神经内科、心血管科、神经外科、肿瘤科、内分泌科等医院临床一线业务科室；工作场景覆盖医生日常接诊问诊、病房定时查房、多学科联合会诊、各类医疗文书撰写、院内日常行政办公等全工作场景；适配院内不同职称、不同岗位各级医护工作人员日常办公与临床诊疗使用需求。</w:t>
      </w:r>
      <w:r/>
    </w:p>
    <w:p>
      <w:pPr>
        <w:pStyle w:val="1189"/>
        <w:ind w:firstLine="482"/>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2、元宇宙智能推演场景拓展</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依托AI中台强大算力与技术底座，搭建轻量化可视化数据开发平台与智能体业务运行引擎，提供简易化在线开发操作界面，支持自动化业务任务编排、运行参数智能调试、系统运行故障自主诊断，快速搭建各类医疗数字化业务流程。聚焦医院运营管理核心业务，搭建医疗设备全生命周期管理专属智能推演模型。打造智慧手术室数字孪生镜像系统，实时对接术中各类监测设备数据，实现手术全过程运行数据低延迟同步展示。</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层面覆盖全院业务流程中产生相关数据资源，如设备运行数据，手术室相关数据等；管理业务层面全面覆盖医疗设备采购入库、日常运维、报废处置全生命周期管理，手术室日常运行管控、手术流程规范监管，院区空间布局规划、全院整体运营态势分析等医院综合运营管理全领域。</w:t>
      </w:r>
      <w:r/>
    </w:p>
    <w:p>
      <w:pPr>
        <w:pStyle w:val="1189"/>
        <w:ind w:firstLine="482"/>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3、基于 AI 中台全域健康管理升级</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深度依托AI中台底层技术能力，全面升级优化高血压、糖尿病、脑卒中、冠心病、肿瘤高发慢性疾病专属健康管理智能引擎，制定标准化、个性化专病全周期健康管理</w:t>
      </w:r>
      <w:r>
        <w:rPr>
          <w:rFonts w:asciiTheme="minorEastAsia" w:hAnsiTheme="minorEastAsia" w:eastAsiaTheme="minorEastAsia"/>
          <w:color w:val="auto"/>
          <w:highlight w:val="none"/>
        </w:rPr>
        <w:t xml:space="preserve">实施方案。全面迭代升级平台Agentic智能体整体架构体系，完善智能体各类实用技能架构，健全智能体安全运行防护机制，同步完成医疗机构管理端与居民个人健康服务端双向智能应用功能优化升级。推动健康管理服务模式迭代升级，从单一社区零散健康管理模式，全面升级拓展为区域一体化全域健康管理模式，搭建以医院为核心、社区卫生服务中心为支点的多级医防联动健康共管服务体系。充分借助医学大模型能力赋能基层家庭医生签约服务工作，整合辖区全体居民健康档案数据，建立完善居民健康积分激励管理机制，引导居民主动参与日常健康监测与健康养护。</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疗端覆盖医院慢病专科诊疗、出院患者康复指导、慢性病复诊随访等院内慢病相关业务；基层端全面下沉覆盖辖区所有社区卫生服务中心、基层卫生室以及全体家庭医生签约服务工作；服务人群辐射辖区内所有常住居民、慢病高危人群、确诊慢性病患者，贯穿群众从健康筛查、日常保健、疾病诊疗到术后康复全生命周期健康管理全过程。</w:t>
      </w:r>
      <w:r/>
    </w:p>
    <w:p>
      <w:pPr>
        <w:pStyle w:val="1189"/>
        <w:ind w:firstLine="482"/>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4、统一医学人工智能中心（AI 中台）升级</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全新搭建全院级一体化医学知识共享服务中心，构建院级总知识库+科室细分二级知识库双层知识架</w:t>
      </w:r>
      <w:r>
        <w:rPr>
          <w:rFonts w:asciiTheme="minorEastAsia" w:hAnsiTheme="minorEastAsia" w:eastAsiaTheme="minorEastAsia"/>
          <w:color w:val="auto"/>
          <w:highlight w:val="none"/>
        </w:rPr>
        <w:t xml:space="preserve">构，全面整合收录临床诊疗指南、疾病诊疗方案、护理操作规范、医学专业理论、行业政策文件等海量优质医学资源，配套搭建全站智能知识检索、AI智能知识答疑、医学内容智能创编、线上自主学习拓展等实用功能。全面升级优化多租户智能体应用运行平台，强化平台多机构、多科室独立部署使用能力，完善智能体应用开发门户，新增企业级高标准医疗数据安全防护模块，筑牢医疗信息安全防线。统一整合院内现有各类AI算力硬件设备，完成算力资源集中纳管、统筹分配与扩容升级，搭建算力资源运行实时监控与综合运营管理大屏，实现全院算力资源科学化调配使用。</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应用层面全面覆盖医院本部所有临床科室、行政职能科室，同时辐射联动太仓卫健相关合作单位及瑞金总院的各类医学人工智能智能化应用业务；技术支撑层面覆盖院内医学知识汇总梳理、医护人员线上学习培训、医疗AI模型训练优化、智能服务研发部署、全域智慧医疗业务运维保障等全链条技术支撑领域。</w:t>
      </w:r>
      <w:r/>
    </w:p>
    <w:p>
      <w:pPr>
        <w:pStyle w:val="1189"/>
        <w:ind w:firstLine="482"/>
        <w:spacing w:line="460" w:lineRule="exact"/>
        <w:rPr>
          <w:rFonts w:asciiTheme="minorEastAsia" w:hAnsiTheme="minorEastAsia" w:eastAsiaTheme="minorEastAsia"/>
          <w:b/>
          <w:color w:val="auto"/>
          <w:highlight w:val="none"/>
        </w:rPr>
      </w:pPr>
      <w:r/>
      <w:bookmarkStart w:id="7" w:name="_Toc232124848"/>
      <w:r/>
      <w:bookmarkStart w:id="8" w:name="_Toc1063402328"/>
      <w:r/>
      <w:bookmarkStart w:id="9" w:name="_Toc42"/>
      <w:r/>
      <w:bookmarkStart w:id="10" w:name="_Toc28523"/>
      <w:r/>
      <w:bookmarkStart w:id="11" w:name="_Toc9279"/>
      <w:r/>
      <w:bookmarkStart w:id="12" w:name="_Toc28818"/>
      <w:r/>
      <w:bookmarkStart w:id="13" w:name="_Toc1373730349"/>
      <w:r>
        <w:rPr>
          <w:rFonts w:hint="eastAsia" w:asciiTheme="minorEastAsia" w:hAnsiTheme="minorEastAsia" w:eastAsiaTheme="minorEastAsia"/>
          <w:b/>
          <w:color w:val="auto"/>
          <w:highlight w:val="none"/>
        </w:rPr>
        <w:t xml:space="preserve">5、</w:t>
      </w:r>
      <w:r>
        <w:rPr>
          <w:rFonts w:asciiTheme="minorEastAsia" w:hAnsiTheme="minorEastAsia" w:eastAsiaTheme="minorEastAsia"/>
          <w:b/>
          <w:color w:val="auto"/>
          <w:highlight w:val="none"/>
        </w:rPr>
        <w:t xml:space="preserve">太仓市娄江新城数智化项目整体架构</w:t>
      </w:r>
      <w:bookmarkEnd w:id="7"/>
      <w:r/>
      <w:bookmarkEnd w:id="8"/>
      <w:r/>
      <w:bookmarkEnd w:id="9"/>
      <w:r/>
      <w:bookmarkEnd w:id="10"/>
      <w:r/>
      <w:bookmarkEnd w:id="11"/>
      <w:r/>
      <w:bookmarkEnd w:id="12"/>
      <w:r/>
      <w:bookmarkEnd w:id="13"/>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全面构建“医教研管服”一体的数智化体系，支撑高质量发展与区域协同。</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spacing w:line="460" w:lineRule="exact"/>
        <w:rPr>
          <w:rFonts w:asciiTheme="minorEastAsia" w:hAnsiTheme="minorEastAsia" w:eastAsiaTheme="minorEastAsia"/>
          <w:color w:val="auto"/>
          <w:highlight w:val="none"/>
        </w:rPr>
        <w:sectPr>
          <w:footerReference w:type="default" r:id="rId10"/>
          <w:footnotePr/>
          <w:endnotePr/>
          <w:type w:val="nextPage"/>
          <w:pgSz w:w="11905" w:h="16840" w:orient="portrait"/>
          <w:pgMar w:top="1440" w:right="1800" w:bottom="1440" w:left="1800" w:header="720" w:footer="720" w:gutter="0"/>
          <w:cols w:num="1" w:sep="0" w:space="720" w:equalWidth="1"/>
          <w:docGrid w:linePitch="360"/>
        </w:sectPr>
      </w:pPr>
      <w:r>
        <w:rPr>
          <w:rFonts w:asciiTheme="minorEastAsia" w:hAnsiTheme="minorEastAsia" w:eastAsiaTheme="minorEastAsia"/>
          <w:color w:val="auto"/>
          <w:highlight w:val="none"/>
        </w:rPr>
      </w:r>
      <w:r/>
    </w:p>
    <w:p>
      <w:pPr>
        <w:pStyle w:val="1647"/>
        <w:numPr>
          <w:ilvl w:val="0"/>
          <w:numId w:val="0"/>
        </w:numPr>
        <w:ind w:left="709"/>
        <w:spacing w:before="120" w:after="120" w:line="288" w:lineRule="auto"/>
        <w:widowControl/>
        <w:rPr>
          <w:rFonts w:hint="default"/>
          <w:color w:val="auto"/>
          <w:highlight w:val="none"/>
        </w:rPr>
      </w:pPr>
      <w:r/>
      <w:bookmarkStart w:id="14" w:name="_Toc689286746"/>
      <w:r/>
      <w:bookmarkStart w:id="15" w:name="_Toc1948"/>
      <w:r/>
      <w:bookmarkStart w:id="16" w:name="_Toc232124849"/>
      <w:r/>
      <w:bookmarkStart w:id="17" w:name="_Toc15805"/>
      <w:r/>
      <w:bookmarkStart w:id="18" w:name="_Toc1244016362"/>
      <w:r/>
      <w:bookmarkStart w:id="19" w:name="_Toc1427"/>
      <w:r/>
      <w:bookmarkStart w:id="20" w:name="_Toc25147"/>
      <w:r>
        <w:rPr>
          <w:color w:val="auto"/>
          <w:highlight w:val="none"/>
        </w:rPr>
        <w:t xml:space="preserve">总体架构</w:t>
      </w:r>
      <w:bookmarkEnd w:id="14"/>
      <w:r/>
      <w:bookmarkEnd w:id="15"/>
      <w:r/>
      <w:bookmarkEnd w:id="16"/>
      <w:r/>
      <w:bookmarkEnd w:id="17"/>
      <w:r/>
      <w:bookmarkEnd w:id="18"/>
      <w:r/>
      <w:bookmarkEnd w:id="19"/>
      <w:r/>
      <w:bookmarkEnd w:id="20"/>
      <w:r>
        <w:rPr>
          <w:color w:val="auto"/>
          <w:highlight w:val="none"/>
        </w:rPr>
        <w:t xml:space="preserve">（合并一期、二期）</w:t>
      </w:r>
      <w:r/>
    </w:p>
    <w:p>
      <w:pPr>
        <w:pStyle w:val="1647"/>
        <w:numPr>
          <w:ilvl w:val="0"/>
          <w:numId w:val="0"/>
        </w:numPr>
        <w:ind w:left="709"/>
        <w:spacing w:before="120" w:after="120" w:line="288" w:lineRule="auto"/>
        <w:widowControl/>
        <w:rPr>
          <w:rFonts w:hint="default"/>
          <w:color w:val="auto"/>
          <w:highlight w:val="none"/>
        </w:rPr>
      </w:pPr>
      <w:r>
        <w:rPr>
          <w:color w:val="auto"/>
          <w:highlight w:val="none"/>
        </w:rPr>
        <mc:AlternateContent>
          <mc:Choice Requires="wpg">
            <w:drawing>
              <wp:inline xmlns:wp="http://schemas.openxmlformats.org/drawingml/2006/wordprocessingDrawing" distT="0" distB="0" distL="0" distR="0">
                <wp:extent cx="8864600" cy="446532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8864600" cy="446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8.0pt;height:351.6pt;mso-wrap-distance-left:0.0pt;mso-wrap-distance-top:0.0pt;mso-wrap-distance-right:0.0pt;mso-wrap-distance-bottom:0.0pt;" stroked="f">
                <v:path textboxrect="0,0,0,0"/>
                <v:imagedata r:id="rId16" o:title=""/>
              </v:shape>
            </w:pict>
          </mc:Fallback>
        </mc:AlternateContent>
      </w:r>
      <w:r/>
    </w:p>
    <w:p>
      <w:pPr>
        <w:pStyle w:val="1647"/>
        <w:numPr>
          <w:ilvl w:val="0"/>
          <w:numId w:val="0"/>
        </w:numPr>
        <w:ind w:left="709"/>
        <w:spacing w:before="120" w:after="120" w:line="288" w:lineRule="auto"/>
        <w:widowControl/>
        <w:rPr>
          <w:rFonts w:hint="default"/>
          <w:color w:val="auto"/>
          <w:highlight w:val="none"/>
        </w:rPr>
      </w:pPr>
      <w:r>
        <w:rPr>
          <w:rFonts w:hint="default"/>
          <w:color w:val="auto"/>
          <w:highlight w:val="none"/>
        </w:rPr>
      </w:r>
      <w:r/>
    </w:p>
    <w:p>
      <w:pPr>
        <w:pStyle w:val="1647"/>
        <w:numPr>
          <w:ilvl w:val="0"/>
          <w:numId w:val="0"/>
        </w:numPr>
        <w:ind w:left="709"/>
        <w:spacing w:before="120" w:after="120" w:line="288" w:lineRule="auto"/>
        <w:widowControl/>
        <w:rPr>
          <w:rFonts w:hint="default"/>
          <w:color w:val="auto"/>
          <w:highlight w:val="none"/>
        </w:rPr>
        <w:sectPr>
          <w:footerReference w:type="default" r:id="rId11"/>
          <w:footnotePr/>
          <w:endnotePr/>
          <w:type w:val="nextPage"/>
          <w:pgSz w:w="16838" w:h="11906" w:orient="landscape"/>
          <w:pgMar w:top="1474" w:right="1134" w:bottom="1610" w:left="1134" w:header="851" w:footer="765" w:gutter="0"/>
          <w:cols w:num="1" w:sep="0" w:space="720" w:equalWidth="1"/>
          <w:docGrid w:linePitch="360"/>
        </w:sectPr>
      </w:pPr>
      <w:r>
        <w:rPr>
          <w:rFonts w:hint="default"/>
          <w:color w:val="auto"/>
          <w:highlight w:val="none"/>
        </w:rPr>
      </w:r>
      <w:r/>
    </w:p>
    <w:p>
      <w:pPr>
        <w:pStyle w:val="1647"/>
        <w:numPr>
          <w:ilvl w:val="0"/>
          <w:numId w:val="0"/>
        </w:numPr>
        <w:ind w:left="709"/>
        <w:spacing w:before="120" w:after="120" w:line="288" w:lineRule="auto"/>
        <w:widowControl/>
        <w:rPr>
          <w:rFonts w:hint="default"/>
          <w:color w:val="auto"/>
          <w:highlight w:val="none"/>
        </w:rPr>
      </w:pPr>
      <w:r>
        <w:rPr>
          <w:rFonts w:hint="default"/>
          <w:color w:val="auto"/>
          <w:highlight w:val="none"/>
        </w:rPr>
      </w:r>
      <w:r/>
    </w:p>
    <w:p>
      <w:pPr>
        <w:pStyle w:val="1646"/>
        <w:ind w:firstLine="480"/>
        <w:rPr>
          <w:rFonts w:hint="default" w:eastAsia="宋体"/>
          <w:color w:val="auto"/>
          <w:sz w:val="24"/>
          <w:szCs w:val="24"/>
          <w:highlight w:val="none"/>
        </w:rPr>
      </w:pPr>
      <w:r>
        <w:rPr>
          <w:rFonts w:eastAsia="宋体"/>
          <w:color w:val="auto"/>
          <w:sz w:val="24"/>
          <w:szCs w:val="24"/>
          <w:highlight w:val="none"/>
        </w:rPr>
        <w:t xml:space="preserve">上图为项目总体架构示意图：分为多端入口、业务应用、集成平台与业务系统、统一人工智能平台、基础设施五大核心层级，并配套全流程保障体系。项目总体分为一期（目前建设中）、二期分步实施，全面支撑临床诊疗、居民健康、医院运营、医共体协同及元宇宙智慧医疗创新应用，形成完整的数智化医院技术与服务体系。</w:t>
      </w:r>
      <w:r/>
    </w:p>
    <w:p>
      <w:pPr>
        <w:pStyle w:val="1646"/>
        <w:ind w:firstLine="480"/>
        <w:rPr>
          <w:rFonts w:hint="default" w:eastAsia="宋体"/>
          <w:color w:val="auto"/>
          <w:sz w:val="24"/>
          <w:szCs w:val="24"/>
          <w:highlight w:val="none"/>
        </w:rPr>
      </w:pPr>
      <w:r>
        <w:rPr>
          <w:rFonts w:eastAsia="宋体"/>
          <w:color w:val="auto"/>
          <w:sz w:val="24"/>
          <w:szCs w:val="24"/>
          <w:highlight w:val="none"/>
        </w:rPr>
        <w:t xml:space="preserve">基础设施层：作为整个数智化架构的底层支撑，主要建设内容包括算力资源、网络服务、存储服务、信息安全保障、智能运维、资源编排与安全管控，同时配套瑞金医院太仓机房、IDC 机房、专线、机柜及接入交换机等硬件环境；一期已完成核心底座搭建，保障数据计算、传输与存储稳定运行，二期新增7台算力资源，对人工智能算力进行提升，新增算力服务器将私有化部署在瑞金医院太仓分院IDC机房。</w:t>
      </w:r>
      <w:r/>
    </w:p>
    <w:p>
      <w:pPr>
        <w:pStyle w:val="1646"/>
        <w:ind w:firstLine="480"/>
        <w:rPr>
          <w:rFonts w:hint="default" w:eastAsia="宋体"/>
          <w:color w:val="auto"/>
          <w:sz w:val="24"/>
          <w:szCs w:val="24"/>
          <w:highlight w:val="none"/>
        </w:rPr>
      </w:pPr>
      <w:r>
        <w:rPr>
          <w:rFonts w:eastAsia="宋体"/>
          <w:color w:val="auto"/>
          <w:sz w:val="24"/>
          <w:szCs w:val="24"/>
          <w:highlight w:val="none"/>
        </w:rPr>
        <w:t xml:space="preserve">统一人工智能平台层：是数智化建设的核心能力基座，统一医学人工智能中心将由一期建设的统一元宇宙推演数据平台、医疗大数据平台，及本次进行能力与容量升级的统一医学大模型平台、统一智能体应用平台，和本次二期项目新建的医学知识共享中心、智能眼镜终端管理平台共同组成，将具备多模态大数据处理治理、各类模型适配与精调、反馈强化学习、数据建模开发、异构数据集成、孪生空间仿真推演、智能体构建应用、知识共享、智能终端管理、多租户等全栈关键能力，是数智化建设项目二期建设的核心内容；</w:t>
      </w:r>
      <w:r/>
    </w:p>
    <w:p>
      <w:pPr>
        <w:pStyle w:val="1646"/>
        <w:ind w:firstLine="480"/>
        <w:rPr>
          <w:rFonts w:hint="default" w:eastAsia="宋体"/>
          <w:color w:val="auto"/>
          <w:sz w:val="24"/>
          <w:szCs w:val="24"/>
          <w:highlight w:val="none"/>
        </w:rPr>
      </w:pPr>
      <w:r>
        <w:rPr>
          <w:rFonts w:eastAsia="宋体"/>
          <w:color w:val="auto"/>
          <w:sz w:val="24"/>
          <w:szCs w:val="24"/>
          <w:highlight w:val="none"/>
        </w:rPr>
        <w:t xml:space="preserve">业务应用层面：向居民、医护人员、医共体、运营管理者及瑞金总院五大服务对象，提供全场景智慧医疗应用服务：</w:t>
      </w:r>
      <w:r/>
    </w:p>
    <w:p>
      <w:pPr>
        <w:pStyle w:val="1646"/>
        <w:ind w:firstLine="480"/>
        <w:rPr>
          <w:rFonts w:hint="default" w:eastAsia="宋体"/>
          <w:color w:val="auto"/>
          <w:sz w:val="24"/>
          <w:szCs w:val="24"/>
          <w:highlight w:val="none"/>
        </w:rPr>
      </w:pPr>
      <w:r>
        <w:rPr>
          <w:rFonts w:eastAsia="宋体"/>
          <w:color w:val="auto"/>
          <w:sz w:val="24"/>
          <w:szCs w:val="24"/>
          <w:highlight w:val="none"/>
        </w:rPr>
        <w:t xml:space="preserve">通过多端入口（包括AI智能眼镜及app）面向医共体覆盖区域的居民提供健康管理小程序、个性化健康智能体、智能导诊、预问诊、问药及用药指导、全域健康管理、慢病管理一系列基于AI智能辅助的患者服务内容；</w:t>
      </w:r>
      <w:r/>
    </w:p>
    <w:p>
      <w:pPr>
        <w:pStyle w:val="1646"/>
        <w:ind w:firstLine="480"/>
        <w:rPr>
          <w:rFonts w:hint="default" w:eastAsia="宋体"/>
          <w:color w:val="auto"/>
          <w:sz w:val="24"/>
          <w:szCs w:val="24"/>
          <w:highlight w:val="none"/>
        </w:rPr>
      </w:pPr>
      <w:r>
        <w:rPr>
          <w:rFonts w:eastAsia="宋体"/>
          <w:color w:val="auto"/>
          <w:sz w:val="24"/>
          <w:szCs w:val="24"/>
          <w:highlight w:val="none"/>
        </w:rPr>
        <w:t xml:space="preserve">面向医护提供病历辅助生成、病历智能质控。</w:t>
      </w:r>
      <w:r/>
    </w:p>
    <w:p>
      <w:pPr>
        <w:rPr>
          <w:color w:val="auto"/>
          <w:sz w:val="24"/>
          <w:szCs w:val="24"/>
          <w:highlight w:val="none"/>
        </w:rPr>
      </w:pPr>
      <w:r>
        <w:rPr>
          <w:rFonts w:hint="eastAsia"/>
          <w:color w:val="auto"/>
          <w:sz w:val="24"/>
          <w:szCs w:val="24"/>
          <w:highlight w:val="none"/>
        </w:rPr>
        <w:br w:type="page" w:clear="all"/>
      </w:r>
      <w:r/>
    </w:p>
    <w:p>
      <w:pPr>
        <w:pStyle w:val="1189"/>
        <w:ind w:firstLine="0"/>
        <w:spacing w:line="40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四</w:t>
      </w:r>
      <w:r>
        <w:rPr>
          <w:rFonts w:hint="eastAsia" w:asciiTheme="minorEastAsia" w:hAnsiTheme="minorEastAsia" w:eastAsiaTheme="minorEastAsia"/>
          <w:b/>
          <w:color w:val="auto"/>
          <w:highlight w:val="none"/>
        </w:rPr>
        <w:t xml:space="preserve">、太仓市娄江新城医院数智化建设项目(二期)-AI能力及智能体建设</w:t>
      </w:r>
      <w:r/>
    </w:p>
    <w:p>
      <w:pPr>
        <w:pStyle w:val="1189"/>
        <w:ind w:firstLine="482"/>
        <w:spacing w:line="40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（一）需求功能模块清单</w:t>
      </w:r>
      <w:r/>
    </w:p>
    <w:tbl>
      <w:tblPr>
        <w:tblStyle w:val="985"/>
        <w:tblW w:w="8363" w:type="dxa"/>
        <w:tblInd w:w="279" w:type="dxa"/>
        <w:tblLayout w:type="autofit"/>
        <w:tblCellMar>
          <w:left w:w="108" w:type="dxa"/>
          <w:top w:w="0" w:type="dxa"/>
          <w:right w:w="108" w:type="dxa"/>
          <w:bottom w:w="0" w:type="dxa"/>
        </w:tblCellMar>
        <w:tblLook w:val="04A0" w:firstRow="1" w:lastRow="0" w:firstColumn="1" w:lastColumn="0" w:noHBand="0" w:noVBand="1"/>
      </w:tblPr>
      <w:tblGrid>
        <w:gridCol w:w="457"/>
        <w:gridCol w:w="1669"/>
        <w:gridCol w:w="2764"/>
        <w:gridCol w:w="3473"/>
      </w:tblGrid>
      <w:tr>
        <w:trPr>
          <w:trHeight w:val="467"/>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jc w:val="center"/>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需求分类</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子系统</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vMerge w:val="restart"/>
            <w:textDirection w:val="lrTb"/>
            <w:noWrap w:val="false"/>
          </w:tcPr>
          <w:p>
            <w:pPr>
              <w:jc w:val="center"/>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需求功能模块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基于智能体的数字医生助手</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病历文书书写助手</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门诊语音诊疗及病历生成</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住院病历自动生成</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移动查房记录自动生成</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医学输入引擎及智能体助手</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操作系统兼容性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基础输入能力</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医疗行业专业输入能力</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医疗病历助手</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辅助输入能力</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智能体调度中枢</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运维管理与安全</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医学病历质控助手</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质控规则引擎建设需求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形式质控能力需求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内涵质控能力需求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终末质控能力需求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数据分析与持续改进需求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护理病历质控助手</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护理评估文书质控需求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护理记录单质控需求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护理计划与措施质控需求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专项护理质控需求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护理质控工作流需求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护理质量指标与数据分析需求</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会诊智能管理助手</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患者数据智能汇集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患者病情智能摘要生成</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会诊议题智能提炼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会诊实时语音转写</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vMerge w:val="restart"/>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关键信息实时标注</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vMerge w:val="continue"/>
            <w:textDirection w:val="lrTb"/>
            <w:noWrap w:val="false"/>
          </w:tcPr>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结构化会诊记录自动生成</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多版本会诊报告输出</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元宇宙智能推演场景拓展</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多源异构数据集成</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数据开发及智能体引擎</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医院资产管理场景智能推演</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医院智慧手术排程智能推演</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智能手术排程引擎</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多场景推演模拟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复盘分析</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数字手术室镜像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医院资产元宇宙孪生空间</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数字感知空间搭建中心</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空间拓扑数据呈现服务多维交互样式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空间建模三维渲染支撑</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基于 AI 中台全域健康管理升级</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全周期健康管理专病智能体</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专病管理通用模块打造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多端协同支持</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平台 Agentic 能力及功能升级</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Agentic 自主式统一智能体引擎</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Skill 技能架构</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智能体安全机制设计</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平台机构端 - 智能专病能力升级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患者端 - 智能能力升级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全周期健康管理升级（单点社区 - 区域型社区）</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医院 - 社区多级共管</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AI大模型工具提升家庭医生工作效率</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全周期居民画像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统一医学人工智能中心（AI 中台）升级</w:t>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新建医学知识共享中心</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院内知识采集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院内知识处理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院内知识管理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院内知识应用</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系统管理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升级智能体应用平台（共享医共体及总院）</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多租户能力升级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智能体应用开发门户升级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企业级安全保障升级模块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机器学习平台扩容</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算力资源纳管</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模型统一管理升级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训练工坊升级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数据中心升级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模型服务升级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平台监控与运营大盘升级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9" w:type="dxa"/>
            <w:vAlign w:val="center"/>
            <w:vMerge w:val="continue"/>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新建OCR模型</w:t>
            </w:r>
            <w:r/>
          </w:p>
        </w:tc>
        <w:tc>
          <w:tcPr>
            <w:shd w:val="clear" w:color="auto" w:fill="auto"/>
            <w:tcBorders>
              <w:top w:val="single" w:color="000000" w:sz="4" w:space="0"/>
              <w:left w:val="single" w:color="000000" w:sz="4" w:space="0"/>
              <w:bottom w:val="single" w:color="000000" w:sz="4" w:space="0"/>
              <w:right w:val="single" w:color="000000" w:sz="4" w:space="0"/>
            </w:tcBorders>
            <w:tcW w:w="347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新建OCR模型</w:t>
            </w:r>
            <w:r/>
          </w:p>
        </w:tc>
      </w:tr>
    </w:tbl>
    <w:p>
      <w:pPr>
        <w:pStyle w:val="1189"/>
        <w:ind w:firstLine="482"/>
        <w:spacing w:line="40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0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（二）需求功能模块技术参数及要求</w:t>
      </w:r>
      <w:r/>
    </w:p>
    <w:p>
      <w:pPr>
        <w:pStyle w:val="1189"/>
        <w:ind w:firstLine="482"/>
        <w:spacing w:line="440" w:lineRule="exact"/>
        <w:rPr>
          <w:rFonts w:asciiTheme="minorEastAsia" w:hAnsiTheme="minorEastAsia" w:eastAsiaTheme="minorEastAsia"/>
          <w:b/>
          <w:color w:val="auto"/>
          <w:highlight w:val="none"/>
        </w:rPr>
      </w:pPr>
      <w:r/>
      <w:bookmarkStart w:id="21" w:name="OLE_LINK1"/>
      <w:r>
        <w:rPr>
          <w:rFonts w:hint="eastAsia" w:asciiTheme="minorEastAsia" w:hAnsiTheme="minorEastAsia" w:eastAsiaTheme="minorEastAsia"/>
          <w:b/>
          <w:color w:val="auto"/>
          <w:highlight w:val="none"/>
        </w:rPr>
        <w:t xml:space="preserve">1、</w:t>
      </w:r>
      <w:r>
        <w:rPr>
          <w:rFonts w:asciiTheme="minorEastAsia" w:hAnsiTheme="minorEastAsia" w:eastAsiaTheme="minorEastAsia"/>
          <w:b/>
          <w:color w:val="auto"/>
          <w:highlight w:val="none"/>
        </w:rPr>
        <w:t xml:space="preserve">基于智能体的数字医生助手</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延续瑞金医院太仓分院智慧医院一期建设成果，在医院统一人工智能中心之上，以智能体开发平台为核心引擎，深化“人工智能+医疗”的融合应用，以PC端、移动端、AI眼镜端为多通道入口，从数据层、平台层到应用层整合贯通医院HIS、EMR、LIS、PACS、体检、护理及互联网医院等核心业务系统，打造统一、开放、可扩展的AI数字医生</w:t>
      </w:r>
      <w:r>
        <w:rPr>
          <w:rFonts w:hint="eastAsia" w:asciiTheme="minorEastAsia" w:hAnsiTheme="minorEastAsia" w:eastAsiaTheme="minorEastAsia"/>
          <w:color w:val="auto"/>
          <w:highlight w:val="none"/>
        </w:rPr>
        <w:t xml:space="preserve">助手</w:t>
      </w:r>
      <w:r>
        <w:rPr>
          <w:rFonts w:asciiTheme="minorEastAsia" w:hAnsiTheme="minorEastAsia" w:eastAsiaTheme="minorEastAsia"/>
          <w:color w:val="auto"/>
          <w:highlight w:val="none"/>
        </w:rPr>
        <w:t xml:space="preserve">。</w:t>
      </w:r>
      <w:r/>
    </w:p>
    <w:p>
      <w:pPr>
        <w:pStyle w:val="1189"/>
        <w:ind w:firstLine="482"/>
        <w:spacing w:line="440" w:lineRule="exact"/>
        <w:rPr>
          <w:rFonts w:asciiTheme="minorEastAsia" w:hAnsiTheme="minorEastAsia" w:eastAsiaTheme="minorEastAsia"/>
          <w:b/>
          <w:color w:val="auto"/>
          <w:highlight w:val="none"/>
        </w:rPr>
      </w:pPr>
      <w:r/>
      <w:bookmarkStart w:id="22" w:name="_Hlk233656509"/>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1</w:t>
      </w:r>
      <w:r>
        <w:rPr>
          <w:rFonts w:asciiTheme="minorEastAsia" w:hAnsiTheme="minorEastAsia" w:eastAsiaTheme="minorEastAsia"/>
          <w:b/>
          <w:color w:val="auto"/>
          <w:highlight w:val="none"/>
        </w:rPr>
        <w:t xml:space="preserve">）病历文书书写助手</w:t>
      </w:r>
      <w:r/>
    </w:p>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a</w:t>
      </w:r>
      <w:r>
        <w:rPr>
          <w:rFonts w:asciiTheme="minorEastAsia" w:hAnsiTheme="minorEastAsia" w:eastAsiaTheme="minorEastAsia"/>
          <w:b/>
          <w:color w:val="auto"/>
          <w:highlight w:val="none"/>
        </w:rPr>
        <w:t xml:space="preserve">、门诊语音诊疗及病历生成</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系统应至少包含深度融合语音识别、大语言模型、自然语言处理与医疗知识图谱，通过实时解析医患对话内容，自动生成结构化电子病历并同步至医生工作站。</w:t>
      </w:r>
      <w:r/>
    </w:p>
    <w:tbl>
      <w:tblPr>
        <w:tblStyle w:val="985"/>
        <w:tblW w:w="4746" w:type="pct"/>
        <w:tblInd w:w="279" w:type="dxa"/>
        <w:tblLayout w:type="autofit"/>
        <w:tblCellMar>
          <w:left w:w="108" w:type="dxa"/>
          <w:top w:w="0" w:type="dxa"/>
          <w:right w:w="108" w:type="dxa"/>
          <w:bottom w:w="0" w:type="dxa"/>
        </w:tblCellMar>
        <w:tblLook w:val="04A0" w:firstRow="1" w:lastRow="0" w:firstColumn="1" w:lastColumn="0" w:noHBand="0" w:noVBand="1"/>
      </w:tblPr>
      <w:tblGrid>
        <w:gridCol w:w="884"/>
        <w:gridCol w:w="2507"/>
        <w:gridCol w:w="5188"/>
      </w:tblGrid>
      <w:tr>
        <w:trPr>
          <w:tblHeader/>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189"/>
              <w:ind w:firstLine="0"/>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61" w:type="pct"/>
            <w:vAlign w:val="center"/>
            <w:textDirection w:val="lrTb"/>
            <w:noWrap w:val="false"/>
          </w:tcPr>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需求功能分类</w:t>
            </w:r>
            <w:r/>
          </w:p>
        </w:tc>
        <w:tc>
          <w:tcPr>
            <w:tcBorders>
              <w:top w:val="single" w:color="000000" w:sz="4" w:space="0"/>
              <w:left w:val="none" w:color="000000" w:sz="4" w:space="0"/>
              <w:bottom w:val="single" w:color="000000" w:sz="4" w:space="0"/>
              <w:right w:val="single" w:color="000000" w:sz="4" w:space="0"/>
            </w:tcBorders>
            <w:tcW w:w="3023" w:type="pct"/>
            <w:vAlign w:val="center"/>
            <w:textDirection w:val="lrTb"/>
            <w:noWrap w:val="false"/>
          </w:tcPr>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需求功能描述</w:t>
            </w:r>
            <w:r/>
          </w:p>
        </w:tc>
      </w:tr>
      <w:tr>
        <w:trPr/>
        <w:tc>
          <w:tcPr>
            <w:tcBorders>
              <w:top w:val="none" w:color="000000" w:sz="4" w:space="0"/>
              <w:left w:val="single" w:color="000000" w:sz="4" w:space="0"/>
              <w:bottom w:val="single" w:color="000000" w:sz="4" w:space="0"/>
              <w:right w:val="single" w:color="000000" w:sz="4" w:space="0"/>
            </w:tcBorders>
            <w:tcW w:w="515"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tc>
        <w:tc>
          <w:tcPr>
            <w:tcBorders>
              <w:top w:val="none" w:color="000000" w:sz="4" w:space="0"/>
              <w:left w:val="none" w:color="000000" w:sz="4" w:space="0"/>
              <w:bottom w:val="single" w:color="000000" w:sz="4" w:space="0"/>
              <w:right w:val="single" w:color="000000" w:sz="4" w:space="0"/>
            </w:tcBorders>
            <w:tcW w:w="146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实时语音转写</w:t>
            </w:r>
            <w:r/>
          </w:p>
        </w:tc>
        <w:tc>
          <w:tcPr>
            <w:tcBorders>
              <w:top w:val="none" w:color="000000" w:sz="4" w:space="0"/>
              <w:left w:val="none" w:color="000000" w:sz="4" w:space="0"/>
              <w:bottom w:val="single" w:color="000000" w:sz="4" w:space="0"/>
              <w:right w:val="single" w:color="000000" w:sz="4" w:space="0"/>
            </w:tcBorders>
            <w:tcW w:w="3023"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应支持实时录音并自动转写医患对话文本；医生问诊过程中，系统支持实时进行语音转换成为文本，记录对话过程、录音时长。 结构化电子病历自动生成 应支持根据医患对话，自动生成规范的电子门诊病历，至少包含患者基本信息、主诉、现病史、既往史、个人史、过敏史、家族史。</w:t>
            </w:r>
            <w:r/>
          </w:p>
        </w:tc>
      </w:tr>
      <w:tr>
        <w:trPr/>
        <w:tc>
          <w:tcPr>
            <w:tcBorders>
              <w:top w:val="none" w:color="000000" w:sz="4" w:space="0"/>
              <w:left w:val="single" w:color="000000" w:sz="4" w:space="0"/>
              <w:bottom w:val="single" w:color="000000" w:sz="4" w:space="0"/>
              <w:right w:val="single" w:color="000000" w:sz="4" w:space="0"/>
            </w:tcBorders>
            <w:tcW w:w="515"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p>
        </w:tc>
        <w:tc>
          <w:tcPr>
            <w:tcBorders>
              <w:top w:val="none" w:color="000000" w:sz="4" w:space="0"/>
              <w:left w:val="none" w:color="000000" w:sz="4" w:space="0"/>
              <w:bottom w:val="single" w:color="000000" w:sz="4" w:space="0"/>
              <w:right w:val="single" w:color="000000" w:sz="4" w:space="0"/>
            </w:tcBorders>
            <w:tcW w:w="146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病历一键同步与编辑</w:t>
            </w:r>
            <w:r/>
          </w:p>
        </w:tc>
        <w:tc>
          <w:tcPr>
            <w:tcBorders>
              <w:top w:val="none" w:color="000000" w:sz="4" w:space="0"/>
              <w:left w:val="none" w:color="000000" w:sz="4" w:space="0"/>
              <w:bottom w:val="single" w:color="000000" w:sz="4" w:space="0"/>
              <w:right w:val="single" w:color="000000" w:sz="4" w:space="0"/>
            </w:tcBorders>
            <w:tcW w:w="3023"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系统应病历初稿支持医生修改，医生确认无误后，将规范的电子病历一键同步到医生端。</w:t>
            </w:r>
            <w:r/>
          </w:p>
        </w:tc>
      </w:tr>
      <w:tr>
        <w:trPr/>
        <w:tc>
          <w:tcPr>
            <w:tcBorders>
              <w:top w:val="none" w:color="000000" w:sz="4" w:space="0"/>
              <w:left w:val="single" w:color="000000" w:sz="4" w:space="0"/>
              <w:bottom w:val="single" w:color="000000" w:sz="4" w:space="0"/>
              <w:right w:val="single" w:color="000000" w:sz="4" w:space="0"/>
            </w:tcBorders>
            <w:tcW w:w="515"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p>
        </w:tc>
        <w:tc>
          <w:tcPr>
            <w:tcBorders>
              <w:top w:val="none" w:color="000000" w:sz="4" w:space="0"/>
              <w:left w:val="none" w:color="000000" w:sz="4" w:space="0"/>
              <w:bottom w:val="single" w:color="000000" w:sz="4" w:space="0"/>
              <w:right w:val="single" w:color="000000" w:sz="4" w:space="0"/>
            </w:tcBorders>
            <w:tcW w:w="146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门诊系统对接与患者队列管理</w:t>
            </w:r>
            <w:r/>
          </w:p>
        </w:tc>
        <w:tc>
          <w:tcPr>
            <w:tcBorders>
              <w:top w:val="none" w:color="000000" w:sz="4" w:space="0"/>
              <w:left w:val="none" w:color="000000" w:sz="4" w:space="0"/>
              <w:bottom w:val="single" w:color="000000" w:sz="4" w:space="0"/>
              <w:right w:val="single" w:color="000000" w:sz="4" w:space="0"/>
            </w:tcBorders>
            <w:tcW w:w="3023"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应支持与医院门诊系统（HIS/EMR）对接，实时拉取待诊患者队列。 支持智能切换患者，完成当前病历后，自动跳转至下一患者信息。 系统应支持与医院的信息系统对接，通过接口自动获取姓名、性别、年龄、科室、病案号等信息，自动处理并呈现在病历报告模版上。</w:t>
            </w:r>
            <w:r/>
          </w:p>
        </w:tc>
      </w:tr>
      <w:tr>
        <w:trPr/>
        <w:tc>
          <w:tcPr>
            <w:tcBorders>
              <w:top w:val="none" w:color="000000" w:sz="4" w:space="0"/>
              <w:left w:val="single" w:color="000000" w:sz="4" w:space="0"/>
              <w:bottom w:val="single" w:color="000000" w:sz="4" w:space="0"/>
              <w:right w:val="single" w:color="000000" w:sz="4" w:space="0"/>
            </w:tcBorders>
            <w:tcW w:w="515"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p>
        </w:tc>
        <w:tc>
          <w:tcPr>
            <w:tcBorders>
              <w:top w:val="none" w:color="000000" w:sz="4" w:space="0"/>
              <w:left w:val="none" w:color="000000" w:sz="4" w:space="0"/>
              <w:bottom w:val="single" w:color="000000" w:sz="4" w:space="0"/>
              <w:right w:val="single" w:color="000000" w:sz="4" w:space="0"/>
            </w:tcBorders>
            <w:tcW w:w="146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问诊回溯</w:t>
            </w:r>
            <w:r/>
          </w:p>
        </w:tc>
        <w:tc>
          <w:tcPr>
            <w:tcBorders>
              <w:top w:val="none" w:color="000000" w:sz="4" w:space="0"/>
              <w:left w:val="none" w:color="000000" w:sz="4" w:space="0"/>
              <w:bottom w:val="single" w:color="000000" w:sz="4" w:space="0"/>
              <w:right w:val="single" w:color="000000" w:sz="4" w:space="0"/>
            </w:tcBorders>
            <w:tcW w:w="3023"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应支持对话回放，点击“回放”按钮可重听录音片段，核对关键信息。 系统应支持医生查看患者问诊过程的完整对话情况，展示医生与患者的回答内容，方便医生查阅校验。</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b、住院病历自动生成</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应结合患者病情、治疗过程和药物使用情况等数据，利用医疗大模型自动生成详细、准确的住院病历</w:t>
      </w:r>
      <w:r>
        <w:rPr>
          <w:rFonts w:hint="eastAsia" w:asciiTheme="minorEastAsia" w:hAnsiTheme="minorEastAsia" w:eastAsiaTheme="minorEastAsia"/>
          <w:color w:val="auto"/>
          <w:highlight w:val="none"/>
        </w:rPr>
        <w:t xml:space="preserve">。</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2537"/>
        <w:gridCol w:w="4941"/>
      </w:tblGrid>
      <w:tr>
        <w:trPr>
          <w:tblHeader/>
        </w:trPr>
        <w:tc>
          <w:tcPr>
            <w:tcW w:w="885" w:type="dxa"/>
            <w:vAlign w:val="center"/>
            <w:textDirection w:val="lrTb"/>
            <w:noWrap w:val="false"/>
          </w:tcPr>
          <w:p>
            <w:pPr>
              <w:pStyle w:val="1189"/>
              <w:ind w:firstLine="0"/>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537"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4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输血记录自动生成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系统应输血记录自动生成任务旨在自动生成输血记录。 通过综合患者在急诊或院内留观时收集的信息，包括电子健康档案中的结构化数据，从院内的血常规检查中分析提取出需要输血的指标等，从而形成完整的输血记录。</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入院记录自动生成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入院记录自动生成任务</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通过综合患者入院信息、病程信息、诊断信息、检验检查报告等多维数据，自动生成标准化、精准的入院记录。 目标是减少医生书写记录的时间，提高临床效率，并在与现有电子病历系统实现对接的基础上，优化医疗工作流。</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24H入出院记录自动生成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24H入出院记录自动生成任务旨在利用医疗大模型整合患者的基本信息、诊断情况、治疗方案等，自动生成患者的入院/出院记录，通过与电子病历系统的对接，实现快速生成符合医用规范的文本病历，提升文书效率并减轻医务工作者负担。</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首次病程记录自动生成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通过综合院内患者信息，利用医疗大模型提供高效、准确的首次病程记录自动生成能力。 生成结果覆盖患者基本信息、病史、初步诊断、诊断依据、鉴别诊断以及诊疗计划，且支持对接现有电子病历系统，优化医生日常记录工作，提升医疗效率和患者服务体验。</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▲日常病程记录自动生成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w:t>
            </w:r>
            <w:r>
              <w:rPr>
                <w:rFonts w:hint="eastAsia" w:asciiTheme="minorEastAsia" w:hAnsiTheme="minorEastAsia" w:eastAsiaTheme="minorEastAsia"/>
                <w:color w:val="auto"/>
                <w:highlight w:val="none"/>
              </w:rPr>
              <w:t xml:space="preserve">支持基于患者信息、入院记录、病程记录、诊断记录、检验检查报告、用药记录等，输入到病历撰写模型，依次进行前处理（包括：病历数据结构化、病历数据筛选、知识图谱增强等）、医疗大模型（包括：实体抽取、概括总结等）、后处理（包括：信息整合、病历格式规范化等）操作，最终生成日常病程记录。</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上级医生查房记录自动生成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 通过综合处理患者的入院病历记录、所有阶段的病程记录和诊断记录，利用医疗大模型实现上级医生查房记录的自动生成，提高医疗文书书写效率</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疑难病例讨论记录自动生成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结合医疗大模型技术，针对疑难病例讨论场景，自动生成包含患者病情分析、医疗团队讨论内容、诊疗方案决策及依据等内容的详细记录。</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交接班记录自动生成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通过综合院内电子病历系统的患者信息，利用医疗大模型自动生成准确全面的交接班记录。，将重点病情及诊疗事项清晰传达。</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阶段小结自动生成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系统应支持阶段小结自动生成，内容包括</w:t>
            </w:r>
            <w:r>
              <w:rPr>
                <w:rFonts w:asciiTheme="minorEastAsia" w:hAnsiTheme="minorEastAsia" w:eastAsiaTheme="minorEastAsia"/>
                <w:color w:val="auto"/>
                <w:highlight w:val="none"/>
              </w:rPr>
              <w:t xml:space="preserve">患者基础信息（患者的基本身份和临床信息，包括：姓名、性别、年龄、就诊科室、住院时间等。）； 主诉（患者本次入院最主要的、最能反映其现阶段疾病特点的症状或体征。）； 入院诊断（患者入院时的初步诊断。</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会诊记录自动生成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系统应支持会诊记录自动生成，内容包括</w:t>
            </w:r>
            <w:r>
              <w:rPr>
                <w:rFonts w:asciiTheme="minorEastAsia" w:hAnsiTheme="minorEastAsia" w:eastAsiaTheme="minorEastAsia"/>
                <w:color w:val="auto"/>
                <w:highlight w:val="none"/>
              </w:rPr>
              <w:t xml:space="preserve">患者基础信息（患者的基本身份和临床信息，包括：姓名、性别、年龄、就诊科室、住院时间等。）； 入院诊断（患者入院时的初步诊断。）； 病史摘要（患者的现病史、既往史、个人史和家族史等信息。）； 会诊建议（基于综合病情的分析，对患者的检查、诊断和治疗提出的后续建议</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术前小结自动生成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系统应支持术前小结自动生成，内容包括</w:t>
            </w:r>
            <w:r>
              <w:rPr>
                <w:rFonts w:asciiTheme="minorEastAsia" w:hAnsiTheme="minorEastAsia" w:eastAsiaTheme="minorEastAsia"/>
                <w:color w:val="auto"/>
                <w:highlight w:val="none"/>
              </w:rPr>
              <w:t xml:space="preserve">术前诊断（提供明确的术前初步诊断，作为手术决策的重要依据。）； 病史摘要（患者的现病史、既往史、个人史和家族史等信息。）； 专科检查（提供术前关键的体格检查、实验室检查及影像学检查结果，为手术规划提供支持。</w:t>
            </w:r>
            <w:r/>
          </w:p>
        </w:tc>
      </w:tr>
      <w:tr>
        <w:trPr/>
        <w:tc>
          <w:tcPr>
            <w:tcW w:w="885"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p>
        </w:tc>
        <w:tc>
          <w:tcPr>
            <w:tcW w:w="2537"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术前讨论自动生成</w:t>
            </w:r>
            <w:r/>
          </w:p>
        </w:tc>
        <w:tc>
          <w:tcPr>
            <w:tcW w:w="494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w:t>
            </w:r>
            <w:r>
              <w:rPr>
                <w:rFonts w:hint="eastAsia" w:asciiTheme="minorEastAsia" w:hAnsiTheme="minorEastAsia" w:eastAsiaTheme="minorEastAsia"/>
                <w:color w:val="auto"/>
                <w:highlight w:val="none"/>
              </w:rPr>
              <w:t xml:space="preserve">支持术前讨论自动生成，内容包含患者信息、入院记录、病程记录、诊断记录、检验检查报告、用药记录、讨论内容等，输入到病历撰写模型，依次进行前处理（包括：病历数据结构化、病历数据筛选、知识图谱增强等）、医疗大模型（包括：实体抽取、概括总结等）、后处理（包括：信息整合、病历格式规范化等）操作，最终生成术前讨论。</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c、移动查房记录自动生成</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面向住院移动查房业务场景建设移动查房记录自动生成功能，围绕医生在病区、床旁、交班前后等实际查房环节，对患者基础信息、在院病历、检验检查结果、医嘱执行情况、护理观察内容及本次查房补充录入信息进行整合，形成可在移动端快速生成、编辑、确认并回写的查房记录</w:t>
      </w:r>
      <w:r>
        <w:rPr>
          <w:rFonts w:hint="eastAsia" w:asciiTheme="minorEastAsia" w:hAnsiTheme="minorEastAsia" w:eastAsiaTheme="minorEastAsia"/>
          <w:color w:val="auto"/>
          <w:highlight w:val="none"/>
        </w:rPr>
        <w:t xml:space="preserve">及医嘱</w:t>
      </w:r>
      <w:r>
        <w:rPr>
          <w:rFonts w:asciiTheme="minorEastAsia" w:hAnsiTheme="minorEastAsia" w:eastAsiaTheme="minorEastAsia"/>
          <w:color w:val="auto"/>
          <w:highlight w:val="none"/>
        </w:rPr>
        <w:t xml:space="preserve">能力。</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414"/>
        <w:gridCol w:w="5103"/>
      </w:tblGrid>
      <w:tr>
        <w:trPr>
          <w:tblHeader/>
        </w:trPr>
        <w:tc>
          <w:tcPr>
            <w:tcW w:w="846" w:type="dxa"/>
            <w:vAlign w:val="center"/>
            <w:textDirection w:val="lrTb"/>
            <w:noWrap w:val="false"/>
          </w:tcPr>
          <w:p>
            <w:pPr>
              <w:pStyle w:val="1189"/>
              <w:ind w:firstLine="0"/>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41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103"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移动查房业务场景</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系统应覆盖住院患者日常查房、重点患者查房、术后患者查房、病情变化患者查房及需持续观察患者查房等常见业务场景，支持医生在病区移动查房过程中随时调阅患者核心信息并形成记录。 相关建设应围绕查房记录实际使用场景展开，不应脱离现有移动查房和住院文书业务边界单独扩展为独立诊疗系统。</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移动端查房终端与使用方式</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系统应支持在移动查房终端中使用，满足医生在病区走查、床旁停留、会诊协同等场景下的操作需求。 界面设计应符合移动端操作习惯，支持快速切换患者、快速调阅数据、快速</w:t>
            </w:r>
            <w:r>
              <w:rPr>
                <w:rFonts w:hint="eastAsia" w:asciiTheme="minorEastAsia" w:hAnsiTheme="minorEastAsia" w:eastAsiaTheme="minorEastAsia"/>
                <w:color w:val="auto"/>
                <w:highlight w:val="none"/>
              </w:rPr>
              <w:t xml:space="preserve">整理</w:t>
            </w:r>
            <w:r>
              <w:rPr>
                <w:rFonts w:asciiTheme="minorEastAsia" w:hAnsiTheme="minorEastAsia" w:eastAsiaTheme="minorEastAsia"/>
                <w:color w:val="auto"/>
                <w:highlight w:val="none"/>
              </w:rPr>
              <w:t xml:space="preserve">信息和快速确认记录，减少在小屏场景下复杂层级操作对查房效率的影响。</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患者队列管理</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系统应支持与医院住院业务系统对接，按病区、科室、诊疗组、床位、责任医生等维度展示待查房患者队列，便于医生在移动端快速定位本次查房对象。 患者列表应至少支持展示姓名、床号、住院号、主要诊断、患者状态及重点关注标识等信息，并支持按病区、患者状态、重点患者、是否已完成查房等条件进行筛选。</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床旁数据调阅与整合</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系统应支持在患者查房界面中同步调阅与当前查房相关的核心住院信息，包括入院记录、首次病程记录、日常病程记录、会诊记录、医嘱执行情况、护理记录、检验检查结果及其他与查房判断相关的内容。 相关信息应围绕查房场景进行整合展示，避免医生在查房过程中频繁切换至多个独立系统界面。</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查房信息采集</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系统应支持在移动查房过程中采集患者主诉变化、现病情况、精神状态、饮食睡眠、生命体征、阳性体征、异常检验检查结果、治疗措施执行情况、护理观察结果及下一步处理意见等内容。 信息采集方式应结合移动端使用特点，支持医生通过结构化录入、文字补充、快捷选择等方式完成查房信息填写。</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重点患者识别与提示</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系统应支持对危重患者、术后患者、异常指标患者、重点观察患者及存在待处理事项患者进行标识，在患者列表和查房界面中提示医生重点关注。 提示内容应服务于查房效率提升和信息完整性补充，不替代医生的临床判断。</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结构化查房记录自动生成</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系统应基于患者在院数据及本次查房过程中补充采集的信息，自动生成结构化移动查房记录。 生成内容应围绕查房记录的实际书写要求组织，能够对患者当前一般情况、主要病情变化、阳性体征、辅助检查变化、诊疗措施落实情况及下一步处理意见进行规范表达。</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查房记录内容组织</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生成的查房记录内容应能够围绕查房业务需要，对患者基本识别信息、当前主要病情、一般情况、重要体征、辅助检查变化、现行治疗措施、重点观察事项及后续处理意见等内容进行有序组织，满足医生查房后形成正式记录的使用需求。</w:t>
            </w:r>
            <w:r/>
          </w:p>
        </w:tc>
      </w:tr>
      <w:tr>
        <w:trPr/>
        <w:tc>
          <w:tcPr>
            <w:tcW w:w="84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查房记录编辑、确认与同步</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系统应支持医生对自动生成的查房记录进行实时编辑、补充、删改和确认，支持在移动端直接完成记录的保存、暂存、提交和最终确认。 编辑界面应便于医生快速定位重点内容、补充关键描述和修正表述不准确之处，以保证最终记录能够真实反映本次查房情况。</w:t>
            </w:r>
            <w:r/>
          </w:p>
        </w:tc>
      </w:tr>
      <w:tr>
        <w:trPr/>
        <w:tc>
          <w:tcPr>
            <w:tcW w:w="846" w:type="dxa"/>
            <w:vAlign w:val="center"/>
            <w:textDirection w:val="lrTb"/>
            <w:noWrap w:val="false"/>
          </w:tcPr>
          <w:p>
            <w:pPr>
              <w:pStyle w:val="1189"/>
              <w:ind w:firstLine="24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0</w:t>
            </w:r>
            <w:r/>
          </w:p>
        </w:tc>
        <w:tc>
          <w:tcPr>
            <w:tcW w:w="24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查房过程回溯与留痕</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系统应支持对查房记录形成过程进行留痕管理，包括记录生成时间、编辑时间、确认状态、操作人员及同步状态等信息，满足后续追溯和管理要求。 对于查房中补录的重点内容、后续修改内容和最终确认内容，系统应支持完整保留处理痕迹和版本信息。</w:t>
            </w:r>
            <w:bookmarkEnd w:id="22"/>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2</w:t>
      </w:r>
      <w:r>
        <w:rPr>
          <w:rFonts w:asciiTheme="minorEastAsia" w:hAnsiTheme="minorEastAsia" w:eastAsiaTheme="minorEastAsia"/>
          <w:b/>
          <w:color w:val="auto"/>
          <w:highlight w:val="none"/>
        </w:rPr>
        <w:t xml:space="preserve">）</w:t>
      </w:r>
      <w:r>
        <w:rPr>
          <w:rFonts w:hint="eastAsia" w:asciiTheme="minorEastAsia" w:hAnsiTheme="minorEastAsia" w:eastAsiaTheme="minorEastAsia"/>
          <w:b/>
          <w:color w:val="auto"/>
          <w:highlight w:val="none"/>
        </w:rPr>
        <w:t xml:space="preserve">医学输入引擎及智能体助手</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本项目需建设一套面向医疗机构的医学智能体工具箱产品，以医疗专用智能体为核心载体和统一入口，为临床医务人员提供高效、专业、安全的文本输入与信息交互服务。</w:t>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a、操作系统兼容性</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103"/>
      </w:tblGrid>
      <w:tr>
        <w:trPr>
          <w:tblHeader/>
        </w:trPr>
        <w:tc>
          <w:tcPr>
            <w:tcW w:w="936" w:type="dxa"/>
            <w:vAlign w:val="center"/>
            <w:textDirection w:val="lrTb"/>
            <w:noWrap w:val="false"/>
          </w:tcPr>
          <w:p>
            <w:pPr>
              <w:pStyle w:val="1189"/>
              <w:ind w:firstLine="0"/>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103"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操作系统兼容性</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鉴于医疗机构IT基础设施环境的复杂性和多样性，本项目建设的医疗专用输入需充分考虑各类终端操作系统的兼容性要求。</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b、基础输入能力</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103"/>
      </w:tblGrid>
      <w:tr>
        <w:trPr>
          <w:tblHeader/>
        </w:trPr>
        <w:tc>
          <w:tcPr>
            <w:tcW w:w="936" w:type="dxa"/>
            <w:vAlign w:val="center"/>
            <w:textDirection w:val="lrTb"/>
            <w:noWrap w:val="false"/>
          </w:tcPr>
          <w:p>
            <w:pPr>
              <w:pStyle w:val="1189"/>
              <w:ind w:firstLine="0"/>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103"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智能内核引擎</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需内置高性能的智能内核引擎，在输入过程中提供预测、学词、纠错、调频等智能辅助能力，使输入体验超越简单的拼音到汉字的机械转换，实现对用户输入意图的深度理解和主动预判。</w:t>
            </w:r>
            <w:r/>
          </w:p>
        </w:tc>
      </w:tr>
    </w:tbl>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c</w:t>
      </w:r>
      <w:r>
        <w:rPr>
          <w:rFonts w:hint="eastAsia" w:asciiTheme="minorEastAsia" w:hAnsiTheme="minorEastAsia" w:eastAsiaTheme="minorEastAsia"/>
          <w:b/>
          <w:color w:val="auto"/>
          <w:highlight w:val="none"/>
        </w:rPr>
        <w:t xml:space="preserve">、</w:t>
      </w:r>
      <w:r>
        <w:rPr>
          <w:rFonts w:asciiTheme="minorEastAsia" w:hAnsiTheme="minorEastAsia" w:eastAsiaTheme="minorEastAsia"/>
          <w:b/>
          <w:color w:val="auto"/>
          <w:highlight w:val="none"/>
        </w:rPr>
        <w:t xml:space="preserve">医疗行业专业输入能力</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103"/>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103"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医疗行业专业词库</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本项目需建设一套数据权威、覆盖全面、持续更新的医疗行业专业词库体系。 在词库数据来源与规模方面，词库数据需来源于权威的医学教材和国家标准文件</w:t>
            </w:r>
            <w:r>
              <w:rPr>
                <w:rFonts w:hint="eastAsia" w:asciiTheme="minorEastAsia" w:hAnsiTheme="minorEastAsia" w:eastAsiaTheme="minorEastAsia"/>
                <w:color w:val="auto"/>
                <w:highlight w:val="none"/>
              </w:rPr>
              <w:t xml:space="preserve">，涵盖国家卫健委发布的《常用临床医学名词》、国家医保药品目录以及国标 ICD-10 的疾病名称</w:t>
            </w:r>
            <w:r>
              <w:rPr>
                <w:rFonts w:asciiTheme="minorEastAsia" w:hAnsiTheme="minorEastAsia" w:eastAsiaTheme="minorEastAsia"/>
                <w:color w:val="auto"/>
                <w:highlight w:val="none"/>
              </w:rPr>
              <w:t xml:space="preserve">，经过专业的医疗行业分词模型进行处理和优化，需全面覆盖临床医务人员在日常工作中可能使用的各类医学专业术语。</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行业智能引擎</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在医疗行业专业词库的基础上，需建设专门针对医疗行业场景优化的智能输入引擎能力，进一步提升临床专业术语的输入效率。 在行业长词预测能力方面，输入需具备面向医疗行业的定制化长词预测算法。</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词库管理与更新</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医疗知识持续更新，新药品不断上市，新的诊疗术语不断涌现，因此本项目的医疗行业词库需建立常态化的更新维护机制，而非一次性建设后长期不变。 在个人词库管理方面，输入需为每位用户提供独立的个人词库存储空间。</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d、医疗病历助手</w:t>
      </w:r>
      <w:r/>
    </w:p>
    <w:tbl>
      <w:tblPr>
        <w:tblStyle w:val="985"/>
        <w:tblW w:w="4746" w:type="pct"/>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383"/>
        <w:gridCol w:w="5235"/>
      </w:tblGrid>
      <w:tr>
        <w:trPr>
          <w:tblHeader/>
        </w:trPr>
        <w:tc>
          <w:tcPr>
            <w:tcW w:w="560" w:type="pct"/>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1389" w:type="pct"/>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3051" w:type="pct"/>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560"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1389"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专家病历示例库</w:t>
            </w:r>
            <w:r/>
          </w:p>
        </w:tc>
        <w:tc>
          <w:tcPr>
            <w:tcW w:w="305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系统</w:t>
            </w:r>
            <w:r>
              <w:rPr>
                <w:rFonts w:asciiTheme="minorEastAsia" w:hAnsiTheme="minorEastAsia" w:eastAsiaTheme="minorEastAsia"/>
                <w:color w:val="auto"/>
                <w:highlight w:val="none"/>
              </w:rPr>
              <w:t xml:space="preserve">需建设权威、全面、结构化的专家病历示例数据库，集成在输入的病历助手模块中，供临床医务人员在书写病历时随时参考借鉴。 在示例库内容规模方面，数据库需由具有丰富临床经验的权威医学专家团队参与建设和审核。</w:t>
            </w:r>
            <w:r/>
          </w:p>
        </w:tc>
      </w:tr>
      <w:tr>
        <w:trPr/>
        <w:tc>
          <w:tcPr>
            <w:tcW w:w="560"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1389"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病历助手交互</w:t>
            </w:r>
            <w:r/>
          </w:p>
        </w:tc>
        <w:tc>
          <w:tcPr>
            <w:tcW w:w="305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需充分考虑临床医务人员的实际工作流程和使用习惯，确保在不打断医生正常工作流的前提下提供便捷高效的示例参考服务。 在入口与窗口管理方面，病历助手需通过输入状态栏上的专属图标提供快捷入口，点击后在屏幕上以独立悬浮窗口形式打开。</w:t>
            </w:r>
            <w:r/>
          </w:p>
        </w:tc>
      </w:tr>
      <w:tr>
        <w:trPr/>
        <w:tc>
          <w:tcPr>
            <w:tcW w:w="560"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1389"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个人模板管理</w:t>
            </w:r>
            <w:r/>
          </w:p>
        </w:tc>
        <w:tc>
          <w:tcPr>
            <w:tcW w:w="305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独立的个人模板管理模块，供医生自主创建、编辑和管理个人常用文本模板，并提供二级分类体系（一级按疾病名称或文书类型，二级按主诉、现病史、体格检查等电子病历结构化模块）。每条模板需支持设置英文缩写码（区分大小写）、关键词标签和正文内容，并支持基于缩写码的快速上屏。</w:t>
            </w:r>
            <w:r/>
          </w:p>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需支持通过 Excel 表格文件对模板数据进行批量导入与导出，并提供标准化导入模板；导入导出过程需完整保留分类结构、缩写码、关键词等全部元数据，确保数据迁移完整。</w:t>
            </w:r>
            <w:r/>
          </w:p>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需支持将系统预置的专家病历示例一键添加到个人模板库，并在添加时对分类归属、缩写码、关键词、正文内容等字段进行自定义修改，使医生能以专家示例为基础结合自身习惯定制后纳入个人模板体系。</w:t>
            </w:r>
            <w:r/>
          </w:p>
        </w:tc>
      </w:tr>
      <w:tr>
        <w:trPr/>
        <w:tc>
          <w:tcPr>
            <w:tcW w:w="560" w:type="pct"/>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1389"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病历助手配置</w:t>
            </w:r>
            <w:r/>
          </w:p>
        </w:tc>
        <w:tc>
          <w:tcPr>
            <w:tcW w:w="3051" w:type="pct"/>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病历助手需提供丰富的个性化配置选项</w:t>
            </w:r>
            <w:r>
              <w:rPr>
                <w:rFonts w:hint="eastAsia" w:asciiTheme="minorEastAsia" w:hAnsiTheme="minorEastAsia" w:eastAsiaTheme="minorEastAsia"/>
                <w:color w:val="auto"/>
                <w:highlight w:val="none"/>
              </w:rPr>
              <w:t xml:space="preserve">：配置项需涵盖：窗口通用设置（窗口大小、默认位置、透明度等）、界面显示设置（字体大小、显示密度、配色方案等）、吸附行为设置（默认吸附位置、吸附对象优先级等）、数据导入导出设置（默认导入导出路径等）、病历库显示设置（默认展开层级、分类排列方式等）和发送方式设置（默认上屏方式选择等）。</w:t>
            </w:r>
            <w:r>
              <w:rPr>
                <w:rFonts w:asciiTheme="minorEastAsia" w:hAnsiTheme="minorEastAsia" w:eastAsiaTheme="minorEastAsia"/>
                <w:color w:val="auto"/>
                <w:highlight w:val="none"/>
              </w:rPr>
              <w:t xml:space="preserve"> </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e、辅助输入能力</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103"/>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103"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特殊输入模式</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需提供以下辅助性的特殊输入模式： U模式拆字输入：当用户输入“U”键后进入拆字拼音输入模式，可将一个不认识或不确定读音的汉字拆分成多个组成部分，分别输入各部分的拼音即可得到对应的汉字候选。</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自定义短语</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需提供两个层级的自定义短语能力，满足个人层面和企业层面的快捷输入需求。 在个人自定义短语方面，需支持每位用户个性化地添加任意文本内容并设置对应的英文缩写码触发词。 当用户在日常输入中键入设定的缩写码时，对应的完整文本内容即在候选列表中出现供选择上屏。</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候选词跳转</w:t>
            </w:r>
            <w:r/>
          </w:p>
        </w:tc>
        <w:tc>
          <w:tcPr>
            <w:tcW w:w="510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需支持候选词跳转功能作为未来集成更多智能体服务的技术接口。 管理员可在管理后台配置特定的候选关键词及其对应的跳转目标（内网URL链接或本地应用程序启动路径）。</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f、智能体调度中枢</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411"/>
        <w:gridCol w:w="5016"/>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41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016"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41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平台入口与智能体集成</w:t>
            </w:r>
            <w:r/>
          </w:p>
        </w:tc>
        <w:tc>
          <w:tcPr>
            <w:tcW w:w="5016"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需支持统一</w:t>
            </w:r>
            <w:r>
              <w:rPr>
                <w:rFonts w:asciiTheme="minorEastAsia" w:hAnsiTheme="minorEastAsia" w:eastAsiaTheme="minorEastAsia"/>
                <w:color w:val="auto"/>
                <w:highlight w:val="none"/>
              </w:rPr>
              <w:t xml:space="preserve">集成和调度多种AI智能体应用。</w:t>
            </w:r>
            <w:r>
              <w:rPr>
                <w:rFonts w:hint="eastAsia" w:asciiTheme="minorEastAsia" w:hAnsiTheme="minorEastAsia" w:eastAsiaTheme="minorEastAsia"/>
                <w:color w:val="auto"/>
                <w:highlight w:val="none"/>
              </w:rPr>
              <w:t xml:space="preserve">具备场景感知能力，可根据用户角色和当前工作类型，在工具栏中智能推荐最相关的智能体服务入口，减少手动查找与选择。</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41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知识库服务集成</w:t>
            </w:r>
            <w:r/>
          </w:p>
        </w:tc>
        <w:tc>
          <w:tcPr>
            <w:tcW w:w="5016"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需支持</w:t>
            </w:r>
            <w:r>
              <w:rPr>
                <w:rFonts w:hint="eastAsia" w:asciiTheme="minorEastAsia" w:hAnsiTheme="minorEastAsia" w:eastAsiaTheme="minorEastAsia"/>
                <w:color w:val="auto"/>
                <w:highlight w:val="none"/>
              </w:rPr>
              <w:t xml:space="preserve">集成</w:t>
            </w:r>
            <w:r>
              <w:rPr>
                <w:rFonts w:asciiTheme="minorEastAsia" w:hAnsiTheme="minorEastAsia" w:eastAsiaTheme="minorEastAsia"/>
                <w:color w:val="auto"/>
                <w:highlight w:val="none"/>
              </w:rPr>
              <w:t xml:space="preserve">院内或行业内的各类电子化知识库内容，使医务人员在日常工作中能够触手可及地查询和参考。 需支持集成的知识库类型包括但不限于：药品说明书数据库、临床诊疗指南和专家共识、常用临床用药公式和计算工具、诊疗流程图和临床路径、医院规章制度和操作规程等。</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g、</w:t>
      </w:r>
      <w:r>
        <w:rPr>
          <w:rFonts w:asciiTheme="minorEastAsia" w:hAnsiTheme="minorEastAsia" w:eastAsiaTheme="minorEastAsia"/>
          <w:b/>
          <w:bCs/>
          <w:color w:val="auto"/>
          <w:highlight w:val="none"/>
        </w:rPr>
        <w:t xml:space="preserve">运维管理与安全</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32"/>
        <w:gridCol w:w="509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3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09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3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集中运维管理</w:t>
            </w:r>
            <w:r/>
          </w:p>
        </w:tc>
        <w:tc>
          <w:tcPr>
            <w:tcW w:w="509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提供面向医院信息中心的集中管理控制台，实现对全院输入终端的统一管理。管理控制台需具备以下能力：版本管理——支持输入客户端版本的统一升级管理，当有新版本发布时管理员可在后台一键推送升级包至全院终端，需支持增量更新、版本回滚和灰度发布策略；</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3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数据安全与合规</w:t>
            </w:r>
            <w:r/>
          </w:p>
        </w:tc>
        <w:tc>
          <w:tcPr>
            <w:tcW w:w="509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需在数据安全方面满足以下需求： 在数据本地化处理方面，输入的全部基础输入功能（词库匹配、个人学词、自定义短语等）需在终端本地完成处理，不得将用户的原始输入内容上传至任何外部服务器或云端。</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（3）</w:t>
      </w:r>
      <w:r>
        <w:rPr>
          <w:rFonts w:asciiTheme="minorEastAsia" w:hAnsiTheme="minorEastAsia" w:eastAsiaTheme="minorEastAsia"/>
          <w:b/>
          <w:bCs/>
          <w:color w:val="auto"/>
          <w:highlight w:val="none"/>
        </w:rPr>
        <w:t xml:space="preserve">医学病历质控助手</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本项目需建设一套基于人工智能技术的医学病历质控助手智能体。该智能体需支持由医学智能体工具箱调用，面向临床医生和病历质控管理人员，提供覆盖病历书写全生命周期的智能化质量控制服务。</w:t>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质控规则引擎建设需求</w:t>
      </w:r>
      <w:r/>
    </w:p>
    <w:tbl>
      <w:tblPr>
        <w:tblStyle w:val="985"/>
        <w:tblW w:w="83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54"/>
        <w:gridCol w:w="5073"/>
      </w:tblGrid>
      <w:tr>
        <w:trPr>
          <w:jc w:val="cente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5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073"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jc w:val="cente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5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规则体系架构需求</w:t>
            </w:r>
            <w:r/>
          </w:p>
        </w:tc>
        <w:tc>
          <w:tcPr>
            <w:tcW w:w="507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需建设完善的、可扩展的、多层次的质控规则体系，作为驱动整个质控系统运行的核心知识基座。 规则体系需采用“国家标准层+行业规范层+医院定制层”三级架构。 国家标准层需内置基于《病历书写基本规范（2010年版）》《电子病历应用管理规范（试行）》《医疗质量管理办法》等国家级法规和规范制定的质控规则。</w:t>
            </w:r>
            <w:r/>
          </w:p>
        </w:tc>
      </w:tr>
      <w:tr>
        <w:trPr>
          <w:jc w:val="cente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5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规则自定义编辑器需求</w:t>
            </w:r>
            <w:r/>
          </w:p>
        </w:tc>
        <w:tc>
          <w:tcPr>
            <w:tcW w:w="507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系统需提供可视化的规则自定义编辑器，使质控管理人员能够通过图形化界面完成自定义规则的创建、编辑、测试和发布。</w:t>
            </w:r>
            <w:r/>
          </w:p>
        </w:tc>
      </w:tr>
      <w:tr>
        <w:trPr>
          <w:jc w:val="cente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5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规则数量与覆盖范围需求</w:t>
            </w:r>
            <w:r/>
          </w:p>
        </w:tc>
        <w:tc>
          <w:tcPr>
            <w:tcW w:w="5073"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系统开箱即用的内置质控规则总量应不少于500条，其中内涵质控规则占比应不低于40%。 规则需覆盖住院病历和门（急）诊病历两大类别中的全部规范要求的文书类型。</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形式质控能力需求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完整性检查需求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具备对病历文书完整性进行全面、自动化检查的能力，在必填项检查方面，系统需根据每种病历文书类型的规范要求，建立完整的必填字段清单，并在质控过程中自动逐一验证各必填字段是否已填写且非空。</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时效性检查需求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系统需建</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自动监控各类病历文书的书写完成时间是否符合规范时限要求。 在入院相关文书的时效性方面，系统需检查以下时限要求：入院记录需在患者入院后24小时内完成书写；</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格式规范性检查需求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系统需对病历文书的格式规范性进行系统化检查，确保文书的外在形式符合国家标准和行业规范的要求。 在签名规范性方面，系统需建立完整的签名要求矩阵——针对每种病历文书类型，明确需要哪些角色的签名、签名的时间要求以及签名医师的最低资质要求。</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内涵质控能力需求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逻辑一致性检查需求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系统</w:t>
            </w:r>
            <w:r>
              <w:rPr>
                <w:rFonts w:asciiTheme="minorEastAsia" w:hAnsiTheme="minorEastAsia" w:eastAsiaTheme="minorEastAsia"/>
                <w:color w:val="auto"/>
                <w:highlight w:val="none"/>
              </w:rPr>
              <w:t xml:space="preserve">需基于自然语言处理技术和医学知识图谱实现对病历文书深层语义逻辑的分析和判断，这也是本项目AI质控能力区别于传统规则引擎质控系统的关键差异化优势。</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诊疗合理性检查需求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系统需具备基于临床知识对病历中记录的诊疗行为进行合理性评估的能力。 在诊断合理性评估方面，系统需能够基于患者的临床表现（症状、体征）和辅助检查结果，评估当前诊断是否具有充分的诊断依据。 系统应能识别以下类型的问题：诊断依据不充分（如某诊断缺少必要的确诊性检查支持）；</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医学准确性检查需求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系统需对病历中涉及的医学信息的准确性进行校验，发现可能的数据录入错误和术语使用不规范。 在数值合理性范围检查方面，系统需建立全面的临床数据合理性范围参考库。 该参考库需覆盖常用的生命体征指标（体温、脉搏、呼吸、血压、血氧饱和度等）和实验室检查指标，为每个指标设定生理极值范围和临床异常告警范围。</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d、</w:t>
      </w:r>
      <w:r>
        <w:rPr>
          <w:rFonts w:asciiTheme="minorEastAsia" w:hAnsiTheme="minorEastAsia" w:eastAsiaTheme="minorEastAsia"/>
          <w:b/>
          <w:bCs/>
          <w:color w:val="auto"/>
          <w:highlight w:val="none"/>
        </w:rPr>
        <w:t xml:space="preserve">终末质控能力需求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自动化批量终末质控需求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系统需具备对已归档出院病历进行自动化批量终末质控评审的能力，实现全量出院病历的AI自动化质控覆盖。 系统需支持按照设定的时间周期（每日、每周等）自动获取新归档的出院病历并执行质控评审，也需支持由质控管理人员在管理界面手动触发对指定范围病历的批量评审。</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质控报告生成需求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系统需具备自动生成多层次、多维度质控报告的能力。 单病历质控报告——系统需为每份经过终末质控的病历自动生成独立的质控评审报告。 报告内容需包含：病历基本信息摘要、总体质量评分及等级、各维度分项评分及雷达图、发现的全部质控问题清单、与本科室同期平均水平的对比信息。</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三级质控工作流需求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系统需支持符合医疗机构管理规范的三级病历质控工作流体系。 科室层面（一级质控）——经治医师和科室质控员需能够在系统中查看本科室全部出院病历的AI质控结果。</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整改跟踪与闭环管理需求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系统需对终末质控发现的问题建立完整的整改跟踪和闭环管理机制。 每条确认的质控问题需自动生成独立的整改工单，工单内容包含问题描述、所在文书和位置、整改要求、整改期限和责任人。 工单状态需经历“待整改→整改中→已整改→已复核”四个阶段的完整生命周期。</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bCs/>
          <w:color w:val="auto"/>
          <w:highlight w:val="none"/>
        </w:rPr>
        <w:t xml:space="preserve">e、</w:t>
      </w:r>
      <w:r>
        <w:rPr>
          <w:rFonts w:asciiTheme="minorEastAsia" w:hAnsiTheme="minorEastAsia" w:eastAsiaTheme="minorEastAsia"/>
          <w:b/>
          <w:bCs/>
          <w:color w:val="auto"/>
          <w:highlight w:val="none"/>
        </w:rPr>
        <w:t xml:space="preserve">数据分析与持续改进需求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多维度数据分析需求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系统需提供强大的质控数据分析能力，帮助管理层从海量质控数据中提取有价值的管理洞察。 数据钻取分析——系统需支持从全院→科室→医师→单病历四个层级的逐级数据钻取。</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AI模型持续优化需求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系统需建立AI质控模型的持续优化闭环机制，确保质控能力随着使用时间的增长而不断提升。 反馈数据收集——系统需自动收集医生和质控人员对AI质控结果的操作反馈数据，包括对每条AI标记问题的确认/驳回/申诉操作及其附带的理由说明。</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（4）</w:t>
      </w:r>
      <w:r>
        <w:rPr>
          <w:rFonts w:asciiTheme="minorEastAsia" w:hAnsiTheme="minorEastAsia" w:eastAsiaTheme="minorEastAsia"/>
          <w:b/>
          <w:bCs/>
          <w:color w:val="auto"/>
          <w:highlight w:val="none"/>
        </w:rPr>
        <w:t xml:space="preserve">护理病历质控助手</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项目需建设一套面向护理人员和护理质量管理部门的护理病历质控助手智能体。该智能体需由医学智能体工具箱（输入）调起，在识别到当前用户角色为护理人员时自动加载护理专属的质控规则集，对护理文书进行实时监测和智能化质量评估。</w:t>
      </w:r>
      <w:r/>
    </w:p>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a、</w:t>
      </w:r>
      <w:r>
        <w:rPr>
          <w:rFonts w:asciiTheme="minorEastAsia" w:hAnsiTheme="minorEastAsia" w:eastAsiaTheme="minorEastAsia"/>
          <w:b/>
          <w:color w:val="auto"/>
          <w:highlight w:val="none"/>
        </w:rPr>
        <w:t xml:space="preserve">护理评估文书质控需求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入院护理评估质控需求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需对入院护理评估表进行全面的质控检查。 在评估时效性方面，系统需检查入院护理评估表是否在患者入院后规定的时间窗内完成。</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跌倒/坠床风险评估质控需求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需对跌倒/坠床风险评估的全过程进行深度质控。 在评估工具规范性方面，系统需验证评估是否使用了医院认可的标准化评估工具。 目前国内医疗机构常用的跌倒风险评估工具包括Morse跌倒评估量表和Hendrich II跌倒风险模型等，系统需根据医院的配置识别当前使用的评估工具类型，并加载对应的评分校验规则。</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压力性损伤风险评估质控需求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压力性损伤（压疮）是影响住院患者安全和生活质量的重要护理并发症，特别是对于长期卧床、手术后、营养不良和老年患者群体风险更高。 本项目需对压力性损伤风险评估进行专项深度质控。</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疼痛评估质控需求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规范化的疼痛评估和管理是优质护理服务的重要内容，也是JCI和等级医院评审的重要考核指标。 本项目需对疼痛评估的全过程进行质控。 在评估时机和频率方面，系统需检查疼痛评估是否在以下关键时间节点完成：入院时的初次评估（作为入院护理评估的组成部分）；</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营养风险筛查与深静脉血栓风险评估质控需求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在营养风险筛查方面，系统需检查NRS 2002营养风险筛查是否按照规范的两步法执行：首先进行初筛，初筛任一项为"是"则进入详细筛查； 详细筛查包括疾病严重程度评分（0-3分）、营养状态评分（0-3分）和年龄评分（≥70岁加1分），三项之和≥3分即判定为有营养风险。</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护理记录单质控需求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记录频率与时效性检查需求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护理记录是反映护理工作实际执行情况和患者病情动态变化的核心文书。 系统需对护理记录的书写频率和时效性进行严格检查。 在一般护理记录方面，系统需根据患者的病情分级和医院管理要求，检查护理记录的书写频率是否达标。</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记录内容质量检查需求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护理记录的内容质量直接反映了护理工作的实际开展水平。 系统需从多个维度对记录内容的质量进行智能化检查。 在客观性检查方面，规范的护理记录应遵循“客观记录、实事求是”的原则，以护士观察到的客观事实和患者自述的主观感受为记录基础，不应出现护士个人的主观判断和推断性表述。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医嘱执行与生命体征记录检查需求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护理记录需真实反映医嘱的执行情况，这是护理文书作为法律证据的核心要求之一。 系统需通过对接HIS医嘱系统和护理记录系统，实现医嘱执行与护理记录的交叉验证。 在医嘱执行记录核查方面，系统需获取患者当前有效的长期医嘱和临时医嘱列表，与护理记录中的医嘱执行记录进行比对。</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护理计划与措施质控需求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护理诊断规范性需求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护理诊断是连接护理评估与护理计划的核心环节。 系统需对护理诊断的规范性进行检查。 在术语规范性方面，系统需检查护理诊断是否使用了规范化的护理诊断术语表述。 参照NANDA-I国际护理诊断分类标准，每条护理诊断应包含三个核心要素：诊断名称、相关因素、临床表现。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护理计划完整性与执行一致性需求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在护理计划完整性方面，系统需检查每条护理诊断是否有对应的护理目标和护理措施。 护理目标应具备SMART原则的特征——具体（Specific）、可衡量（Measurable）、可达到（Achievable）、相关的（Relevant）和有时限（Time-bound）。</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护理评价与动态调整需求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系统需检查护理计划是否按照要求进行了定期评价和动态调整。 护理评价是对护理目标达成情况的阶段性审视，需定期进行。 系统需检查护理计划的评价记录是否存在且评价频率是否达标。 评价内容需包含：护理目标是否达成（已达成/部分达成/未达成）、达成或未达成的具体情况描述、下一步调整计划。</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d、</w:t>
      </w:r>
      <w:r>
        <w:rPr>
          <w:rFonts w:asciiTheme="minorEastAsia" w:hAnsiTheme="minorEastAsia" w:eastAsiaTheme="minorEastAsia"/>
          <w:b/>
          <w:bCs/>
          <w:color w:val="auto"/>
          <w:highlight w:val="none"/>
        </w:rPr>
        <w:t xml:space="preserve">专项护理质控需求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49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管路护理质控需求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各类留置管路均存在感染、脱出、堵塞等风险，规范的管路护理记录是保障管路安全的基础。 本项目需对各类管路的护理记录进行专项质控。 在管路评估记录方面，系统需检查留置各类管路患者的护理记录中是否有规范的管路评估内容。</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给药与输血护理质控需求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在给药护理方面，系统需检查给药执行记录是否体现了“三查十对”的核查要求（三查：操作前查、操作中查、操作后查； 十对：对姓名、床号、药名、剂量、浓度、用法、时间、批号、有效期和过敏史）。</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手术护理质控需求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在术前护理记录方面，系统需检查以下内容的完整性：术前护理评估记录； 手术部位标识的确认记录； 患者身份和手术信息的核实记录； 术前知情同意书签署状况的确认记录； 术前物品准备的核查记录（如备齐术中可能需要的特殊物品）；</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32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危重症护理质控需求</w:t>
            </w:r>
            <w:r/>
          </w:p>
        </w:tc>
        <w:tc>
          <w:tcPr>
            <w:tcW w:w="49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在危重患者护理记录单方面，系统需检查记录的频率和内容完整性是否满足危重症护理的特殊要求。 记录频率需符合医嘱要求（通常每小时记录一次），系统需逐小时核查是否有对应的记录。 记录内容需全面覆盖以下核心监测维度：神经系统评估；</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e、</w:t>
      </w:r>
      <w:r>
        <w:rPr>
          <w:rFonts w:asciiTheme="minorEastAsia" w:hAnsiTheme="minorEastAsia" w:eastAsiaTheme="minorEastAsia"/>
          <w:b/>
          <w:bCs/>
          <w:color w:val="auto"/>
          <w:highlight w:val="none"/>
        </w:rPr>
        <w:t xml:space="preserve">护理质控工作流需求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71"/>
        <w:gridCol w:w="4914"/>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7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1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7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三级护理质控工作流需求</w:t>
            </w:r>
            <w:r/>
          </w:p>
        </w:tc>
        <w:tc>
          <w:tcPr>
            <w:tcW w:w="49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系统需支持符合护理管理规范的三级护理质控工作流体系，实现质控责任层层落实、问题逐级处理的闭环管理。 护士自查环节（一级）——护士在完成护理记录书写后，系统需自动对提交的护理文书进行实时质控扫描，并在提交界面以问题列表形式呈现当前检测到的全部质控问题。</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7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问题整改跟踪需求</w:t>
            </w:r>
            <w:r/>
          </w:p>
        </w:tc>
        <w:tc>
          <w:tcPr>
            <w:tcW w:w="491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系统需对护理质控中发现的问题建立整改跟踪机制。 被护士长审核确认的质控问题需自动生成整改通知推送给书写护士，通知内容需包含问题描述、整改要求和整改期限。 系统需支持整改状态的全程跟踪（待整改→已整改→已复核），护士长对整改结果进行复核验收。</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f、</w:t>
      </w:r>
      <w:r>
        <w:rPr>
          <w:rFonts w:asciiTheme="minorEastAsia" w:hAnsiTheme="minorEastAsia" w:eastAsiaTheme="minorEastAsia"/>
          <w:b/>
          <w:bCs/>
          <w:color w:val="auto"/>
          <w:highlight w:val="none"/>
        </w:rPr>
        <w:t xml:space="preserve">护理质量指标与数据分析需求</w:t>
      </w:r>
      <w:r/>
    </w:p>
    <w:tbl>
      <w:tblPr>
        <w:tblStyle w:val="985"/>
        <w:tblW w:w="8221"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81"/>
        <w:gridCol w:w="4904"/>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0" w:type="auto"/>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4904"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0" w:type="auto"/>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护理质量指标体系需求</w:t>
            </w:r>
            <w:r/>
          </w:p>
        </w:tc>
        <w:tc>
          <w:tcPr>
            <w:tcW w:w="490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系统需内置与护理质量管理相关的核心指标体系，实现指标数据的自动采集、计算和展示。 在护理文书质量指标方面，需自动统计以下指标：护理记录甲级率； 各类风险评估完成率； 护理计划制定率； 护理计划执行符合率；</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0" w:type="auto"/>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数据分析与对标需求</w:t>
            </w:r>
            <w:r/>
          </w:p>
        </w:tc>
        <w:tc>
          <w:tcPr>
            <w:tcW w:w="490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系统需提供深度的护理质控数据分析能力。 需支持从全院→科室→护士个人三个层级的数据钻取分析，帮助管理层定位护理文书质量问题的具体来源。 需提供各项指标的时间趋势分析功能（按日/周/月/季度展示趋势曲线），当指标出现连续下降趋势时自动触发预警通知。</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38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培训与知识推送需求</w:t>
            </w:r>
            <w:r/>
          </w:p>
        </w:tc>
        <w:tc>
          <w:tcPr>
            <w:tcW w:w="4904"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系统需具备根据质控数据分析结果自动推荐护理培训内容的辅助能力。 通过分析各科室和各护理人员在文书书写方面的薄弱环节，系统应将这些薄弱环节与护理质量管理知识库中的对应学习材料进行关联推荐。 系统需维护一个护理质量管理知识库，内容至少包含：各类护理文书的书写规范要点和常见错误示例；</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（5）</w:t>
      </w:r>
      <w:r>
        <w:rPr>
          <w:rFonts w:asciiTheme="minorEastAsia" w:hAnsiTheme="minorEastAsia" w:eastAsiaTheme="minorEastAsia"/>
          <w:b/>
          <w:bCs/>
          <w:color w:val="auto"/>
          <w:highlight w:val="none"/>
        </w:rPr>
        <w:t xml:space="preserve">会诊智能管理助手</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本期规划建设MDT 会诊智能体，以大语言模型、自动语音识别、自然语言处理等技术为支撑，覆盖多学科会诊的会诊前、会诊中、会诊后全流程，自动完成患者信息汇集、病情摘要、议题提炼、过程转写、关键信息标注及记录报告生成，让医生从繁重的信息整理和文书工作中解放出来，将精力聚焦于病情讨论和临床决策本身。</w:t>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患者数据智能汇集</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76"/>
        <w:gridCol w:w="505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76"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05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76"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患者数据智能汇集</w:t>
            </w:r>
            <w:r/>
          </w:p>
        </w:tc>
        <w:tc>
          <w:tcPr>
            <w:tcW w:w="505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会诊前阶段，智能体将散落在多个业务系统中的患者信息进行智能采集、整合，在 MDT 申请发起时自动向所有参会医生推送结构化的“患者病情一览”，消除传统模式下在各系统间翻找病历的低效环节。</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患者病情智能摘要生成</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66"/>
        <w:gridCol w:w="5261"/>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66"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61"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66"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患者病情智能摘要生成</w:t>
            </w:r>
            <w:r/>
          </w:p>
        </w:tc>
        <w:tc>
          <w:tcPr>
            <w:tcW w:w="5261"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智能体将结构化数据包输入大语言模型，生成一份“一页纸”患者病情摘要。 生成流程分为三步：一是数据预处理，将各模块按“先整体后局部、先基础后专科、先当前后历史”的临床逻辑序列化为线性文本上下文，依次为患者标识、主诊断与核心问题、入院记录、当前用药、异常检验指标、影像学发现、生命体征趋势及近 3 次病程；</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会诊议题智能提炼</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会诊议题智能提炼</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在病情摘要基础上，智能体综合分析会诊申请单与患者数据，自动提炼本次会诊需讨论的核心议题清单。</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d、</w:t>
      </w:r>
      <w:r>
        <w:rPr>
          <w:rFonts w:asciiTheme="minorEastAsia" w:hAnsiTheme="minorEastAsia" w:eastAsiaTheme="minorEastAsia"/>
          <w:b/>
          <w:bCs/>
          <w:color w:val="auto"/>
          <w:highlight w:val="none"/>
        </w:rPr>
        <w:t xml:space="preserve">会诊实时语音转写</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会诊实时语音转写</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会诊期间，音频采集环节使用会诊室眼镜设备进行多路拾音，远程会诊场景通过腾讯会议 API 直接获取音频流。 引擎选型推荐本地化部署方案以满足医疗数据不出院要求，需具备流式实时识别、医疗领域深度定制、多说话人分离及高并发高可用四项核心能。</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e、</w:t>
      </w:r>
      <w:r>
        <w:rPr>
          <w:rFonts w:asciiTheme="minorEastAsia" w:hAnsiTheme="minorEastAsia" w:eastAsiaTheme="minorEastAsia"/>
          <w:b/>
          <w:bCs/>
          <w:color w:val="auto"/>
          <w:highlight w:val="none"/>
        </w:rPr>
        <w:t xml:space="preserve">关键信息实时标注</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关键信息实时标注</w:t>
            </w:r>
            <w:r/>
          </w:p>
        </w:tc>
        <w:tc>
          <w:tcPr>
            <w:tcW w:w="5245" w:type="dxa"/>
            <w:vAlign w:val="center"/>
            <w:textDirection w:val="lrTb"/>
            <w:noWrap w:val="false"/>
          </w:tcPr>
          <w:p>
            <w:pPr>
              <w:pStyle w:val="1189"/>
              <w:ind w:firstLine="480"/>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智能体在转写同时通过 LLM 对文本流进行实时语义分析，自动识别并标注诊断结论、治疗方案选择、分歧点、后续计划及关键数据引用等关键信息，各标注类别的触发条件与标注方式如下表所示。</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f、</w:t>
      </w:r>
      <w:r>
        <w:rPr>
          <w:rFonts w:asciiTheme="minorEastAsia" w:hAnsiTheme="minorEastAsia" w:eastAsiaTheme="minorEastAsia"/>
          <w:b/>
          <w:bCs/>
          <w:color w:val="auto"/>
          <w:highlight w:val="none"/>
        </w:rPr>
        <w:t xml:space="preserve">结构化会诊记录自动生成</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结构化会诊记录自动生成</w:t>
            </w:r>
            <w:r/>
          </w:p>
        </w:tc>
        <w:tc>
          <w:tcPr>
            <w:tcW w:w="5245" w:type="dxa"/>
            <w:vAlign w:val="center"/>
            <w:textDirection w:val="lrTb"/>
            <w:noWrap w:val="false"/>
          </w:tcPr>
          <w:p>
            <w:pPr>
              <w:pStyle w:val="1189"/>
              <w:ind w:firstLine="480"/>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会诊结束后，智能体基于三大输入源——ASR 转写全文及说话人标注、关键信息标注结果及讨论时间线、会前病情摘要——自动生成结构化会诊记录。</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g、</w:t>
      </w:r>
      <w:r>
        <w:rPr>
          <w:rFonts w:asciiTheme="minorEastAsia" w:hAnsiTheme="minorEastAsia" w:eastAsiaTheme="minorEastAsia"/>
          <w:b/>
          <w:bCs/>
          <w:color w:val="auto"/>
          <w:highlight w:val="none"/>
        </w:rPr>
        <w:t xml:space="preserve">多版本会诊报告输出</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多版本会诊报告输出</w:t>
            </w:r>
            <w:r/>
          </w:p>
        </w:tc>
        <w:tc>
          <w:tcPr>
            <w:tcW w:w="5245" w:type="dxa"/>
            <w:vAlign w:val="center"/>
            <w:textDirection w:val="lrTb"/>
            <w:noWrap w:val="false"/>
          </w:tcPr>
          <w:p>
            <w:pPr>
              <w:pStyle w:val="1189"/>
              <w:ind w:firstLine="480"/>
              <w:jc w:val="lef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在基础会诊记录之上，智能体面向不同受众自动生成多版本报告。 临床执行版面向主治医生与执行团队，突出可执行性，药品按“通用名+剂量+频次+给药途径”列出、检查项目按名称与优先级及时限组织、干预措施带科室责任标注，可直接导入医嘱系统或打印为执行清单。</w:t>
            </w:r>
            <w:bookmarkEnd w:id="21"/>
            <w:r/>
            <w:r/>
          </w:p>
        </w:tc>
      </w:tr>
    </w:tbl>
    <w:p>
      <w:pPr>
        <w:pStyle w:val="1189"/>
        <w:ind w:firstLine="482"/>
        <w:spacing w:line="440" w:lineRule="exact"/>
        <w:rPr>
          <w:rFonts w:asciiTheme="minorEastAsia" w:hAnsiTheme="minorEastAsia" w:eastAsiaTheme="minorEastAsia"/>
          <w:b/>
          <w:bCs/>
          <w:color w:val="auto"/>
          <w:highlight w:val="none"/>
        </w:rPr>
      </w:pPr>
      <w:r/>
      <w:bookmarkStart w:id="23" w:name="OLE_LINK2"/>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w:t>
      </w:r>
      <w:r>
        <w:rPr>
          <w:rFonts w:asciiTheme="minorEastAsia" w:hAnsiTheme="minorEastAsia" w:eastAsiaTheme="minorEastAsia"/>
          <w:b/>
          <w:bCs/>
          <w:color w:val="auto"/>
          <w:highlight w:val="none"/>
        </w:rPr>
        <w:t xml:space="preserve">元宇宙智能推演场景</w:t>
      </w:r>
      <w:r>
        <w:rPr>
          <w:rFonts w:hint="eastAsia" w:asciiTheme="minorEastAsia" w:hAnsiTheme="minorEastAsia" w:eastAsiaTheme="minorEastAsia"/>
          <w:b/>
          <w:bCs/>
          <w:color w:val="auto"/>
          <w:highlight w:val="none"/>
        </w:rPr>
        <w:t xml:space="preserve">升级</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本项目的建设充分运用大模型、元宇宙等新技术，打造面向医院运营管理的</w:t>
      </w:r>
      <w:r>
        <w:rPr>
          <w:rFonts w:asciiTheme="minorEastAsia" w:hAnsiTheme="minorEastAsia" w:eastAsiaTheme="minorEastAsia"/>
          <w:color w:val="auto"/>
          <w:highlight w:val="none"/>
        </w:rPr>
        <w:t xml:space="preserve">元宇宙运营管理底座及仿真推演智慧平台建成“过去可追溯、当下可镜像、明日可推演”的医院运营决策大脑；本次旨在围绕医院核心资产全生命周期管理与数字手术高效运转两大核心领域，汇聚设备采购、入库、使用、维保、折旧、报废全流程数据，实现设备资产、手术排程、资源调度、成本管控等核心模块的智能推演、精准管控，以数据赋能医院设备提质增效、降本控险，实现“数据驱动、虚实联动、智能推演、闭环优化”的智慧运营体系，打造从“经验驱动”向“数据驱动”、从“被动响应”向“主动预测”的跨越，最终打造安全、高效、精益的智慧医院运营新范式。</w:t>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（1）</w:t>
      </w:r>
      <w:r>
        <w:rPr>
          <w:rFonts w:asciiTheme="minorEastAsia" w:hAnsiTheme="minorEastAsia" w:eastAsiaTheme="minorEastAsia"/>
          <w:b/>
          <w:bCs/>
          <w:color w:val="auto"/>
          <w:highlight w:val="none"/>
        </w:rPr>
        <w:t xml:space="preserve">多源异构数据集成</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全场景同步：数据同</w:t>
      </w:r>
      <w:r>
        <w:rPr>
          <w:rFonts w:asciiTheme="minorEastAsia" w:hAnsiTheme="minorEastAsia" w:eastAsiaTheme="minorEastAsia"/>
          <w:color w:val="auto"/>
          <w:highlight w:val="none"/>
        </w:rPr>
        <w:t xml:space="preserve">步：实现数据主动抽取，提供被动监控数据变更实时刷新动态同步，支持通过SDK 、Agent主动上报数据 多类型异构数据源：支持40+数据源提供星型结构支持读写随机搭配 过程可视化：通过图表可视化的方式，展示同步过程的流量、速率等核心指标 任务及数据监控：读写指标，支持任务读写实时指标统计，包括读写总量、速度、吞吐，以及脏数据等；监控告警：支持任务及资源监控，覆盖短信、邮件、HTTP等多渠道告警 页面集成：推演所需的仿真、辅助决策的页面集成，将医院管理者指令输入集成页面与可视化集成，完成推演仿真的调用及可视化。</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多源异构数据集成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全场景同步：数据同步：实现数据主动抽取，提供被动监控数据变更实时刷新动态同步，支持通过SDK 、Agent主动上报数据 多类型异构数据源：支持40+数据源提供星型结构支持读写随机搭配 过程可视化：通过图表可视化的方式，展示同步过程的流量、速率等核心指标 任务及数据监控：读写指标，支持任务读写实时指标统计，包括读写总量、速度、吞吐，以及脏数据等；</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w:t>
      </w:r>
      <w:r>
        <w:rPr>
          <w:rFonts w:asciiTheme="minorEastAsia" w:hAnsiTheme="minorEastAsia" w:eastAsiaTheme="minorEastAsia"/>
          <w:b/>
          <w:bCs/>
          <w:color w:val="auto"/>
          <w:highlight w:val="none"/>
        </w:rPr>
        <w:t xml:space="preserve">数据开发及智能体引擎</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设备全生命周期推演智能体引擎包含多个关键组成部分，其中有智能意图识别，可精准捕捉设备管理需求与意图；设备管理工作流任务调度节点配置，能有序调度设备采购、入库、维保、盘点、报废各环节任务；通过智能体智能化实时调参模型，助力实现模型参数的动态、智能调整，共同为高效设备管理推演提供支撑。</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数据开发及智能体引擎</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设备全生命周期推演智能体引擎包含多个关键组成部分，其中有智能意图识别，可精准捕捉设备管理需求与意图； 设备管理工作流任务调度节点配置，能有序调度设备采购、入库、维保、盘点、报废各环节任务； 通过智能体智能化实时调参模型，助力实现模型参数的动态、智能调整，共同为高效设备管理推演提供支撑。</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（3）</w:t>
      </w:r>
      <w:r>
        <w:rPr>
          <w:rFonts w:asciiTheme="minorEastAsia" w:hAnsiTheme="minorEastAsia" w:eastAsiaTheme="minorEastAsia"/>
          <w:b/>
          <w:bCs/>
          <w:color w:val="auto"/>
          <w:highlight w:val="none"/>
        </w:rPr>
        <w:t xml:space="preserve">医院资产管理场景智能推演</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医院设备管理场景智能推演模型框架如下： 将所需信息，包括：设备基础信息、采购信息、安装验收信息、使用记录、维保记录、故障记录、运行参数、科室负荷、人员操作等，输入到智能推演模型，依次进行前处理（数据结构化、数据筛选、知识图谱增强等）、大模型（实体抽取、概括总结、关联分析等）、后处理（信息整合、格式规范化、指标计算等）操作，最终生成不同管理效果路径与最优方案。</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医院资产管理场景智能推演</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设备台账同步精准管理； 设备预防性维保智能推演； 高值设备资源最优调度； 设备故障智能诊断与预警； 设备成本与效益自动核算； 设备库存与备件智能匹配； 设备使用安全合规监管； 设备管理业财融合</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（4）</w:t>
      </w:r>
      <w:r>
        <w:rPr>
          <w:rFonts w:asciiTheme="minorEastAsia" w:hAnsiTheme="minorEastAsia" w:eastAsiaTheme="minorEastAsia"/>
          <w:b/>
          <w:bCs/>
          <w:color w:val="auto"/>
          <w:highlight w:val="none"/>
        </w:rPr>
        <w:t xml:space="preserve">医院智慧手术排程智能推演</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手术室是医院高价值、高复杂度资源的核心场景，涉及医生、麻醉、护理、设备、耗材、床位、ICU、检验检查等多部门协同。传统手术排程多依赖人工经验，容易出现排班冲突、手术延期、术间等待时间长、资源利用率不均衡等问题。</w:t>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智能手术排程引擎</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智能手术排程引擎</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综合患者病情等级、手术类型、主刀医生时间、麻醉团队、手术室类型、设备耗材、预计手术时长、术后床位等因素，自动生成推荐排程方案。</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多场景推演模拟</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多场景推演模拟</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支持对急诊插单、手术超时、设备故障、医生临时变更、ICU床位不足等情况进行模拟推演，评估不同调整方案对整体排程的影响。</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复盘分析</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复盘分析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统计手术准点率、手术室利用率、周转时间、延期原因、医生排班负荷、麻醉资源使用率等指标，形成持续优化依据。</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d、</w:t>
      </w:r>
      <w:r>
        <w:rPr>
          <w:rFonts w:asciiTheme="minorEastAsia" w:hAnsiTheme="minorEastAsia" w:eastAsiaTheme="minorEastAsia"/>
          <w:b/>
          <w:bCs/>
          <w:color w:val="auto"/>
          <w:highlight w:val="none"/>
        </w:rPr>
        <w:t xml:space="preserve">数字手术室镜像</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数字手术室镜像</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搭建手术室镜像系统，实现物理手术室与数字空间可视化：实现数据接入：统一接入术中信息、设备数据、环境数据。 通过时间轴、甘特图、手术间状态图展示当日及未来排程，实时标识等待、进行中、延迟、完成、异常等状态。</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（5）</w:t>
      </w:r>
      <w:r>
        <w:rPr>
          <w:rFonts w:asciiTheme="minorEastAsia" w:hAnsiTheme="minorEastAsia" w:eastAsiaTheme="minorEastAsia"/>
          <w:b/>
          <w:bCs/>
          <w:color w:val="auto"/>
          <w:highlight w:val="none"/>
        </w:rPr>
        <w:t xml:space="preserve">医院资产元宇宙孪生空间</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本次设备建模渲染：不少于3个大型设备，不少与40个中大型设备建模及渲染。列出设备清单</w:t>
      </w:r>
      <w:r/>
    </w:p>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数字感知空间搭建中心</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数字感知空间搭建中心</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医疗场景三维模型构建体系丰富多元，</w:t>
            </w:r>
            <w:r>
              <w:rPr>
                <w:rFonts w:hint="eastAsia" w:asciiTheme="minorEastAsia" w:hAnsiTheme="minorEastAsia" w:eastAsiaTheme="minorEastAsia"/>
                <w:color w:val="auto"/>
                <w:highlight w:val="none"/>
              </w:rPr>
              <w:t xml:space="preserve">中心需支持</w:t>
            </w:r>
            <w:r>
              <w:rPr>
                <w:rFonts w:asciiTheme="minorEastAsia" w:hAnsiTheme="minorEastAsia" w:eastAsiaTheme="minorEastAsia"/>
                <w:color w:val="auto"/>
                <w:highlight w:val="none"/>
              </w:rPr>
              <w:t xml:space="preserve">覆盖医院设备、手术场景。，全方位为医疗场景数字化呈现助力。</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空间拓扑数据呈现服务多维交互样式</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空间拓扑数据呈现服务多维交互样式</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(1)支持从楼宇、楼层、房间的逐级递进，支持按照范围对数据进行选择及下钻，实现全三维场景浏览和全鼠标操作； (2)支持鼠标单击、双击、移出、移入等触发条件； 支持跳转页面、跳转外链、隐藏、显示、切换场景、切换视角、摄像机注视等交互动作；</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空间建模三维渲染支撑</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空间建模三维渲染支撑</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三维建模场景模拟 可通过对医院建筑群进行三维建模，对重点设备的结构等进行动态渲染，同时标注建筑的相关基础信息，便于信息查看； 支持通过实时动画呈现医院建筑群场景模型； 可在医院地图上叠加各种打点标签。</w:t>
            </w:r>
            <w:bookmarkEnd w:id="23"/>
            <w:r/>
            <w:r/>
          </w:p>
        </w:tc>
      </w:tr>
    </w:tbl>
    <w:p>
      <w:pPr>
        <w:pStyle w:val="1189"/>
        <w:ind w:firstLine="482"/>
        <w:spacing w:line="44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r>
      <w:r/>
    </w:p>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3、</w:t>
      </w:r>
      <w:r>
        <w:rPr>
          <w:rFonts w:asciiTheme="minorEastAsia" w:hAnsiTheme="minorEastAsia" w:eastAsiaTheme="minorEastAsia"/>
          <w:b/>
          <w:color w:val="auto"/>
          <w:highlight w:val="none"/>
        </w:rPr>
        <w:t xml:space="preserve">基于AI中台全域健康管理升级</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为深化区域全程健康服务体系建设，落实“健康中国2030”规划纲要要求，聚焦高血压、糖尿病、肿瘤、卒中、冠心病五大高发病种，依托agentic主动智能能力与标准化skill专业能力，完成业务功能全面升级，构建覆盖“</w:t>
      </w:r>
      <w:r>
        <w:rPr>
          <w:rFonts w:hint="eastAsia" w:asciiTheme="minorEastAsia" w:hAnsiTheme="minorEastAsia" w:eastAsiaTheme="minorEastAsia"/>
          <w:color w:val="auto"/>
          <w:highlight w:val="none"/>
        </w:rPr>
        <w:t xml:space="preserve">专病管理</w:t>
      </w:r>
      <w:r>
        <w:rPr>
          <w:rFonts w:asciiTheme="minorEastAsia" w:hAnsiTheme="minorEastAsia" w:eastAsiaTheme="minorEastAsia"/>
          <w:color w:val="auto"/>
          <w:highlight w:val="none"/>
        </w:rPr>
        <w:t xml:space="preserve">”全流程的智能化、同质化健康管理体系，推动区域健康服务从“被动响应”向“主动守护”转型。</w:t>
      </w:r>
      <w:r/>
    </w:p>
    <w:p>
      <w:pPr>
        <w:pStyle w:val="1189"/>
        <w:ind w:firstLine="482"/>
        <w:spacing w:line="44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（1）</w:t>
      </w:r>
      <w:r>
        <w:rPr>
          <w:rFonts w:asciiTheme="minorEastAsia" w:hAnsiTheme="minorEastAsia" w:eastAsiaTheme="minorEastAsia"/>
          <w:b/>
          <w:color w:val="auto"/>
          <w:highlight w:val="none"/>
        </w:rPr>
        <w:t xml:space="preserve">全周期健康管理专病智能体</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平台专病管理引擎采用模板化架构设计，</w:t>
      </w:r>
      <w:r>
        <w:rPr>
          <w:rFonts w:hint="eastAsia" w:asciiTheme="minorEastAsia" w:hAnsiTheme="minorEastAsia" w:eastAsiaTheme="minorEastAsia"/>
          <w:color w:val="auto"/>
          <w:highlight w:val="none"/>
        </w:rPr>
        <w:t xml:space="preserve">搭建通用性专病管理框架和智能体管理框架。应标需至少包含</w:t>
      </w:r>
      <w:r>
        <w:rPr>
          <w:rFonts w:asciiTheme="minorEastAsia" w:hAnsiTheme="minorEastAsia" w:eastAsiaTheme="minorEastAsia"/>
          <w:color w:val="auto"/>
          <w:highlight w:val="none"/>
        </w:rPr>
        <w:t xml:space="preserve">高血压、糖尿病、肿瘤、卒中、冠心病</w:t>
      </w:r>
      <w:r>
        <w:rPr>
          <w:rFonts w:hint="eastAsia" w:asciiTheme="minorEastAsia" w:hAnsiTheme="minorEastAsia" w:eastAsiaTheme="minorEastAsia"/>
          <w:color w:val="auto"/>
          <w:highlight w:val="none"/>
        </w:rPr>
        <w:t xml:space="preserve">等</w:t>
      </w:r>
      <w:r>
        <w:rPr>
          <w:rFonts w:asciiTheme="minorEastAsia" w:hAnsiTheme="minorEastAsia" w:eastAsiaTheme="minorEastAsia"/>
          <w:color w:val="auto"/>
          <w:highlight w:val="none"/>
        </w:rPr>
        <w:t xml:space="preserve">五个病种</w:t>
      </w:r>
      <w:r>
        <w:rPr>
          <w:rFonts w:hint="eastAsia" w:asciiTheme="minorEastAsia" w:hAnsiTheme="minorEastAsia" w:eastAsiaTheme="minorEastAsia"/>
          <w:color w:val="auto"/>
          <w:highlight w:val="none"/>
        </w:rPr>
        <w:t xml:space="preserve">落地实施</w:t>
      </w:r>
      <w:r>
        <w:rPr>
          <w:rFonts w:asciiTheme="minorEastAsia" w:hAnsiTheme="minorEastAsia" w:eastAsiaTheme="minorEastAsia"/>
          <w:color w:val="auto"/>
          <w:highlight w:val="none"/>
        </w:rPr>
        <w:t xml:space="preserve">。每种专病管理模块</w:t>
      </w:r>
      <w:r>
        <w:rPr>
          <w:rFonts w:hint="eastAsia" w:asciiTheme="minorEastAsia" w:hAnsiTheme="minorEastAsia" w:eastAsiaTheme="minorEastAsia"/>
          <w:color w:val="auto"/>
          <w:highlight w:val="none"/>
        </w:rPr>
        <w:t xml:space="preserve">通过修改配置和注入专病skills的形式快速搭建</w:t>
      </w:r>
      <w:r>
        <w:rPr>
          <w:rFonts w:asciiTheme="minorEastAsia" w:hAnsiTheme="minorEastAsia" w:eastAsiaTheme="minorEastAsia"/>
          <w:color w:val="auto"/>
          <w:highlight w:val="none"/>
        </w:rPr>
        <w:t xml:space="preserve">，差异化的风险评估规则和管理目标通过模板配置实现，无需修改底层引擎。</w:t>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专病管理</w:t>
      </w:r>
      <w:r>
        <w:rPr>
          <w:rFonts w:hint="eastAsia" w:asciiTheme="minorEastAsia" w:hAnsiTheme="minorEastAsia" w:eastAsiaTheme="minorEastAsia"/>
          <w:b/>
          <w:bCs/>
          <w:color w:val="auto"/>
          <w:highlight w:val="none"/>
        </w:rPr>
        <w:t xml:space="preserve">通用模块打造</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专病管理计划主页</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为专病用户提供单病种管理统一承接页，聚合评估、打卡、管理、患教、数据等分散入口；页面标题与内容随病种动态适配，支撑多病种平滑扩展。</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用户信息卡与计划进度</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展示用户档案信息、目标计划名称、开始日期与执行进度，支持近期执行情况回看。</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周维度日期滚动条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默认展示当前周，支持左右滑动切换与点击刷新任务区，过去日期只读、未来日期置灰。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健康评估横条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根据评估状态智能提示评估状态，引导用户完成评估。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每日任务卡统一管理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以统一任务卡形式展示当日管理任务，含任务名、执行状态与操作按钮，点击可跳转对应详情页打卡。</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核心指标监测卡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按病种配置的核心监测指标提供打卡记录。</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饮食运动模块</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提供饮食与运动等生活方式打卡，记录摄入/消耗。</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自定义任务卡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支持用户配置任务名称、频次、重复规则与结束日期，满足个体化管理需求。</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定制任务下发</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机构可按患者病情配置个性化任务并下发到任务区。</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高频数据快速</w:t>
            </w:r>
            <w:r>
              <w:rPr>
                <w:rFonts w:hint="eastAsia" w:asciiTheme="minorEastAsia" w:hAnsiTheme="minorEastAsia" w:eastAsiaTheme="minorEastAsia"/>
                <w:color w:val="auto"/>
                <w:highlight w:val="none"/>
              </w:rPr>
              <w:t xml:space="preserve">记录</w:t>
            </w:r>
            <w:r>
              <w:rPr>
                <w:rFonts w:asciiTheme="minorEastAsia" w:hAnsiTheme="minorEastAsia" w:eastAsiaTheme="minorEastAsia"/>
                <w:color w:val="auto"/>
                <w:highlight w:val="none"/>
              </w:rPr>
              <w:t xml:space="preserve">入口</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聚合专病高频数据录入入口，支持快速</w:t>
            </w:r>
            <w:r>
              <w:rPr>
                <w:rFonts w:hint="eastAsia" w:asciiTheme="minorEastAsia" w:hAnsiTheme="minorEastAsia" w:eastAsiaTheme="minorEastAsia"/>
                <w:color w:val="auto"/>
                <w:highlight w:val="none"/>
              </w:rPr>
              <w:t xml:space="preserve">记录</w:t>
            </w:r>
            <w:r>
              <w:rPr>
                <w:rFonts w:asciiTheme="minorEastAsia" w:hAnsiTheme="minorEastAsia" w:eastAsiaTheme="minorEastAsia"/>
                <w:color w:val="auto"/>
                <w:highlight w:val="none"/>
              </w:rPr>
              <w:t xml:space="preserve">。</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多模态健康数据采集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支持文字、手动输入、拍照、报告、体检PDF等多模态录入各类体征与健康数据。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报告拍照上传与智能处理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支持拍照或上传检查报告，自动完成识别（OCR）、结构化（NLP）、指标标注与归档。</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专病量表与依从性评估</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支持按病种配置专项评估量表，支持周期性复测与评估反馈。</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健康风险评估</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基于多维健康数据与病种风险模型输出风险评估，并匹配对应管理方案。</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指标分析与智能报告</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支持多指标、跨报告趋势分析与达标判断，自动生成包含反馈建议等相关内容。</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患教知识推荐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聚合病种相关科普文章与知识内容，按用户专病需求提供，支撑日常自我管理。</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医患即时沟通与异常告警</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提供医患一对一沟通通道，异常指标自动触发告警并同步机构。</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任务智能管理与家属协同</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A根据计划自动生成随访任务与定时提醒，支持家属绑定代打卡与协同管理。</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平台数据看板</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实时展示患者总数、报告数量、任务完成、人群分类等等关键指标。</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多端覆盖（PC+机构小程序+患者小程序）</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机构 PC 端提供全功能工作台，机构小程序与患者小程序提供便捷与完整服务。</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账号权限管理与安全保障</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支持管理员权限分级、按照不同的角色分权限查看和管理患者。</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对话式智能体交互</w:t>
            </w:r>
            <w:r>
              <w:rPr>
                <w:rFonts w:hint="eastAsia" w:asciiTheme="minorEastAsia" w:hAnsiTheme="minorEastAsia" w:eastAsiaTheme="minorEastAsia"/>
                <w:color w:val="auto"/>
                <w:highlight w:val="none"/>
              </w:rPr>
              <w:t xml:space="preserve">能力</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以简洁聊天窗口为主界面，支持文字、语音、图片等多模态输入，通过对话串联测评、解读、问答、任务等全流程服务，并可识别意图自动跳转对应功能页。</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专病 Skill 注入扩展</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在通用智能体架子上按病种注入对应「专病管理 Skill」，对话中自动路由到该病种的测评、知识库与管理逻辑，实现一个智能体支撑多病种、问答式专病管理。</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结合健康档案的个性化多轮对话</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结合用户健康档案与疾病信息，进行多轮对话管理、意图路由与槽位填充，给出个性化而非通用的答复。</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多咨询人管理与切换</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支持为本人及家庭成员建立健康档案，切换咨询人后自动关联其健康数据与疾病信息</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对话式专病测评</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在对话中按病种调取专项测评，引导患者完成测评。</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测评结果与个性化建议</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测评完成后 智能自动计算结果、输出评估内容，并结合患者档案给出个性化管理建议。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专病个性化问答</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基于病种权威指南与专病知识库，结合患者疾病信息与健康档案，个性化回答专病相关问题。</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医疗报告与数据对话式解读</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对话中对报告等医疗数据，结合专病信息进行通俗化解读、异常标注与多报告趋势分析，并结合患者疾病信息给出针对性说明与追问引导。</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专病管理建议</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结合患者疾病信息与专病指南，个性化输出相关建议、需重点关注的指标及建议区间、饮食运动等生活方式管理建议。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专病管理框架化设计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抽象出通用专病管理框架，新增病种可零改动复用底层能力。</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配置化快速扩展</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通过配置病种主题、核心指标、专项量表、风险模型、患教内容、异常规则等，快速扩展到其他各类专病管理。</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多端协同支持</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多端协同支持</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平台采用“一院三端”的架构设计，通过医院平台统一数据和服务能力，在机构PC端、机构小程序端和患者小程序端三个触点实现医患全场景覆盖，三端数据实时同步，确保信息一致性和操作连续性。</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w:t>
      </w:r>
      <w:r>
        <w:rPr>
          <w:rFonts w:asciiTheme="minorEastAsia" w:hAnsiTheme="minorEastAsia" w:eastAsiaTheme="minorEastAsia"/>
          <w:b/>
          <w:bCs/>
          <w:color w:val="auto"/>
          <w:highlight w:val="none"/>
        </w:rPr>
        <w:t xml:space="preserve">平台Agentic能力及功能升级</w:t>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Agentic自主式统一智能体引擎</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Agentic自主式统一智能体引擎</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提供权限管理、操多模型适配等。 支持自托管轻量化部署，</w:t>
            </w:r>
            <w:r>
              <w:rPr>
                <w:rFonts w:hint="eastAsia" w:asciiTheme="minorEastAsia" w:hAnsiTheme="minorEastAsia" w:eastAsiaTheme="minorEastAsia"/>
                <w:color w:val="auto"/>
                <w:highlight w:val="none"/>
              </w:rPr>
              <w:t xml:space="preserve">弹性扩容，保证系统可行性，</w:t>
            </w:r>
            <w:r>
              <w:rPr>
                <w:rFonts w:asciiTheme="minorEastAsia" w:hAnsiTheme="minorEastAsia" w:eastAsiaTheme="minorEastAsia"/>
                <w:color w:val="auto"/>
                <w:highlight w:val="none"/>
              </w:rPr>
              <w:t xml:space="preserve">数据完全自主可控，适合对数据自主性有极高要求的机构。</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Skill技能架构</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Skill技能架构</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需支持建成SKILL技能架构，</w:t>
            </w:r>
            <w:r>
              <w:rPr>
                <w:rFonts w:asciiTheme="minorEastAsia" w:hAnsiTheme="minorEastAsia" w:eastAsiaTheme="minorEastAsia"/>
                <w:color w:val="auto"/>
                <w:highlight w:val="none"/>
              </w:rPr>
              <w:t xml:space="preserve">Skill技能架构是AI智能体实现模块化、可扩展能力的核心设计范式。</w:t>
            </w:r>
            <w:r>
              <w:rPr>
                <w:rFonts w:hint="eastAsia" w:asciiTheme="minorEastAsia" w:hAnsiTheme="minorEastAsia" w:eastAsiaTheme="minorEastAsia"/>
                <w:color w:val="auto"/>
                <w:highlight w:val="none"/>
              </w:rPr>
              <w:t xml:space="preserve">支持后续通过安装</w:t>
            </w:r>
            <w:r>
              <w:rPr>
                <w:rFonts w:asciiTheme="minorEastAsia" w:hAnsiTheme="minorEastAsia" w:eastAsiaTheme="minorEastAsia"/>
                <w:color w:val="auto"/>
                <w:highlight w:val="none"/>
              </w:rPr>
              <w:t xml:space="preserve">Skill封装</w:t>
            </w:r>
            <w:r>
              <w:rPr>
                <w:rFonts w:hint="eastAsia" w:asciiTheme="minorEastAsia" w:hAnsiTheme="minorEastAsia" w:eastAsiaTheme="minorEastAsia"/>
                <w:color w:val="auto"/>
                <w:highlight w:val="none"/>
              </w:rPr>
              <w:t xml:space="preserve">增加</w:t>
            </w:r>
            <w:r>
              <w:rPr>
                <w:rFonts w:asciiTheme="minorEastAsia" w:hAnsiTheme="minorEastAsia" w:eastAsiaTheme="minorEastAsia"/>
                <w:color w:val="auto"/>
                <w:highlight w:val="none"/>
              </w:rPr>
              <w:t xml:space="preserve">业务能力域——</w:t>
            </w:r>
            <w:r>
              <w:rPr>
                <w:rFonts w:hint="eastAsia" w:asciiTheme="minorEastAsia" w:hAnsiTheme="minorEastAsia" w:eastAsiaTheme="minorEastAsia"/>
                <w:color w:val="auto"/>
                <w:highlight w:val="none"/>
              </w:rPr>
              <w:t xml:space="preserve">整体系统有高度拓展能力。</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智能体安全机制设计</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智能体安全机制设计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构建多层纵深安全保障体系，确保患者数据和AI输出在</w:t>
            </w:r>
            <w:r>
              <w:rPr>
                <w:rFonts w:hint="eastAsia" w:asciiTheme="minorEastAsia" w:hAnsiTheme="minorEastAsia" w:eastAsiaTheme="minorEastAsia"/>
                <w:color w:val="auto"/>
                <w:highlight w:val="none"/>
              </w:rPr>
              <w:t xml:space="preserve">的安全</w:t>
            </w:r>
            <w:r>
              <w:rPr>
                <w:rFonts w:asciiTheme="minorEastAsia" w:hAnsiTheme="minorEastAsia" w:eastAsiaTheme="minorEastAsia"/>
                <w:color w:val="auto"/>
                <w:highlight w:val="none"/>
              </w:rPr>
              <w:t xml:space="preserve">保护。</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d、</w:t>
      </w:r>
      <w:r>
        <w:rPr>
          <w:rFonts w:asciiTheme="minorEastAsia" w:hAnsiTheme="minorEastAsia" w:eastAsiaTheme="minorEastAsia"/>
          <w:b/>
          <w:bCs/>
          <w:color w:val="auto"/>
          <w:highlight w:val="none"/>
        </w:rPr>
        <w:t xml:space="preserve">平台机构端-智能专病能力升级</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机构端AI智能体面向医护人员（医生、管理师、科室主任），提供智能能力，覆盖患者管理的全流程、全维度。</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对话式工作台与多模态交互</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提供以自然语言对话为核心的统一工作台，支持文字、语音、图片等多模态信息输入与识别。基于对话式交互串联患者管理、数据查询、计划编制、信息推送等全流程业务操作，实现由传统多点选模式向智能对话模式的升级。</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多管理对象智能切换</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在单一对话流程中支持灵活切换不同的管理对象，系统自动调用并关联目标对象的完整数据视图，包括健康档案、管理计划、随访记录、预警事件等信息。</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意图识别</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内置自然语言理解引擎，自动识别用户业务意图，涵盖数据查询、计划调整、信息发布、统计分析、人群分组等核心场景。</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功能联动与页面嵌入</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支持对话式交互与系统既有功能页面的双向联动，可在对话中触发系统功能跳转，亦支持在对话窗口内直接呈现数据预览与操作结果。</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快捷指令与常用场景</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提供横向快捷操作入口，覆盖日常工作高频场景，支持用户依据自身使用习惯自定义常用指令，提升操作效率。</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患者数据查询</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支持以自然语言方式查询任意患者的历史健康数据，系统自动解析查询语义，识别目标患者、关注指标及时间范围，输出结构化数据与可视化趋势图表。</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患者报告集中调阅与AI解读</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支持在对话中便捷调阅患者全部检查检验报告，系统自动汇总关键指标、异常项目与历史对比信息，生成通俗易懂的报告解读摘要，辅助医生快速掌握患者病情变化。</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患者数据全景概览</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支持生成指定患者的全维度数据概览报告，涵盖关键健康指标、异常项目、趋势变化、达标情况及最新报告摘要等内容，并结合患者完整档案形成个性化总结，标识重点关注风险。</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异常指标智能识别与解读</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系统自动从患者全量数据中识别异常指标并展示，将专业医学指标转化为易于理解的管理提示，辅助管理者快速评估健康风险并制定干预策略。</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复杂数据条件检索</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支持以自然语言方式进行复杂条件检索，系统自动将自然语言描述转化为精确查询语句，返回符合条件的患者列表及关联数据。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对话式计划创建</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支持通过自然语言方式创建患者管理计划，系统依据用户描述自动引导补充计划周期、随访频率、监测指标、任务节点等关键参数，自动生成符合业务规范的计划模板。</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计划模板智能匹配与导入生成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系统支持外部计划文档与模板的导入，系统自动解析内容并生成可在平台内直接执行的标准化管理计划，显著提升计划编制效率。</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患者计划调整</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支持通过对话方式对患者的管理计划进行动态调整，系统自动同步更新患者计划时间轴。</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计划批量调整</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支持对整个计划批量调整计划参数，系统在执行前展示受影响患者清单供管理者确认，确保操作准确性与可追溯性。</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计划执行跟踪与可视化</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支持通过对话查询计划执行情况，系统自动汇总各计划的完成率、逾期情况、数据提交质量等关键指标，并以甘特图、进度条等可视化方式呈现，智能识别滞后项目并提供干预建议。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问卷测评智能配置与分析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支持以对话方式或者导入方式灵活配置测评问卷</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AI智能患者分组</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支持通过对话方式描述分组需求，系统综合患者标签、健康数据、行为特征等多维度信息进行智能聚类，自动建立满足业务目标的患者分组。</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标签驱动的精准管理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基于标签体系实现精准化患者管理操作，支持以自然语言方式指定目标标签人群进行批量触达，下发消息等等操作。</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智能群发消息</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支持通过对话方式发起群发操作，实现精准化、规模化的患者触达。</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对话式数据录入</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支持通过对话方式为指定患者录入医疗报告数据，系统自动识别患者身份与数据指标并写入对应字段，录入过程实时校验数据合理性，对异常数据进行即时提醒。</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数据智能导入</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支持以对话方式触发数据导入任务，按照模版导入数据，预览确认后一键导入。</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医疗报告OCR与结构化</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支持通过拍照或上传方式录入患者检查报告，系统自动完成OCR识别、关键字段提取、指标异常标识（正常、偏高、异常）等全链路处理，并自动归档至对应患者档案。</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口语化数据统计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支持以自然语言方式发起统计查询请求，系统自动执行数据计算与汇总，并以表格与图表相结合的方式输出可视化统计结果。</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患者智能报告</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系统支持阶段性智能生成患者的健康报告，包括日常生活方式等高频信息</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e、</w:t>
      </w:r>
      <w:r>
        <w:rPr>
          <w:rFonts w:asciiTheme="minorEastAsia" w:hAnsiTheme="minorEastAsia" w:eastAsiaTheme="minorEastAsia"/>
          <w:b/>
          <w:bCs/>
          <w:color w:val="auto"/>
          <w:highlight w:val="none"/>
        </w:rPr>
        <w:t xml:space="preserve">患者端-智能能力升级</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患者端AI智能体面向患者及家属，以AI健康助手的形式提供智能化、个性化、便捷化的健康管理服务。</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对话式布局与多模态录入</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主界面为简洁聊天窗口，通过对话提供服务。支持文字、语音、图片多模态输入，通过对话式交互串联全局服务流程</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会话管理与个性化对话</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支持多对话独立分割。结合用户健康档案，实现多轮对话管理、意图路由，给出个性化健康建议而非通用答复</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多咨询人管理与切换</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支持为本人及家庭成员建立健康档案，切换咨询人后AI自动关联该人健康数据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任务执行与数据驱动</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通过对话自动触发任务执行（数据录入、报告解读、随访提醒、健康建议），同步更新用户健康档案</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快捷入口与多样化输入</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横向快捷按钮提供常用功能一键触达，输入区支持文字、语音、拍照多种方式</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功能跳转联动</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对话中AI识别到功能需求，支持跳转至小程序对应功能页面</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数据录入智能建议</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传统模式下数据记录后仅显示数值；AI智能体升级后，记录数据后AI即时给出个性化温馨提示和建议，同时基于用户实际健康数据和管理计划，提供日常个性化健康指导</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报告拍照上传与全链路处理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患者拍照或上传检查报告后，AI自动执行OCR识别、NLP结构化、指标标注（正常/偏高/异常）、通俗化解读、存档和追问引导的全链路处理</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报告数据智能总结</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对话中自动汇总关键指标、异常项、历史趋势，一键生成数据总览。结合用户全部医疗档案数据，AI个性化总结当前健康状况，突出与该用户最相关的异常指标</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异常指标通俗化解读</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将专业医学术语和异常指标转化为通俗易懂的表述，给出可能提示的健康问题和建议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多报告对比分析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散落在多份报告中的同一指标自动串联对比，AI生成跨报告的指标趋势表格和趋势分析结论</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报告存档与追问引导</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解读完成后提供存档操作和延伸追问推荐，引导患者深入了解自身健康状况，并引导数据录入专属健康档案</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报告详情智能跳转</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根据对话上下文智能识别用户想查看的具体报告，精准跳转</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口语化查询指标趋势</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通过口语化表达查询健康指标变化趋势，AI自动识别指标和时间范围，生成趋势图、当前值、参考范围、达标状态和改善建议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多指标对比与达标分析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同一图中展示多个指标趋势对比，自动判断达标/未达标并给出改善建议，异常时触发预警和复查时间建议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饮食拍照识别与营养分析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对话中描述饮食或拍照上传，AI自动识别记录并分析营养结构。拍照上传饮食照片后，AI自动识别菜品、计算三大营养素和热量，与标准对比给出评价和改善建议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饮食问题即时建议</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记录饮食时即时识别问题（高盐高油等），当场给出改善建议。根据用户慢病类型针对性建议（如肾病患者提醒高钾食物，高血压患者提醒高钠食物）</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个性化饮食建议</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结合用户指标数据生成个性化饮食计划，标注宜忌食物和具体原因</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多模态运动数据记录</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通过文字、语音方式快速记录运动数据，并结合个人信息计算运动消耗</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个性化运动建议</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AI基于用户健康数据、疾病标签和当前指标状态，个性化推荐当日适合的运动类型和时长，并给出安全提醒</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微信运动同步</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微信运动数据自动同步步数，支持多种运动类型卡路里计算</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多模态健康数据录入</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通过文字、语音、图片方式快速记录身高体重、血压血糖等个人健康数据，尤其支持通过拍照血压计、血糖设备测量结果自动记录</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健康数据智能分析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记录后AI结合个人健康数据、疾病信息等多维医疗数据及该指标历史趋势，给出个性化解读和提醒</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血压血糖专项监测</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针对血压、血糖等核心慢病指标，评估达标情况、波动趋势和异常波动预警，并给出专业化管控建议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开放式健康问答</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自由提问，AI结合用户数据个性化回答。每个回答基于用户实际健康档案，而非通用知识库，确保建议与用户状况一致</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症状与数据综合分析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描述症状后AI自动关联历史检查数据综合分析，将用户描述的症状与已有指标数据交叉分析，发现潜在关联</w:t>
            </w:r>
            <w:r>
              <w:rPr>
                <w:rFonts w:hint="eastAsia" w:asciiTheme="minorEastAsia" w:hAnsiTheme="minorEastAsia" w:eastAsiaTheme="minorEastAsia"/>
                <w:color w:val="auto"/>
                <w:highlight w:val="none"/>
              </w:rPr>
              <w:t xml:space="preserve">关系</w:t>
            </w:r>
            <w:r>
              <w:rPr>
                <w:rFonts w:asciiTheme="minorEastAsia" w:hAnsiTheme="minorEastAsia" w:eastAsiaTheme="minorEastAsia"/>
                <w:color w:val="auto"/>
                <w:highlight w:val="none"/>
              </w:rPr>
              <w:t xml:space="preserve">，给出个性化就医建议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个性化健康建议</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AI基于用户完整健康画像给出专属饮食、运动、作息建议，建议完全基于用户实际数据，而非泛泛通用建议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指标关联性分析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AI分析不同指标之间的关联关系，帮助患者理解因果关系。基于用户自身数据发现个性化关联（如餐后血糖偏高通常出现在摄入主食过量时）</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饮食运动综合分析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AI综合分析饮食运动数据，给出整体评价和调整方案。结合用户饮食摄入和运动消耗的平衡关系，给出个性化调整建议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30</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健康知识智能解答</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针对用户提出的健康知识问题，AI结合医疗知识库和用户个人情况，给出准确、专业、易懂的解答</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任务查询与智能跳转</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对话中询问当天任务，AI列出待办并一键跳转完成</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任务进度追踪</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对话中询问进度，AI汇报完成情况并提醒未完成项</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任务完成智能反馈</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完成管理任务后，AI智能结合用户健康数据分析，给出适当建议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随访任务智能管理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AI根据就诊计划自动生成随访任务，定时提醒并追踪执行情况，未完成时自动催办</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对话式查询健康档案</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通过对话查询自身健康异常指标、变化趋势和整体评价，AI自动追踪全部异常指标并给出改善方向</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今日健康综合视图</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AI生成今日健康综合视图，包含运动记录、饮食记录、待办事项任务，多页面信息聚合一屏呈现</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（3）</w:t>
      </w:r>
      <w:r>
        <w:rPr>
          <w:rFonts w:asciiTheme="minorEastAsia" w:hAnsiTheme="minorEastAsia" w:eastAsiaTheme="minorEastAsia"/>
          <w:b/>
          <w:bCs/>
          <w:color w:val="auto"/>
          <w:highlight w:val="none"/>
        </w:rPr>
        <w:t xml:space="preserve">全周期健康管理升级（单点社区-区域型社区）</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项目需在现有健康管理基础上完成全周期能力升级，围绕管理对象全生命周期服务需求，建设贯通筛查、评估、计划、随访、干预、复评与归档的全过程管理体系；系统应具备工作台总览、患者管理、计划配置、随访管理、消息沟通、数据智能处理与基础管理等核心能力，支持医护人员围绕单一对象形成完整、连续、可追溯的管理链路。</w:t>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医院-社区多级共管</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居民管理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支持居民</w:t>
            </w:r>
            <w:r>
              <w:rPr>
                <w:rFonts w:hint="eastAsia" w:asciiTheme="minorEastAsia" w:hAnsiTheme="minorEastAsia" w:eastAsiaTheme="minorEastAsia"/>
                <w:color w:val="auto"/>
                <w:highlight w:val="none"/>
              </w:rPr>
              <w:t xml:space="preserve">管理</w:t>
            </w:r>
            <w:r>
              <w:rPr>
                <w:rFont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注册建立专属档案</w:t>
            </w:r>
            <w:r>
              <w:rPr>
                <w:rFonts w:asciiTheme="minorEastAsia" w:hAnsiTheme="minorEastAsia" w:eastAsiaTheme="minorEastAsia"/>
                <w:color w:val="auto"/>
                <w:highlight w:val="none"/>
              </w:rPr>
              <w:t xml:space="preserve">。</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随访计划管理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支持为居民制定个性化的随访管理计划，包括随访内容、随访频率、监测指标等要素的灵活配置。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随访任务执行</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支持家庭医生通过多种方式</w:t>
            </w:r>
            <w:r>
              <w:rPr>
                <w:rFonts w:hint="eastAsia" w:asciiTheme="minorEastAsia" w:hAnsiTheme="minorEastAsia" w:eastAsiaTheme="minorEastAsia"/>
                <w:color w:val="auto"/>
                <w:highlight w:val="none"/>
              </w:rPr>
              <w:t xml:space="preserve">（如患者自助完成，家庭医生辅助完成等方式）</w:t>
            </w:r>
            <w:r>
              <w:rPr>
                <w:rFonts w:asciiTheme="minorEastAsia" w:hAnsiTheme="minorEastAsia" w:eastAsiaTheme="minorEastAsia"/>
                <w:color w:val="auto"/>
                <w:highlight w:val="none"/>
              </w:rPr>
              <w:t xml:space="preserve">完成随访工作</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提供结构化的随访问卷、便捷的数据录入界面和智能化的辅助工具。</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专病模板知识库</w:t>
            </w:r>
            <w:r>
              <w:rPr>
                <w:rFonts w:hint="eastAsia" w:asciiTheme="minorEastAsia" w:hAnsiTheme="minorEastAsia" w:eastAsiaTheme="minorEastAsia"/>
                <w:color w:val="auto"/>
                <w:highlight w:val="none"/>
              </w:rPr>
              <w:t xml:space="preserve">建设</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需支持设置</w:t>
            </w:r>
            <w:r>
              <w:rPr>
                <w:rFonts w:asciiTheme="minorEastAsia" w:hAnsiTheme="minorEastAsia" w:eastAsiaTheme="minorEastAsia"/>
                <w:color w:val="auto"/>
                <w:highlight w:val="none"/>
              </w:rPr>
              <w:t xml:space="preserve">问卷知识库、管理计划模板和患教内容模板的统一管理将优质内容进行标准化沉淀，</w:t>
            </w:r>
            <w:r>
              <w:rPr>
                <w:rFonts w:hint="eastAsia" w:asciiTheme="minorEastAsia" w:hAnsiTheme="minorEastAsia" w:eastAsiaTheme="minorEastAsia"/>
                <w:color w:val="auto"/>
                <w:highlight w:val="none"/>
              </w:rPr>
              <w:t xml:space="preserve">机构可以自由管理知识库内容，</w:t>
            </w:r>
            <w:r>
              <w:rPr>
                <w:rFonts w:asciiTheme="minorEastAsia" w:hAnsiTheme="minorEastAsia" w:eastAsiaTheme="minorEastAsia"/>
                <w:color w:val="auto"/>
                <w:highlight w:val="none"/>
              </w:rPr>
              <w:t xml:space="preserve">便于复用和共享。</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科研专病库</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支持针对特定疾病自定义收集表单、指标和报告数据，系统自动搜索并填充符合条件的居民数据，支持数据导出用于科研分析。</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医患即时沟通</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支持家庭医生与签约居民之间的实时在线交流，基于微信小程序实现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智能群发工具</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支持家庭医生根据标签筛选目标居民分组，批量推送各类通知和内容，大幅提升公共卫生服务的覆盖效率。 多推送类型：即时消息、患教内容、表单问卷、管理计划 灵活发送范围：按标签筛选、按分组筛选、手动选择 定时发送：支持即时发送和定时发送 推送效果追踪：记录发送范围、阅读率等效果数据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患者宣教管理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支持向签约居民推送图文、视频等多样化的健康宣教内容，支持个性化推送和智能触发。丰富内容库：科普图文、教学视频、互动内容 多种推送方式：手动推送、计划推送、智能触发 智能触发机制：健康指标异常时自动推送相关宣教内容 学习打卡：支持居民观看视频后打卡</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智能提醒服务</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通过微信消息向签约居民推送各类健康管理提醒，提醒类型涵盖</w:t>
            </w:r>
            <w:r>
              <w:rPr>
                <w:rFonts w:hint="eastAsia" w:asciiTheme="minorEastAsia" w:hAnsiTheme="minorEastAsia" w:eastAsiaTheme="minorEastAsia"/>
                <w:color w:val="auto"/>
                <w:highlight w:val="none"/>
              </w:rPr>
              <w:t xml:space="preserve">任务</w:t>
            </w:r>
            <w:r>
              <w:rPr>
                <w:rFonts w:asciiTheme="minorEastAsia" w:hAnsiTheme="minorEastAsia" w:eastAsiaTheme="minorEastAsia"/>
                <w:color w:val="auto"/>
                <w:highlight w:val="none"/>
              </w:rPr>
              <w:t xml:space="preserve">提醒、监测提醒、随访提醒、</w:t>
            </w:r>
            <w:r>
              <w:rPr>
                <w:rFonts w:hint="eastAsia" w:asciiTheme="minorEastAsia" w:hAnsiTheme="minorEastAsia" w:eastAsiaTheme="minorEastAsia"/>
                <w:color w:val="auto"/>
                <w:highlight w:val="none"/>
              </w:rPr>
              <w:t xml:space="preserve">阈值提醒、</w:t>
            </w:r>
            <w:r>
              <w:rPr>
                <w:rFonts w:asciiTheme="minorEastAsia" w:hAnsiTheme="minorEastAsia" w:eastAsiaTheme="minorEastAsia"/>
                <w:color w:val="auto"/>
                <w:highlight w:val="none"/>
              </w:rPr>
              <w:t xml:space="preserve">复诊预约提醒等。 与随访计划深度联动：计划创建后自动生成对应提醒任务 个性化时间设置：支持按需配置提醒时间和频率 超期预警机制：居民未完成任务时</w:t>
            </w:r>
            <w:r>
              <w:rPr>
                <w:rFonts w:hint="eastAsia" w:asciiTheme="minorEastAsia" w:hAnsiTheme="minorEastAsia" w:eastAsiaTheme="minorEastAsia"/>
                <w:color w:val="auto"/>
                <w:highlight w:val="none"/>
              </w:rPr>
              <w:t xml:space="preserve">可</w:t>
            </w:r>
            <w:r>
              <w:rPr>
                <w:rFonts w:asciiTheme="minorEastAsia" w:hAnsiTheme="minorEastAsia" w:eastAsiaTheme="minorEastAsia"/>
                <w:color w:val="auto"/>
                <w:highlight w:val="none"/>
              </w:rPr>
              <w:t xml:space="preserve">自动向医生推送预警</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AI大模型工具提升家庭医生工作效率</w:t>
      </w:r>
      <w:r/>
    </w:p>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本节建设内容聚焦于运用AI大模型技术为家庭医生团队提供智能化工具支撑，减轻重复性工作负担，提升健康管理效率和服务质量。</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医学文本智能交互引擎</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利用OCR识别技术和NLP自然语言处理技术，自动识别居民上传的报告图片，提取文本信息并进行结构化处理。</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指标趋势分析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利用智能指标引擎，自动按类型和时间整理居民上传的各类报告和健康数据，为</w:t>
            </w:r>
            <w:r>
              <w:rPr>
                <w:rFonts w:hint="eastAsia" w:asciiTheme="minorEastAsia" w:hAnsiTheme="minorEastAsia" w:eastAsiaTheme="minorEastAsia"/>
                <w:color w:val="auto"/>
                <w:highlight w:val="none"/>
              </w:rPr>
              <w:t xml:space="preserve">机构</w:t>
            </w:r>
            <w:r>
              <w:rPr>
                <w:rFonts w:asciiTheme="minorEastAsia" w:hAnsiTheme="minorEastAsia" w:eastAsiaTheme="minorEastAsia"/>
                <w:color w:val="auto"/>
                <w:highlight w:val="none"/>
              </w:rPr>
              <w:t xml:space="preserve">提供清晰、直观的数据视图。 病历本视图：按时间顺序展示各类健康记录 指标趋势视图：以图表形式展示关键指标的变化趋势 异常标注：自动识别和标注异常指标 多指标对比：支持多个指标的同时展示和对比分析</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AI健康助手</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基于大语言模型技术，为</w:t>
            </w:r>
            <w:r>
              <w:rPr>
                <w:rFonts w:hint="eastAsia" w:asciiTheme="minorEastAsia" w:hAnsiTheme="minorEastAsia" w:eastAsiaTheme="minorEastAsia"/>
                <w:color w:val="auto"/>
                <w:highlight w:val="none"/>
              </w:rPr>
              <w:t xml:space="preserve">机构</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内容信息</w:t>
            </w:r>
            <w:r>
              <w:rPr>
                <w:rFonts w:asciiTheme="minorEastAsia" w:hAnsiTheme="minorEastAsia" w:eastAsiaTheme="minorEastAsia"/>
                <w:color w:val="auto"/>
                <w:highlight w:val="none"/>
              </w:rPr>
              <w:t xml:space="preserve">和</w:t>
            </w:r>
            <w:r>
              <w:rPr>
                <w:rFonts w:hint="eastAsia" w:asciiTheme="minorEastAsia" w:hAnsiTheme="minorEastAsia" w:eastAsiaTheme="minorEastAsia"/>
                <w:color w:val="auto"/>
                <w:highlight w:val="none"/>
              </w:rPr>
              <w:t xml:space="preserve">AI建议</w:t>
            </w:r>
            <w:r>
              <w:rPr>
                <w:rFonts w:asciiTheme="minorEastAsia" w:hAnsiTheme="minorEastAsia" w:eastAsiaTheme="minorEastAsia"/>
                <w:color w:val="auto"/>
                <w:highlight w:val="none"/>
              </w:rPr>
              <w:t xml:space="preserve">。 医生可通过自然语言提问，AI助手结合居民健康数据给出专业参考建议。</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智能预警反馈</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基于居民健康数据的实时监测，当发现异常指标或风险变化时，自动向</w:t>
            </w:r>
            <w:r>
              <w:rPr>
                <w:rFonts w:hint="eastAsia" w:asciiTheme="minorEastAsia" w:hAnsiTheme="minorEastAsia" w:eastAsiaTheme="minorEastAsia"/>
                <w:color w:val="auto"/>
                <w:highlight w:val="none"/>
              </w:rPr>
              <w:t xml:space="preserve">机构</w:t>
            </w:r>
            <w:r>
              <w:rPr>
                <w:rFonts w:asciiTheme="minorEastAsia" w:hAnsiTheme="minorEastAsia" w:eastAsiaTheme="minorEastAsia"/>
                <w:color w:val="auto"/>
                <w:highlight w:val="none"/>
              </w:rPr>
              <w:t xml:space="preserve">推送预警信息。 实时监测：持续跟踪居民健康数据 灵活配置：预警规则支持按疾病类型和指标维度灵活配置 </w:t>
            </w:r>
            <w:r>
              <w:rPr>
                <w:rFonts w:hint="eastAsia" w:asciiTheme="minorEastAsia" w:hAnsiTheme="minorEastAsia" w:eastAsiaTheme="minorEastAsia"/>
                <w:color w:val="auto"/>
                <w:highlight w:val="none"/>
              </w:rPr>
              <w:t xml:space="preserve">多类型提示</w:t>
            </w:r>
            <w:r>
              <w:rPr>
                <w:rFonts w:asciiTheme="minorEastAsia" w:hAnsiTheme="minorEastAsia" w:eastAsiaTheme="minorEastAsia"/>
                <w:color w:val="auto"/>
                <w:highlight w:val="none"/>
              </w:rPr>
              <w:t xml:space="preserve">：根据</w:t>
            </w:r>
            <w:r>
              <w:rPr>
                <w:rFonts w:hint="eastAsia" w:asciiTheme="minorEastAsia" w:hAnsiTheme="minorEastAsia" w:eastAsiaTheme="minorEastAsia"/>
                <w:color w:val="auto"/>
                <w:highlight w:val="none"/>
              </w:rPr>
              <w:t xml:space="preserve">不同类型进行任务超时、指标预警等不同类型的提示</w:t>
            </w:r>
            <w:r>
              <w:rPr>
                <w:rFonts w:asciiTheme="minorEastAsia" w:hAnsiTheme="minorEastAsia" w:eastAsiaTheme="minorEastAsia"/>
                <w:color w:val="auto"/>
                <w:highlight w:val="none"/>
              </w:rPr>
              <w:t xml:space="preserve"> 闭环处理：预警信息关联处理流程</w:t>
            </w:r>
            <w:r/>
          </w:p>
        </w:tc>
      </w:tr>
    </w:tbl>
    <w:p>
      <w:pPr>
        <w:pStyle w:val="1189"/>
        <w:ind w:firstLine="482"/>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4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全周期居民画像</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4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居民健康档案</w:t>
            </w:r>
            <w:r>
              <w:rPr>
                <w:rFonts w:hint="eastAsia" w:asciiTheme="minorEastAsia" w:hAnsiTheme="minorEastAsia" w:eastAsiaTheme="minorEastAsia"/>
                <w:color w:val="auto"/>
                <w:highlight w:val="none"/>
              </w:rPr>
              <w:t xml:space="preserve">（机构端）</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整合居民在院内、院外和日常管理中产生的各类健康数据，形成完整的个人健康记录</w:t>
            </w:r>
            <w:r>
              <w:rPr>
                <w:rFonts w:hint="eastAsia" w:asciiTheme="minorEastAsia" w:hAnsiTheme="minorEastAsia" w:eastAsiaTheme="minorEastAsia"/>
                <w:color w:val="auto"/>
                <w:highlight w:val="none"/>
              </w:rPr>
              <w:t xml:space="preserve">和档案</w:t>
            </w:r>
            <w:r>
              <w:rPr>
                <w:rFonts w:asciiTheme="minorEastAsia" w:hAnsiTheme="minorEastAsia" w:eastAsiaTheme="minorEastAsia"/>
                <w:color w:val="auto"/>
                <w:highlight w:val="none"/>
              </w:rPr>
              <w:t xml:space="preserve">。档案内容涵盖基本信息、既往病史、家族史、检验检查、随访记录、健康监测数据</w:t>
            </w:r>
            <w:r>
              <w:rPr>
                <w:rFonts w:hint="eastAsia" w:asciiTheme="minorEastAsia" w:hAnsiTheme="minorEastAsia" w:eastAsiaTheme="minorEastAsia"/>
                <w:color w:val="auto"/>
                <w:highlight w:val="none"/>
              </w:rPr>
              <w:t xml:space="preserve">，运动饮食</w:t>
            </w:r>
            <w:r>
              <w:rPr>
                <w:rFonts w:asciiTheme="minorEastAsia" w:hAnsiTheme="minorEastAsia" w:eastAsiaTheme="minorEastAsia"/>
                <w:color w:val="auto"/>
                <w:highlight w:val="none"/>
              </w:rPr>
              <w:t xml:space="preserve">等。</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居民自我健康管理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通过微信小程序，为</w:t>
            </w:r>
            <w:r>
              <w:rPr>
                <w:rFonts w:hint="eastAsia" w:asciiTheme="minorEastAsia" w:hAnsiTheme="minorEastAsia" w:eastAsiaTheme="minorEastAsia"/>
                <w:color w:val="auto"/>
                <w:highlight w:val="none"/>
              </w:rPr>
              <w:t xml:space="preserve">加入</w:t>
            </w:r>
            <w:r>
              <w:rPr>
                <w:rFonts w:asciiTheme="minorEastAsia" w:hAnsiTheme="minorEastAsia" w:eastAsiaTheme="minorEastAsia"/>
                <w:color w:val="auto"/>
                <w:highlight w:val="none"/>
              </w:rPr>
              <w:t xml:space="preserve">居民提供便捷的自我健康管理工具，涵盖健康数据记录、饮食分析、运动管理、健康时间轴、AI智能反馈等功能。</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健康数据记录</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支持居民通过小程序便捷地记录和上传各类健康数据，包括血压、血糖、</w:t>
            </w:r>
            <w:r>
              <w:rPr>
                <w:rFonts w:hint="eastAsia" w:asciiTheme="minorEastAsia" w:hAnsiTheme="minorEastAsia" w:eastAsiaTheme="minorEastAsia"/>
                <w:color w:val="auto"/>
                <w:highlight w:val="none"/>
              </w:rPr>
              <w:t xml:space="preserve">身高、</w:t>
            </w:r>
            <w:r>
              <w:rPr>
                <w:rFonts w:asciiTheme="minorEastAsia" w:hAnsiTheme="minorEastAsia" w:eastAsiaTheme="minorEastAsia"/>
                <w:color w:val="auto"/>
                <w:highlight w:val="none"/>
              </w:rPr>
              <w:t xml:space="preserve">体重等体征数据。功能支持手动录入和</w:t>
            </w:r>
            <w:r>
              <w:rPr>
                <w:rFonts w:hint="eastAsia" w:asciiTheme="minorEastAsia" w:hAnsiTheme="minorEastAsia" w:eastAsiaTheme="minorEastAsia"/>
                <w:color w:val="auto"/>
                <w:highlight w:val="none"/>
              </w:rPr>
              <w:t xml:space="preserve">拍照上传等</w:t>
            </w:r>
            <w:r>
              <w:rPr>
                <w:rFonts w:asciiTheme="minorEastAsia" w:hAnsiTheme="minorEastAsia" w:eastAsiaTheme="minorEastAsia"/>
                <w:color w:val="auto"/>
                <w:highlight w:val="none"/>
              </w:rPr>
              <w:t xml:space="preserve">方式。</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饮食分析</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帮助居民记录每日饮食，自动计算热量摄入和营养素构成，为慢病患者的饮食管理提供数据支撑。</w:t>
            </w:r>
            <w:r>
              <w:rPr>
                <w:rFonts w:hint="eastAsia" w:asciiTheme="minorEastAsia" w:hAnsiTheme="minorEastAsia" w:eastAsiaTheme="minorEastAsia"/>
                <w:color w:val="auto"/>
                <w:highlight w:val="none"/>
              </w:rPr>
              <w:t xml:space="preserve">同时根据个人健康情况给出个性化分析建议，</w:t>
            </w:r>
            <w:r>
              <w:rPr>
                <w:rFonts w:asciiTheme="minorEastAsia" w:hAnsiTheme="minorEastAsia" w:eastAsiaTheme="minorEastAsia"/>
                <w:color w:val="auto"/>
                <w:highlight w:val="none"/>
              </w:rPr>
              <w:t xml:space="preserve">支持拍照识别食物</w:t>
            </w:r>
            <w:r>
              <w:rPr>
                <w:rFonts w:hint="eastAsia" w:asciiTheme="minorEastAsia" w:hAnsiTheme="minorEastAsia" w:eastAsiaTheme="minorEastAsia"/>
                <w:color w:val="auto"/>
                <w:highlight w:val="none"/>
              </w:rPr>
              <w:t xml:space="preserve">便捷</w:t>
            </w:r>
            <w:r>
              <w:rPr>
                <w:rFonts w:asciiTheme="minorEastAsia" w:hAnsiTheme="minorEastAsia" w:eastAsiaTheme="minorEastAsia"/>
                <w:color w:val="auto"/>
                <w:highlight w:val="none"/>
              </w:rPr>
              <w:t xml:space="preserve">录入方式。</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运动管理</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w:t>
            </w:r>
            <w:r>
              <w:rPr>
                <w:rFonts w:asciiTheme="minorEastAsia" w:hAnsiTheme="minorEastAsia" w:eastAsiaTheme="minorEastAsia"/>
                <w:color w:val="auto"/>
                <w:highlight w:val="none"/>
              </w:rPr>
              <w:t xml:space="preserve">支持居民记录日常运动情况，系统自动计算运动能量消耗，并根据居民的健康状况个性化定制运动建议。与饮食分析功能配合使用，帮助居民实现饮食与运动的平衡管理。</w:t>
            </w:r>
            <w:r>
              <w:rPr>
                <w:rFonts w:hint="eastAsia" w:asciiTheme="minorEastAsia" w:hAnsiTheme="minorEastAsia" w:eastAsiaTheme="minorEastAsia"/>
                <w:color w:val="auto"/>
                <w:highlight w:val="none"/>
              </w:rPr>
              <w:t xml:space="preserve">可生成阶段性的运动饮食报告。</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健康时间轴</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以时间轴形式，向居民展示其主要诊疗节点和参与的管理计划，帮助居民了解自己的病情概况和健康管理进程。</w:t>
            </w:r>
            <w:r/>
          </w:p>
        </w:tc>
      </w:tr>
      <w:tr>
        <w:trPr/>
        <w:tc>
          <w:tcPr>
            <w:tcW w:w="936" w:type="dxa"/>
            <w:vAlign w:val="center"/>
            <w:textDirection w:val="lrTb"/>
            <w:noWrap w:val="false"/>
          </w:tcPr>
          <w:p>
            <w:pPr>
              <w:pStyle w:val="1189"/>
              <w:ind w:firstLine="199"/>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182"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AI智能反馈</w:t>
            </w:r>
            <w:r/>
          </w:p>
        </w:tc>
        <w:tc>
          <w:tcPr>
            <w:tcW w:w="5245" w:type="dxa"/>
            <w:vAlign w:val="center"/>
            <w:textDirection w:val="lrTb"/>
            <w:noWrap w:val="false"/>
          </w:tcPr>
          <w:p>
            <w:pPr>
              <w:pStyle w:val="1189"/>
              <w:ind w:firstLine="480"/>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根据居民提交的计划内容、疾病信息及检验报告，自动生成疾病相关健康贴士、病情总结分析及进一步处理建议。</w:t>
            </w:r>
            <w:r/>
          </w:p>
        </w:tc>
      </w:tr>
    </w:tbl>
    <w:p>
      <w:pPr>
        <w:pStyle w:val="1189"/>
        <w:ind w:firstLine="480"/>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4、</w:t>
      </w:r>
      <w:r>
        <w:rPr>
          <w:rFonts w:asciiTheme="minorEastAsia" w:hAnsiTheme="minorEastAsia" w:eastAsiaTheme="minorEastAsia"/>
          <w:b/>
          <w:bCs/>
          <w:color w:val="auto"/>
          <w:highlight w:val="none"/>
        </w:rPr>
        <w:t xml:space="preserve">统一医学人工智能中心（AI中台）升级</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基于瑞金医院太仓分院智慧医院一期的已有医学人工智能平台，面向瑞金医院太仓分院智慧医院建设需求，深化打造“统一平台、统一底座、统一知识、统一设备管理”的一体化医学人工智能中台，支撑分院元宇宙急救、患者服务、智能推演、全周期健康管理、AI数字分生等多业务场景的 AI 能力统一接入、统一供给和统一治理。</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（1）</w:t>
      </w:r>
      <w:r>
        <w:rPr>
          <w:rFonts w:asciiTheme="minorEastAsia" w:hAnsiTheme="minorEastAsia" w:eastAsiaTheme="minorEastAsia"/>
          <w:b/>
          <w:bCs/>
          <w:color w:val="auto"/>
          <w:highlight w:val="none"/>
        </w:rPr>
        <w:t xml:space="preserve">新建医学知识共享中心</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瑞金医院太仓分院（以下简称“我院”）作为上海交通大学医学院附属瑞金医院在长三角一体化示范区的重要延伸，肩负着区域疑难危重症诊治、医学教育与科研转化等多重使命。</w:t>
      </w:r>
      <w:r>
        <w:rPr>
          <w:rFonts w:hint="eastAsia" w:asciiTheme="minorEastAsia" w:hAnsiTheme="minorEastAsia" w:eastAsiaTheme="minorEastAsia"/>
          <w:color w:val="auto"/>
          <w:highlight w:val="none"/>
        </w:rPr>
        <w:t xml:space="preserve">本期需新建医学知识共享中心，为医院采集、处理、管理、应用院内知识提供统一平台，包括但不限于医学知识（如医学教材等）、日常管理知识（如医院规章制度等）、科研知识（如医学文献、专家指南等）等。</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a、院内知识采集</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面向全院医务人员提供一站式的知识生产、</w:t>
      </w:r>
      <w:r>
        <w:rPr>
          <w:rFonts w:hint="eastAsia" w:asciiTheme="minorEastAsia" w:hAnsiTheme="minorEastAsia" w:eastAsiaTheme="minorEastAsia"/>
          <w:color w:val="auto"/>
          <w:highlight w:val="none"/>
        </w:rPr>
        <w:t xml:space="preserve">采集</w:t>
      </w:r>
      <w:r>
        <w:rPr>
          <w:rFonts w:asciiTheme="minorEastAsia" w:hAnsiTheme="minorEastAsia" w:eastAsiaTheme="minorEastAsia"/>
          <w:color w:val="auto"/>
          <w:highlight w:val="none"/>
        </w:rPr>
        <w:t xml:space="preserve">能力，是平台的基础底座。</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▲知识库创建及文档上传</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构建多个业务场景下的知识库（如临床、护理、药学、科研等），支持知识库目录树结构，可单文件或批量上传，支持上传、预览、解析不同类型包括但不限于pdf、word、doc、docx、txt、xls、xlsx、csv、ppt、pptx、HTML等格式的文档，支持通过文件夹形式上传知识并保留文件夹结构，支持通过url链接读取文件/网页内容；</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2.支持智能表格的创建，支持表格、看板、日历、画册等多种视图能力，支持多种表格字段类型，如文本、数字、单复选、日期、成员、图片、附件、进度以及智能表之间的关联。</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3.支持人工编写/批量上传对（QA对）加入知识库；</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4.支持接入其他平台的外部知识库，通过API的形式提供接入能力；</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5.支持通过模板创建在线协同文档，支持通过@用户进行多人协同编辑。</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6.支持导入 XML 格式的Conflunce包、HTML 文件或 HTML 的压缩包。</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b、院内知识处</w:t>
      </w:r>
      <w:r>
        <w:rPr>
          <w:rFonts w:asciiTheme="minorEastAsia" w:hAnsiTheme="minorEastAsia" w:eastAsiaTheme="minorEastAsia"/>
          <w:b/>
          <w:bCs/>
          <w:color w:val="auto"/>
          <w:highlight w:val="none"/>
        </w:rPr>
        <w:t xml:space="preserve">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支持统一解析处理医学知识，并进行向量化检索处理</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▲知识解析</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1.支持图文混排等复杂文档解析。</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2.支持200MB以上离线文档解析。</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3.支持对知识文档的重复性检查</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4.支持复杂的大表格解析问答（上万行、上百列），可通过问答快速获取大表格中的准确信息，乙方需提供清晰具体的大表格中提取准确信息的示例截图（如从检验明细大表中精准定位某患者某项检验结果）</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知识切片</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1.支持按照语义理解的切片模型</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2.支持问答溯源查看切片。</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知识向量化</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1.支持自带向量数据库，且与向量化模型深度集成</w:t>
            </w:r>
            <w:r>
              <w:rPr>
                <w:rFonts w:asciiTheme="minorEastAsia" w:hAnsiTheme="minorEastAsia" w:eastAsiaTheme="minorEastAsia"/>
                <w:color w:val="auto"/>
                <w:highlight w:val="none"/>
              </w:rPr>
              <w:t xml:space="preserve">；</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知识检索</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1.支持向量检索+关键字检索双引擎，解决单一检索模式的局限性。</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2支持图文混合文档及跨表查询</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c、院内知识管理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支持对医院相关医学知识进行管理</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知识查看与下载</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1.支持各位类型支持的查看，如Word、PPT、PDF、Excel、TXT、图片预览等能</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2.支持查看知识创建人和创建时间</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3.支持对知识进行评论</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4.支持查看知识浏览记录，支持知识下发任务进度追踪</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5.支持全屏模式与演示模式</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6.支持知识的多端查看，如 PC端、手机端，手机端支持 web 与小程序展示</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7.支持知识的下载（包括音视频）与导出，支持导出为 PDF 和 HTML 格式，支持知识的下载审批</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知识权限</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1.支持多层级、多类型的知识库权限管理；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2.支持完整的知识级、人员级的权限管控及行为管理；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3.支持完整的权限管控，支并设定对应细分权限：可管理、可编辑、仅查看/下载、仅查看、无权限；</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4.支持多层级的知识库，公司级、部门级和个人级支持库，并可以设置从父级知识库继承权限。</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5.支持知识的分享，可分享给个人、部门</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6.支持设置知识库管理员，仅管理员可进入知识库管理后台</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7.支持全平台水印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知识管理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1.支持设置知识的有效期及知识回收站机制；</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2.支持知识的跨知识库移动。</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3.支持管理知识库模板</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4.支持异常下载预警，支持查看知识的前端用户操作日志，也支持查看管理员后台的操作日志</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5.支持查看 AI 问答的反馈信息</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6.支持敏感词设置，重复检测，冲突检测。</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7.支持对知识进行密级设置，不同密级对应不同管理权限。</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8.支持企业用户借助AI自定义审核规则，针对单个文件进行 AI 审核，在知识展示页直观展示审核意见和修改意见</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版本管理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1.知识编辑与上传可保存历史版本，支持恢复至指定历史版本，能够展示不同版本的时间以及创建人；</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2.支持版本对比，可任选两个版本的在线文档进行智能对比，识别新增、删除和修改点。</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3.支持从当前页面中生成副本，基于副本创建知识，从而构建新的知识。</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▲知识总览</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1.支持个人及公共知识库总览等内容展示；</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2.支持查看知识的使用及统计数据展示。</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3.支持多维度的数据统计、分析与展示，如：按机构、用户、文档、问答、AI问答等不同维度的统计数据展示，便于管理员及时了解知识库使用情况</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A</w:t>
            </w:r>
            <w:r>
              <w:rPr>
                <w:rFonts w:hint="eastAsia" w:asciiTheme="minorEastAsia" w:hAnsiTheme="minorEastAsia" w:eastAsiaTheme="minorEastAsia"/>
                <w:color w:val="auto"/>
                <w:highlight w:val="none"/>
              </w:rPr>
              <w:t xml:space="preserve">gent模式</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1.支持基于react 框架在agent模式下，由用户触发进行复杂知识操作任务的处理，如以文审文，以文审库，出具报告，插入知识库等。</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d、院内知识应用</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支持基于知识门户应用医院相关医学知识</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left="-254" w:firstLine="0"/>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left="-254" w:firstLine="734"/>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left="-254" w:firstLine="734"/>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知识门户</w:t>
            </w:r>
            <w:r/>
          </w:p>
        </w:tc>
        <w:tc>
          <w:tcPr>
            <w:tcW w:w="5245" w:type="dxa"/>
            <w:vAlign w:val="center"/>
            <w:textDirection w:val="lrTb"/>
            <w:noWrap w:val="false"/>
          </w:tcPr>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支持定义知识门户的图片与位置</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知识搜索</w:t>
            </w:r>
            <w:r/>
          </w:p>
        </w:tc>
        <w:tc>
          <w:tcPr>
            <w:tcW w:w="5245" w:type="dxa"/>
            <w:vAlign w:val="center"/>
            <w:textDirection w:val="lrTb"/>
            <w:noWrap w:val="false"/>
          </w:tcPr>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1.支持用户进行知识库内容搜索；</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2.支持通过勾选不同知识库、全部知识库、个人知识库、单篇知识进行知识搜索。</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▲知识问答</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1.支持AI智能问答的查看展示，支持展示文档所引用的切片片段、引用资料参考，支持通过切片直接跳转到指定文档，并定位位置。</w:t>
            </w:r>
            <w:r/>
          </w:p>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2.支持基于问答结果快捷创建新文档</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3.支持复杂大宽表格及图、文、表混排复杂文档解析解析及问答</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4.知识库数据统计，针对知识中包含数据进行统计分析</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5.支持针对回答结果点赞、点踩、建议反馈等功能；</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6.支持在智能问答中指定单个文档进行问答。</w:t>
            </w:r>
            <w:r/>
          </w:p>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7.支持问答结果输出图片</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8.支持自定义知识检索范围，并默认与搜索用户在文档权限关联。</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9.支持多轮对话，支持创建新对话，支持查看历史对话记录。</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10.支持切换多模型，包括快速问答、深度思考、专业研究。</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11.支持专业研究的模型预调，在检索结果基础上，调用解析文档间引用关系，在大模型深度思考之前完成任务拆解。</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12.支持学习模式，可以根据特定的文档进行多轮对话的学习互动。</w:t>
            </w:r>
            <w:r/>
          </w:p>
          <w:p>
            <w:pPr>
              <w:pStyle w:val="1189"/>
              <w:ind w:firstLine="43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13.支持生成思维导图，并支持导出。</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知识服务</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1.知识问答支持API调用、网站 iframe嵌入、web网页通过邀请成员或部门、链接、小程序分享；</w:t>
            </w:r>
            <w:r/>
          </w:p>
          <w:p>
            <w:pPr>
              <w:pStyle w:val="1189"/>
              <w:ind w:left="-254" w:firstLine="734"/>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2.知识库内容支持其他系统调用；</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3.支持提供标准 MCP 协议供其他系统调用。</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e、系统管理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支持对系统进行管理，统一进行用户、操作日志及平台进行管理</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用户管理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1.支持以角色维度管理用户和功能，能够创建、删除、修改用户账户，依据不同角色实现功能权限的精准分配，支持针对不同角色用户开放不同权限的知识库内容，实现部门级、角色级权限管理；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2.支持对接统一用户；</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操作日志及数据统计</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1.记录用户在平台上的操作行为、问答数据、安全防控情况；</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2.记录知识库使用情况并统计展示；</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▲平台性能</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1.满足单次批量上传文档最大数量不少于100个，支持不少于5种及不同编码格式,支持txt文件上限不低于10M，支持PDF文件上限不低于200M且不低于3000页，其他类型文件上限不低于50M且不低于1000页；</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2.支持不低于3000用户。</w:t>
            </w:r>
            <w:r/>
          </w:p>
        </w:tc>
      </w:tr>
    </w:tbl>
    <w:p>
      <w:pPr>
        <w:pStyle w:val="1189"/>
        <w:ind w:firstLine="482"/>
        <w:spacing w:line="460" w:lineRule="exact"/>
        <w:rPr>
          <w:rFonts w:asciiTheme="minorEastAsia" w:hAnsiTheme="minorEastAsia" w:eastAsiaTheme="minorEastAsia"/>
          <w:b/>
          <w:bCs/>
          <w:color w:val="auto"/>
          <w:highlight w:val="none"/>
        </w:rPr>
      </w:pPr>
      <w:r/>
      <w:bookmarkStart w:id="24" w:name="OLE_LINK8"/>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w:t>
      </w:r>
      <w:r>
        <w:rPr>
          <w:rFonts w:asciiTheme="minorEastAsia" w:hAnsiTheme="minorEastAsia" w:eastAsiaTheme="minorEastAsia"/>
          <w:b/>
          <w:bCs/>
          <w:color w:val="auto"/>
          <w:highlight w:val="none"/>
        </w:rPr>
        <w:t xml:space="preserve">升级智能体开发平台</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多租户能力升级</w:t>
      </w:r>
      <w:r/>
    </w:p>
    <w:p>
      <w:pPr>
        <w:pStyle w:val="1189"/>
        <w:ind w:firstLine="480"/>
        <w:spacing w:line="460" w:lineRule="exact"/>
        <w:rPr>
          <w:rFonts w:asciiTheme="minorEastAsia" w:hAnsiTheme="minorEastAsia" w:eastAsiaTheme="minorEastAsia"/>
          <w:bCs/>
          <w:color w:val="auto"/>
          <w:highlight w:val="none"/>
        </w:rPr>
      </w:pPr>
      <w:r>
        <w:rPr>
          <w:rFonts w:asciiTheme="minorEastAsia" w:hAnsiTheme="minorEastAsia" w:eastAsiaTheme="minorEastAsia"/>
          <w:color w:val="auto"/>
          <w:highlight w:val="none"/>
        </w:rPr>
        <w:t xml:space="preserve">多租户能力升级</w:t>
      </w:r>
      <w:r>
        <w:rPr>
          <w:rFonts w:hint="eastAsia" w:asciiTheme="minorEastAsia" w:hAnsiTheme="minorEastAsia" w:eastAsiaTheme="minorEastAsia"/>
          <w:color w:val="auto"/>
          <w:highlight w:val="none"/>
        </w:rPr>
        <w:t xml:space="preserve">智能体开发平台，协助区域乃至总院场景共用</w:t>
      </w:r>
      <w:r>
        <w:rPr>
          <w:rFonts w:asciiTheme="minorEastAsia" w:hAnsiTheme="minorEastAsia" w:eastAsiaTheme="minorEastAsia"/>
          <w:color w:val="auto"/>
          <w:highlight w:val="none"/>
        </w:rPr>
        <w:t xml:space="preserve">。</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租户级用户与组织管理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用户创建：管理员在创建新用户时需要填写用户名、医院或机构工号、邮箱、手机号，作为用户身份认证与审计追溯的关键字段，避免匿名或空壳账号； 初始密码策略：支持管理员直接指定或系统随机生成初始密码，首次登录强制修改并进行密码强度校验，与我院统一身份口令策略保持一致；</w:t>
            </w:r>
            <w:r>
              <w:rPr>
                <w:rFonts w:hint="eastAsia" w:asciiTheme="minorEastAsia" w:hAnsiTheme="minorEastAsia" w:eastAsiaTheme="minorEastAsia"/>
                <w:color w:val="auto"/>
                <w:highlight w:val="none"/>
              </w:rPr>
              <w:t xml:space="preserve">需提供类似项目该功能截图，需承诺不使用第三方开源软件平台（承诺函格式自拟）</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多租户数据报表与运营看板</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我院及卫健委管理层需</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在一张视图上看到下属各医疗机构的 AI 使用全景，以便进行统一监管、资源协调与合规评估。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多租户运维管理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为各机构配置资源配额：包括 QPM（每分钟查询次数）、TPM（每分钟 Token 量）、知识库容量、应用数量等，按机构等级与实际需求差异化配置； 资源使用监控：实时查看各机构的资源使用率、剩余配额、是否存在超配额风险，为特殊时段的扩容决策提供依据；</w:t>
            </w:r>
            <w:r>
              <w:rPr>
                <w:rFonts w:hint="eastAsia" w:asciiTheme="minorEastAsia" w:hAnsiTheme="minorEastAsia" w:eastAsiaTheme="minorEastAsia"/>
                <w:color w:val="auto"/>
                <w:highlight w:val="none"/>
              </w:rPr>
              <w:t xml:space="preserve">需提供类似项目该功能截图，需承诺不使用第三方开源软件平台（承诺函格式自拟）</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审批中心</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审批规则配置：预置应用发布审批类型，并允许自定义</w:t>
            </w:r>
            <w:r>
              <w:rPr>
                <w:rFonts w:hint="eastAsia" w:asciiTheme="minorEastAsia" w:hAnsiTheme="minorEastAsia" w:eastAsiaTheme="minorEastAsia"/>
                <w:color w:val="auto"/>
                <w:highlight w:val="none"/>
              </w:rPr>
              <w:t xml:space="preserve">智能体应用</w:t>
            </w:r>
            <w:r>
              <w:rPr>
                <w:rFonts w:asciiTheme="minorEastAsia" w:hAnsiTheme="minorEastAsia" w:eastAsiaTheme="minorEastAsia"/>
                <w:color w:val="auto"/>
                <w:highlight w:val="none"/>
              </w:rPr>
              <w:t xml:space="preserve">发布审批、</w:t>
            </w:r>
            <w:r>
              <w:rPr>
                <w:rFonts w:hint="eastAsia" w:asciiTheme="minorEastAsia" w:hAnsiTheme="minorEastAsia" w:eastAsiaTheme="minorEastAsia"/>
                <w:color w:val="auto"/>
                <w:highlight w:val="none"/>
              </w:rPr>
              <w:t xml:space="preserve">SKILL</w:t>
            </w:r>
            <w:r>
              <w:rPr>
                <w:rFonts w:asciiTheme="minorEastAsia" w:hAnsiTheme="minorEastAsia" w:eastAsiaTheme="minorEastAsia"/>
                <w:color w:val="auto"/>
                <w:highlight w:val="none"/>
              </w:rPr>
              <w:t xml:space="preserve">上架审批等流程，满足医院对"AI 对外发布"的前置管控诉求； 审批范围灵活配置：可按空间、按应用或二者组合设置审批范围，对临床高风险场景（如用药建议、诊疗建议）强制审批，对低风险内部场景放开直发；</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插件与应用模板治理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统一插件上架/下架：我院作为区域主管方可统一上架、下架内置插件，上架后在所有机构插件广场可见，下架后各机构不可再使用，避免"野生插件"引发的安全风险； 插件生命周期管理：支持插件版本、使用统计、适用场景、权限控制，确保每个插件在合规范围内运行；</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智能体应用开发</w:t>
      </w:r>
      <w:r>
        <w:rPr>
          <w:rFonts w:hint="eastAsia" w:asciiTheme="minorEastAsia" w:hAnsiTheme="minorEastAsia" w:eastAsiaTheme="minorEastAsia"/>
          <w:b/>
          <w:bCs/>
          <w:color w:val="auto"/>
          <w:highlight w:val="none"/>
        </w:rPr>
        <w:t xml:space="preserve">平台</w:t>
      </w:r>
      <w:r>
        <w:rPr>
          <w:rFonts w:asciiTheme="minorEastAsia" w:hAnsiTheme="minorEastAsia" w:eastAsiaTheme="minorEastAsia"/>
          <w:b/>
          <w:bCs/>
          <w:color w:val="auto"/>
          <w:highlight w:val="none"/>
        </w:rPr>
        <w:t xml:space="preserve">升级</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智能体应用开发</w:t>
      </w:r>
      <w:r>
        <w:rPr>
          <w:rFonts w:hint="eastAsia" w:asciiTheme="minorEastAsia" w:hAnsiTheme="minorEastAsia" w:eastAsiaTheme="minorEastAsia"/>
          <w:color w:val="auto"/>
          <w:highlight w:val="none"/>
        </w:rPr>
        <w:t xml:space="preserve">平台</w:t>
      </w:r>
      <w:r>
        <w:rPr>
          <w:rFonts w:asciiTheme="minorEastAsia" w:hAnsiTheme="minorEastAsia" w:eastAsiaTheme="minorEastAsia"/>
          <w:color w:val="auto"/>
          <w:highlight w:val="none"/>
        </w:rPr>
        <w:t xml:space="preserve">是本次升级的第二核心模块，目标是为院内员工与区域机构用户提供统一的智能体门户与治理平台：对业务侧，提供一个"AI 入口"；对管理侧，形成"接入—路由—观测—优化"的全链路治理闭环，实现我院 AI 能力的规模化稳定运行。</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医院用户视角的统一入口</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统一门户：用户登录后默认进入首页全局对话，所有已发布智能体均在该入口内被检索和调用，无需区分底层平台； 全局会话：支持流式输出、历史会话管理、智能体选择、按智能体上传文档/图片附件，以契合病历、报告、影像截图等医疗场景；</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总览驾驶舱</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需支持</w:t>
            </w:r>
            <w:r>
              <w:rPr>
                <w:rFonts w:asciiTheme="minorEastAsia" w:hAnsiTheme="minorEastAsia" w:eastAsiaTheme="minorEastAsia"/>
                <w:color w:val="auto"/>
                <w:highlight w:val="none"/>
              </w:rPr>
              <w:t xml:space="preserve">核心指标卡片</w:t>
            </w:r>
            <w:r>
              <w:rPr>
                <w:rFonts w:hint="eastAsia" w:asciiTheme="minorEastAsia" w:hAnsiTheme="minorEastAsia" w:eastAsiaTheme="minorEastAsia"/>
                <w:color w:val="auto"/>
                <w:highlight w:val="none"/>
              </w:rPr>
              <w:t xml:space="preserve">呈现</w:t>
            </w:r>
            <w:r>
              <w:rPr>
                <w:rFonts w:asciiTheme="minorEastAsia" w:hAnsiTheme="minorEastAsia" w:eastAsiaTheme="minorEastAsia"/>
                <w:color w:val="auto"/>
                <w:highlight w:val="none"/>
              </w:rPr>
              <w:t xml:space="preserve">：包括 AI 应用总数、已启用数、调用量、成功率、平均响应时间、用户数，覆盖"数量—活跃—质量"三类指标； 调用趋势：展示所选时间窗口内调用量变化曲线，支持 30 秒自动刷新，实时反映运行状况；</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智能体中心</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智能体资产管理：对院内全部智能体进行统一创建、编辑、启停、删除，维护平台类型、平台配置、状态等字段； 平台接入管理：配置外部平台连接与凭据，为"同一入口、多底座接入"提供基础； 管理侧测试入口：上线前对智能体做对话验证，满足医院 AI 应用"先验证再发布"的内控要求；</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 26+ 文档类型、200MB+ 单文档处理，对复杂图文混排、表格、公式等版面进行智能识别与结构化处理。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支持对上万行表格或数据库执行条件筛选并聚合问答，让"问文档、问表格、问数据库"可以在同一应用中统一完成。</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意图总控</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支持将</w:t>
            </w:r>
            <w:r>
              <w:rPr>
                <w:rFonts w:asciiTheme="minorEastAsia" w:hAnsiTheme="minorEastAsia" w:eastAsiaTheme="minorEastAsia"/>
                <w:color w:val="auto"/>
                <w:highlight w:val="none"/>
              </w:rPr>
              <w:t xml:space="preserve">"用户自然语言输入—意图识别—路由决策—履约执行—追溯优化"封装为一套可治理的资产体系，让医院的 AI 能力从"单个智能体"升级为"智能体矩阵协同"。 意图库管理：对每个业务意图维护名称、描述、正例、反例、阈值与澄清配置</w:t>
            </w:r>
            <w:r>
              <w:rPr>
                <w:rFonts w:hint="eastAsia" w:asciiTheme="minorEastAsia" w:hAnsiTheme="minorEastAsia" w:eastAsiaTheme="minorEastAsia"/>
                <w:color w:val="auto"/>
                <w:highlight w:val="none"/>
              </w:rPr>
              <w:t xml:space="preserve">。</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运行观测</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整体观测 Dashboard：聚合调用量、成功率、错误数、耗时、成本等核心指标与趋势图表，快速判断系统健康度； 运行记录列表：以一次调用为粒度展示 Trace 列表，支持按智能体、平台、状态、时间、错误类型、关键字筛选；</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模型中心</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模型管理：对各类模型配置进行增删改查、启停、验证状态管理，并支持复制 Model ID、导出配置（不含敏感凭据）； 向导式新增模型：选择供应商→填写连接信息→拉取可用模型→选择或手动输入 Model ID→设置推理参数；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bookmarkStart w:id="25" w:name="OLE_LINK101"/>
            <w:r>
              <w:rPr>
                <w:rFonts w:hint="eastAsia" w:asciiTheme="minorEastAsia" w:hAnsiTheme="minorEastAsia" w:eastAsiaTheme="minorEastAsia"/>
                <w:color w:val="auto"/>
                <w:highlight w:val="none"/>
              </w:rPr>
              <w:t xml:space="preserve">▲</w:t>
            </w:r>
            <w:bookmarkEnd w:id="25"/>
            <w:r>
              <w:rPr>
                <w:rFonts w:asciiTheme="minorEastAsia" w:hAnsiTheme="minorEastAsia" w:eastAsiaTheme="minorEastAsia"/>
                <w:color w:val="auto"/>
                <w:highlight w:val="none"/>
              </w:rPr>
              <w:t xml:space="preserve">系统设置</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基础设置：配置平台名称、医院名称/LOGO、</w:t>
            </w:r>
            <w:bookmarkStart w:id="26" w:name="OLE_LINK102"/>
            <w:r>
              <w:rPr>
                <w:rFonts w:asciiTheme="minorEastAsia" w:hAnsiTheme="minorEastAsia" w:eastAsiaTheme="minorEastAsia"/>
                <w:color w:val="auto"/>
                <w:highlight w:val="none"/>
              </w:rPr>
              <w:t xml:space="preserve">favicon</w:t>
            </w:r>
            <w:bookmarkEnd w:id="26"/>
            <w:r>
              <w:rPr>
                <w:rFonts w:asciiTheme="minorEastAsia" w:hAnsiTheme="minorEastAsia" w:eastAsiaTheme="minorEastAsia"/>
                <w:color w:val="auto"/>
                <w:highlight w:val="none"/>
              </w:rPr>
              <w:t xml:space="preserve">、主题色、主题模式、语言、时区、字体、管理端外观，与我院规范保持一致； 用户端展示设置：按入口页、探索页、解决方案页分 Tab 配置展示内容，支持预览抽屉查看效果，便于运营调整；</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企业级安全保障升级模块</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医疗行业对数据安全、患者隐私、生成内容合规的要求远高于一般行业。</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沙盒与工作空间隔离</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工作空间隔离：按租户—科室—项目粒度划分独立工作空间，空间之间不可见；</w:t>
            </w:r>
            <w:r>
              <w:rPr>
                <w:rFonts w:hint="eastAsia" w:asciiTheme="minorEastAsia" w:hAnsiTheme="minorEastAsia" w:eastAsiaTheme="minorEastAsia"/>
                <w:color w:val="auto"/>
                <w:highlight w:val="none"/>
              </w:rPr>
              <w:t xml:space="preserve">数据</w:t>
            </w:r>
            <w:r>
              <w:rPr>
                <w:rFonts w:asciiTheme="minorEastAsia" w:hAnsiTheme="minorEastAsia" w:eastAsiaTheme="minorEastAsia"/>
                <w:color w:val="auto"/>
                <w:highlight w:val="none"/>
              </w:rPr>
              <w:t xml:space="preserve">隔离：</w:t>
            </w:r>
            <w:r>
              <w:rPr>
                <w:rFonts w:hint="eastAsia" w:asciiTheme="minorEastAsia" w:hAnsiTheme="minorEastAsia" w:eastAsiaTheme="minorEastAsia"/>
                <w:color w:val="auto"/>
                <w:highlight w:val="none"/>
              </w:rPr>
              <w:t xml:space="preserve">必须对</w:t>
            </w:r>
            <w:r>
              <w:rPr>
                <w:rFonts w:asciiTheme="minorEastAsia" w:hAnsiTheme="minorEastAsia" w:eastAsiaTheme="minorEastAsia"/>
                <w:color w:val="auto"/>
                <w:highlight w:val="none"/>
              </w:rPr>
              <w:t xml:space="preserve">个人助理与智能体</w:t>
            </w:r>
            <w:r>
              <w:rPr>
                <w:rFonts w:hint="eastAsia" w:asciiTheme="minorEastAsia" w:hAnsiTheme="minorEastAsia" w:eastAsiaTheme="minorEastAsia"/>
                <w:color w:val="auto"/>
                <w:highlight w:val="none"/>
              </w:rPr>
              <w:t xml:space="preserve">在正式上线前进行测试</w:t>
            </w:r>
            <w:r>
              <w:rPr>
                <w:rFont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必须给与单独的工作空间进行隔离，</w:t>
            </w:r>
            <w:r>
              <w:rPr>
                <w:rFonts w:asciiTheme="minorEastAsia" w:hAnsiTheme="minorEastAsia" w:eastAsiaTheme="minorEastAsia"/>
                <w:color w:val="auto"/>
                <w:highlight w:val="none"/>
              </w:rPr>
              <w:t xml:space="preserve">防止误操作系统文件或其他用户数据； 网络隔离：按租户配置可访问网络策略，对公网访问按需开放；</w:t>
            </w:r>
            <w:r/>
          </w:p>
        </w:tc>
      </w:tr>
    </w:tbl>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bookmarkEnd w:id="24"/>
      <w:r/>
      <w:r/>
    </w:p>
    <w:p>
      <w:pPr>
        <w:pStyle w:val="1189"/>
        <w:ind w:firstLine="482"/>
        <w:spacing w:line="460" w:lineRule="exact"/>
        <w:rPr>
          <w:rFonts w:asciiTheme="minorEastAsia" w:hAnsiTheme="minorEastAsia" w:eastAsiaTheme="minorEastAsia"/>
          <w:b/>
          <w:bCs/>
          <w:color w:val="auto"/>
          <w:highlight w:val="none"/>
        </w:rPr>
      </w:pPr>
      <w:r/>
      <w:bookmarkStart w:id="27" w:name="OLE_LINK3"/>
      <w:r>
        <w:rPr>
          <w:rFonts w:hint="eastAsia" w:asciiTheme="minorEastAsia" w:hAnsiTheme="minorEastAsia" w:eastAsiaTheme="minorEastAsia"/>
          <w:b/>
          <w:bCs/>
          <w:color w:val="auto"/>
          <w:highlight w:val="none"/>
        </w:rPr>
        <w:t xml:space="preserve">（3）</w:t>
      </w:r>
      <w:r>
        <w:rPr>
          <w:rFonts w:asciiTheme="minorEastAsia" w:hAnsiTheme="minorEastAsia" w:eastAsiaTheme="minorEastAsia"/>
          <w:b/>
          <w:bCs/>
          <w:color w:val="auto"/>
          <w:highlight w:val="none"/>
        </w:rPr>
        <w:t xml:space="preserve">机器学习平台扩容</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我院作为长三角一体化示范区内重要的三级综合性医院，承担着区域医疗中心、科研教学及疑难重症诊疗的多重职能。随着临床业务规模扩大以及智慧医院建设的持续推进，影像 AI、辅助诊断、自然语言病历质控、科研大模型、智能问答等 AI 应用已在多个科室进入试点或规模化部署阶段，算法模型数量与算力需求同步呈现指数级增长，需求对机器学习平台进行扩容升级。</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a、</w:t>
      </w:r>
      <w:r>
        <w:rPr>
          <w:rFonts w:asciiTheme="minorEastAsia" w:hAnsiTheme="minorEastAsia" w:eastAsiaTheme="minorEastAsia"/>
          <w:b/>
          <w:bCs/>
          <w:color w:val="auto"/>
          <w:highlight w:val="none"/>
        </w:rPr>
        <w:t xml:space="preserve">算力资源纳管</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本期重点升级内容之一，是将院内纳管 GPU 算力节点规模由</w:t>
      </w:r>
      <w:r>
        <w:rPr>
          <w:rFonts w:hint="eastAsia" w:asciiTheme="minorEastAsia" w:hAnsiTheme="minorEastAsia" w:eastAsiaTheme="minorEastAsia"/>
          <w:color w:val="auto"/>
          <w:highlight w:val="none"/>
        </w:rPr>
        <w:t xml:space="preserve">医院原有</w:t>
      </w:r>
      <w:r>
        <w:rPr>
          <w:rFonts w:asciiTheme="minorEastAsia" w:hAnsiTheme="minorEastAsia" w:eastAsiaTheme="minorEastAsia"/>
          <w:color w:val="auto"/>
          <w:highlight w:val="none"/>
        </w:rPr>
        <w:t xml:space="preserve">的 4 台扩容至 11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台，并以资源组为单位进行统一组织与调度，覆盖训练、推理、交互式开发三类工作负载。</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算力硬件纳管规模</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纳管 GPU 服务器台数（</w:t>
            </w:r>
            <w:r>
              <w:rPr>
                <w:rFonts w:hint="eastAsia" w:asciiTheme="minorEastAsia" w:hAnsiTheme="minorEastAsia" w:eastAsiaTheme="minorEastAsia"/>
                <w:color w:val="auto"/>
                <w:highlight w:val="none"/>
              </w:rPr>
              <w:t xml:space="preserve">不少于11</w:t>
            </w:r>
            <w:r>
              <w:rPr>
                <w:rFonts w:asciiTheme="minorEastAsia" w:hAnsiTheme="minorEastAsia" w:eastAsiaTheme="minorEastAsia"/>
                <w:color w:val="auto"/>
                <w:highlight w:val="none"/>
              </w:rPr>
              <w:t xml:space="preserve">台）；支持</w:t>
            </w:r>
            <w:r>
              <w:rPr>
                <w:rFonts w:hint="eastAsia" w:asciiTheme="minorEastAsia" w:hAnsiTheme="minorEastAsia" w:eastAsiaTheme="minorEastAsia"/>
                <w:color w:val="auto"/>
                <w:highlight w:val="none"/>
              </w:rPr>
              <w:t xml:space="preserve">不同异</w:t>
            </w:r>
            <w:r>
              <w:rPr>
                <w:rFonts w:asciiTheme="minorEastAsia" w:hAnsiTheme="minorEastAsia" w:eastAsiaTheme="minorEastAsia"/>
                <w:color w:val="auto"/>
                <w:highlight w:val="none"/>
              </w:rPr>
              <w:t xml:space="preserve">构算力</w:t>
            </w:r>
            <w:r>
              <w:rPr>
                <w:rFonts w:hint="eastAsia" w:asciiTheme="minorEastAsia" w:hAnsiTheme="minorEastAsia" w:eastAsiaTheme="minorEastAsia"/>
                <w:color w:val="auto"/>
                <w:highlight w:val="none"/>
              </w:rPr>
              <w:t xml:space="preserve">芯片及硬件</w:t>
            </w:r>
            <w:r>
              <w:rPr>
                <w:rFonts w:asciiTheme="minorEastAsia" w:hAnsiTheme="minorEastAsia" w:eastAsiaTheme="minorEastAsia"/>
                <w:color w:val="auto"/>
                <w:highlight w:val="none"/>
              </w:rPr>
              <w:t xml:space="preserve">厂商； </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资源组与节点管理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以资源组为单位组织同地域的 GPU / CPU 节点，支持多资源组隔离与配额； 节点支持在不同资源组之间迁移，在不释放硬件的前提下灵活调整分配； 节点状态全生命周期管理，包括部署中、运行中、异常、维修中、释放等状态；</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调度策略</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支持严格先进先出、同优先级遍历、全队列遍历三种排队策略，由管理员配置； 支持任务优先级 P0–P9 共 10 级标签，高优先级任务可抢占低优先级任务； 针对 GPU 任务默认最小化碎片调度，减少资源浪费；</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热备资源与高可用</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支持在本地域配置一个热备资源组，专用于生产高可用保障； 当生产节点出现维修任务或异常持续超过阈值时，平台从热备组中自动迁移规格一致的机器； 故障节点修复后自动归还到热备组，不影响上层任务的正常调度；</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配额与跨资源组调度</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支持默认配额与自定义配额（CPU / GPU / 内存三维度），</w:t>
            </w:r>
            <w:r>
              <w:rPr>
                <w:rFonts w:hint="eastAsia" w:asciiTheme="minorEastAsia" w:hAnsiTheme="minorEastAsia" w:eastAsiaTheme="minorEastAsia"/>
                <w:color w:val="auto"/>
                <w:highlight w:val="none"/>
              </w:rPr>
              <w:t xml:space="preserve">支持</w:t>
            </w:r>
            <w:r>
              <w:rPr>
                <w:rFonts w:asciiTheme="minorEastAsia" w:hAnsiTheme="minorEastAsia" w:eastAsiaTheme="minorEastAsia"/>
                <w:color w:val="auto"/>
                <w:highlight w:val="none"/>
              </w:rPr>
              <w:t xml:space="preserve">覆盖 50 个子账号或用户组； 同时具备多配额时，按各参数最大值生效； 支持资源出借与跨资源组调度，当本资源组资源不足时自动调度到其它开启出借的资源组；</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b、</w:t>
      </w:r>
      <w:r>
        <w:rPr>
          <w:rFonts w:asciiTheme="minorEastAsia" w:hAnsiTheme="minorEastAsia" w:eastAsiaTheme="minorEastAsia"/>
          <w:b/>
          <w:bCs/>
          <w:color w:val="auto"/>
          <w:highlight w:val="none"/>
        </w:rPr>
        <w:t xml:space="preserve">模型统一管理</w:t>
      </w:r>
      <w:r>
        <w:rPr>
          <w:rFonts w:hint="eastAsia" w:asciiTheme="minorEastAsia" w:hAnsiTheme="minorEastAsia" w:eastAsiaTheme="minorEastAsia"/>
          <w:b/>
          <w:bCs/>
          <w:color w:val="auto"/>
          <w:highlight w:val="none"/>
        </w:rPr>
        <w:t xml:space="preserve">升级</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模型纳管规模同步扩大，一期仅托管少量影像模型与传统机器学习模型，本期将开源大模型、医学领域大模型、自研模型、外采模型统一纳入平台模型仓库，实现同平台同入口的版本化管理、精调、评测与发布。</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内置主流大模型</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内置主流开源大模型若干个，覆盖通用问答、代码生成、多模态场景；</w:t>
            </w:r>
            <w:r>
              <w:rPr>
                <w:rFonts w:hint="eastAsia" w:asciiTheme="minorEastAsia" w:hAnsiTheme="minorEastAsia" w:eastAsiaTheme="minorEastAsia"/>
                <w:color w:val="auto"/>
                <w:highlight w:val="none"/>
              </w:rPr>
              <w:t xml:space="preserve">能够支持</w:t>
            </w:r>
            <w:r>
              <w:rPr>
                <w:rFonts w:asciiTheme="minorEastAsia" w:hAnsiTheme="minorEastAsia" w:eastAsiaTheme="minorEastAsia"/>
                <w:color w:val="auto"/>
                <w:highlight w:val="none"/>
              </w:rPr>
              <w:t xml:space="preserve">内置医学领域大模型若干个，覆盖</w:t>
            </w:r>
            <w:r>
              <w:rPr>
                <w:rFonts w:hint="eastAsia" w:asciiTheme="minorEastAsia" w:hAnsiTheme="minorEastAsia" w:eastAsiaTheme="minorEastAsia"/>
                <w:color w:val="auto"/>
                <w:highlight w:val="none"/>
              </w:rPr>
              <w:t xml:space="preserve">影像报告解读</w:t>
            </w:r>
            <w:r>
              <w:rPr>
                <w:rFonts w:asciiTheme="minorEastAsia" w:hAnsiTheme="minorEastAsia" w:eastAsiaTheme="minorEastAsia"/>
                <w:color w:val="auto"/>
                <w:highlight w:val="none"/>
              </w:rPr>
              <w:t xml:space="preserve">、临床问答等任务；支持一键发起精调训练、部署与效果体验；模型权重与训练数据全部存储于院内私有环境，严禁上传至外部；</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推理加速与优化</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内置推理加速能力，针对主流大模型提供图优化、算子融合、量化、并行推理等特性； 支持将重型模型通过加速后部署在有限卡数节点上，降低算力门槛； 提供推理压测工具，按业务需求自动推荐适合的规格与并行策略；</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c、</w:t>
      </w:r>
      <w:r>
        <w:rPr>
          <w:rFonts w:asciiTheme="minorEastAsia" w:hAnsiTheme="minorEastAsia" w:eastAsiaTheme="minorEastAsia"/>
          <w:b/>
          <w:bCs/>
          <w:color w:val="auto"/>
          <w:highlight w:val="none"/>
        </w:rPr>
        <w:t xml:space="preserve">训练工坊</w:t>
      </w:r>
      <w:r>
        <w:rPr>
          <w:rFonts w:hint="eastAsia" w:asciiTheme="minorEastAsia" w:hAnsiTheme="minorEastAsia" w:eastAsiaTheme="minorEastAsia"/>
          <w:b/>
          <w:bCs/>
          <w:color w:val="auto"/>
          <w:highlight w:val="none"/>
        </w:rPr>
        <w:t xml:space="preserve">升级</w:t>
      </w:r>
      <w:r/>
    </w:p>
    <w:tbl>
      <w:tblPr>
        <w:tblStyle w:val="985"/>
        <w:tblW w:w="8363" w:type="dxa"/>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182"/>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182"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交互式开发机</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 Jupyter Notebook 与 VSCode 两种在线编码 IDE； 内置 PyTorch、TensorFlow等主流镜像； 支持 SSH 远程连接与 Git 代码仓库对接；</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向导式训练任务</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向导式训练任务提交，降低算法人员使用门槛； 支持单机单卡、单机多卡、多机多卡多种训练模式； 集成训练任务优先级管理与多层容错机制，支持断点续训； 支持自定义镜像、数据集挂载、指标监控。</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w:t>
            </w:r>
            <w:r/>
          </w:p>
        </w:tc>
        <w:tc>
          <w:tcPr>
            <w:tcW w:w="2182"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训练加速与容错</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基于业界主流自研加速框架思路，实现训练通信与计算加速； 多机多卡训练任务中，任一节点异常时自动剔除并从最近检查点恢复； 支持训练任务优先级 P0–P9，高优先级任务可抢占低优先级任务资源； 支持主动中止与被动恢复的全链路记录，便于科研回溯。</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d、</w:t>
      </w:r>
      <w:r>
        <w:rPr>
          <w:rFonts w:asciiTheme="minorEastAsia" w:hAnsiTheme="minorEastAsia" w:eastAsiaTheme="minorEastAsia"/>
          <w:b/>
          <w:bCs/>
          <w:color w:val="auto"/>
          <w:highlight w:val="none"/>
        </w:rPr>
        <w:t xml:space="preserve">数据中心</w:t>
      </w:r>
      <w:r>
        <w:rPr>
          <w:rFonts w:hint="eastAsia" w:asciiTheme="minorEastAsia" w:hAnsiTheme="minorEastAsia" w:eastAsiaTheme="minorEastAsia"/>
          <w:b/>
          <w:bCs/>
          <w:color w:val="auto"/>
          <w:highlight w:val="none"/>
        </w:rPr>
        <w:t xml:space="preserve">升级</w:t>
      </w:r>
      <w:r/>
    </w:p>
    <w:tbl>
      <w:tblPr>
        <w:tblStyle w:val="985"/>
        <w:tblW w:w="8505"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数据中心</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数据集管理：统一管理训练数据集，支持按科室、任务、项目分组； 数据标注：内置常见标注模板（影像、文本、多模态），支持多人协同； 数据构建：内置开源可扩展的数据处理 pipeline，覆盖有监督单轮、有监督多轮、无监督三类场景；</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e、</w:t>
      </w:r>
      <w:r>
        <w:rPr>
          <w:rFonts w:asciiTheme="minorEastAsia" w:hAnsiTheme="minorEastAsia" w:eastAsiaTheme="minorEastAsia"/>
          <w:b/>
          <w:bCs/>
          <w:color w:val="auto"/>
          <w:highlight w:val="none"/>
        </w:rPr>
        <w:t xml:space="preserve">模型服务</w:t>
      </w:r>
      <w:r>
        <w:rPr>
          <w:rFonts w:hint="eastAsia" w:asciiTheme="minorEastAsia" w:hAnsiTheme="minorEastAsia" w:eastAsiaTheme="minorEastAsia"/>
          <w:b/>
          <w:bCs/>
          <w:color w:val="auto"/>
          <w:highlight w:val="none"/>
        </w:rPr>
        <w:t xml:space="preserve">升级</w:t>
      </w:r>
      <w:r/>
    </w:p>
    <w:tbl>
      <w:tblPr>
        <w:tblStyle w:val="985"/>
        <w:tblW w:w="8505"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序号</w:t>
            </w:r>
            <w:r/>
          </w:p>
        </w:tc>
        <w:tc>
          <w:tcPr>
            <w:tcW w:w="2324"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在线推理服务</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模型一键部署为在线推理服务，自动生成 RESTful 接口； 支持热更新：版本切换过程不中断业务流量； 支持手动扩缩容与自动扩缩容，按 QPS 或 GPU 利用率触发； 支持流量分配与灰度：按百分比或规则将请求导向新旧版本；</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离线批量推理</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支持批量离线推理任务，适用于夜间批量质控、回顾性数据打标； 任务结果自动写入指定存储路径，便于后续分析； 批量任务可复用训练资源组，提升整体资源利用率。</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f、</w:t>
      </w:r>
      <w:r>
        <w:rPr>
          <w:rFonts w:asciiTheme="minorEastAsia" w:hAnsiTheme="minorEastAsia" w:eastAsiaTheme="minorEastAsia"/>
          <w:b/>
          <w:bCs/>
          <w:color w:val="auto"/>
          <w:highlight w:val="none"/>
        </w:rPr>
        <w:t xml:space="preserve">平台监控与运营大盘</w:t>
      </w:r>
      <w:r>
        <w:rPr>
          <w:rFonts w:hint="eastAsia" w:asciiTheme="minorEastAsia" w:hAnsiTheme="minorEastAsia" w:eastAsiaTheme="minorEastAsia"/>
          <w:b/>
          <w:bCs/>
          <w:color w:val="auto"/>
          <w:highlight w:val="none"/>
        </w:rPr>
        <w:t xml:space="preserve">升级</w:t>
      </w:r>
      <w:r/>
    </w:p>
    <w:tbl>
      <w:tblPr>
        <w:tblStyle w:val="985"/>
        <w:tblW w:w="8505"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序号</w:t>
            </w:r>
            <w:r/>
          </w:p>
        </w:tc>
        <w:tc>
          <w:tcPr>
            <w:tcW w:w="2324" w:type="dxa"/>
            <w:vAlign w:val="center"/>
            <w:textDirection w:val="lrTb"/>
            <w:noWrap w:val="false"/>
          </w:tcPr>
          <w:p>
            <w:pPr>
              <w:pStyle w:val="1189"/>
              <w:ind w:firstLine="482"/>
              <w:jc w:val="center"/>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平台监控与运营大盘</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算力大盘：按资源组、节点、卡类型展示实时占用率、排队任务数； 任务大盘：按科室、项目、用户展示训练与推理任务的吞吐、排队、失败率； 模型大盘：展示模型调用次数、QPS、P50/P95 时延；</w:t>
            </w:r>
            <w:r/>
          </w:p>
        </w:tc>
      </w:tr>
    </w:tbl>
    <w:p>
      <w:pPr>
        <w:pStyle w:val="1189"/>
        <w:ind w:firstLine="482"/>
        <w:spacing w:line="460" w:lineRule="exact"/>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（4）新建OCR模型</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为解决医院现有文本识别、票据、病历识别等问题，本期拟新建OCR模型，用以为病历、票据识别、查房等场景提供OCR能力。。</w:t>
      </w:r>
      <w:r/>
    </w:p>
    <w:tbl>
      <w:tblPr>
        <w:tblStyle w:val="985"/>
        <w:tblW w:w="8505"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324"/>
        <w:gridCol w:w="5245"/>
      </w:tblGrid>
      <w:tr>
        <w:trPr>
          <w:tblHeader/>
        </w:trPr>
        <w:tc>
          <w:tcPr>
            <w:tcW w:w="936" w:type="dxa"/>
            <w:vAlign w:val="center"/>
            <w:textDirection w:val="lrTb"/>
            <w:noWrap w:val="false"/>
          </w:tcPr>
          <w:p>
            <w:pPr>
              <w:pStyle w:val="1189"/>
              <w:ind w:firstLine="0"/>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序号</w:t>
            </w:r>
            <w:r/>
          </w:p>
        </w:tc>
        <w:tc>
          <w:tcPr>
            <w:tcW w:w="2324" w:type="dxa"/>
            <w:vAlign w:val="center"/>
            <w:textDirection w:val="lrTb"/>
            <w:noWrap w:val="false"/>
          </w:tcPr>
          <w:p>
            <w:pPr>
              <w:pStyle w:val="1189"/>
              <w:ind w:firstLine="482"/>
              <w:jc w:val="center"/>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需求功能分类</w:t>
            </w:r>
            <w:r/>
          </w:p>
        </w:tc>
        <w:tc>
          <w:tcPr>
            <w:tcW w:w="5245" w:type="dxa"/>
            <w:vAlign w:val="center"/>
            <w:textDirection w:val="lrTb"/>
            <w:noWrap w:val="false"/>
          </w:tcPr>
          <w:p>
            <w:pPr>
              <w:pStyle w:val="1189"/>
              <w:ind w:firstLine="482"/>
              <w:jc w:val="center"/>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需求功能描述</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场景覆盖</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覆盖医疗行业各类结构化、半结构化及非结构化文档识别场景，包括但不限于：医疗收费票据、医保结算单、病历文书、检查检验报告、手写病历及处方、诊断证明、出院小结等。</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识别能力</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基于多模态OCR大模型（docLM技术路线），具备印刷体文字识别、手写体识别、复杂表格结构化解析、版式适配等能力，支持版式不固定、版面复杂、中英文混排的文档识别，综合识别准确率可达95%以上。</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自定义结构化能力</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支持自定义Key（键值对）与自定义结构化数据结构，针对未定制模板的票据、病历等文档，仅需简单配置即可快速适配，无需重新训练模型。</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识别性能</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依托端到端大模型推理优化，单张文档抽取响应时间稳定在毫秒级，支持高并发调用。</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接口能力</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提供标准化API接口，支持图片主流格式输入；识别结果以结构化JSON形式返回，包含Key-Value键值对、全文字段识别及印章识别。</w:t>
            </w:r>
            <w:r/>
          </w:p>
        </w:tc>
      </w:tr>
      <w:tr>
        <w:trPr/>
        <w:tc>
          <w:tcPr>
            <w:tcW w:w="936" w:type="dxa"/>
            <w:vAlign w:val="center"/>
            <w:textDirection w:val="lrTb"/>
            <w:noWrap w:val="false"/>
          </w:tcPr>
          <w:p>
            <w:pPr>
              <w:pStyle w:val="1189"/>
              <w:ind w:firstLine="199"/>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w:t>
            </w:r>
            <w:r/>
          </w:p>
        </w:tc>
        <w:tc>
          <w:tcPr>
            <w:tcW w:w="2324"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部署方式</w:t>
            </w:r>
            <w:r/>
          </w:p>
        </w:tc>
        <w:tc>
          <w:tcPr>
            <w:tcW w:w="5245" w:type="dxa"/>
            <w:vAlign w:val="center"/>
            <w:textDirection w:val="lrTb"/>
            <w:noWrap w:val="false"/>
          </w:tcPr>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支持私有化部署，模型与数据均在客户内网环境运行，数据不出院；支持主流GPU服务器及国产化操作系统适配，支持容器化部署。</w:t>
            </w:r>
            <w:bookmarkEnd w:id="27"/>
            <w:r/>
            <w:r/>
          </w:p>
        </w:tc>
      </w:tr>
    </w:tbl>
    <w:p>
      <w:pPr>
        <w:pStyle w:val="1189"/>
        <w:ind w:firstLine="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0"/>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五、具体服务内容及要求</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color w:val="auto"/>
          <w:highlight w:val="none"/>
        </w:rPr>
        <w:t xml:space="preserve">（一）</w:t>
      </w:r>
      <w:bookmarkStart w:id="28" w:name="_Toc197425250"/>
      <w:r>
        <w:rPr>
          <w:rFonts w:hint="eastAsia" w:asciiTheme="minorEastAsia" w:hAnsiTheme="minorEastAsia" w:eastAsiaTheme="minorEastAsia"/>
          <w:b/>
          <w:bCs/>
          <w:color w:val="auto"/>
          <w:highlight w:val="none"/>
        </w:rPr>
        <w:t xml:space="preserve">项目整体要求</w:t>
      </w:r>
      <w:bookmarkEnd w:id="28"/>
      <w:r/>
      <w:r/>
    </w:p>
    <w:p>
      <w:pPr>
        <w:pStyle w:val="1189"/>
        <w:ind w:firstLine="480"/>
        <w:spacing w:line="460" w:lineRule="exact"/>
        <w:rPr>
          <w:rFonts w:asciiTheme="minorEastAsia" w:hAnsiTheme="minorEastAsia" w:eastAsiaTheme="minorEastAsia"/>
          <w:color w:val="auto"/>
          <w:highlight w:val="none"/>
        </w:rPr>
      </w:pPr>
      <w:r/>
      <w:bookmarkStart w:id="29" w:name="OLE_LINK7"/>
      <w:r>
        <w:rPr>
          <w:rFonts w:hint="eastAsia" w:asciiTheme="minorEastAsia" w:hAnsiTheme="minorEastAsia" w:eastAsiaTheme="minorEastAsia"/>
          <w:color w:val="auto"/>
          <w:highlight w:val="none"/>
        </w:rPr>
        <w:t xml:space="preserve">1、在全部项目建设过程中，投标人应在项目建设期和维保期内全程接受采购人的监督管理。</w:t>
      </w:r>
      <w:bookmarkEnd w:id="29"/>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2、投标人应根据采购要求进行系统的深化设计，投标人需做好项目需求分析，对项目关键技术路径，提供大模型、智能体、可视化技术的设计方案，对项目整体建设内容，提供系统整体解决方案。</w:t>
      </w:r>
      <w:r/>
    </w:p>
    <w:p>
      <w:pPr>
        <w:pStyle w:val="1189"/>
        <w:ind w:firstLine="482"/>
        <w:spacing w:line="460" w:lineRule="exact"/>
        <w:rPr>
          <w:rFonts w:asciiTheme="minorEastAsia" w:hAnsiTheme="minorEastAsia" w:eastAsiaTheme="minorEastAsia"/>
          <w:b/>
          <w:bCs/>
          <w:color w:val="auto"/>
          <w:highlight w:val="none"/>
        </w:rPr>
      </w:pPr>
      <w:r/>
      <w:bookmarkStart w:id="30" w:name="_Toc197425252"/>
      <w:r>
        <w:rPr>
          <w:rFonts w:hint="eastAsia" w:asciiTheme="minorEastAsia" w:hAnsiTheme="minorEastAsia" w:eastAsiaTheme="minorEastAsia"/>
          <w:b/>
          <w:bCs/>
          <w:color w:val="auto"/>
          <w:highlight w:val="none"/>
        </w:rPr>
        <w:t xml:space="preserve">（二）项目管理要求</w:t>
      </w:r>
      <w:bookmarkEnd w:id="30"/>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1、项目管理要求</w:t>
      </w:r>
      <w:r/>
    </w:p>
    <w:p>
      <w:pPr>
        <w:pStyle w:val="1189"/>
        <w:ind w:firstLine="480"/>
        <w:spacing w:line="460" w:lineRule="exact"/>
        <w:rPr>
          <w:rFonts w:asciiTheme="minorEastAsia" w:hAnsiTheme="minorEastAsia" w:eastAsiaTheme="minorEastAsia"/>
          <w:color w:val="auto"/>
          <w:highlight w:val="none"/>
        </w:rPr>
      </w:pPr>
      <w:r/>
      <w:bookmarkStart w:id="31" w:name="_Toc410218963"/>
      <w:r/>
      <w:bookmarkStart w:id="32" w:name="_Toc390798212"/>
      <w:r>
        <w:rPr>
          <w:rFonts w:hint="eastAsia" w:asciiTheme="minorEastAsia" w:hAnsiTheme="minorEastAsia" w:eastAsiaTheme="minorEastAsia"/>
          <w:color w:val="auto"/>
          <w:highlight w:val="none"/>
        </w:rPr>
        <w:t xml:space="preserve">（1）项目管理目标</w:t>
      </w:r>
      <w:bookmarkEnd w:id="31"/>
      <w:r/>
      <w:bookmarkEnd w:id="32"/>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质量目标：系统运行稳定、达到设计要求，并通过采购人组织的验收；</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进度目标：确保应用系统开发测试部署在预定的时间内完成。</w:t>
      </w:r>
      <w:r/>
    </w:p>
    <w:p>
      <w:pPr>
        <w:pStyle w:val="1189"/>
        <w:ind w:firstLine="480"/>
        <w:spacing w:line="460" w:lineRule="exact"/>
        <w:rPr>
          <w:rFonts w:asciiTheme="minorEastAsia" w:hAnsiTheme="minorEastAsia" w:eastAsiaTheme="minorEastAsia"/>
          <w:color w:val="auto"/>
          <w:highlight w:val="none"/>
        </w:rPr>
      </w:pPr>
      <w:r/>
      <w:bookmarkStart w:id="33" w:name="_Toc410218964"/>
      <w:r/>
      <w:bookmarkStart w:id="34" w:name="_Toc390798213"/>
      <w:r>
        <w:rPr>
          <w:rFonts w:hint="eastAsia" w:asciiTheme="minorEastAsia" w:hAnsiTheme="minorEastAsia" w:eastAsiaTheme="minorEastAsia"/>
          <w:color w:val="auto"/>
          <w:highlight w:val="none"/>
        </w:rPr>
        <w:t xml:space="preserve">（2）项目管理内容</w:t>
      </w:r>
      <w:bookmarkEnd w:id="33"/>
      <w:r/>
      <w:bookmarkEnd w:id="34"/>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1）详尽的项目实施时间表和各阶段人员安排。</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2）投标人需对过程进行管理控制，对各类文档进行管理，必须建立中间环节和文档的内部测试审核制度。</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在项目管理方案中，应充分体现投标人在项目管理方面的经验和能力以及对该项目管理的设想和具体方法，以下内容必须涉及：项目组；项目经理，项目组成员及项目组织结构；项目组成员除基本信息外，必须说明专业背景,相关资质和专长；组织管理(与系统集成环节相关)；项目计划(与项目整体管理相关，计划的制定和执行要体现本项目建设的特点)。</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4）需提供项目整体安全管理方案，至少包括安全管理措施、信息安全管理、项目保密措施等内容。</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2、项目进度管理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投标人应在投标响应文件中详细提出项目进度计划表，最终的计划进度表由用户、中标人协商认可。</w:t>
      </w:r>
      <w:r/>
    </w:p>
    <w:p>
      <w:pPr>
        <w:pStyle w:val="1189"/>
        <w:ind w:firstLine="482"/>
        <w:spacing w:line="460" w:lineRule="exact"/>
        <w:rPr>
          <w:rFonts w:asciiTheme="minorEastAsia" w:hAnsiTheme="minorEastAsia" w:eastAsiaTheme="minorEastAsia"/>
          <w:b/>
          <w:bCs/>
          <w:color w:val="auto"/>
          <w:highlight w:val="none"/>
        </w:rPr>
      </w:pPr>
      <w:r/>
      <w:bookmarkStart w:id="35" w:name="_Toc197425254"/>
      <w:r>
        <w:rPr>
          <w:rFonts w:hint="eastAsia" w:asciiTheme="minorEastAsia" w:hAnsiTheme="minorEastAsia" w:eastAsiaTheme="minorEastAsia"/>
          <w:b/>
          <w:bCs/>
          <w:color w:val="auto"/>
          <w:highlight w:val="none"/>
        </w:rPr>
        <w:t xml:space="preserve">（三）项目保密要求</w:t>
      </w:r>
      <w:bookmarkEnd w:id="35"/>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所有参与本次项目的人员应签订正式保密协议，并在工作中坚持保密原则，投标人严格规范执行各项保密制度，对在项目招标、建设、质保各阶段取得采购人各类信息进行保密管理，杜绝任何泄密事件的发生。</w:t>
      </w:r>
      <w:bookmarkStart w:id="36" w:name="_Toc197425255"/>
      <w:r/>
      <w:bookmarkEnd w:id="36"/>
      <w:r/>
      <w:r/>
    </w:p>
    <w:p>
      <w:pPr>
        <w:pStyle w:val="1189"/>
        <w:ind w:firstLine="482"/>
        <w:spacing w:line="460" w:lineRule="exact"/>
        <w:rPr>
          <w:rFonts w:asciiTheme="minorEastAsia" w:hAnsiTheme="minorEastAsia" w:eastAsiaTheme="minorEastAsia"/>
          <w:b/>
          <w:bCs/>
          <w:color w:val="auto"/>
          <w:highlight w:val="none"/>
        </w:rPr>
      </w:pPr>
      <w:r/>
      <w:bookmarkStart w:id="37" w:name="_Toc197425256"/>
      <w:r>
        <w:rPr>
          <w:rFonts w:hint="eastAsia" w:asciiTheme="minorEastAsia" w:hAnsiTheme="minorEastAsia" w:eastAsiaTheme="minorEastAsia"/>
          <w:b/>
          <w:bCs/>
          <w:color w:val="auto"/>
          <w:highlight w:val="none"/>
        </w:rPr>
        <w:t xml:space="preserve">（四）项目培训要求</w:t>
      </w:r>
      <w:bookmarkEnd w:id="37"/>
      <w:r/>
      <w:r/>
    </w:p>
    <w:p>
      <w:pPr>
        <w:pStyle w:val="1189"/>
        <w:ind w:firstLine="480"/>
        <w:spacing w:line="460" w:lineRule="exact"/>
        <w:rPr>
          <w:rFonts w:asciiTheme="minorEastAsia" w:hAnsiTheme="minorEastAsia" w:eastAsiaTheme="minorEastAsia"/>
          <w:color w:val="auto"/>
          <w:highlight w:val="none"/>
        </w:rPr>
      </w:pPr>
      <w:r/>
      <w:bookmarkStart w:id="38" w:name="_Toc270597167"/>
      <w:r>
        <w:rPr>
          <w:rFonts w:hint="eastAsia" w:asciiTheme="minorEastAsia" w:hAnsiTheme="minorEastAsia" w:eastAsiaTheme="minorEastAsia"/>
          <w:color w:val="auto"/>
          <w:highlight w:val="none"/>
        </w:rPr>
        <w:t xml:space="preserve">投标人必须提供满足系统建设、管理、维护等要求的技术培训服务，并达到预定的培训目标。</w:t>
      </w:r>
      <w:bookmarkEnd w:id="38"/>
      <w:r>
        <w:rPr>
          <w:rFonts w:hint="eastAsia" w:asciiTheme="minorEastAsia" w:hAnsiTheme="minorEastAsia" w:eastAsiaTheme="minorEastAsia"/>
          <w:color w:val="auto"/>
          <w:highlight w:val="none"/>
        </w:rPr>
        <w:t xml:space="preserve">投标人必须根据本次招标文件所制定的目标和范围，提供完备的培训服务（涵盖不同应用层次的人员），并提供全套培训教材、培训方式、培训场地安排、培训设备安排、培训时间与班次安排等，作为投标文件的一部分提交。投标人需要提供必要的培训与技术转移手段，保证能够将其传授于医院IT技术人员。</w:t>
      </w:r>
      <w:r/>
    </w:p>
    <w:p>
      <w:pPr>
        <w:pStyle w:val="1189"/>
        <w:ind w:firstLine="482"/>
        <w:spacing w:line="460" w:lineRule="exact"/>
        <w:rPr>
          <w:rFonts w:asciiTheme="minorEastAsia" w:hAnsiTheme="minorEastAsia" w:eastAsiaTheme="minorEastAsia"/>
          <w:b/>
          <w:bCs/>
          <w:color w:val="auto"/>
          <w:highlight w:val="none"/>
        </w:rPr>
      </w:pPr>
      <w:r/>
      <w:bookmarkStart w:id="39" w:name="_Toc197425257"/>
      <w:r>
        <w:rPr>
          <w:rFonts w:hint="eastAsia" w:asciiTheme="minorEastAsia" w:hAnsiTheme="minorEastAsia" w:eastAsiaTheme="minorEastAsia"/>
          <w:b/>
          <w:bCs/>
          <w:color w:val="auto"/>
          <w:highlight w:val="none"/>
        </w:rPr>
        <w:t xml:space="preserve">（五）售后服务要求</w:t>
      </w:r>
      <w:bookmarkEnd w:id="39"/>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1、投标人需具有专业的软件开发和售后服务团队，确保团队的稳定性。</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2、投标人须对本次项目中涉及的产品至少提供一年质保服务，该费用计入投标总价内。从项目正式验收完成开始。</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3、投标人须在项目竣工验收后提供实施功能增强性维护和软件升级、技术维护服务，其中至少包括系统维护、跟踪检测，保证投标人所投软件的正常运行，该费用计入投标总价内。</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在质保期内，投标人负责进行软件升级和版本更换，该费用计入投标总价内。项目验收通过日为维护起始日。投标人在投标书中必须明确承诺达到用户的服务响应要求：提供7×24小时服务；故障响应时间不超过1小时；日常维护响应时间不得超过4小时；对于电话咨询无法解决的问题，经采购人信息中心授权通过远程登录到检验中心网络系统进行的故障诊断和排除。远程登录也未能排除故障的，尽全力安排人员提供上门服务。免费维护期内提供系统优化和常规安全检查。</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5、质保期满后双方协商确定维保费，说明质保期后的售后服务内容和收费标准，且招标人有权根据需要采购相关维保服务。</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6、终验后免费维保期为1年。</w:t>
      </w:r>
      <w:r>
        <w:rPr>
          <w:rFonts w:hint="eastAsia" w:asciiTheme="minorEastAsia" w:hAnsiTheme="minorEastAsia" w:eastAsiaTheme="minorEastAsia"/>
          <w:color w:val="auto"/>
          <w:highlight w:val="none"/>
          <w:lang w:val="zh-CN"/>
        </w:rPr>
        <w:t xml:space="preserve">在</w:t>
      </w:r>
      <w:r>
        <w:rPr>
          <w:rFonts w:hint="eastAsia" w:asciiTheme="minorEastAsia" w:hAnsiTheme="minorEastAsia" w:eastAsiaTheme="minorEastAsia"/>
          <w:color w:val="auto"/>
          <w:highlight w:val="none"/>
        </w:rPr>
        <w:t xml:space="preserve">免费维保期满后，维保费用不高于本次采购合同金额的8%。</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bCs/>
          <w:color w:val="auto"/>
          <w:highlight w:val="none"/>
        </w:rPr>
        <w:t xml:space="preserve">7</w:t>
      </w:r>
      <w:r>
        <w:rPr>
          <w:rFonts w:hint="eastAsia" w:asciiTheme="minorEastAsia" w:hAnsiTheme="minorEastAsia" w:eastAsiaTheme="minorEastAsia"/>
          <w:color w:val="auto"/>
          <w:highlight w:val="none"/>
        </w:rPr>
        <w:t xml:space="preserve">、系统升级服务：投标人承诺所投的信息系统软件在保修维护期内应提供升级服务（仅限在项目合同确定的功能需求范围内），相关费用包含在本次投标总价内。</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8、系统对接服务：本项目如涉及与医院相关系统对接，投标人需完全开放本项目系统接口（包含相关第三方接口费），相关费用包含在本次投标总价内，招标人不再另行支付相关费用。</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政策性维护：在项目实施过程中及维护期内，因国家政策或政府、医院上级部门要求导致的被动性程序修改，投标人应及时提供程序修改服务，并确保系统的在政策要求的时限内正确运行，相关费用包含在本次投标总价内。</w:t>
      </w:r>
      <w:r/>
    </w:p>
    <w:p>
      <w:pPr>
        <w:pStyle w:val="1189"/>
        <w:ind w:firstLine="0"/>
        <w:spacing w:line="460" w:lineRule="exact"/>
        <w:rPr>
          <w:rFonts w:cs="MicrosoftYaHei" w:asciiTheme="minorEastAsia" w:hAnsiTheme="minorEastAsia" w:eastAsiaTheme="minorEastAsia"/>
          <w:color w:val="auto"/>
          <w:highlight w:val="none"/>
        </w:rPr>
      </w:pPr>
      <w:r>
        <w:rPr>
          <w:rFonts w:cs="MicrosoftYaHei" w:asciiTheme="minorEastAsia" w:hAnsiTheme="minorEastAsia" w:eastAsiaTheme="minorEastAsia"/>
          <w:color w:val="auto"/>
          <w:highlight w:val="none"/>
        </w:rPr>
      </w:r>
      <w:r/>
    </w:p>
    <w:p>
      <w:pPr>
        <w:pStyle w:val="1189"/>
        <w:ind w:firstLine="0"/>
        <w:spacing w:line="460" w:lineRule="exact"/>
        <w:rPr>
          <w:rFonts w:cs="宋体" w:asciiTheme="minorEastAsia" w:hAnsiTheme="minorEastAsia" w:eastAsiaTheme="minorEastAsia"/>
          <w:b/>
          <w:color w:val="auto"/>
          <w:highlight w:val="none"/>
        </w:rPr>
      </w:pPr>
      <w:r>
        <w:rPr>
          <w:rFonts w:cs="MicrosoftYaHei" w:asciiTheme="minorEastAsia" w:hAnsiTheme="minorEastAsia" w:eastAsiaTheme="minorEastAsia"/>
          <w:b/>
          <w:color w:val="auto"/>
          <w:highlight w:val="none"/>
        </w:rPr>
        <w:t xml:space="preserve">六</w:t>
      </w:r>
      <w:r>
        <w:rPr>
          <w:rFonts w:hint="eastAsia" w:cs="宋体" w:asciiTheme="minorEastAsia" w:hAnsiTheme="minorEastAsia" w:eastAsiaTheme="minorEastAsia"/>
          <w:b/>
          <w:color w:val="auto"/>
          <w:highlight w:val="none"/>
        </w:rPr>
        <w:t xml:space="preserve">、一般技术要求：</w:t>
      </w:r>
      <w:r/>
    </w:p>
    <w:p>
      <w:pPr>
        <w:pStyle w:val="1189"/>
        <w:ind w:firstLine="480"/>
        <w:spacing w:line="460" w:lineRule="exact"/>
        <w:rPr>
          <w:rFonts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1、投标单位在投标技术文件中必须对所有招标产品的招标技术（服务）规格与要求逐一做出技术（服务）应答，性能要求达到具体数值的条款中必须明确列出具体数值。</w:t>
      </w:r>
      <w:r>
        <w:rPr>
          <w:rFonts w:hint="eastAsia" w:cs="宋体" w:asciiTheme="minorEastAsia" w:hAnsiTheme="minorEastAsia" w:eastAsiaTheme="minorEastAsia"/>
          <w:bCs/>
          <w:color w:val="auto"/>
          <w:highlight w:val="none"/>
        </w:rPr>
        <w:t xml:space="preserve">如果有其中某些条款不响应时，应在投标文件中逐条列出，未列出的视同响应。</w:t>
      </w:r>
      <w:r>
        <w:rPr>
          <w:rFonts w:hint="eastAsia" w:cs="宋体" w:asciiTheme="minorEastAsia" w:hAnsiTheme="minorEastAsia" w:eastAsiaTheme="minorEastAsia"/>
          <w:bCs/>
          <w:color w:val="auto"/>
          <w:highlight w:val="none"/>
        </w:rPr>
        <w:br/>
      </w:r>
      <w:r>
        <w:rPr>
          <w:rFonts w:hint="eastAsia" w:cs="宋体" w:asciiTheme="minorEastAsia" w:hAnsiTheme="minorEastAsia" w:eastAsiaTheme="minorEastAsia"/>
          <w:bCs/>
          <w:color w:val="auto"/>
          <w:highlight w:val="none"/>
        </w:rPr>
        <w:tab/>
      </w:r>
      <w:r>
        <w:rPr>
          <w:rFonts w:hint="eastAsia" w:cs="宋体" w:asciiTheme="minorEastAsia" w:hAnsiTheme="minorEastAsia" w:eastAsiaTheme="minorEastAsia"/>
          <w:color w:val="auto"/>
          <w:highlight w:val="none"/>
        </w:rPr>
        <w:t xml:space="preserve">2、投标单位必须明确所投产品生产厂家、品牌、型号、规格和外形、尺寸等，并提供详细的技术参数或性能说明书等技术资料。</w:t>
      </w:r>
      <w:r>
        <w:rPr>
          <w:rFonts w:hint="eastAsia" w:cs="宋体" w:asciiTheme="minorEastAsia" w:hAnsiTheme="minorEastAsia" w:eastAsiaTheme="minorEastAsia"/>
          <w:color w:val="auto"/>
          <w:highlight w:val="none"/>
        </w:rPr>
        <w:br/>
      </w:r>
      <w:r>
        <w:rPr>
          <w:rFonts w:hint="eastAsia" w:cs="宋体" w:asciiTheme="minorEastAsia" w:hAnsiTheme="minorEastAsia" w:eastAsiaTheme="minorEastAsia"/>
          <w:color w:val="auto"/>
          <w:highlight w:val="none"/>
        </w:rPr>
        <w:tab/>
      </w:r>
      <w:r>
        <w:rPr>
          <w:rFonts w:hint="eastAsia" w:cs="宋体" w:asciiTheme="minorEastAsia" w:hAnsiTheme="minorEastAsia" w:eastAsiaTheme="minorEastAsia"/>
          <w:color w:val="auto"/>
          <w:highlight w:val="none"/>
        </w:rPr>
        <w:t xml:space="preserve">3、投标单位所投货物产品必须是全新的、未使用过的、原包装未拆封的商品，完全符合采购设备规定的质量、规格和性能要求。</w:t>
      </w:r>
      <w:r/>
    </w:p>
    <w:p>
      <w:pPr>
        <w:pStyle w:val="1189"/>
        <w:ind w:firstLine="482"/>
        <w:spacing w:line="460" w:lineRule="exact"/>
        <w:rPr>
          <w:rFonts w:asciiTheme="minorEastAsia" w:hAnsiTheme="minorEastAsia" w:eastAsiaTheme="minorEastAsia"/>
          <w:b/>
          <w:color w:val="auto"/>
          <w:highlight w:val="none"/>
        </w:rPr>
      </w:pPr>
      <w:r>
        <w:rPr>
          <w:rFonts w:cs="MicrosoftYaHei" w:asciiTheme="minorEastAsia" w:hAnsiTheme="minorEastAsia" w:eastAsiaTheme="minorEastAsia"/>
          <w:b/>
          <w:color w:val="auto"/>
          <w:highlight w:val="none"/>
        </w:rPr>
        <w:t xml:space="preserve">4、★ </w:t>
      </w:r>
      <w:r>
        <w:rPr>
          <w:rFonts w:hint="eastAsia" w:cs="宋体" w:asciiTheme="minorEastAsia" w:hAnsiTheme="minorEastAsia" w:eastAsiaTheme="minorEastAsia"/>
          <w:b/>
          <w:color w:val="auto"/>
          <w:highlight w:val="none"/>
        </w:rPr>
        <w:t xml:space="preserve">针对采购需求中</w:t>
      </w:r>
      <w:r>
        <w:rPr>
          <w:rFonts w:hint="eastAsia" w:asciiTheme="minorEastAsia" w:hAnsiTheme="minorEastAsia" w:eastAsiaTheme="minorEastAsia"/>
          <w:b/>
          <w:bCs/>
          <w:color w:val="auto"/>
          <w:highlight w:val="none"/>
        </w:rPr>
        <w:t xml:space="preserve">功能模块技术参数及要求内容</w:t>
      </w:r>
      <w:r>
        <w:rPr>
          <w:rFonts w:hint="eastAsia" w:cs="宋体" w:asciiTheme="minorEastAsia" w:hAnsiTheme="minorEastAsia" w:eastAsiaTheme="minorEastAsia"/>
          <w:b/>
          <w:color w:val="auto"/>
          <w:highlight w:val="none"/>
        </w:rPr>
        <w:t xml:space="preserve">，非“▲”条款的技术参数，提供技术参数响应承诺函（格式自拟），否则视为无效投标。</w:t>
      </w:r>
      <w:r/>
    </w:p>
    <w:p>
      <w:pPr>
        <w:pStyle w:val="1189"/>
        <w:ind w:firstLine="199"/>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0"/>
        <w:spacing w:line="460" w:lineRule="exact"/>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七</w:t>
      </w:r>
      <w:r>
        <w:rPr>
          <w:rFonts w:hint="eastAsia" w:asciiTheme="minorEastAsia" w:hAnsiTheme="minorEastAsia" w:eastAsiaTheme="minorEastAsia"/>
          <w:b/>
          <w:color w:val="auto"/>
          <w:highlight w:val="none"/>
        </w:rPr>
        <w:t xml:space="preserve">、商务要求</w:t>
      </w:r>
      <w:r/>
    </w:p>
    <w:p>
      <w:pPr>
        <w:pStyle w:val="1189"/>
        <w:ind w:firstLine="482"/>
        <w:spacing w:line="460" w:lineRule="exact"/>
        <w:rPr>
          <w:rFonts w:asciiTheme="minorEastAsia" w:hAnsiTheme="minorEastAsia" w:eastAsiaTheme="minorEastAsia"/>
          <w:b/>
          <w:bCs/>
          <w:color w:val="auto"/>
          <w:highlight w:val="none"/>
        </w:rPr>
      </w:pPr>
      <w:r/>
      <w:bookmarkStart w:id="40" w:name="_Toc197425251"/>
      <w:r>
        <w:rPr>
          <w:rFonts w:cs="MicrosoftYaHei" w:asciiTheme="minorEastAsia" w:hAnsiTheme="minorEastAsia" w:eastAsiaTheme="minorEastAsia"/>
          <w:b/>
          <w:color w:val="auto"/>
          <w:highlight w:val="none"/>
        </w:rPr>
        <w:t xml:space="preserve">（一）★ </w:t>
      </w:r>
      <w:r>
        <w:rPr>
          <w:rFonts w:hint="eastAsia" w:asciiTheme="minorEastAsia" w:hAnsiTheme="minorEastAsia" w:eastAsiaTheme="minorEastAsia"/>
          <w:b/>
          <w:bCs/>
          <w:color w:val="auto"/>
          <w:highlight w:val="none"/>
        </w:rPr>
        <w:t xml:space="preserve">项目工期要求</w:t>
      </w:r>
      <w:bookmarkEnd w:id="40"/>
      <w:r/>
      <w:r/>
    </w:p>
    <w:p>
      <w:pPr>
        <w:pStyle w:val="1189"/>
        <w:ind w:firstLine="482"/>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b/>
          <w:color w:val="auto"/>
          <w:highlight w:val="none"/>
        </w:rPr>
        <w:t xml:space="preserve">工期要求：</w:t>
      </w:r>
      <w:r>
        <w:rPr>
          <w:rFonts w:hint="eastAsia" w:asciiTheme="minorEastAsia" w:hAnsiTheme="minorEastAsia" w:eastAsiaTheme="minorEastAsia"/>
          <w:color w:val="auto"/>
          <w:highlight w:val="none"/>
        </w:rPr>
        <w:t xml:space="preserve">自合同签署起13个月。</w:t>
      </w:r>
      <w:r/>
    </w:p>
    <w:p>
      <w:pPr>
        <w:pStyle w:val="1189"/>
        <w:ind w:firstLine="480"/>
        <w:spacing w:line="460" w:lineRule="exact"/>
        <w:rPr>
          <w:rFonts w:asciiTheme="minorEastAsia" w:hAnsiTheme="minorEastAsia" w:eastAsiaTheme="minorEastAsia"/>
          <w:bCs/>
          <w:color w:val="auto"/>
          <w:highlight w:val="none"/>
        </w:rPr>
      </w:pPr>
      <w:r>
        <w:rPr>
          <w:rFonts w:hint="eastAsia" w:asciiTheme="minorEastAsia" w:hAnsiTheme="minorEastAsia" w:eastAsiaTheme="minorEastAsia"/>
          <w:color w:val="auto"/>
          <w:highlight w:val="none"/>
        </w:rPr>
        <w:t xml:space="preserve">2.1、项目计划要求包括需求调研与分析、系统设计、程序开发、系统测试、试运行、项目最终验收等里程碑节点。</w:t>
      </w:r>
      <w:r/>
    </w:p>
    <w:p>
      <w:pPr>
        <w:pStyle w:val="1189"/>
        <w:ind w:firstLine="480"/>
        <w:spacing w:line="460" w:lineRule="exact"/>
        <w:rPr>
          <w:rFonts w:cs="MicrosoftYaHei"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2.2、采购人签署最终验收报告后，启动售后维护和服务保障工作。</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（二）项目人员要求</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人员配置应科学、合理、有效，应充分保证人员的数量和质量。团队核心人员需实行“AB角制度”，特别是项目经理、技术负责人等；执行人员的分级管理，细化职责；</w:t>
      </w:r>
      <w:r/>
    </w:p>
    <w:p>
      <w:pPr>
        <w:pStyle w:val="1189"/>
        <w:ind w:firstLine="480"/>
        <w:spacing w:line="460" w:lineRule="exact"/>
        <w:rPr>
          <w:rFonts w:asciiTheme="minorEastAsia" w:hAnsiTheme="minorEastAsia" w:eastAsiaTheme="minorEastAsia"/>
          <w:b/>
          <w:color w:val="auto"/>
          <w:highlight w:val="none"/>
        </w:rPr>
      </w:pPr>
      <w:r>
        <w:rPr>
          <w:rFonts w:hint="eastAsia" w:asciiTheme="minorEastAsia" w:hAnsiTheme="minorEastAsia" w:eastAsiaTheme="minorEastAsia"/>
          <w:color w:val="auto"/>
          <w:highlight w:val="none"/>
        </w:rPr>
        <w:t xml:space="preserve">项目实施全过程中，</w:t>
      </w:r>
      <w:r>
        <w:rPr>
          <w:rFonts w:hint="eastAsia" w:asciiTheme="minorEastAsia" w:hAnsiTheme="minorEastAsia" w:eastAsiaTheme="minorEastAsia"/>
          <w:b/>
          <w:color w:val="auto"/>
          <w:highlight w:val="none"/>
        </w:rPr>
        <w:t xml:space="preserve">投标人应配备符合以下条件的人员：</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1、熟悉制度和相关政策。</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熟悉医疗卫生机构、医疗相关的信息管理体制和业务发展状况。</w:t>
      </w:r>
      <w:r/>
    </w:p>
    <w:p>
      <w:pPr>
        <w:pStyle w:val="1189"/>
        <w:ind w:firstLine="480"/>
        <w:spacing w:line="460" w:lineRule="exact"/>
        <w:rPr>
          <w:rFonts w:asciiTheme="minorEastAsia" w:hAnsiTheme="minorEastAsia" w:eastAsiaTheme="minorEastAsia"/>
          <w:bCs/>
          <w:color w:val="auto"/>
          <w:highlight w:val="none"/>
        </w:rPr>
      </w:pPr>
      <w:r>
        <w:rPr>
          <w:rFonts w:cs="Segoe UI Symbol" w:asciiTheme="minorEastAsia" w:hAnsiTheme="minorEastAsia" w:eastAsiaTheme="minorEastAsia"/>
          <w:color w:val="auto"/>
          <w:highlight w:val="none"/>
        </w:rPr>
        <w:t xml:space="preserve">3、★ </w:t>
      </w:r>
      <w:r>
        <w:rPr>
          <w:rFonts w:hint="eastAsia" w:asciiTheme="minorEastAsia" w:hAnsiTheme="minorEastAsia" w:eastAsiaTheme="minorEastAsia"/>
          <w:color w:val="auto"/>
          <w:highlight w:val="none"/>
        </w:rPr>
        <w:t xml:space="preserve">项目团队组成人员具备：项目经理要求具备同类型项目的项目经理经验，项目团队成员不少于</w:t>
      </w:r>
      <w:r>
        <w:rPr>
          <w:rFonts w:hint="eastAsia" w:asciiTheme="minorEastAsia" w:hAnsiTheme="minorEastAsia" w:eastAsiaTheme="minorEastAsia"/>
          <w:bCs/>
          <w:color w:val="auto"/>
          <w:highlight w:val="none"/>
        </w:rPr>
        <w:t xml:space="preserve">15人。</w:t>
      </w:r>
      <w:r>
        <w:rPr>
          <w:rFonts w:hint="eastAsia" w:asciiTheme="minorEastAsia" w:hAnsiTheme="minorEastAsia" w:eastAsiaTheme="minorEastAsia"/>
          <w:b/>
          <w:bCs/>
          <w:color w:val="auto"/>
          <w:highlight w:val="none"/>
        </w:rPr>
        <w:t xml:space="preserve">投标人需提供针对该项响应承诺函，否则视为无效投标。</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4、</w:t>
      </w:r>
      <w:r>
        <w:rPr>
          <w:rFonts w:hint="eastAsia" w:asciiTheme="minorEastAsia" w:hAnsiTheme="minorEastAsia" w:eastAsiaTheme="minorEastAsia"/>
          <w:color w:val="auto"/>
          <w:highlight w:val="none"/>
        </w:rPr>
        <w:t xml:space="preserve">投标人更换项目经理和主要技术人员（即技术负责人、开发人员和实施人员），须报告项目主体单位，经同意后方可更换。</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投标人在项目实施过程中出现资源、进度、质量协调控制不力的情况，采购人有权要求更换相关责任人，投标人必须予以配合，并确保不影响项目建设的进度和质量。</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采购人根据项目质量和进度的需要，可以要求投标人及时充实相应的项目管理人员和技术实施人员，并承担因其人员不足、不到位所导致影响项目质量、进度的违约责任。</w:t>
      </w:r>
      <w:r/>
    </w:p>
    <w:p>
      <w:pPr>
        <w:pStyle w:val="1189"/>
        <w:ind w:firstLine="482"/>
        <w:spacing w:line="460" w:lineRule="exact"/>
        <w:rPr>
          <w:rFonts w:asciiTheme="minorEastAsia" w:hAnsiTheme="minorEastAsia" w:eastAsiaTheme="minorEastAsia"/>
          <w:b/>
          <w:bCs/>
          <w:color w:val="auto"/>
          <w:highlight w:val="none"/>
        </w:rPr>
      </w:pPr>
      <w:r/>
      <w:bookmarkStart w:id="41" w:name="_Toc197425253"/>
      <w:r>
        <w:rPr>
          <w:rFonts w:cs="MicrosoftYaHei" w:asciiTheme="minorEastAsia" w:hAnsiTheme="minorEastAsia" w:eastAsiaTheme="minorEastAsia"/>
          <w:b/>
          <w:color w:val="auto"/>
          <w:highlight w:val="none"/>
        </w:rPr>
        <w:t xml:space="preserve">（三）★ </w:t>
      </w:r>
      <w:r>
        <w:rPr>
          <w:rFonts w:hint="eastAsia" w:asciiTheme="minorEastAsia" w:hAnsiTheme="minorEastAsia" w:eastAsiaTheme="minorEastAsia"/>
          <w:b/>
          <w:bCs/>
          <w:color w:val="auto"/>
          <w:highlight w:val="none"/>
        </w:rPr>
        <w:t xml:space="preserve">项目验收要求</w:t>
      </w:r>
      <w:bookmarkEnd w:id="41"/>
      <w:r/>
      <w:r/>
    </w:p>
    <w:p>
      <w:pPr>
        <w:pStyle w:val="1189"/>
        <w:ind w:firstLine="482"/>
        <w:spacing w:line="46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1、验收标准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（1）按照医院的正式验收标准执行，需完成整体建设内容验收；</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（2）本</w:t>
      </w:r>
      <w:r>
        <w:rPr>
          <w:rFonts w:asciiTheme="minorEastAsia" w:hAnsiTheme="minorEastAsia" w:eastAsiaTheme="minorEastAsia"/>
          <w:color w:val="auto"/>
          <w:highlight w:val="none"/>
        </w:rPr>
        <w:t xml:space="preserve">项目采用现场运行、测试验收方式验收,验收标准以符合合同文件及相关附件所提供的功能性、使用性要求和甲方的要求为准。</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（3）试运行周期不低于 3 个月。</w:t>
      </w:r>
      <w:r/>
    </w:p>
    <w:p>
      <w:pPr>
        <w:pStyle w:val="1189"/>
        <w:ind w:firstLine="482"/>
        <w:spacing w:line="46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2、验收要求</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（1）项目验收要求：双方签署最终验收文件时，投标人应提交规范、全套、完整的验收文档，包括但不限于需求分析报告、系统上线实施手册等。</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项目测试要求：在系统集成完成后，投标人应与采购人一起配合第三方测试机构根据测试方案共同完成测试、验收和上线工作并签署验收报告。项目测试包括：软件功能测试、安全测试。投标人必须制定软件测试计划、软件测试记录、软件测试报告，及时修正软件测试验收过程中发现的问题。</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项目技术文件要求：在项目建设过程中，投标人按照相关要求形成全面详尽的项目工程管理文档，至少包括项目计划、系统程序、培训手册等技术文档，确保文档资料的一致性和完整性，在项目建设过程中，接受用户方的全程监控和审核，允许用户方工作人员参与系统的测试、安装、诊断及解决问题等各项工作。提供项目成果交付物主要至少包括以下内容：《项目投标书》《项目总结报告》《试运行报告》《测试报告》。</w:t>
      </w:r>
      <w:r/>
    </w:p>
    <w:p>
      <w:pPr>
        <w:pStyle w:val="1189"/>
        <w:ind w:firstLine="480"/>
        <w:spacing w:line="460" w:lineRule="exact"/>
        <w:rPr>
          <w:rFonts w:cs="MicrosoftYaHei" w:asciiTheme="minorEastAsia" w:hAnsiTheme="minorEastAsia" w:eastAsiaTheme="minorEastAsia"/>
          <w:color w:val="auto"/>
          <w:highlight w:val="none"/>
        </w:rPr>
      </w:pPr>
      <w:r>
        <w:rPr>
          <w:rFonts w:hint="eastAsia" w:asciiTheme="minorEastAsia" w:hAnsiTheme="minorEastAsia" w:eastAsiaTheme="minorEastAsia"/>
          <w:bCs/>
          <w:color w:val="auto"/>
          <w:highlight w:val="none"/>
        </w:rPr>
        <w:t xml:space="preserve">具体方案见附件1：服务类项目履约验收方案</w:t>
      </w:r>
      <w:r/>
    </w:p>
    <w:p>
      <w:pPr>
        <w:pStyle w:val="1189"/>
        <w:ind w:firstLine="482"/>
        <w:spacing w:line="46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（四）</w:t>
      </w:r>
      <w:r>
        <w:rPr>
          <w:rFonts w:cs="MicrosoftYaHei" w:asciiTheme="minorEastAsia" w:hAnsiTheme="minorEastAsia" w:eastAsiaTheme="minorEastAsia"/>
          <w:b/>
          <w:color w:val="auto"/>
          <w:highlight w:val="none"/>
        </w:rPr>
        <w:t xml:space="preserve">★ </w:t>
      </w:r>
      <w:r>
        <w:rPr>
          <w:rFonts w:hint="eastAsia" w:asciiTheme="minorEastAsia" w:hAnsiTheme="minorEastAsia" w:eastAsiaTheme="minorEastAsia"/>
          <w:b/>
          <w:color w:val="auto"/>
          <w:highlight w:val="none"/>
        </w:rPr>
        <w:t xml:space="preserve">付款方式</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1、本合同项下所有款项均以人民币支付。</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2、本合同项下的采购资金由甲方支付。</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3、根据现行税法对乙方征收的与本合同有关的一切税费均由乙方承担。</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4、付款步骤、方式:甲方将按照本条的规定向乙方支付合同价款，合同价款分三期支付。</w:t>
      </w:r>
      <w:r/>
    </w:p>
    <w:p>
      <w:pPr>
        <w:pStyle w:val="1189"/>
        <w:ind w:firstLine="482"/>
        <w:spacing w:line="460" w:lineRule="exact"/>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5、分期付款</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（1）第一期付款(首付款)</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合同签订后甲方收到乙方提交的下列①项文件后的三十(30)个工作日内以电汇的方式向乙方支付相当于</w:t>
      </w:r>
      <w:r>
        <w:rPr>
          <w:rFonts w:hint="eastAsia" w:asciiTheme="minorEastAsia" w:hAnsiTheme="minorEastAsia" w:eastAsiaTheme="minorEastAsia"/>
          <w:b/>
          <w:bCs/>
          <w:color w:val="auto"/>
          <w:highlight w:val="none"/>
        </w:rPr>
        <w:t xml:space="preserve">本合同总价50%的首付款</w:t>
      </w:r>
      <w:r>
        <w:rPr>
          <w:rFonts w:hint="eastAsia" w:asciiTheme="minorEastAsia" w:hAnsiTheme="minorEastAsia" w:eastAsiaTheme="minorEastAsia"/>
          <w:b/>
          <w:color w:val="auto"/>
          <w:highlight w:val="none"/>
        </w:rPr>
        <w:t xml:space="preserve">:</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①乙方按照本次付款金额向甲方开具的中国税务机关监制/认可的发票。</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（2）第二期付款(初验付款)</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甲方将在软件初验通过后的九十(90)天内在收到乙方提交下列项文件后的三十个工作日内以电汇的方式向乙方支付相当于</w:t>
      </w:r>
      <w:r>
        <w:rPr>
          <w:rFonts w:hint="eastAsia" w:asciiTheme="minorEastAsia" w:hAnsiTheme="minorEastAsia" w:eastAsiaTheme="minorEastAsia"/>
          <w:b/>
          <w:bCs/>
          <w:color w:val="auto"/>
          <w:highlight w:val="none"/>
        </w:rPr>
        <w:t xml:space="preserve">本合同总价40%的验收付款：</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①乙方按照本次付款金额向甲方开具的中国税务机关监制/认可的发票。</w:t>
      </w:r>
      <w:r/>
    </w:p>
    <w:p>
      <w:pPr>
        <w:pStyle w:val="1189"/>
        <w:ind w:firstLine="482"/>
        <w:spacing w:line="460" w:lineRule="exact"/>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（3）第三期付款(终验付款)</w:t>
      </w:r>
      <w:r/>
    </w:p>
    <w:p>
      <w:pPr>
        <w:pStyle w:val="1189"/>
        <w:ind w:firstLine="480"/>
        <w:spacing w:line="460" w:lineRule="exact"/>
        <w:rPr>
          <w:rFonts w:asciiTheme="minorEastAsia" w:hAnsiTheme="minorEastAsia" w:eastAsiaTheme="minorEastAsia"/>
          <w:b/>
          <w:color w:val="auto"/>
          <w:highlight w:val="none"/>
        </w:rPr>
      </w:pPr>
      <w:r>
        <w:rPr>
          <w:rFonts w:hint="eastAsia" w:asciiTheme="minorEastAsia" w:hAnsiTheme="minorEastAsia" w:eastAsiaTheme="minorEastAsia"/>
          <w:color w:val="auto"/>
          <w:highlight w:val="none"/>
        </w:rPr>
        <w:t xml:space="preserve">项目完成各项工作并向甲方提交所有成果，通过甲方组织的验收后，甲方将在软件开发验收合格后收到乙方提交下列①、②项文件后的九十(90)天内以电汇的方式向乙方支付相当于</w:t>
      </w:r>
      <w:r>
        <w:rPr>
          <w:rFonts w:hint="eastAsia" w:asciiTheme="minorEastAsia" w:hAnsiTheme="minorEastAsia" w:eastAsiaTheme="minorEastAsia"/>
          <w:b/>
          <w:bCs/>
          <w:color w:val="auto"/>
          <w:highlight w:val="none"/>
        </w:rPr>
        <w:t xml:space="preserve">本合同总价10%的验收付款</w:t>
      </w:r>
      <w:r>
        <w:rPr>
          <w:rFonts w:hint="eastAsia" w:asciiTheme="minorEastAsia" w:hAnsiTheme="minorEastAsia" w:eastAsiaTheme="minorEastAsia"/>
          <w:b/>
          <w:color w:val="auto"/>
          <w:highlight w:val="none"/>
        </w:rPr>
        <w:t xml:space="preserve">。</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①甲方签发的《验收合格证书》或双方其他关于软件开发部分或全部的确认文件;</w:t>
      </w:r>
      <w:r>
        <w:rPr>
          <w:rFonts w:hint="eastAsia" w:asciiTheme="minorEastAsia" w:hAnsiTheme="minorEastAsia" w:eastAsiaTheme="minorEastAsia"/>
          <w:color w:val="auto"/>
          <w:highlight w:val="none"/>
        </w:rPr>
        <w:tab/>
      </w:r>
      <w:r>
        <w:rPr>
          <w:rFonts w:hint="eastAsia" w:asciiTheme="minorEastAsia" w:hAnsiTheme="minorEastAsia" w:eastAsiaTheme="minorEastAsia"/>
          <w:color w:val="auto"/>
          <w:highlight w:val="none"/>
        </w:rPr>
        <w:t xml:space="preserve">②乙方按照本次付款金额向甲方开具的中国税务机关监制/认可的发票。</w:t>
      </w:r>
      <w:r/>
    </w:p>
    <w:p>
      <w:pPr>
        <w:pStyle w:val="1189"/>
        <w:ind w:firstLine="482"/>
        <w:spacing w:line="460" w:lineRule="exact"/>
        <w:rPr>
          <w:rFonts w:asciiTheme="minorEastAsia" w:hAnsiTheme="minorEastAsia" w:eastAsiaTheme="minorEastAsia"/>
          <w:b/>
          <w:color w:val="auto"/>
          <w:highlight w:val="none"/>
        </w:rPr>
      </w:pPr>
      <w:r>
        <w:rPr>
          <w:rFonts w:cs="MicrosoftYaHei" w:asciiTheme="minorEastAsia" w:hAnsiTheme="minorEastAsia" w:eastAsiaTheme="minorEastAsia"/>
          <w:b/>
          <w:color w:val="auto"/>
          <w:highlight w:val="none"/>
        </w:rPr>
        <w:t xml:space="preserve">（五）★ </w:t>
      </w:r>
      <w:r>
        <w:rPr>
          <w:rFonts w:hint="eastAsia" w:asciiTheme="minorEastAsia" w:hAnsiTheme="minorEastAsia" w:eastAsiaTheme="minorEastAsia"/>
          <w:b/>
          <w:color w:val="auto"/>
          <w:highlight w:val="none"/>
        </w:rPr>
        <w:t xml:space="preserve">履约保证金</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1、在合同签订完毕生效后，乙方向甲方提供合同金额5%的履约保函。</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2、履约保证金不予退还的情形：乙方在合同履行期间内无法完成履约的。</w:t>
      </w:r>
      <w:r/>
    </w:p>
    <w:p>
      <w:pPr>
        <w:pStyle w:val="1189"/>
        <w:ind w:firstLine="480"/>
        <w:spacing w:line="46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3、履约保证金退还时间及逾期退还的违约金：在验收合格满半年后，无质量问题，由甲方在5个工作日内全额退回。</w:t>
      </w:r>
      <w:r/>
    </w:p>
    <w:p>
      <w:pPr>
        <w:pStyle w:val="1189"/>
        <w:ind w:firstLine="0"/>
        <w:spacing w:line="460" w:lineRule="exact"/>
        <w:rPr>
          <w:rFonts w:cs="MicrosoftYaHei" w:asciiTheme="minorEastAsia" w:hAnsiTheme="minorEastAsia" w:eastAsiaTheme="minorEastAsia"/>
          <w:b/>
          <w:color w:val="auto"/>
          <w:highlight w:val="none"/>
        </w:rPr>
      </w:pPr>
      <w:r>
        <w:rPr>
          <w:rFonts w:cs="MicrosoftYaHei" w:asciiTheme="minorEastAsia" w:hAnsiTheme="minorEastAsia" w:eastAsiaTheme="minorEastAsia"/>
          <w:b/>
          <w:color w:val="auto"/>
          <w:highlight w:val="none"/>
        </w:rPr>
      </w:r>
      <w:r/>
    </w:p>
    <w:p>
      <w:pPr>
        <w:pStyle w:val="1189"/>
        <w:ind w:firstLine="0"/>
        <w:spacing w:line="460" w:lineRule="exact"/>
        <w:rPr>
          <w:rFonts w:cs="宋体" w:asciiTheme="minorEastAsia" w:hAnsiTheme="minorEastAsia" w:eastAsiaTheme="minorEastAsia"/>
          <w:b/>
          <w:color w:val="auto"/>
          <w:highlight w:val="none"/>
        </w:rPr>
      </w:pPr>
      <w:r>
        <w:rPr>
          <w:rFonts w:cs="MicrosoftYaHei" w:asciiTheme="minorEastAsia" w:hAnsiTheme="minorEastAsia" w:eastAsiaTheme="minorEastAsia"/>
          <w:b/>
          <w:color w:val="auto"/>
          <w:highlight w:val="none"/>
        </w:rPr>
        <w:t xml:space="preserve">八、★ </w:t>
      </w:r>
      <w:r>
        <w:rPr>
          <w:rFonts w:hint="eastAsia" w:cs="宋体" w:asciiTheme="minorEastAsia" w:hAnsiTheme="minorEastAsia" w:eastAsiaTheme="minorEastAsia"/>
          <w:b/>
          <w:color w:val="auto"/>
          <w:highlight w:val="none"/>
        </w:rPr>
        <w:t xml:space="preserve">报价要求：</w:t>
      </w:r>
      <w:r/>
    </w:p>
    <w:p>
      <w:pPr>
        <w:pStyle w:val="1189"/>
        <w:ind w:firstLine="480"/>
        <w:spacing w:line="460" w:lineRule="exact"/>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1、投标报价一次报定，投标总价不高于采购预算的为有效投标报价，否则为无效投标报价</w:t>
      </w:r>
      <w:r>
        <w:rPr>
          <w:rFonts w:hint="eastAsia" w:cs="宋体" w:asciiTheme="minorEastAsia" w:hAnsiTheme="minorEastAsia" w:eastAsiaTheme="minorEastAsia"/>
          <w:color w:val="auto"/>
          <w:highlight w:val="none"/>
          <w:lang w:val="zh-CN"/>
        </w:rPr>
        <w:t xml:space="preserve">。</w:t>
      </w:r>
      <w:r>
        <w:rPr>
          <w:rFonts w:hint="eastAsia" w:cs="宋体" w:asciiTheme="minorEastAsia" w:hAnsiTheme="minorEastAsia" w:eastAsiaTheme="minorEastAsia"/>
          <w:color w:val="auto"/>
          <w:highlight w:val="none"/>
        </w:rPr>
        <w:t xml:space="preserve">无效投标报价的投标文件不进行评审，也不得标。</w:t>
      </w:r>
      <w:r/>
    </w:p>
    <w:p>
      <w:pPr>
        <w:pStyle w:val="1189"/>
        <w:ind w:firstLine="480"/>
        <w:spacing w:line="460" w:lineRule="exact"/>
        <w:rPr>
          <w:rFonts w:cs="宋体" w:asciiTheme="minorEastAsia" w:hAnsiTheme="minorEastAsia" w:eastAsiaTheme="minorEastAsia"/>
          <w:color w:val="auto"/>
          <w:highlight w:val="none"/>
          <w:lang w:val="zh-CN"/>
        </w:rPr>
      </w:pPr>
      <w:r>
        <w:rPr>
          <w:rFonts w:hint="eastAsia" w:cs="宋体" w:asciiTheme="minorEastAsia" w:hAnsiTheme="minorEastAsia" w:eastAsiaTheme="minorEastAsia"/>
          <w:color w:val="auto"/>
          <w:highlight w:val="none"/>
        </w:rPr>
        <w:t xml:space="preserve">2、投标人应以人民币对全部采购项目进行报价，只对其中部分内容或出现选择性报价者，其报价将被拒绝。</w:t>
      </w:r>
      <w:r>
        <w:rPr>
          <w:rFonts w:hint="eastAsia" w:cs="宋体" w:asciiTheme="minorEastAsia" w:hAnsiTheme="minorEastAsia" w:eastAsiaTheme="minorEastAsia"/>
          <w:color w:val="auto"/>
          <w:highlight w:val="none"/>
          <w:lang w:val="zh-CN"/>
        </w:rPr>
        <w:t xml:space="preserve">投标总价包括完成该服务所需的通讯、辅助费用、管理、维护、保险、利润、税金、政策性文件规定及合同包含的所有风险、责任等各项应有费用。招标文件未列明但为完成本项目采购需求所必须的其他费用亦包含在投标报价中。招标单位不再支付其他款项。</w:t>
      </w:r>
      <w:r/>
    </w:p>
    <w:p>
      <w:pPr>
        <w:pStyle w:val="1189"/>
        <w:ind w:firstLine="480"/>
        <w:spacing w:line="460" w:lineRule="exact"/>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t xml:space="preserve">3、</w:t>
      </w:r>
      <w:r>
        <w:rPr>
          <w:rFonts w:hint="eastAsia" w:cs="宋体" w:asciiTheme="minorEastAsia" w:hAnsiTheme="minorEastAsia" w:eastAsiaTheme="minorEastAsia"/>
          <w:color w:val="auto"/>
          <w:highlight w:val="none"/>
          <w:lang w:val="zh-CN"/>
        </w:rPr>
        <w:t xml:space="preserve">投标人报价已充分考虑项目完成的政策性调整、各种市场价格的浮动等因素造成的价格变动，项目完成期内的合同价格不作调整。</w:t>
      </w:r>
      <w:r/>
    </w:p>
    <w:p>
      <w:pPr>
        <w:pStyle w:val="1189"/>
        <w:ind w:firstLine="0"/>
        <w:spacing w:line="460" w:lineRule="exact"/>
        <w:rPr>
          <w:rFonts w:cs="宋体" w:asciiTheme="minorEastAsia" w:hAnsiTheme="minorEastAsia" w:eastAsiaTheme="minorEastAsia"/>
          <w:bCs/>
          <w:color w:val="auto"/>
          <w:highlight w:val="none"/>
        </w:rPr>
      </w:pPr>
      <w:r>
        <w:rPr>
          <w:rFonts w:cs="宋体" w:asciiTheme="minorEastAsia" w:hAnsiTheme="minorEastAsia" w:eastAsiaTheme="minorEastAsia"/>
          <w:bCs/>
          <w:color w:val="auto"/>
          <w:highlight w:val="none"/>
        </w:rPr>
      </w:r>
      <w:r/>
    </w:p>
    <w:p>
      <w:pPr>
        <w:pStyle w:val="1189"/>
        <w:ind w:firstLine="0"/>
        <w:spacing w:line="460" w:lineRule="exact"/>
        <w:rPr>
          <w:rFonts w:cs="宋体" w:asciiTheme="minorEastAsia" w:hAnsiTheme="minorEastAsia" w:eastAsiaTheme="minorEastAsia"/>
          <w:b/>
          <w:color w:val="auto"/>
          <w:highlight w:val="none"/>
        </w:rPr>
      </w:pPr>
      <w:r>
        <w:rPr>
          <w:rFonts w:cs="宋体" w:asciiTheme="minorEastAsia" w:hAnsiTheme="minorEastAsia" w:eastAsiaTheme="minorEastAsia"/>
          <w:b/>
          <w:bCs/>
          <w:color w:val="auto"/>
          <w:highlight w:val="none"/>
        </w:rPr>
        <w:t xml:space="preserve">九</w:t>
      </w:r>
      <w:r>
        <w:rPr>
          <w:rFonts w:hint="eastAsia" w:cs="宋体" w:asciiTheme="minorEastAsia" w:hAnsiTheme="minorEastAsia" w:eastAsiaTheme="minorEastAsia"/>
          <w:b/>
          <w:bCs/>
          <w:color w:val="auto"/>
          <w:highlight w:val="none"/>
        </w:rPr>
        <w:t xml:space="preserve">、</w:t>
      </w:r>
      <w:r>
        <w:rPr>
          <w:rFonts w:hint="eastAsia" w:cs="宋体" w:asciiTheme="minorEastAsia" w:hAnsiTheme="minorEastAsia" w:eastAsiaTheme="minorEastAsia"/>
          <w:b/>
          <w:color w:val="auto"/>
          <w:highlight w:val="none"/>
        </w:rPr>
        <w:t xml:space="preserve">凡涉及招标文件的补充说明和修改，均以江苏省政府采购网、苏州政府采购网发布的内容为准。</w:t>
      </w:r>
      <w:r/>
    </w:p>
    <w:p>
      <w:pPr>
        <w:pStyle w:val="1189"/>
        <w:ind w:firstLine="480"/>
        <w:spacing w:line="46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89"/>
        <w:ind w:firstLine="480"/>
        <w:rPr>
          <w:rFonts w:ascii="黑体" w:hAnsi="黑体" w:eastAsia="黑体" w:cs="黑体"/>
          <w:bCs/>
          <w:color w:val="auto"/>
          <w:highlight w:val="none"/>
        </w:rPr>
      </w:pPr>
      <w:r>
        <w:rPr>
          <w:rFonts w:hint="eastAsia" w:ascii="黑体" w:hAnsi="黑体" w:eastAsia="黑体" w:cs="黑体"/>
          <w:bCs/>
          <w:color w:val="auto"/>
          <w:highlight w:val="none"/>
        </w:rPr>
        <w:br w:type="page" w:clear="all"/>
      </w:r>
      <w:r>
        <w:rPr>
          <w:rFonts w:hint="eastAsia" w:ascii="黑体" w:hAnsi="黑体" w:eastAsia="黑体" w:cs="黑体"/>
          <w:bCs/>
          <w:color w:val="auto"/>
          <w:highlight w:val="none"/>
        </w:rPr>
        <w:t xml:space="preserve">附件1：服务类项目履约验收方案</w:t>
      </w:r>
      <w:r/>
    </w:p>
    <w:p>
      <w:pPr>
        <w:pStyle w:val="1221"/>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一、</w:t>
      </w:r>
      <w:r>
        <w:rPr>
          <w:rFonts w:hint="eastAsia" w:hAnsi="宋体" w:eastAsia="宋体" w:cs="微软雅黑"/>
          <w:b/>
          <w:bCs/>
          <w:color w:val="auto"/>
          <w:sz w:val="24"/>
          <w:szCs w:val="24"/>
          <w:highlight w:val="none"/>
        </w:rPr>
        <w:t xml:space="preserve">项</w:t>
      </w:r>
      <w:r>
        <w:rPr>
          <w:rFonts w:hint="eastAsia" w:hAnsi="宋体" w:eastAsia="宋体" w:cs="MS Gothic"/>
          <w:b/>
          <w:bCs/>
          <w:color w:val="auto"/>
          <w:sz w:val="24"/>
          <w:szCs w:val="24"/>
          <w:highlight w:val="none"/>
        </w:rPr>
        <w:t xml:space="preserve">目概况</w:t>
      </w:r>
      <w:r/>
    </w:p>
    <w:p>
      <w:pPr>
        <w:pStyle w:val="1221"/>
        <w:ind w:firstLine="480"/>
        <w:spacing w:line="360" w:lineRule="auto"/>
        <w:rPr>
          <w:rFonts w:hAnsi="宋体" w:eastAsia="宋体" w:cs="MS Gothic"/>
          <w:color w:val="auto"/>
          <w:sz w:val="24"/>
          <w:szCs w:val="24"/>
          <w:highlight w:val="none"/>
        </w:rPr>
      </w:pPr>
      <w:r>
        <w:rPr>
          <w:rFonts w:hint="eastAsia" w:hAnsi="宋体" w:eastAsia="宋体" w:cs="微软雅黑"/>
          <w:color w:val="auto"/>
          <w:sz w:val="24"/>
          <w:szCs w:val="24"/>
          <w:highlight w:val="none"/>
        </w:rPr>
        <w:t xml:space="preserve">项</w:t>
      </w:r>
      <w:r>
        <w:rPr>
          <w:rFonts w:hint="eastAsia" w:hAnsi="宋体" w:eastAsia="宋体" w:cs="MS Gothic"/>
          <w:color w:val="auto"/>
          <w:sz w:val="24"/>
          <w:szCs w:val="24"/>
          <w:highlight w:val="none"/>
        </w:rPr>
        <w:t xml:space="preserve">目</w:t>
      </w:r>
      <w:r>
        <w:rPr>
          <w:rFonts w:hint="eastAsia" w:hAnsi="宋体" w:eastAsia="宋体" w:cs="微软雅黑"/>
          <w:color w:val="auto"/>
          <w:sz w:val="24"/>
          <w:szCs w:val="24"/>
          <w:highlight w:val="none"/>
        </w:rPr>
        <w:t xml:space="preserve">编</w:t>
      </w:r>
      <w:r>
        <w:rPr>
          <w:rFonts w:hint="eastAsia" w:hAnsi="宋体" w:eastAsia="宋体" w:cs="MS Gothic"/>
          <w:color w:val="auto"/>
          <w:sz w:val="24"/>
          <w:szCs w:val="24"/>
          <w:highlight w:val="none"/>
        </w:rPr>
        <w:t xml:space="preserve">号：</w:t>
      </w:r>
      <w:r>
        <w:rPr>
          <w:rFonts w:hint="eastAsia" w:ascii="仿宋" w:hAnsi="仿宋" w:eastAsia="仿宋" w:cs="仿宋"/>
          <w:color w:val="auto"/>
          <w:sz w:val="24"/>
          <w:szCs w:val="24"/>
          <w:highlight w:val="none"/>
        </w:rPr>
        <w:t xml:space="preserve">JSZC-320585-JZCG-G2025-0130</w:t>
      </w:r>
      <w:r/>
    </w:p>
    <w:p>
      <w:pPr>
        <w:pStyle w:val="1221"/>
        <w:ind w:firstLine="480"/>
        <w:spacing w:line="360" w:lineRule="auto"/>
        <w:rPr>
          <w:rFonts w:hAnsi="宋体" w:eastAsia="宋体" w:cs="微软雅黑"/>
          <w:color w:val="auto"/>
          <w:sz w:val="24"/>
          <w:szCs w:val="24"/>
          <w:highlight w:val="none"/>
        </w:rPr>
      </w:pPr>
      <w:r>
        <w:rPr>
          <w:rFonts w:hint="eastAsia" w:hAnsi="宋体" w:eastAsia="宋体" w:cs="微软雅黑"/>
          <w:color w:val="auto"/>
          <w:sz w:val="24"/>
          <w:szCs w:val="24"/>
          <w:highlight w:val="none"/>
        </w:rPr>
        <w:t xml:space="preserve">项</w:t>
      </w:r>
      <w:r>
        <w:rPr>
          <w:rFonts w:hint="eastAsia" w:hAnsi="宋体" w:eastAsia="宋体" w:cs="MS Gothic"/>
          <w:color w:val="auto"/>
          <w:sz w:val="24"/>
          <w:szCs w:val="24"/>
          <w:highlight w:val="none"/>
        </w:rPr>
        <w:t xml:space="preserve">目名称：</w:t>
      </w:r>
      <w:r>
        <w:rPr>
          <w:rFonts w:hint="eastAsia" w:hAnsi="宋体" w:eastAsia="宋体" w:cs="微软雅黑"/>
          <w:color w:val="auto"/>
          <w:sz w:val="24"/>
          <w:szCs w:val="24"/>
          <w:highlight w:val="none"/>
        </w:rPr>
        <w:t xml:space="preserve">太仓市娄江新城医院（瑞金医院太仓分院）数智化二期建设</w:t>
      </w:r>
      <w:r/>
    </w:p>
    <w:p>
      <w:pPr>
        <w:pStyle w:val="1221"/>
        <w:ind w:firstLine="480"/>
        <w:spacing w:line="360" w:lineRule="auto"/>
        <w:rPr>
          <w:rFonts w:hAnsi="宋体" w:eastAsia="宋体" w:cs="微软雅黑"/>
          <w:color w:val="auto"/>
          <w:sz w:val="24"/>
          <w:szCs w:val="24"/>
          <w:highlight w:val="none"/>
        </w:rPr>
      </w:pPr>
      <w:r>
        <w:rPr>
          <w:rFonts w:hint="eastAsia" w:hAnsi="宋体" w:eastAsia="宋体" w:cs="微软雅黑"/>
          <w:color w:val="auto"/>
          <w:sz w:val="24"/>
          <w:szCs w:val="24"/>
          <w:highlight w:val="none"/>
        </w:rPr>
        <w:t xml:space="preserve">供应商名称：</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合同金</w:t>
      </w:r>
      <w:r>
        <w:rPr>
          <w:rFonts w:hint="eastAsia" w:hAnsi="宋体" w:eastAsia="宋体" w:cs="微软雅黑"/>
          <w:color w:val="auto"/>
          <w:sz w:val="24"/>
          <w:szCs w:val="24"/>
          <w:highlight w:val="none"/>
        </w:rPr>
        <w:t xml:space="preserve">额</w:t>
      </w:r>
      <w:r>
        <w:rPr>
          <w:rFonts w:hint="eastAsia" w:hAnsi="宋体" w:eastAsia="宋体" w:cs="MS Gothic"/>
          <w:color w:val="auto"/>
          <w:sz w:val="24"/>
          <w:szCs w:val="24"/>
          <w:highlight w:val="none"/>
        </w:rPr>
        <w:t xml:space="preserve">：</w:t>
      </w:r>
      <w:r/>
    </w:p>
    <w:p>
      <w:pPr>
        <w:pStyle w:val="1221"/>
        <w:ind w:firstLine="480"/>
        <w:spacing w:line="360" w:lineRule="auto"/>
        <w:rPr>
          <w:rFonts w:hAnsi="宋体" w:eastAsia="宋体"/>
          <w:color w:val="auto"/>
          <w:sz w:val="24"/>
          <w:szCs w:val="24"/>
          <w:highlight w:val="none"/>
        </w:rPr>
      </w:pP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收主体：</w:t>
      </w:r>
      <w:r>
        <w:rPr>
          <w:rFonts w:hint="eastAsia" w:hAnsi="宋体" w:eastAsia="宋体" w:cs="微软雅黑"/>
          <w:color w:val="auto"/>
          <w:sz w:val="24"/>
          <w:szCs w:val="24"/>
          <w:highlight w:val="none"/>
        </w:rPr>
        <w:t xml:space="preserve">太仓市娄江新城医院（瑞金医院太仓分院）</w:t>
      </w:r>
      <w:r/>
    </w:p>
    <w:p>
      <w:pPr>
        <w:pStyle w:val="1221"/>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二、</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收目的</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政府采</w:t>
      </w:r>
      <w:r>
        <w:rPr>
          <w:rFonts w:hint="eastAsia" w:hAnsi="宋体" w:eastAsia="宋体" w:cs="微软雅黑"/>
          <w:color w:val="auto"/>
          <w:sz w:val="24"/>
          <w:szCs w:val="24"/>
          <w:highlight w:val="none"/>
        </w:rPr>
        <w:t xml:space="preserve">购项</w:t>
      </w:r>
      <w:r>
        <w:rPr>
          <w:rFonts w:hint="eastAsia" w:hAnsi="宋体" w:eastAsia="宋体" w:cs="MS Gothic"/>
          <w:color w:val="auto"/>
          <w:sz w:val="24"/>
          <w:szCs w:val="24"/>
          <w:highlight w:val="none"/>
        </w:rPr>
        <w:t xml:space="preserve">目履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收是指采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人或其委托的采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代理机构，</w:t>
      </w:r>
      <w:r>
        <w:rPr>
          <w:rFonts w:hint="eastAsia" w:hAnsi="宋体" w:eastAsia="宋体" w:cs="微软雅黑"/>
          <w:color w:val="auto"/>
          <w:sz w:val="24"/>
          <w:szCs w:val="24"/>
          <w:highlight w:val="none"/>
        </w:rPr>
        <w:t xml:space="preserve">组织验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组对</w:t>
      </w:r>
      <w:r>
        <w:rPr>
          <w:rFonts w:hint="eastAsia" w:hAnsi="宋体" w:eastAsia="宋体" w:cs="MS Gothic"/>
          <w:color w:val="auto"/>
          <w:sz w:val="24"/>
          <w:szCs w:val="24"/>
          <w:highlight w:val="none"/>
        </w:rPr>
        <w:t xml:space="preserve">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商履行政府采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合同情况及</w:t>
      </w:r>
      <w:r>
        <w:rPr>
          <w:rFonts w:hint="eastAsia" w:hAnsi="宋体" w:eastAsia="宋体" w:cs="微软雅黑"/>
          <w:color w:val="auto"/>
          <w:sz w:val="24"/>
          <w:szCs w:val="24"/>
          <w:highlight w:val="none"/>
        </w:rPr>
        <w:t xml:space="preserve">结</w:t>
      </w:r>
      <w:r>
        <w:rPr>
          <w:rFonts w:hint="eastAsia" w:hAnsi="宋体" w:eastAsia="宋体" w:cs="MS Gothic"/>
          <w:color w:val="auto"/>
          <w:sz w:val="24"/>
          <w:szCs w:val="24"/>
          <w:highlight w:val="none"/>
        </w:rPr>
        <w:t xml:space="preserve">果</w:t>
      </w:r>
      <w:r>
        <w:rPr>
          <w:rFonts w:hint="eastAsia" w:hAnsi="宋体" w:eastAsia="宋体" w:cs="微软雅黑"/>
          <w:color w:val="auto"/>
          <w:sz w:val="24"/>
          <w:szCs w:val="24"/>
          <w:highlight w:val="none"/>
        </w:rPr>
        <w:t xml:space="preserve">进</w:t>
      </w:r>
      <w:r>
        <w:rPr>
          <w:rFonts w:hint="eastAsia" w:hAnsi="宋体" w:eastAsia="宋体" w:cs="MS Gothic"/>
          <w:color w:val="auto"/>
          <w:sz w:val="24"/>
          <w:szCs w:val="24"/>
          <w:highlight w:val="none"/>
        </w:rPr>
        <w:t xml:space="preserve">行</w:t>
      </w:r>
      <w:r>
        <w:rPr>
          <w:rFonts w:hint="eastAsia" w:hAnsi="宋体" w:eastAsia="宋体" w:cs="微软雅黑"/>
          <w:color w:val="auto"/>
          <w:sz w:val="24"/>
          <w:szCs w:val="24"/>
          <w:highlight w:val="none"/>
        </w:rPr>
        <w:t xml:space="preserve">检查</w:t>
      </w:r>
      <w:r>
        <w:rPr>
          <w:rFonts w:hint="eastAsia" w:hAnsi="宋体" w:eastAsia="宋体" w:cs="MS Gothic"/>
          <w:color w:val="auto"/>
          <w:sz w:val="24"/>
          <w:szCs w:val="24"/>
          <w:highlight w:val="none"/>
        </w:rPr>
        <w:t xml:space="preserve">、核</w:t>
      </w:r>
      <w:r>
        <w:rPr>
          <w:rFonts w:hint="eastAsia" w:hAnsi="宋体" w:eastAsia="宋体" w:cs="微软雅黑"/>
          <w:color w:val="auto"/>
          <w:sz w:val="24"/>
          <w:szCs w:val="24"/>
          <w:highlight w:val="none"/>
        </w:rPr>
        <w:t xml:space="preserve">实</w:t>
      </w:r>
      <w:r>
        <w:rPr>
          <w:rFonts w:hint="eastAsia" w:hAnsi="宋体" w:eastAsia="宋体" w:cs="MS Gothic"/>
          <w:color w:val="auto"/>
          <w:sz w:val="24"/>
          <w:szCs w:val="24"/>
          <w:highlight w:val="none"/>
        </w:rPr>
        <w:t xml:space="preserve">和</w:t>
      </w:r>
      <w:r>
        <w:rPr>
          <w:rFonts w:hint="eastAsia" w:hAnsi="宋体" w:eastAsia="宋体" w:cs="微软雅黑"/>
          <w:color w:val="auto"/>
          <w:sz w:val="24"/>
          <w:szCs w:val="24"/>
          <w:highlight w:val="none"/>
        </w:rPr>
        <w:t xml:space="preserve">评</w:t>
      </w:r>
      <w:r>
        <w:rPr>
          <w:rFonts w:hint="eastAsia" w:hAnsi="宋体" w:eastAsia="宋体" w:cs="MS Gothic"/>
          <w:color w:val="auto"/>
          <w:sz w:val="24"/>
          <w:szCs w:val="24"/>
          <w:highlight w:val="none"/>
        </w:rPr>
        <w:t xml:space="preserve">估等，以确</w:t>
      </w:r>
      <w:r>
        <w:rPr>
          <w:rFonts w:hint="eastAsia" w:hAnsi="宋体" w:eastAsia="宋体" w:cs="微软雅黑"/>
          <w:color w:val="auto"/>
          <w:sz w:val="24"/>
          <w:szCs w:val="24"/>
          <w:highlight w:val="none"/>
        </w:rPr>
        <w:t xml:space="preserve">认</w:t>
      </w:r>
      <w:r>
        <w:rPr>
          <w:rFonts w:hint="eastAsia" w:hAnsi="宋体" w:eastAsia="宋体" w:cs="MS Gothic"/>
          <w:color w:val="auto"/>
          <w:sz w:val="24"/>
          <w:szCs w:val="24"/>
          <w:highlight w:val="none"/>
        </w:rPr>
        <w:t xml:space="preserve">其提供的</w:t>
      </w:r>
      <w:r>
        <w:rPr>
          <w:rFonts w:hint="eastAsia" w:hAnsi="宋体" w:eastAsia="宋体" w:cs="微软雅黑"/>
          <w:color w:val="auto"/>
          <w:sz w:val="24"/>
          <w:szCs w:val="24"/>
          <w:highlight w:val="none"/>
        </w:rPr>
        <w:t xml:space="preserve">货</w:t>
      </w:r>
      <w:r>
        <w:rPr>
          <w:rFonts w:hint="eastAsia" w:hAnsi="宋体" w:eastAsia="宋体" w:cs="MS Gothic"/>
          <w:color w:val="auto"/>
          <w:sz w:val="24"/>
          <w:szCs w:val="24"/>
          <w:highlight w:val="none"/>
        </w:rPr>
        <w:t xml:space="preserve">物或者服</w:t>
      </w:r>
      <w:r>
        <w:rPr>
          <w:rFonts w:hint="eastAsia" w:hAnsi="宋体" w:eastAsia="宋体" w:cs="微软雅黑"/>
          <w:color w:val="auto"/>
          <w:sz w:val="24"/>
          <w:szCs w:val="24"/>
          <w:highlight w:val="none"/>
        </w:rPr>
        <w:t xml:space="preserve">务</w:t>
      </w:r>
      <w:r>
        <w:rPr>
          <w:rFonts w:hint="eastAsia" w:hAnsi="宋体" w:eastAsia="宋体" w:cs="MS Gothic"/>
          <w:color w:val="auto"/>
          <w:sz w:val="24"/>
          <w:szCs w:val="24"/>
          <w:highlight w:val="none"/>
        </w:rPr>
        <w:t xml:space="preserve">是否符合政府采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合同</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定要求的活</w:t>
      </w:r>
      <w:r>
        <w:rPr>
          <w:rFonts w:hint="eastAsia" w:hAnsi="宋体" w:eastAsia="宋体" w:cs="微软雅黑"/>
          <w:color w:val="auto"/>
          <w:sz w:val="24"/>
          <w:szCs w:val="24"/>
          <w:highlight w:val="none"/>
        </w:rPr>
        <w:t xml:space="preserve">动</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结</w:t>
      </w:r>
      <w:r>
        <w:rPr>
          <w:rFonts w:hint="eastAsia" w:hAnsi="宋体" w:eastAsia="宋体" w:cs="MS Gothic"/>
          <w:color w:val="auto"/>
          <w:sz w:val="24"/>
          <w:szCs w:val="24"/>
          <w:highlight w:val="none"/>
        </w:rPr>
        <w:t xml:space="preserve">果是政府采</w:t>
      </w:r>
      <w:r>
        <w:rPr>
          <w:rFonts w:hint="eastAsia" w:hAnsi="宋体" w:eastAsia="宋体" w:cs="微软雅黑"/>
          <w:color w:val="auto"/>
          <w:sz w:val="24"/>
          <w:szCs w:val="24"/>
          <w:highlight w:val="none"/>
        </w:rPr>
        <w:t xml:space="preserve">购项</w:t>
      </w:r>
      <w:r>
        <w:rPr>
          <w:rFonts w:hint="eastAsia" w:hAnsi="宋体" w:eastAsia="宋体" w:cs="MS Gothic"/>
          <w:color w:val="auto"/>
          <w:sz w:val="24"/>
          <w:szCs w:val="24"/>
          <w:highlight w:val="none"/>
        </w:rPr>
        <w:t xml:space="preserve">目</w:t>
      </w:r>
      <w:r>
        <w:rPr>
          <w:rFonts w:hint="eastAsia" w:hAnsi="宋体" w:eastAsia="宋体" w:cs="微软雅黑"/>
          <w:color w:val="auto"/>
          <w:sz w:val="24"/>
          <w:szCs w:val="24"/>
          <w:highlight w:val="none"/>
        </w:rPr>
        <w:t xml:space="preserve">资</w:t>
      </w:r>
      <w:r>
        <w:rPr>
          <w:rFonts w:hint="eastAsia" w:hAnsi="宋体" w:eastAsia="宋体" w:cs="MS Gothic"/>
          <w:color w:val="auto"/>
          <w:sz w:val="24"/>
          <w:szCs w:val="24"/>
          <w:highlight w:val="none"/>
        </w:rPr>
        <w:t xml:space="preserve">金支付的重要依据。</w:t>
      </w:r>
      <w:r/>
    </w:p>
    <w:p>
      <w:pPr>
        <w:pStyle w:val="1221"/>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三、</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收依据</w:t>
      </w:r>
      <w:r/>
    </w:p>
    <w:p>
      <w:pPr>
        <w:pStyle w:val="1221"/>
        <w:ind w:firstLine="480"/>
        <w:spacing w:line="360" w:lineRule="auto"/>
        <w:rPr>
          <w:rFonts w:hAnsi="宋体" w:eastAsia="宋体" w:cs="MS Gothic"/>
          <w:color w:val="auto"/>
          <w:sz w:val="24"/>
          <w:szCs w:val="24"/>
          <w:highlight w:val="none"/>
        </w:rPr>
      </w:pPr>
      <w:r>
        <w:rPr>
          <w:rFonts w:hint="eastAsia" w:hAnsi="宋体" w:eastAsia="宋体" w:cs="MS Gothic"/>
          <w:color w:val="auto"/>
          <w:sz w:val="24"/>
          <w:szCs w:val="24"/>
          <w:highlight w:val="none"/>
        </w:rPr>
        <w:t xml:space="preserve">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人通</w:t>
      </w:r>
      <w:r>
        <w:rPr>
          <w:rFonts w:hint="eastAsia" w:hAnsi="宋体" w:eastAsia="宋体" w:cs="微软雅黑"/>
          <w:color w:val="auto"/>
          <w:sz w:val="24"/>
          <w:szCs w:val="24"/>
          <w:highlight w:val="none"/>
        </w:rPr>
        <w:t xml:space="preserve">过</w:t>
      </w:r>
      <w:r>
        <w:rPr>
          <w:rFonts w:hint="eastAsia" w:hAnsi="宋体" w:eastAsia="宋体" w:cs="MS Gothic"/>
          <w:color w:val="auto"/>
          <w:sz w:val="24"/>
          <w:szCs w:val="24"/>
          <w:highlight w:val="none"/>
        </w:rPr>
        <w:t xml:space="preserve">政府采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1221"/>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四、</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w:t>
      </w:r>
      <w:r>
        <w:rPr>
          <w:rFonts w:hint="eastAsia" w:hAnsi="宋体" w:eastAsia="宋体" w:cs="微软雅黑"/>
          <w:b/>
          <w:bCs/>
          <w:color w:val="auto"/>
          <w:sz w:val="24"/>
          <w:szCs w:val="24"/>
          <w:highlight w:val="none"/>
        </w:rPr>
        <w:t xml:space="preserve">责</w:t>
      </w:r>
      <w:r>
        <w:rPr>
          <w:rFonts w:hint="eastAsia" w:hAnsi="宋体" w:eastAsia="宋体" w:cs="MS Gothic"/>
          <w:b/>
          <w:bCs/>
          <w:color w:val="auto"/>
          <w:sz w:val="24"/>
          <w:szCs w:val="24"/>
          <w:highlight w:val="none"/>
        </w:rPr>
        <w:t xml:space="preserve">任主体</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人是政府采</w:t>
      </w:r>
      <w:r>
        <w:rPr>
          <w:rFonts w:hint="eastAsia" w:hAnsi="宋体" w:eastAsia="宋体" w:cs="微软雅黑"/>
          <w:color w:val="auto"/>
          <w:sz w:val="24"/>
          <w:szCs w:val="24"/>
          <w:highlight w:val="none"/>
        </w:rPr>
        <w:t xml:space="preserve">购项</w:t>
      </w:r>
      <w:r>
        <w:rPr>
          <w:rFonts w:hint="eastAsia" w:hAnsi="宋体" w:eastAsia="宋体" w:cs="MS Gothic"/>
          <w:color w:val="auto"/>
          <w:sz w:val="24"/>
          <w:szCs w:val="24"/>
          <w:highlight w:val="none"/>
        </w:rPr>
        <w:t xml:space="preserve">目履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收工作的</w:t>
      </w:r>
      <w:r>
        <w:rPr>
          <w:rFonts w:hint="eastAsia" w:hAnsi="宋体" w:eastAsia="宋体" w:cs="微软雅黑"/>
          <w:color w:val="auto"/>
          <w:sz w:val="24"/>
          <w:szCs w:val="24"/>
          <w:highlight w:val="none"/>
        </w:rPr>
        <w:t xml:space="preserve">责</w:t>
      </w:r>
      <w:r>
        <w:rPr>
          <w:rFonts w:hint="eastAsia" w:hAnsi="宋体" w:eastAsia="宋体" w:cs="MS Gothic"/>
          <w:color w:val="auto"/>
          <w:sz w:val="24"/>
          <w:szCs w:val="24"/>
          <w:highlight w:val="none"/>
        </w:rPr>
        <w:t xml:space="preserve">任主体。采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当加</w:t>
      </w:r>
      <w:r>
        <w:rPr>
          <w:rFonts w:hint="eastAsia" w:hAnsi="宋体" w:eastAsia="宋体" w:cs="微软雅黑"/>
          <w:color w:val="auto"/>
          <w:sz w:val="24"/>
          <w:szCs w:val="24"/>
          <w:highlight w:val="none"/>
        </w:rPr>
        <w:t xml:space="preserve">强</w:t>
      </w:r>
      <w:r>
        <w:rPr>
          <w:rFonts w:hint="eastAsia" w:hAnsi="宋体" w:eastAsia="宋体" w:cs="MS Gothic"/>
          <w:color w:val="auto"/>
          <w:sz w:val="24"/>
          <w:szCs w:val="24"/>
          <w:highlight w:val="none"/>
        </w:rPr>
        <w:t xml:space="preserve">内控管理，明确</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收机制，按照合同</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定及</w:t>
      </w:r>
      <w:r>
        <w:rPr>
          <w:rFonts w:hint="eastAsia" w:hAnsi="宋体" w:eastAsia="宋体" w:cs="微软雅黑"/>
          <w:color w:val="auto"/>
          <w:sz w:val="24"/>
          <w:szCs w:val="24"/>
          <w:highlight w:val="none"/>
        </w:rPr>
        <w:t xml:space="preserve">时验</w:t>
      </w:r>
      <w:r>
        <w:rPr>
          <w:rFonts w:hint="eastAsia" w:hAnsi="宋体" w:eastAsia="宋体" w:cs="MS Gothic"/>
          <w:color w:val="auto"/>
          <w:sz w:val="24"/>
          <w:szCs w:val="24"/>
          <w:highlight w:val="none"/>
        </w:rPr>
        <w:t xml:space="preserve">收，确定</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结论</w:t>
      </w:r>
      <w:r>
        <w:rPr>
          <w:rFonts w:hint="eastAsia" w:hAnsi="宋体" w:eastAsia="宋体" w:cs="MS Gothic"/>
          <w:color w:val="auto"/>
          <w:sz w:val="24"/>
          <w:szCs w:val="24"/>
          <w:highlight w:val="none"/>
        </w:rPr>
        <w:t xml:space="preserve">，履行</w:t>
      </w:r>
      <w:r>
        <w:rPr>
          <w:rFonts w:hint="eastAsia" w:hAnsi="宋体" w:eastAsia="宋体" w:cs="微软雅黑"/>
          <w:color w:val="auto"/>
          <w:sz w:val="24"/>
          <w:szCs w:val="24"/>
          <w:highlight w:val="none"/>
        </w:rPr>
        <w:t xml:space="preserve">资</w:t>
      </w:r>
      <w:r>
        <w:rPr>
          <w:rFonts w:hint="eastAsia" w:hAnsi="宋体" w:eastAsia="宋体" w:cs="MS Gothic"/>
          <w:color w:val="auto"/>
          <w:sz w:val="24"/>
          <w:szCs w:val="24"/>
          <w:highlight w:val="none"/>
        </w:rPr>
        <w:t xml:space="preserve">金支付</w:t>
      </w:r>
      <w:r>
        <w:rPr>
          <w:rFonts w:hint="eastAsia" w:hAnsi="宋体" w:eastAsia="宋体" w:cs="微软雅黑"/>
          <w:color w:val="auto"/>
          <w:sz w:val="24"/>
          <w:szCs w:val="24"/>
          <w:highlight w:val="none"/>
        </w:rPr>
        <w:t xml:space="preserve">义务</w:t>
      </w:r>
      <w:r>
        <w:rPr>
          <w:rFonts w:hint="eastAsia" w:hAnsi="宋体" w:eastAsia="宋体" w:cs="MS Gothic"/>
          <w:color w:val="auto"/>
          <w:sz w:val="24"/>
          <w:szCs w:val="24"/>
          <w:highlight w:val="none"/>
        </w:rPr>
        <w:t xml:space="preserve">，遵循履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收工作程序及相关要求。采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当及</w:t>
      </w:r>
      <w:r>
        <w:rPr>
          <w:rFonts w:hint="eastAsia" w:hAnsi="宋体" w:eastAsia="宋体" w:cs="微软雅黑"/>
          <w:color w:val="auto"/>
          <w:sz w:val="24"/>
          <w:szCs w:val="24"/>
          <w:highlight w:val="none"/>
        </w:rPr>
        <w:t xml:space="preserve">时处</w:t>
      </w:r>
      <w:r>
        <w:rPr>
          <w:rFonts w:hint="eastAsia" w:hAnsi="宋体" w:eastAsia="宋体" w:cs="MS Gothic"/>
          <w:color w:val="auto"/>
          <w:sz w:val="24"/>
          <w:szCs w:val="24"/>
          <w:highlight w:val="none"/>
        </w:rPr>
        <w:t xml:space="preserve">理履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收中</w:t>
      </w:r>
      <w:r>
        <w:rPr>
          <w:rFonts w:hint="eastAsia" w:hAnsi="宋体" w:eastAsia="宋体" w:cs="微软雅黑"/>
          <w:color w:val="auto"/>
          <w:sz w:val="24"/>
          <w:szCs w:val="24"/>
          <w:highlight w:val="none"/>
        </w:rPr>
        <w:t xml:space="preserve">发现</w:t>
      </w:r>
      <w:r>
        <w:rPr>
          <w:rFonts w:hint="eastAsia" w:hAnsi="宋体" w:eastAsia="宋体" w:cs="MS Gothic"/>
          <w:color w:val="auto"/>
          <w:sz w:val="24"/>
          <w:szCs w:val="24"/>
          <w:highlight w:val="none"/>
        </w:rPr>
        <w:t xml:space="preserve">的</w:t>
      </w:r>
      <w:r>
        <w:rPr>
          <w:rFonts w:hint="eastAsia" w:hAnsi="宋体" w:eastAsia="宋体" w:cs="微软雅黑"/>
          <w:color w:val="auto"/>
          <w:sz w:val="24"/>
          <w:szCs w:val="24"/>
          <w:highlight w:val="none"/>
        </w:rPr>
        <w:t xml:space="preserve">问题</w:t>
      </w:r>
      <w:r>
        <w:rPr>
          <w:rFonts w:hint="eastAsia" w:hAnsi="宋体" w:eastAsia="宋体" w:cs="MS Gothic"/>
          <w:color w:val="auto"/>
          <w:sz w:val="24"/>
          <w:szCs w:val="24"/>
          <w:highlight w:val="none"/>
        </w:rPr>
        <w:t xml:space="preserve">，依法追究供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w:t>
      </w:r>
      <w:r>
        <w:rPr>
          <w:rFonts w:hint="eastAsia" w:hAnsi="宋体" w:eastAsia="宋体" w:cs="微软雅黑"/>
          <w:color w:val="auto"/>
          <w:sz w:val="24"/>
          <w:szCs w:val="24"/>
          <w:highlight w:val="none"/>
        </w:rPr>
        <w:t xml:space="preserve">违约责</w:t>
      </w:r>
      <w:r>
        <w:rPr>
          <w:rFonts w:hint="eastAsia" w:hAnsi="宋体" w:eastAsia="宋体" w:cs="MS Gothic"/>
          <w:color w:val="auto"/>
          <w:sz w:val="24"/>
          <w:szCs w:val="24"/>
          <w:highlight w:val="none"/>
        </w:rPr>
        <w:t xml:space="preserve">任，并将</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收和追</w:t>
      </w:r>
      <w:r>
        <w:rPr>
          <w:rFonts w:hint="eastAsia" w:hAnsi="宋体" w:eastAsia="宋体" w:cs="微软雅黑"/>
          <w:color w:val="auto"/>
          <w:sz w:val="24"/>
          <w:szCs w:val="24"/>
          <w:highlight w:val="none"/>
        </w:rPr>
        <w:t xml:space="preserve">责</w:t>
      </w:r>
      <w:r>
        <w:rPr>
          <w:rFonts w:hint="eastAsia" w:hAnsi="宋体" w:eastAsia="宋体" w:cs="MS Gothic"/>
          <w:color w:val="auto"/>
          <w:sz w:val="24"/>
          <w:szCs w:val="24"/>
          <w:highlight w:val="none"/>
        </w:rPr>
        <w:t xml:space="preserve">的相关情况及</w:t>
      </w:r>
      <w:r>
        <w:rPr>
          <w:rFonts w:hint="eastAsia" w:hAnsi="宋体" w:eastAsia="宋体" w:cs="微软雅黑"/>
          <w:color w:val="auto"/>
          <w:sz w:val="24"/>
          <w:szCs w:val="24"/>
          <w:highlight w:val="none"/>
        </w:rPr>
        <w:t xml:space="preserve">时</w:t>
      </w:r>
      <w:r>
        <w:rPr>
          <w:rFonts w:hint="eastAsia" w:hAnsi="宋体" w:eastAsia="宋体" w:cs="MS Gothic"/>
          <w:color w:val="auto"/>
          <w:sz w:val="24"/>
          <w:szCs w:val="24"/>
          <w:highlight w:val="none"/>
        </w:rPr>
        <w:t xml:space="preserve">向本</w:t>
      </w:r>
      <w:r>
        <w:rPr>
          <w:rFonts w:hint="eastAsia" w:hAnsi="宋体" w:eastAsia="宋体" w:cs="微软雅黑"/>
          <w:color w:val="auto"/>
          <w:sz w:val="24"/>
          <w:szCs w:val="24"/>
          <w:highlight w:val="none"/>
        </w:rPr>
        <w:t xml:space="preserve">级财</w:t>
      </w:r>
      <w:r>
        <w:rPr>
          <w:rFonts w:hint="eastAsia" w:hAnsi="宋体" w:eastAsia="宋体" w:cs="MS Gothic"/>
          <w:color w:val="auto"/>
          <w:sz w:val="24"/>
          <w:szCs w:val="24"/>
          <w:highlight w:val="none"/>
        </w:rPr>
        <w:t xml:space="preserve">政部</w:t>
      </w:r>
      <w:r>
        <w:rPr>
          <w:rFonts w:hint="eastAsia" w:hAnsi="宋体" w:eastAsia="宋体" w:cs="微软雅黑"/>
          <w:color w:val="auto"/>
          <w:sz w:val="24"/>
          <w:szCs w:val="24"/>
          <w:highlight w:val="none"/>
        </w:rPr>
        <w:t xml:space="preserve">门</w:t>
      </w:r>
      <w:r>
        <w:rPr>
          <w:rFonts w:hint="eastAsia" w:hAnsi="宋体" w:eastAsia="宋体" w:cs="MS Gothic"/>
          <w:color w:val="auto"/>
          <w:sz w:val="24"/>
          <w:szCs w:val="24"/>
          <w:highlight w:val="none"/>
        </w:rPr>
        <w:t xml:space="preserve">反映。</w:t>
      </w:r>
      <w:r/>
    </w:p>
    <w:p>
      <w:pPr>
        <w:pStyle w:val="1221"/>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五、</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收方式(形式)</w:t>
      </w:r>
      <w:r/>
    </w:p>
    <w:p>
      <w:pPr>
        <w:pStyle w:val="1221"/>
        <w:ind w:firstLine="480"/>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5.1日常考核、分段验收</w:t>
      </w:r>
      <w:r/>
    </w:p>
    <w:p>
      <w:pPr>
        <w:pStyle w:val="1221"/>
        <w:ind w:firstLine="480"/>
        <w:spacing w:line="360" w:lineRule="auto"/>
        <w:rPr>
          <w:rFonts w:hAnsi="宋体" w:eastAsia="宋体" w:cs="MS Gothic"/>
          <w:color w:val="auto"/>
          <w:sz w:val="24"/>
          <w:szCs w:val="24"/>
          <w:highlight w:val="none"/>
        </w:rPr>
      </w:pPr>
      <w:r>
        <w:rPr>
          <w:rFonts w:hint="eastAsia" w:hAnsi="宋体" w:eastAsia="宋体" w:cs="MS Gothic"/>
          <w:color w:val="auto"/>
          <w:sz w:val="24"/>
          <w:szCs w:val="24"/>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1221"/>
        <w:ind w:firstLine="480"/>
        <w:spacing w:line="360" w:lineRule="auto"/>
        <w:rPr>
          <w:rFonts w:hAnsi="宋体" w:eastAsia="宋体"/>
          <w:color w:val="auto"/>
          <w:sz w:val="24"/>
          <w:szCs w:val="24"/>
          <w:highlight w:val="none"/>
        </w:rPr>
      </w:pPr>
      <w:r>
        <w:rPr>
          <w:rFonts w:hint="eastAsia" w:hAnsi="宋体" w:eastAsia="宋体"/>
          <w:b/>
          <w:bCs/>
          <w:color w:val="auto"/>
          <w:sz w:val="24"/>
          <w:szCs w:val="24"/>
          <w:highlight w:val="none"/>
        </w:rPr>
        <w:t xml:space="preserve">5.2最终验收</w:t>
      </w:r>
      <w:r/>
    </w:p>
    <w:p>
      <w:pPr>
        <w:pStyle w:val="1221"/>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六、验收内容：</w:t>
      </w:r>
      <w:r/>
    </w:p>
    <w:p>
      <w:pPr>
        <w:pStyle w:val="1221"/>
        <w:ind w:firstLine="480"/>
        <w:spacing w:line="360" w:lineRule="auto"/>
        <w:rPr>
          <w:rFonts w:hAnsi="宋体" w:eastAsia="宋体" w:cs="MS Gothic"/>
          <w:color w:val="auto"/>
          <w:sz w:val="24"/>
          <w:szCs w:val="24"/>
          <w:highlight w:val="none"/>
        </w:rPr>
      </w:pPr>
      <w:r>
        <w:rPr>
          <w:rFonts w:hint="eastAsia" w:hAnsi="宋体" w:eastAsia="宋体" w:cs="MS Gothic"/>
          <w:color w:val="auto"/>
          <w:sz w:val="24"/>
          <w:szCs w:val="24"/>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221"/>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七、验收程序：</w:t>
      </w:r>
      <w:r/>
    </w:p>
    <w:p>
      <w:pPr>
        <w:pStyle w:val="1221"/>
        <w:ind w:firstLine="480"/>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7.1</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收准</w:t>
      </w:r>
      <w:r>
        <w:rPr>
          <w:rFonts w:hint="eastAsia" w:hAnsi="宋体" w:eastAsia="宋体" w:cs="微软雅黑"/>
          <w:b/>
          <w:bCs/>
          <w:color w:val="auto"/>
          <w:sz w:val="24"/>
          <w:szCs w:val="24"/>
          <w:highlight w:val="none"/>
        </w:rPr>
        <w:t xml:space="preserve">备</w:t>
      </w:r>
      <w:r/>
    </w:p>
    <w:p>
      <w:pPr>
        <w:pStyle w:val="1221"/>
        <w:ind w:firstLine="480"/>
        <w:spacing w:line="360" w:lineRule="auto"/>
        <w:rPr>
          <w:rFonts w:hAnsi="宋体" w:eastAsia="宋体" w:cs="MS Gothic"/>
          <w:b/>
          <w:bCs/>
          <w:color w:val="auto"/>
          <w:sz w:val="24"/>
          <w:szCs w:val="24"/>
          <w:highlight w:val="none"/>
        </w:rPr>
      </w:pPr>
      <w:r>
        <w:rPr>
          <w:rFonts w:hint="eastAsia" w:hAnsi="宋体" w:eastAsia="宋体"/>
          <w:color w:val="auto"/>
          <w:sz w:val="24"/>
          <w:szCs w:val="24"/>
          <w:highlight w:val="none"/>
        </w:rPr>
        <w:t xml:space="preserve">7.1.1</w:t>
      </w:r>
      <w:r>
        <w:rPr>
          <w:rFonts w:hint="eastAsia" w:hAnsi="宋体" w:eastAsia="宋体" w:cs="MS Gothic"/>
          <w:color w:val="auto"/>
          <w:sz w:val="24"/>
          <w:szCs w:val="24"/>
          <w:highlight w:val="none"/>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MS Gothic"/>
          <w:b/>
          <w:bCs/>
          <w:color w:val="auto"/>
          <w:sz w:val="24"/>
          <w:szCs w:val="24"/>
          <w:highlight w:val="none"/>
        </w:rPr>
        <w:t xml:space="preserve">供应商在收到催告后五个工作日内拒不配合的，采购人应依照合同约定追究其责任。</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7.1.2供应商应当配合采购人、采购代理机构做好项目验收工作，及时提供与项目验收相关的生产、技术、服务、数量、质量、安全、合格证明及验收所必须具备的其他材料</w:t>
      </w:r>
      <w:r>
        <w:rPr>
          <w:rFonts w:hint="eastAsia" w:hAnsi="宋体" w:eastAsia="宋体" w:cs="MS Gothic"/>
          <w:color w:val="auto"/>
          <w:sz w:val="24"/>
          <w:szCs w:val="24"/>
          <w:highlight w:val="none"/>
        </w:rPr>
        <w:t xml:space="preserve">。</w:t>
      </w:r>
      <w:r/>
    </w:p>
    <w:p>
      <w:pPr>
        <w:pStyle w:val="1221"/>
        <w:ind w:firstLine="480"/>
        <w:spacing w:line="360" w:lineRule="auto"/>
        <w:rPr>
          <w:rFonts w:hAnsi="宋体" w:eastAsia="宋体"/>
          <w:b/>
          <w:bCs/>
          <w:color w:val="auto"/>
          <w:sz w:val="24"/>
          <w:szCs w:val="24"/>
          <w:highlight w:val="none"/>
        </w:rPr>
      </w:pPr>
      <w:r>
        <w:rPr>
          <w:rFonts w:hint="eastAsia" w:hAnsi="宋体" w:eastAsia="宋体"/>
          <w:color w:val="auto"/>
          <w:sz w:val="24"/>
          <w:szCs w:val="24"/>
          <w:highlight w:val="none"/>
        </w:rPr>
        <w:t xml:space="preserve">7.1.3采购人应及时全面准备验收，自收到验收</w:t>
      </w:r>
      <w:r>
        <w:rPr>
          <w:rFonts w:hint="eastAsia" w:hAnsi="宋体" w:eastAsia="宋体"/>
          <w:b/>
          <w:bCs/>
          <w:color w:val="auto"/>
          <w:sz w:val="24"/>
          <w:szCs w:val="24"/>
          <w:highlight w:val="none"/>
        </w:rPr>
        <w:t xml:space="preserve">申请之日起五个工作日内</w:t>
      </w:r>
      <w:r>
        <w:rPr>
          <w:rFonts w:hint="eastAsia" w:hAnsi="宋体" w:eastAsia="宋体"/>
          <w:color w:val="auto"/>
          <w:sz w:val="24"/>
          <w:szCs w:val="24"/>
          <w:highlight w:val="none"/>
        </w:rPr>
        <w:t xml:space="preserve">做好通水、通电、准备验收工具等必要的验收准备工作、启动项目验收、通知供应商。</w:t>
      </w:r>
      <w:r/>
    </w:p>
    <w:p>
      <w:pPr>
        <w:pStyle w:val="1221"/>
        <w:ind w:firstLine="480"/>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7.2</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收小</w:t>
      </w:r>
      <w:r>
        <w:rPr>
          <w:rFonts w:hint="eastAsia" w:hAnsi="宋体" w:eastAsia="宋体" w:cs="微软雅黑"/>
          <w:b/>
          <w:bCs/>
          <w:color w:val="auto"/>
          <w:sz w:val="24"/>
          <w:szCs w:val="24"/>
          <w:highlight w:val="none"/>
        </w:rPr>
        <w:t xml:space="preserve">组</w:t>
      </w:r>
      <w:r/>
    </w:p>
    <w:p>
      <w:pPr>
        <w:pStyle w:val="1221"/>
        <w:ind w:firstLine="480"/>
        <w:spacing w:line="360" w:lineRule="auto"/>
        <w:rPr>
          <w:rFonts w:hAnsi="宋体" w:eastAsia="宋体" w:cs="微软雅黑"/>
          <w:color w:val="auto"/>
          <w:sz w:val="24"/>
          <w:szCs w:val="24"/>
          <w:highlight w:val="none"/>
        </w:rPr>
      </w:pPr>
      <w:r>
        <w:rPr>
          <w:rFonts w:hint="eastAsia" w:hAnsi="宋体" w:eastAsia="宋体"/>
          <w:color w:val="auto"/>
          <w:sz w:val="24"/>
          <w:szCs w:val="24"/>
          <w:highlight w:val="none"/>
        </w:rPr>
        <w:t xml:space="preserve">7.2.1采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当成立</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组，负责采购项目履约验收具体工作，验收小组一般由采购人指定的本单位</w:t>
      </w:r>
      <w:r>
        <w:rPr>
          <w:rFonts w:hAnsi="宋体" w:eastAsia="宋体" w:cs="微软雅黑"/>
          <w:color w:val="auto"/>
          <w:sz w:val="24"/>
          <w:szCs w:val="24"/>
          <w:highlight w:val="none"/>
        </w:rPr>
        <w:t xml:space="preserve">3</w:t>
      </w:r>
      <w:r>
        <w:rPr>
          <w:rFonts w:hint="eastAsia" w:hAnsi="宋体" w:eastAsia="宋体" w:cs="微软雅黑"/>
          <w:color w:val="auto"/>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p>
    <w:p>
      <w:pPr>
        <w:pStyle w:val="1221"/>
        <w:ind w:firstLine="480"/>
        <w:spacing w:line="360" w:lineRule="auto"/>
        <w:rPr>
          <w:rFonts w:hAnsi="宋体" w:eastAsia="宋体" w:cs="微软雅黑"/>
          <w:color w:val="auto"/>
          <w:sz w:val="24"/>
          <w:szCs w:val="24"/>
          <w:highlight w:val="none"/>
        </w:rPr>
      </w:pPr>
      <w:r>
        <w:rPr>
          <w:rFonts w:hint="eastAsia" w:hAnsi="宋体" w:eastAsia="宋体"/>
          <w:color w:val="auto"/>
          <w:sz w:val="24"/>
          <w:szCs w:val="24"/>
          <w:highlight w:val="none"/>
        </w:rPr>
        <w:t xml:space="preserve">7.2.2</w:t>
      </w:r>
      <w:r>
        <w:rPr>
          <w:rFonts w:hint="eastAsia" w:hAnsi="宋体" w:eastAsia="宋体" w:cs="微软雅黑"/>
          <w:color w:val="auto"/>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1221"/>
        <w:ind w:firstLine="480"/>
        <w:spacing w:line="360" w:lineRule="auto"/>
        <w:rPr>
          <w:rFonts w:hAnsi="宋体" w:eastAsia="宋体" w:cs="微软雅黑"/>
          <w:b/>
          <w:bCs/>
          <w:color w:val="auto"/>
          <w:sz w:val="24"/>
          <w:szCs w:val="24"/>
          <w:highlight w:val="none"/>
        </w:rPr>
      </w:pPr>
      <w:r>
        <w:rPr>
          <w:rFonts w:hint="eastAsia" w:hAnsi="宋体" w:eastAsia="宋体" w:cs="微软雅黑"/>
          <w:b/>
          <w:bCs/>
          <w:color w:val="auto"/>
          <w:sz w:val="24"/>
          <w:szCs w:val="24"/>
          <w:highlight w:val="none"/>
        </w:rPr>
        <w:t xml:space="preserve">7.3参与验收人员</w:t>
      </w:r>
      <w:r/>
    </w:p>
    <w:p>
      <w:pPr>
        <w:pStyle w:val="1221"/>
        <w:ind w:firstLine="480"/>
        <w:spacing w:line="360" w:lineRule="auto"/>
        <w:rPr>
          <w:rFonts w:hAnsi="宋体" w:eastAsia="宋体" w:cs="微软雅黑"/>
          <w:color w:val="auto"/>
          <w:sz w:val="24"/>
          <w:szCs w:val="24"/>
          <w:highlight w:val="none"/>
        </w:rPr>
      </w:pPr>
      <w:r>
        <w:rPr>
          <w:rFonts w:hint="eastAsia" w:hAnsi="宋体" w:eastAsia="宋体" w:cs="微软雅黑"/>
          <w:color w:val="auto"/>
          <w:sz w:val="24"/>
          <w:szCs w:val="24"/>
          <w:highlight w:val="none"/>
        </w:rPr>
        <w:t xml:space="preserve">7.3.1技术复杂或专业性强的政府采购项目，可以邀请有资质的第三方专业机构参加验收并出具专业意见。</w:t>
      </w:r>
      <w:r/>
    </w:p>
    <w:p>
      <w:pPr>
        <w:pStyle w:val="1221"/>
        <w:ind w:firstLine="480"/>
        <w:spacing w:line="360" w:lineRule="auto"/>
        <w:rPr>
          <w:rFonts w:hAnsi="宋体" w:eastAsia="宋体" w:cs="微软雅黑"/>
          <w:color w:val="auto"/>
          <w:sz w:val="24"/>
          <w:szCs w:val="24"/>
          <w:highlight w:val="none"/>
        </w:rPr>
      </w:pPr>
      <w:r>
        <w:rPr>
          <w:rFonts w:hint="eastAsia" w:hAnsi="宋体" w:eastAsia="宋体" w:cs="微软雅黑"/>
          <w:color w:val="auto"/>
          <w:sz w:val="24"/>
          <w:szCs w:val="24"/>
          <w:highlight w:val="none"/>
        </w:rPr>
        <w:t xml:space="preserve">7.3.2对于采购人和使用人分离的采购项目，采购人或其委托的采购代理机构应当邀请实际使用人参与验收。</w:t>
      </w:r>
      <w:r/>
    </w:p>
    <w:p>
      <w:pPr>
        <w:pStyle w:val="1221"/>
        <w:ind w:firstLine="480"/>
        <w:spacing w:line="360" w:lineRule="auto"/>
        <w:rPr>
          <w:rFonts w:hAnsi="宋体" w:eastAsia="宋体" w:cs="微软雅黑"/>
          <w:color w:val="auto"/>
          <w:sz w:val="24"/>
          <w:szCs w:val="24"/>
          <w:highlight w:val="none"/>
        </w:rPr>
      </w:pPr>
      <w:r>
        <w:rPr>
          <w:rFonts w:hint="eastAsia" w:hAnsi="宋体" w:eastAsia="宋体" w:cs="微软雅黑"/>
          <w:color w:val="auto"/>
          <w:sz w:val="24"/>
          <w:szCs w:val="24"/>
          <w:highlight w:val="none"/>
        </w:rPr>
        <w:t xml:space="preserve">7.3.3政府向社会公众提供的公共服务项目，验收时应当邀请服务对象进行公共服务项目满意度评价，评价结果作为履约验收的参考依据。</w:t>
      </w:r>
      <w:r/>
    </w:p>
    <w:p>
      <w:pPr>
        <w:pStyle w:val="1221"/>
        <w:ind w:firstLine="480"/>
        <w:spacing w:line="360" w:lineRule="auto"/>
        <w:rPr>
          <w:rFonts w:hAnsi="宋体" w:eastAsia="宋体" w:cs="微软雅黑"/>
          <w:b/>
          <w:bCs/>
          <w:color w:val="auto"/>
          <w:sz w:val="24"/>
          <w:szCs w:val="24"/>
          <w:highlight w:val="none"/>
        </w:rPr>
      </w:pPr>
      <w:r>
        <w:rPr>
          <w:rFonts w:hint="eastAsia" w:hAnsi="宋体" w:eastAsia="宋体" w:cs="微软雅黑"/>
          <w:b/>
          <w:bCs/>
          <w:color w:val="auto"/>
          <w:sz w:val="24"/>
          <w:szCs w:val="24"/>
          <w:highlight w:val="none"/>
        </w:rPr>
        <w:t xml:space="preserve">7.4验收原则</w:t>
      </w:r>
      <w:r/>
    </w:p>
    <w:p>
      <w:pPr>
        <w:pStyle w:val="1221"/>
        <w:ind w:firstLine="480"/>
        <w:spacing w:line="360" w:lineRule="auto"/>
        <w:rPr>
          <w:rFonts w:hAnsi="宋体" w:eastAsia="宋体" w:cs="微软雅黑"/>
          <w:color w:val="auto"/>
          <w:sz w:val="24"/>
          <w:szCs w:val="24"/>
          <w:highlight w:val="none"/>
        </w:rPr>
      </w:pPr>
      <w:r>
        <w:rPr>
          <w:rFonts w:hint="eastAsia" w:hAnsi="宋体" w:eastAsia="宋体" w:cs="微软雅黑"/>
          <w:color w:val="auto"/>
          <w:sz w:val="24"/>
          <w:szCs w:val="24"/>
          <w:highlight w:val="none"/>
        </w:rPr>
        <w:t xml:space="preserve">政府采购履约验收应当遵循全面完整、客观真实、诚实信用的原则，坚持公开透明、应验必验、验收必严、违约必究。</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7.4.2项目验收范围应当完整，与采购合同一致，不得省略、遗漏和缺失，也不得擅自扩大范围。</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7.4.3项目验收方式应当符合项目特点，不能明确客观标准、涉及主观判断的，可以通过在采购人、使用人中开展问卷调查等方式予以客观、量化。</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7.4.4项目验收标准应包括所有客观、量化指标，符合采购合同约定，未进行相应约定的，应当符合法律法规、政策要求、国家标准、行业标准，地方标准或企业标准等有关标准。</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7.4.5项目验收意见应当客观真实。验收小组成员意见不一致时，按照少数服从多数的原则作出验收意见。</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7.4.6验收方法主要包括全部查验核对和抽查核对。</w:t>
      </w:r>
      <w:r/>
    </w:p>
    <w:p>
      <w:pPr>
        <w:pStyle w:val="1221"/>
        <w:ind w:firstLine="480"/>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7.5</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w:t>
      </w:r>
      <w:r>
        <w:rPr>
          <w:rFonts w:hint="eastAsia" w:hAnsi="宋体" w:eastAsia="宋体" w:cs="微软雅黑"/>
          <w:b/>
          <w:bCs/>
          <w:color w:val="auto"/>
          <w:sz w:val="24"/>
          <w:szCs w:val="24"/>
          <w:highlight w:val="none"/>
        </w:rPr>
        <w:t xml:space="preserve">记录</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7.5.1</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组应</w:t>
      </w:r>
      <w:r>
        <w:rPr>
          <w:rFonts w:hint="eastAsia" w:hAnsi="宋体" w:eastAsia="宋体" w:cs="MS Gothic"/>
          <w:color w:val="auto"/>
          <w:sz w:val="24"/>
          <w:szCs w:val="24"/>
          <w:highlight w:val="none"/>
        </w:rPr>
        <w:t xml:space="preserve">当要求参与</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收的供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w:t>
      </w:r>
      <w:r>
        <w:rPr>
          <w:rFonts w:hint="eastAsia" w:hAnsi="宋体" w:eastAsia="宋体" w:cs="微软雅黑"/>
          <w:color w:val="auto"/>
          <w:sz w:val="24"/>
          <w:szCs w:val="24"/>
          <w:highlight w:val="none"/>
        </w:rPr>
        <w:t xml:space="preserve">专业</w:t>
      </w:r>
      <w:r>
        <w:rPr>
          <w:rFonts w:hint="eastAsia" w:hAnsi="宋体" w:eastAsia="宋体" w:cs="MS Gothic"/>
          <w:color w:val="auto"/>
          <w:sz w:val="24"/>
          <w:szCs w:val="24"/>
          <w:highlight w:val="none"/>
        </w:rPr>
        <w:t xml:space="preserve">机构、</w:t>
      </w:r>
      <w:r>
        <w:rPr>
          <w:rFonts w:hint="eastAsia" w:hAnsi="宋体" w:eastAsia="宋体" w:cs="微软雅黑"/>
          <w:color w:val="auto"/>
          <w:sz w:val="24"/>
          <w:szCs w:val="24"/>
          <w:highlight w:val="none"/>
        </w:rPr>
        <w:t xml:space="preserve">专</w:t>
      </w:r>
      <w:r>
        <w:rPr>
          <w:rFonts w:hint="eastAsia" w:hAnsi="宋体" w:eastAsia="宋体" w:cs="MS Gothic"/>
          <w:color w:val="auto"/>
          <w:sz w:val="24"/>
          <w:szCs w:val="24"/>
          <w:highlight w:val="none"/>
        </w:rPr>
        <w:t xml:space="preserve">家和服</w:t>
      </w:r>
      <w:r>
        <w:rPr>
          <w:rFonts w:hint="eastAsia" w:hAnsi="宋体" w:eastAsia="宋体" w:cs="微软雅黑"/>
          <w:color w:val="auto"/>
          <w:sz w:val="24"/>
          <w:szCs w:val="24"/>
          <w:highlight w:val="none"/>
        </w:rPr>
        <w:t xml:space="preserve">务对</w:t>
      </w:r>
      <w:r>
        <w:rPr>
          <w:rFonts w:hint="eastAsia" w:hAnsi="宋体" w:eastAsia="宋体" w:cs="MS Gothic"/>
          <w:color w:val="auto"/>
          <w:sz w:val="24"/>
          <w:szCs w:val="24"/>
          <w:highlight w:val="none"/>
        </w:rPr>
        <w:t xml:space="preserve">象等出具</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面意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，作</w:t>
      </w:r>
      <w:r>
        <w:rPr>
          <w:rFonts w:hint="eastAsia" w:hAnsi="宋体" w:eastAsia="宋体" w:cs="微软雅黑"/>
          <w:color w:val="auto"/>
          <w:sz w:val="24"/>
          <w:szCs w:val="24"/>
          <w:highlight w:val="none"/>
        </w:rPr>
        <w:t xml:space="preserve">为验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的重要</w:t>
      </w:r>
      <w:r>
        <w:rPr>
          <w:rFonts w:hint="eastAsia" w:hAnsi="宋体" w:eastAsia="宋体" w:cs="微软雅黑"/>
          <w:color w:val="auto"/>
          <w:sz w:val="24"/>
          <w:szCs w:val="24"/>
          <w:highlight w:val="none"/>
        </w:rPr>
        <w:t xml:space="preserve">组</w:t>
      </w:r>
      <w:r>
        <w:rPr>
          <w:rFonts w:hint="eastAsia" w:hAnsi="宋体" w:eastAsia="宋体" w:cs="MS Gothic"/>
          <w:color w:val="auto"/>
          <w:sz w:val="24"/>
          <w:szCs w:val="24"/>
          <w:highlight w:val="none"/>
        </w:rPr>
        <w:t xml:space="preserve">成部分。</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7.5.2</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组应</w:t>
      </w:r>
      <w:r>
        <w:rPr>
          <w:rFonts w:hint="eastAsia" w:hAnsi="宋体" w:eastAsia="宋体" w:cs="MS Gothic"/>
          <w:color w:val="auto"/>
          <w:sz w:val="24"/>
          <w:szCs w:val="24"/>
          <w:highlight w:val="none"/>
        </w:rPr>
        <w:t xml:space="preserve">当</w:t>
      </w:r>
      <w:r>
        <w:rPr>
          <w:rFonts w:hint="eastAsia" w:hAnsi="宋体" w:eastAsia="宋体" w:cs="微软雅黑"/>
          <w:color w:val="auto"/>
          <w:sz w:val="24"/>
          <w:szCs w:val="24"/>
          <w:highlight w:val="none"/>
        </w:rPr>
        <w:t xml:space="preserve">认</w:t>
      </w:r>
      <w:r>
        <w:rPr>
          <w:rFonts w:hint="eastAsia" w:hAnsi="宋体" w:eastAsia="宋体" w:cs="MS Gothic"/>
          <w:color w:val="auto"/>
          <w:sz w:val="24"/>
          <w:szCs w:val="24"/>
          <w:highlight w:val="none"/>
        </w:rPr>
        <w:t xml:space="preserve">真履行</w:t>
      </w:r>
      <w:r>
        <w:rPr>
          <w:rFonts w:hint="eastAsia" w:hAnsi="宋体" w:eastAsia="宋体" w:cs="微软雅黑"/>
          <w:color w:val="auto"/>
          <w:sz w:val="24"/>
          <w:szCs w:val="24"/>
          <w:highlight w:val="none"/>
        </w:rPr>
        <w:t xml:space="preserve">项</w:t>
      </w:r>
      <w:r>
        <w:rPr>
          <w:rFonts w:hint="eastAsia" w:hAnsi="宋体" w:eastAsia="宋体" w:cs="MS Gothic"/>
          <w:color w:val="auto"/>
          <w:sz w:val="24"/>
          <w:szCs w:val="24"/>
          <w:highlight w:val="none"/>
        </w:rPr>
        <w:t xml:space="preserve">目</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职责</w:t>
      </w:r>
      <w:r>
        <w:rPr>
          <w:rFonts w:hint="eastAsia" w:hAnsi="宋体" w:eastAsia="宋体" w:cs="MS Gothic"/>
          <w:color w:val="auto"/>
          <w:sz w:val="24"/>
          <w:szCs w:val="24"/>
          <w:highlight w:val="none"/>
        </w:rPr>
        <w:t xml:space="preserve">，做好</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记录</w:t>
      </w:r>
      <w:r>
        <w:rPr>
          <w:rFonts w:hint="eastAsia" w:hAnsi="宋体" w:eastAsia="宋体" w:cs="MS Gothic"/>
          <w:color w:val="auto"/>
          <w:sz w:val="24"/>
          <w:szCs w:val="24"/>
          <w:highlight w:val="none"/>
        </w:rPr>
        <w:t xml:space="preserve">，确保</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客</w:t>
      </w:r>
      <w:r>
        <w:rPr>
          <w:rFonts w:hint="eastAsia" w:hAnsi="宋体" w:eastAsia="宋体" w:cs="微软雅黑"/>
          <w:color w:val="auto"/>
          <w:sz w:val="24"/>
          <w:szCs w:val="24"/>
          <w:highlight w:val="none"/>
        </w:rPr>
        <w:t xml:space="preserve">观</w:t>
      </w:r>
      <w:r>
        <w:rPr>
          <w:rFonts w:hint="eastAsia" w:hAnsi="宋体" w:eastAsia="宋体" w:cs="MS Gothic"/>
          <w:color w:val="auto"/>
          <w:sz w:val="24"/>
          <w:szCs w:val="24"/>
          <w:highlight w:val="none"/>
        </w:rPr>
        <w:t xml:space="preserve">真</w:t>
      </w:r>
      <w:r>
        <w:rPr>
          <w:rFonts w:hint="eastAsia" w:hAnsi="宋体" w:eastAsia="宋体" w:cs="微软雅黑"/>
          <w:color w:val="auto"/>
          <w:sz w:val="24"/>
          <w:szCs w:val="24"/>
          <w:highlight w:val="none"/>
        </w:rPr>
        <w:t xml:space="preserve">实</w:t>
      </w:r>
      <w:r>
        <w:rPr>
          <w:rFonts w:hint="eastAsia" w:hAnsi="宋体" w:eastAsia="宋体" w:cs="MS Gothic"/>
          <w:color w:val="auto"/>
          <w:sz w:val="24"/>
          <w:szCs w:val="24"/>
          <w:highlight w:val="none"/>
        </w:rPr>
        <w:t xml:space="preserve">反映供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w:t>
      </w:r>
      <w:r>
        <w:rPr>
          <w:rFonts w:hint="eastAsia" w:hAnsi="宋体" w:eastAsia="宋体" w:cs="微软雅黑"/>
          <w:color w:val="auto"/>
          <w:sz w:val="24"/>
          <w:szCs w:val="24"/>
          <w:highlight w:val="none"/>
        </w:rPr>
        <w:t xml:space="preserve">对</w:t>
      </w:r>
      <w:r>
        <w:rPr>
          <w:rFonts w:hint="eastAsia" w:hAnsi="宋体" w:eastAsia="宋体" w:cs="MS Gothic"/>
          <w:color w:val="auto"/>
          <w:sz w:val="24"/>
          <w:szCs w:val="24"/>
          <w:highlight w:val="none"/>
        </w:rPr>
        <w:t xml:space="preserve">合同的履行情况。</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组应</w:t>
      </w:r>
      <w:r>
        <w:rPr>
          <w:rFonts w:hint="eastAsia" w:hAnsi="宋体" w:eastAsia="宋体" w:cs="MS Gothic"/>
          <w:color w:val="auto"/>
          <w:sz w:val="24"/>
          <w:szCs w:val="24"/>
          <w:highlight w:val="none"/>
        </w:rPr>
        <w:t xml:space="preserve">当要求供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商提供能</w:t>
      </w:r>
      <w:r>
        <w:rPr>
          <w:rFonts w:hint="eastAsia" w:hAnsi="宋体" w:eastAsia="宋体" w:cs="微软雅黑"/>
          <w:color w:val="auto"/>
          <w:sz w:val="24"/>
          <w:szCs w:val="24"/>
          <w:highlight w:val="none"/>
        </w:rPr>
        <w:t xml:space="preserve">证</w:t>
      </w:r>
      <w:r>
        <w:rPr>
          <w:rFonts w:hint="eastAsia" w:hAnsi="宋体" w:eastAsia="宋体" w:cs="MS Gothic"/>
          <w:color w:val="auto"/>
          <w:sz w:val="24"/>
          <w:szCs w:val="24"/>
          <w:highlight w:val="none"/>
        </w:rPr>
        <w:t xml:space="preserve">明其按照合同</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定数量或工作量清</w:t>
      </w:r>
      <w:r>
        <w:rPr>
          <w:rFonts w:hint="eastAsia" w:hAnsi="宋体" w:eastAsia="宋体" w:cs="微软雅黑"/>
          <w:color w:val="auto"/>
          <w:sz w:val="24"/>
          <w:szCs w:val="24"/>
          <w:highlight w:val="none"/>
        </w:rPr>
        <w:t xml:space="preserve">单</w:t>
      </w:r>
      <w:r>
        <w:rPr>
          <w:rFonts w:hint="eastAsia" w:hAnsi="宋体" w:eastAsia="宋体" w:cs="MS Gothic"/>
          <w:color w:val="auto"/>
          <w:sz w:val="24"/>
          <w:szCs w:val="24"/>
          <w:highlight w:val="none"/>
        </w:rPr>
        <w:t xml:space="preserve">履</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的相关</w:t>
      </w:r>
      <w:r>
        <w:rPr>
          <w:rFonts w:hint="eastAsia" w:hAnsi="宋体" w:eastAsia="宋体" w:cs="微软雅黑"/>
          <w:color w:val="auto"/>
          <w:sz w:val="24"/>
          <w:szCs w:val="24"/>
          <w:highlight w:val="none"/>
        </w:rPr>
        <w:t xml:space="preserve">记录</w:t>
      </w:r>
      <w:r>
        <w:rPr>
          <w:rFonts w:hint="eastAsia" w:hAnsi="宋体" w:eastAsia="宋体" w:cs="MS Gothic"/>
          <w:color w:val="auto"/>
          <w:sz w:val="24"/>
          <w:szCs w:val="24"/>
          <w:highlight w:val="none"/>
        </w:rPr>
        <w:t xml:space="preserve">或者凭</w:t>
      </w:r>
      <w:r>
        <w:rPr>
          <w:rFonts w:hint="eastAsia" w:hAnsi="宋体" w:eastAsia="宋体" w:cs="微软雅黑"/>
          <w:color w:val="auto"/>
          <w:sz w:val="24"/>
          <w:szCs w:val="24"/>
          <w:highlight w:val="none"/>
        </w:rPr>
        <w:t xml:space="preserve">证</w:t>
      </w:r>
      <w:r>
        <w:rPr>
          <w:rFonts w:hint="eastAsia" w:hAnsi="宋体" w:eastAsia="宋体" w:cs="MS Gothic"/>
          <w:color w:val="auto"/>
          <w:sz w:val="24"/>
          <w:szCs w:val="24"/>
          <w:highlight w:val="none"/>
        </w:rPr>
        <w:t xml:space="preserve">，根据履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收方案，</w:t>
      </w:r>
      <w:r>
        <w:rPr>
          <w:rFonts w:hint="eastAsia" w:hAnsi="宋体" w:eastAsia="宋体" w:cs="微软雅黑"/>
          <w:color w:val="auto"/>
          <w:sz w:val="24"/>
          <w:szCs w:val="24"/>
          <w:highlight w:val="none"/>
        </w:rPr>
        <w:t xml:space="preserve">对</w:t>
      </w:r>
      <w:r>
        <w:rPr>
          <w:rFonts w:hint="eastAsia" w:hAnsi="宋体" w:eastAsia="宋体" w:cs="MS Gothic"/>
          <w:color w:val="auto"/>
          <w:sz w:val="24"/>
          <w:szCs w:val="24"/>
          <w:highlight w:val="none"/>
        </w:rPr>
        <w:t xml:space="preserve">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商提供的</w:t>
      </w:r>
      <w:r>
        <w:rPr>
          <w:rFonts w:hint="eastAsia" w:hAnsi="宋体" w:eastAsia="宋体" w:cs="微软雅黑"/>
          <w:color w:val="auto"/>
          <w:sz w:val="24"/>
          <w:szCs w:val="24"/>
          <w:highlight w:val="none"/>
        </w:rPr>
        <w:t xml:space="preserve">货</w:t>
      </w:r>
      <w:r>
        <w:rPr>
          <w:rFonts w:hint="eastAsia" w:hAnsi="宋体" w:eastAsia="宋体" w:cs="MS Gothic"/>
          <w:color w:val="auto"/>
          <w:sz w:val="24"/>
          <w:szCs w:val="24"/>
          <w:highlight w:val="none"/>
        </w:rPr>
        <w:t xml:space="preserve">物或者服</w:t>
      </w:r>
      <w:r>
        <w:rPr>
          <w:rFonts w:hint="eastAsia" w:hAnsi="宋体" w:eastAsia="宋体" w:cs="微软雅黑"/>
          <w:color w:val="auto"/>
          <w:sz w:val="24"/>
          <w:szCs w:val="24"/>
          <w:highlight w:val="none"/>
        </w:rPr>
        <w:t xml:space="preserve">务</w:t>
      </w:r>
      <w:r>
        <w:rPr>
          <w:rFonts w:hint="eastAsia" w:hAnsi="宋体" w:eastAsia="宋体" w:cs="MS Gothic"/>
          <w:color w:val="auto"/>
          <w:sz w:val="24"/>
          <w:szCs w:val="24"/>
          <w:highlight w:val="none"/>
        </w:rPr>
        <w:t xml:space="preserve">按照采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文件、投</w:t>
      </w:r>
      <w:r>
        <w:rPr>
          <w:rFonts w:hint="eastAsia" w:hAnsi="宋体" w:eastAsia="宋体" w:cs="微软雅黑"/>
          <w:color w:val="auto"/>
          <w:sz w:val="24"/>
          <w:szCs w:val="24"/>
          <w:highlight w:val="none"/>
        </w:rPr>
        <w:t xml:space="preserve">标</w:t>
      </w:r>
      <w:r>
        <w:rPr>
          <w:rFonts w:hint="eastAsia" w:hAnsi="宋体" w:eastAsia="宋体" w:cs="MS Gothic"/>
          <w:color w:val="auto"/>
          <w:sz w:val="24"/>
          <w:szCs w:val="24"/>
          <w:highlight w:val="none"/>
        </w:rPr>
        <w:t xml:space="preserve">（响</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）文件、政府采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合同等逐一</w:t>
      </w:r>
      <w:r>
        <w:rPr>
          <w:rFonts w:hint="eastAsia" w:hAnsi="宋体" w:eastAsia="宋体" w:cs="微软雅黑"/>
          <w:color w:val="auto"/>
          <w:sz w:val="24"/>
          <w:szCs w:val="24"/>
          <w:highlight w:val="none"/>
        </w:rPr>
        <w:t xml:space="preserve">进</w:t>
      </w:r>
      <w:r>
        <w:rPr>
          <w:rFonts w:hint="eastAsia" w:hAnsi="宋体" w:eastAsia="宋体" w:cs="MS Gothic"/>
          <w:color w:val="auto"/>
          <w:sz w:val="24"/>
          <w:szCs w:val="24"/>
          <w:highlight w:val="none"/>
        </w:rPr>
        <w:t xml:space="preserve">行</w:t>
      </w:r>
      <w:r>
        <w:rPr>
          <w:rFonts w:hint="eastAsia" w:hAnsi="宋体" w:eastAsia="宋体" w:cs="微软雅黑"/>
          <w:color w:val="auto"/>
          <w:sz w:val="24"/>
          <w:szCs w:val="24"/>
          <w:highlight w:val="none"/>
        </w:rPr>
        <w:t xml:space="preserve">检验</w:t>
      </w:r>
      <w:r>
        <w:rPr>
          <w:rFonts w:hint="eastAsia" w:hAnsi="宋体" w:eastAsia="宋体" w:cs="MS Gothic"/>
          <w:color w:val="auto"/>
          <w:sz w:val="24"/>
          <w:szCs w:val="24"/>
          <w:highlight w:val="none"/>
        </w:rPr>
        <w:t xml:space="preserve">、核</w:t>
      </w:r>
      <w:r>
        <w:rPr>
          <w:rFonts w:hint="eastAsia" w:hAnsi="宋体" w:eastAsia="宋体" w:cs="微软雅黑"/>
          <w:color w:val="auto"/>
          <w:sz w:val="24"/>
          <w:szCs w:val="24"/>
          <w:highlight w:val="none"/>
        </w:rPr>
        <w:t xml:space="preserve">实</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评</w:t>
      </w:r>
      <w:r>
        <w:rPr>
          <w:rFonts w:hint="eastAsia" w:hAnsi="宋体" w:eastAsia="宋体" w:cs="MS Gothic"/>
          <w:color w:val="auto"/>
          <w:sz w:val="24"/>
          <w:szCs w:val="24"/>
          <w:highlight w:val="none"/>
        </w:rPr>
        <w:t xml:space="preserve">估等工作，使用音</w:t>
      </w:r>
      <w:r>
        <w:rPr>
          <w:rFonts w:hint="eastAsia" w:hAnsi="宋体" w:eastAsia="宋体" w:cs="微软雅黑"/>
          <w:color w:val="auto"/>
          <w:sz w:val="24"/>
          <w:szCs w:val="24"/>
          <w:highlight w:val="none"/>
        </w:rPr>
        <w:t xml:space="preserve">视频</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对现场</w:t>
      </w:r>
      <w:r>
        <w:rPr>
          <w:rFonts w:hint="eastAsia" w:hAnsi="宋体" w:eastAsia="宋体" w:cs="MS Gothic"/>
          <w:color w:val="auto"/>
          <w:sz w:val="24"/>
          <w:szCs w:val="24"/>
          <w:highlight w:val="none"/>
        </w:rPr>
        <w:t xml:space="preserve">情况描述且</w:t>
      </w:r>
      <w:r>
        <w:rPr>
          <w:rFonts w:hint="eastAsia" w:hAnsi="宋体" w:eastAsia="宋体" w:cs="微软雅黑"/>
          <w:color w:val="auto"/>
          <w:sz w:val="24"/>
          <w:szCs w:val="24"/>
          <w:highlight w:val="none"/>
        </w:rPr>
        <w:t xml:space="preserve">签</w:t>
      </w:r>
      <w:r>
        <w:rPr>
          <w:rFonts w:hint="eastAsia" w:hAnsi="宋体" w:eastAsia="宋体" w:cs="MS Gothic"/>
          <w:color w:val="auto"/>
          <w:sz w:val="24"/>
          <w:szCs w:val="24"/>
          <w:highlight w:val="none"/>
        </w:rPr>
        <w:t xml:space="preserve">字等方式留存</w:t>
      </w:r>
      <w:r>
        <w:rPr>
          <w:rFonts w:hint="eastAsia" w:hAnsi="宋体" w:eastAsia="宋体" w:cs="微软雅黑"/>
          <w:color w:val="auto"/>
          <w:sz w:val="24"/>
          <w:szCs w:val="24"/>
          <w:highlight w:val="none"/>
        </w:rPr>
        <w:t xml:space="preserve">证</w:t>
      </w:r>
      <w:r>
        <w:rPr>
          <w:rFonts w:hint="eastAsia" w:hAnsi="宋体" w:eastAsia="宋体" w:cs="MS Gothic"/>
          <w:color w:val="auto"/>
          <w:sz w:val="24"/>
          <w:szCs w:val="24"/>
          <w:highlight w:val="none"/>
        </w:rPr>
        <w:t xml:space="preserve">明材料，由供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商确</w:t>
      </w:r>
      <w:r>
        <w:rPr>
          <w:rFonts w:hint="eastAsia" w:hAnsi="宋体" w:eastAsia="宋体" w:cs="微软雅黑"/>
          <w:color w:val="auto"/>
          <w:sz w:val="24"/>
          <w:szCs w:val="24"/>
          <w:highlight w:val="none"/>
        </w:rPr>
        <w:t xml:space="preserve">认</w:t>
      </w:r>
      <w:r>
        <w:rPr>
          <w:rFonts w:hint="eastAsia" w:hAnsi="宋体" w:eastAsia="宋体" w:cs="MS Gothic"/>
          <w:color w:val="auto"/>
          <w:sz w:val="24"/>
          <w:szCs w:val="24"/>
          <w:highlight w:val="none"/>
        </w:rPr>
        <w:t xml:space="preserve">，作</w:t>
      </w:r>
      <w:r>
        <w:rPr>
          <w:rFonts w:hint="eastAsia" w:hAnsi="宋体" w:eastAsia="宋体" w:cs="微软雅黑"/>
          <w:color w:val="auto"/>
          <w:sz w:val="24"/>
          <w:szCs w:val="24"/>
          <w:highlight w:val="none"/>
        </w:rPr>
        <w:t xml:space="preserve">为</w:t>
      </w:r>
      <w:r>
        <w:rPr>
          <w:rFonts w:hint="eastAsia" w:hAnsi="宋体" w:eastAsia="宋体" w:cs="MS Gothic"/>
          <w:color w:val="auto"/>
          <w:sz w:val="24"/>
          <w:szCs w:val="24"/>
          <w:highlight w:val="none"/>
        </w:rPr>
        <w:t xml:space="preserve">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收的重要凭据。</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7.5.3</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结</w:t>
      </w:r>
      <w:r>
        <w:rPr>
          <w:rFonts w:hint="eastAsia" w:hAnsi="宋体" w:eastAsia="宋体" w:cs="MS Gothic"/>
          <w:color w:val="auto"/>
          <w:sz w:val="24"/>
          <w:szCs w:val="24"/>
          <w:highlight w:val="none"/>
        </w:rPr>
        <w:t xml:space="preserve">束后，</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组应</w:t>
      </w:r>
      <w:r>
        <w:rPr>
          <w:rFonts w:hint="eastAsia" w:hAnsi="宋体" w:eastAsia="宋体" w:cs="MS Gothic"/>
          <w:color w:val="auto"/>
          <w:sz w:val="24"/>
          <w:szCs w:val="24"/>
          <w:highlight w:val="none"/>
        </w:rPr>
        <w:t xml:space="preserve">在</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中作出最</w:t>
      </w:r>
      <w:r>
        <w:rPr>
          <w:rFonts w:hint="eastAsia" w:hAnsi="宋体" w:eastAsia="宋体" w:cs="微软雅黑"/>
          <w:color w:val="auto"/>
          <w:sz w:val="24"/>
          <w:szCs w:val="24"/>
          <w:highlight w:val="none"/>
        </w:rPr>
        <w:t xml:space="preserve">终验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w:t>
      </w:r>
      <w:r>
        <w:rPr>
          <w:rFonts w:hint="eastAsia" w:hAnsi="宋体" w:eastAsia="宋体" w:cs="MS Gothic"/>
          <w:color w:val="auto"/>
          <w:sz w:val="24"/>
          <w:szCs w:val="24"/>
          <w:highlight w:val="none"/>
        </w:rPr>
        <w:t xml:space="preserve">成</w:t>
      </w:r>
      <w:r>
        <w:rPr>
          <w:rFonts w:hint="eastAsia" w:hAnsi="宋体" w:eastAsia="宋体" w:cs="微软雅黑"/>
          <w:color w:val="auto"/>
          <w:sz w:val="24"/>
          <w:szCs w:val="24"/>
          <w:highlight w:val="none"/>
        </w:rPr>
        <w:t xml:space="preserve">员对验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有异</w:t>
      </w:r>
      <w:r>
        <w:rPr>
          <w:rFonts w:hint="eastAsia" w:hAnsi="宋体" w:eastAsia="宋体" w:cs="微软雅黑"/>
          <w:color w:val="auto"/>
          <w:sz w:val="24"/>
          <w:szCs w:val="24"/>
          <w:highlight w:val="none"/>
        </w:rPr>
        <w:t xml:space="preserve">议</w:t>
      </w:r>
      <w:r>
        <w:rPr>
          <w:rFonts w:hint="eastAsia" w:hAnsi="宋体" w:eastAsia="宋体" w:cs="MS Gothic"/>
          <w:color w:val="auto"/>
          <w:sz w:val="24"/>
          <w:szCs w:val="24"/>
          <w:highlight w:val="none"/>
        </w:rPr>
        <w:t xml:space="preserve">的，</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当在</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见栏签</w:t>
      </w:r>
      <w:r>
        <w:rPr>
          <w:rFonts w:hint="eastAsia" w:hAnsi="宋体" w:eastAsia="宋体" w:cs="MS Gothic"/>
          <w:color w:val="auto"/>
          <w:sz w:val="24"/>
          <w:szCs w:val="24"/>
          <w:highlight w:val="none"/>
        </w:rPr>
        <w:t xml:space="preserve">署不同意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并</w:t>
      </w:r>
      <w:r>
        <w:rPr>
          <w:rFonts w:hint="eastAsia" w:hAnsi="宋体" w:eastAsia="宋体" w:cs="微软雅黑"/>
          <w:color w:val="auto"/>
          <w:sz w:val="24"/>
          <w:szCs w:val="24"/>
          <w:highlight w:val="none"/>
        </w:rPr>
        <w:t xml:space="preserve">说</w:t>
      </w:r>
      <w:r>
        <w:rPr>
          <w:rFonts w:hint="eastAsia" w:hAnsi="宋体" w:eastAsia="宋体" w:cs="MS Gothic"/>
          <w:color w:val="auto"/>
          <w:sz w:val="24"/>
          <w:szCs w:val="24"/>
          <w:highlight w:val="none"/>
        </w:rPr>
        <w:t xml:space="preserve">明理由，否</w:t>
      </w:r>
      <w:r>
        <w:rPr>
          <w:rFonts w:hint="eastAsia" w:hAnsi="宋体" w:eastAsia="宋体" w:cs="微软雅黑"/>
          <w:color w:val="auto"/>
          <w:sz w:val="24"/>
          <w:szCs w:val="24"/>
          <w:highlight w:val="none"/>
        </w:rPr>
        <w:t xml:space="preserve">则视为</w:t>
      </w:r>
      <w:r>
        <w:rPr>
          <w:rFonts w:hint="eastAsia" w:hAnsi="宋体" w:eastAsia="宋体" w:cs="MS Gothic"/>
          <w:color w:val="auto"/>
          <w:sz w:val="24"/>
          <w:szCs w:val="24"/>
          <w:highlight w:val="none"/>
        </w:rPr>
        <w:t xml:space="preserve">同意</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由供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商盖章确</w:t>
      </w:r>
      <w:r>
        <w:rPr>
          <w:rFonts w:hint="eastAsia" w:hAnsi="宋体" w:eastAsia="宋体" w:cs="微软雅黑"/>
          <w:color w:val="auto"/>
          <w:sz w:val="24"/>
          <w:szCs w:val="24"/>
          <w:highlight w:val="none"/>
        </w:rPr>
        <w:t xml:space="preserve">认</w:t>
      </w:r>
      <w:r>
        <w:rPr>
          <w:rFonts w:hint="eastAsia" w:hAnsi="宋体" w:eastAsia="宋体" w:cs="MS Gothic"/>
          <w:color w:val="auto"/>
          <w:sz w:val="24"/>
          <w:szCs w:val="24"/>
          <w:highlight w:val="none"/>
        </w:rPr>
        <w:t xml:space="preserve">后</w:t>
      </w:r>
      <w:r>
        <w:rPr>
          <w:rFonts w:hint="eastAsia" w:hAnsi="宋体" w:eastAsia="宋体" w:cs="微软雅黑"/>
          <w:color w:val="auto"/>
          <w:sz w:val="24"/>
          <w:szCs w:val="24"/>
          <w:highlight w:val="none"/>
        </w:rPr>
        <w:t xml:space="preserve">报</w:t>
      </w:r>
      <w:r>
        <w:rPr>
          <w:rFonts w:hint="eastAsia" w:hAnsi="宋体" w:eastAsia="宋体" w:cs="MS Gothic"/>
          <w:color w:val="auto"/>
          <w:sz w:val="24"/>
          <w:szCs w:val="24"/>
          <w:highlight w:val="none"/>
        </w:rPr>
        <w:t xml:space="preserve">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p>
    <w:p>
      <w:pPr>
        <w:pStyle w:val="1221"/>
        <w:ind w:firstLine="480"/>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八、</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w:t>
      </w:r>
      <w:r>
        <w:rPr>
          <w:rFonts w:hint="eastAsia" w:hAnsi="宋体" w:eastAsia="宋体" w:cs="微软雅黑"/>
          <w:b/>
          <w:bCs/>
          <w:color w:val="auto"/>
          <w:sz w:val="24"/>
          <w:szCs w:val="24"/>
          <w:highlight w:val="none"/>
        </w:rPr>
        <w:t xml:space="preserve">结</w:t>
      </w:r>
      <w:r>
        <w:rPr>
          <w:rFonts w:hint="eastAsia" w:hAnsi="宋体" w:eastAsia="宋体" w:cs="MS Gothic"/>
          <w:b/>
          <w:bCs/>
          <w:color w:val="auto"/>
          <w:sz w:val="24"/>
          <w:szCs w:val="24"/>
          <w:highlight w:val="none"/>
        </w:rPr>
        <w:t xml:space="preserve">果</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8.1采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w:t>
      </w:r>
      <w:r>
        <w:rPr>
          <w:rFonts w:hint="eastAsia" w:hAnsi="宋体" w:eastAsia="宋体" w:cs="微软雅黑"/>
          <w:color w:val="auto"/>
          <w:sz w:val="24"/>
          <w:szCs w:val="24"/>
          <w:highlight w:val="none"/>
        </w:rPr>
        <w:t xml:space="preserve">对验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w:t>
      </w:r>
      <w:r>
        <w:rPr>
          <w:rFonts w:hint="eastAsia" w:hAnsi="宋体" w:eastAsia="宋体" w:cs="MS Gothic"/>
          <w:color w:val="auto"/>
          <w:sz w:val="24"/>
          <w:szCs w:val="24"/>
          <w:highlight w:val="none"/>
        </w:rPr>
        <w:t xml:space="preserve">的</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见进</w:t>
      </w:r>
      <w:r>
        <w:rPr>
          <w:rFonts w:hint="eastAsia" w:hAnsi="宋体" w:eastAsia="宋体" w:cs="MS Gothic"/>
          <w:color w:val="auto"/>
          <w:sz w:val="24"/>
          <w:szCs w:val="24"/>
          <w:highlight w:val="none"/>
        </w:rPr>
        <w:t xml:space="preserve">行确</w:t>
      </w:r>
      <w:r>
        <w:rPr>
          <w:rFonts w:hint="eastAsia" w:hAnsi="宋体" w:eastAsia="宋体" w:cs="微软雅黑"/>
          <w:color w:val="auto"/>
          <w:sz w:val="24"/>
          <w:szCs w:val="24"/>
          <w:highlight w:val="none"/>
        </w:rPr>
        <w:t xml:space="preserve">认</w:t>
      </w:r>
      <w:r>
        <w:rPr>
          <w:rFonts w:hint="eastAsia" w:hAnsi="宋体" w:eastAsia="宋体" w:cs="MS Gothic"/>
          <w:color w:val="auto"/>
          <w:sz w:val="24"/>
          <w:szCs w:val="24"/>
          <w:highlight w:val="none"/>
        </w:rPr>
        <w:t xml:space="preserve">并盖章。确</w:t>
      </w:r>
      <w:r>
        <w:rPr>
          <w:rFonts w:hint="eastAsia" w:hAnsi="宋体" w:eastAsia="宋体" w:cs="微软雅黑"/>
          <w:color w:val="auto"/>
          <w:sz w:val="24"/>
          <w:szCs w:val="24"/>
          <w:highlight w:val="none"/>
        </w:rPr>
        <w:t xml:space="preserve">认验</w:t>
      </w:r>
      <w:r>
        <w:rPr>
          <w:rFonts w:hint="eastAsia" w:hAnsi="宋体" w:eastAsia="宋体" w:cs="MS Gothic"/>
          <w:color w:val="auto"/>
          <w:sz w:val="24"/>
          <w:szCs w:val="24"/>
          <w:highlight w:val="none"/>
        </w:rPr>
        <w:t xml:space="preserve">收合格的，采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人在</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上加盖</w:t>
      </w:r>
      <w:r>
        <w:rPr>
          <w:rFonts w:hint="eastAsia" w:hAnsi="宋体" w:eastAsia="宋体" w:cs="微软雅黑"/>
          <w:color w:val="auto"/>
          <w:sz w:val="24"/>
          <w:szCs w:val="24"/>
          <w:highlight w:val="none"/>
        </w:rPr>
        <w:t xml:space="preserve">单</w:t>
      </w:r>
      <w:r>
        <w:rPr>
          <w:rFonts w:hint="eastAsia" w:hAnsi="宋体" w:eastAsia="宋体" w:cs="MS Gothic"/>
          <w:color w:val="auto"/>
          <w:sz w:val="24"/>
          <w:szCs w:val="24"/>
          <w:highlight w:val="none"/>
        </w:rPr>
        <w:t xml:space="preserve">位公章；</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结</w:t>
      </w:r>
      <w:r>
        <w:rPr>
          <w:rFonts w:hint="eastAsia" w:hAnsi="宋体" w:eastAsia="宋体" w:cs="MS Gothic"/>
          <w:color w:val="auto"/>
          <w:sz w:val="24"/>
          <w:szCs w:val="24"/>
          <w:highlight w:val="none"/>
        </w:rPr>
        <w:t xml:space="preserve">果与采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合同不一致的，采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当根据</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中</w:t>
      </w:r>
      <w:r>
        <w:rPr>
          <w:rFonts w:hint="eastAsia" w:hAnsi="宋体" w:eastAsia="宋体" w:cs="微软雅黑"/>
          <w:color w:val="auto"/>
          <w:sz w:val="24"/>
          <w:szCs w:val="24"/>
          <w:highlight w:val="none"/>
        </w:rPr>
        <w:t xml:space="preserve">载</w:t>
      </w:r>
      <w:r>
        <w:rPr>
          <w:rFonts w:hint="eastAsia" w:hAnsi="宋体" w:eastAsia="宋体" w:cs="MS Gothic"/>
          <w:color w:val="auto"/>
          <w:sz w:val="24"/>
          <w:szCs w:val="24"/>
          <w:highlight w:val="none"/>
        </w:rPr>
        <w:t xml:space="preserve">明的具体偏差内容和</w:t>
      </w:r>
      <w:r>
        <w:rPr>
          <w:rFonts w:hint="eastAsia" w:hAnsi="宋体" w:eastAsia="宋体" w:cs="微软雅黑"/>
          <w:color w:val="auto"/>
          <w:sz w:val="24"/>
          <w:szCs w:val="24"/>
          <w:highlight w:val="none"/>
        </w:rPr>
        <w:t xml:space="preserve">处</w:t>
      </w:r>
      <w:r>
        <w:rPr>
          <w:rFonts w:hint="eastAsia" w:hAnsi="宋体" w:eastAsia="宋体" w:cs="MS Gothic"/>
          <w:color w:val="auto"/>
          <w:sz w:val="24"/>
          <w:szCs w:val="24"/>
          <w:highlight w:val="none"/>
        </w:rPr>
        <w:t xml:space="preserve">置建</w:t>
      </w:r>
      <w:r>
        <w:rPr>
          <w:rFonts w:hint="eastAsia" w:hAnsi="宋体" w:eastAsia="宋体" w:cs="微软雅黑"/>
          <w:color w:val="auto"/>
          <w:sz w:val="24"/>
          <w:szCs w:val="24"/>
          <w:highlight w:val="none"/>
        </w:rPr>
        <w:t xml:space="preserve">议</w:t>
      </w:r>
      <w:r>
        <w:rPr>
          <w:rFonts w:hint="eastAsia" w:hAnsi="宋体" w:eastAsia="宋体" w:cs="MS Gothic"/>
          <w:color w:val="auto"/>
          <w:sz w:val="24"/>
          <w:szCs w:val="24"/>
          <w:highlight w:val="none"/>
        </w:rPr>
        <w:t xml:space="preserve">，研究确定</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结论</w:t>
      </w:r>
      <w:r>
        <w:rPr>
          <w:rFonts w:hint="eastAsia" w:hAnsi="宋体" w:eastAsia="宋体" w:cs="MS Gothic"/>
          <w:color w:val="auto"/>
          <w:sz w:val="24"/>
          <w:szCs w:val="24"/>
          <w:highlight w:val="none"/>
        </w:rPr>
        <w:t xml:space="preserve">并加盖公章；</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w:t>
      </w:r>
      <w:r>
        <w:rPr>
          <w:rFonts w:hint="eastAsia" w:hAnsi="宋体" w:eastAsia="宋体" w:cs="MS Gothic"/>
          <w:color w:val="auto"/>
          <w:sz w:val="24"/>
          <w:szCs w:val="24"/>
          <w:highlight w:val="none"/>
        </w:rPr>
        <w:t xml:space="preserve">成</w:t>
      </w:r>
      <w:r>
        <w:rPr>
          <w:rFonts w:hint="eastAsia" w:hAnsi="宋体" w:eastAsia="宋体" w:cs="微软雅黑"/>
          <w:color w:val="auto"/>
          <w:sz w:val="24"/>
          <w:szCs w:val="24"/>
          <w:highlight w:val="none"/>
        </w:rPr>
        <w:t xml:space="preserve">员</w:t>
      </w:r>
      <w:r>
        <w:rPr>
          <w:rFonts w:hint="eastAsia" w:hAnsi="宋体" w:eastAsia="宋体" w:cs="MS Gothic"/>
          <w:color w:val="auto"/>
          <w:sz w:val="24"/>
          <w:szCs w:val="24"/>
          <w:highlight w:val="none"/>
        </w:rPr>
        <w:t xml:space="preserve">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存在分歧的，采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w:t>
      </w:r>
      <w:r>
        <w:rPr>
          <w:rFonts w:hint="eastAsia" w:hAnsi="宋体" w:eastAsia="宋体" w:cs="微软雅黑"/>
          <w:color w:val="auto"/>
          <w:sz w:val="24"/>
          <w:szCs w:val="24"/>
          <w:highlight w:val="none"/>
        </w:rPr>
        <w:t xml:space="preserve">对</w:t>
      </w:r>
      <w:r>
        <w:rPr>
          <w:rFonts w:hint="eastAsia" w:hAnsi="宋体" w:eastAsia="宋体" w:cs="MS Gothic"/>
          <w:color w:val="auto"/>
          <w:sz w:val="24"/>
          <w:szCs w:val="24"/>
          <w:highlight w:val="none"/>
        </w:rPr>
        <w:t xml:space="preserve">异</w:t>
      </w:r>
      <w:r>
        <w:rPr>
          <w:rFonts w:hint="eastAsia" w:hAnsi="宋体" w:eastAsia="宋体" w:cs="微软雅黑"/>
          <w:color w:val="auto"/>
          <w:sz w:val="24"/>
          <w:szCs w:val="24"/>
          <w:highlight w:val="none"/>
        </w:rPr>
        <w:t xml:space="preserve">议</w:t>
      </w:r>
      <w:r>
        <w:rPr>
          <w:rFonts w:hint="eastAsia" w:hAnsi="宋体" w:eastAsia="宋体" w:cs="MS Gothic"/>
          <w:color w:val="auto"/>
          <w:sz w:val="24"/>
          <w:szCs w:val="24"/>
          <w:highlight w:val="none"/>
        </w:rPr>
        <w:t xml:space="preserve">事</w:t>
      </w:r>
      <w:r>
        <w:rPr>
          <w:rFonts w:hint="eastAsia" w:hAnsi="宋体" w:eastAsia="宋体" w:cs="微软雅黑"/>
          <w:color w:val="auto"/>
          <w:sz w:val="24"/>
          <w:szCs w:val="24"/>
          <w:highlight w:val="none"/>
        </w:rPr>
        <w:t xml:space="preserve">项进</w:t>
      </w:r>
      <w:r>
        <w:rPr>
          <w:rFonts w:hint="eastAsia" w:hAnsi="宋体" w:eastAsia="宋体" w:cs="MS Gothic"/>
          <w:color w:val="auto"/>
          <w:sz w:val="24"/>
          <w:szCs w:val="24"/>
          <w:highlight w:val="none"/>
        </w:rPr>
        <w:t xml:space="preserve">行复核，妥善</w:t>
      </w:r>
      <w:r>
        <w:rPr>
          <w:rFonts w:hint="eastAsia" w:hAnsi="宋体" w:eastAsia="宋体" w:cs="微软雅黑"/>
          <w:color w:val="auto"/>
          <w:sz w:val="24"/>
          <w:szCs w:val="24"/>
          <w:highlight w:val="none"/>
        </w:rPr>
        <w:t xml:space="preserve">处</w:t>
      </w:r>
      <w:r>
        <w:rPr>
          <w:rFonts w:hint="eastAsia" w:hAnsi="宋体" w:eastAsia="宋体" w:cs="MS Gothic"/>
          <w:color w:val="auto"/>
          <w:sz w:val="24"/>
          <w:szCs w:val="24"/>
          <w:highlight w:val="none"/>
        </w:rPr>
        <w:t xml:space="preserve">置。</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8.2在</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收中</w:t>
      </w:r>
      <w:r>
        <w:rPr>
          <w:rFonts w:hint="eastAsia" w:hAnsi="宋体" w:eastAsia="宋体" w:cs="微软雅黑"/>
          <w:color w:val="auto"/>
          <w:sz w:val="24"/>
          <w:szCs w:val="24"/>
          <w:highlight w:val="none"/>
        </w:rPr>
        <w:t xml:space="preserve">发现</w:t>
      </w:r>
      <w:r>
        <w:rPr>
          <w:rFonts w:hint="eastAsia" w:hAnsi="宋体" w:eastAsia="宋体" w:cs="MS Gothic"/>
          <w:color w:val="auto"/>
          <w:sz w:val="24"/>
          <w:szCs w:val="24"/>
          <w:highlight w:val="none"/>
        </w:rPr>
        <w:t xml:space="preserve">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商未按照合同履</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的，具</w:t>
      </w:r>
      <w:r>
        <w:rPr>
          <w:rFonts w:hint="eastAsia" w:hAnsi="宋体" w:eastAsia="宋体" w:cs="微软雅黑"/>
          <w:color w:val="auto"/>
          <w:sz w:val="24"/>
          <w:szCs w:val="24"/>
          <w:highlight w:val="none"/>
        </w:rPr>
        <w:t xml:space="preserve">备</w:t>
      </w:r>
      <w:r>
        <w:rPr>
          <w:rFonts w:hint="eastAsia" w:hAnsi="宋体" w:eastAsia="宋体" w:cs="MS Gothic"/>
          <w:color w:val="auto"/>
          <w:sz w:val="24"/>
          <w:szCs w:val="24"/>
          <w:highlight w:val="none"/>
        </w:rPr>
        <w:t xml:space="preserve">限期整改条件的，采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面要求供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商限期整改，整改期</w:t>
      </w:r>
      <w:r>
        <w:rPr>
          <w:rFonts w:hint="eastAsia" w:hAnsi="宋体" w:eastAsia="宋体" w:cs="微软雅黑"/>
          <w:color w:val="auto"/>
          <w:sz w:val="24"/>
          <w:szCs w:val="24"/>
          <w:highlight w:val="none"/>
        </w:rPr>
        <w:t xml:space="preserve">满</w:t>
      </w:r>
      <w:r>
        <w:rPr>
          <w:rFonts w:hint="eastAsia" w:hAnsi="宋体" w:eastAsia="宋体" w:cs="MS Gothic"/>
          <w:color w:val="auto"/>
          <w:sz w:val="24"/>
          <w:szCs w:val="24"/>
          <w:highlight w:val="none"/>
        </w:rPr>
        <w:t xml:space="preserve">后重新</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收整改事</w:t>
      </w:r>
      <w:r>
        <w:rPr>
          <w:rFonts w:hint="eastAsia" w:hAnsi="宋体" w:eastAsia="宋体" w:cs="微软雅黑"/>
          <w:color w:val="auto"/>
          <w:sz w:val="24"/>
          <w:szCs w:val="24"/>
          <w:highlight w:val="none"/>
        </w:rPr>
        <w:t xml:space="preserve">项</w:t>
      </w:r>
      <w:r>
        <w:rPr>
          <w:rFonts w:hint="eastAsia" w:hAnsi="宋体" w:eastAsia="宋体" w:cs="MS Gothic"/>
          <w:color w:val="auto"/>
          <w:sz w:val="24"/>
          <w:szCs w:val="24"/>
          <w:highlight w:val="none"/>
        </w:rPr>
        <w:t xml:space="preserve">。不具</w:t>
      </w:r>
      <w:r>
        <w:rPr>
          <w:rFonts w:hint="eastAsia" w:hAnsi="宋体" w:eastAsia="宋体" w:cs="微软雅黑"/>
          <w:color w:val="auto"/>
          <w:sz w:val="24"/>
          <w:szCs w:val="24"/>
          <w:highlight w:val="none"/>
        </w:rPr>
        <w:t xml:space="preserve">备</w:t>
      </w:r>
      <w:r>
        <w:rPr>
          <w:rFonts w:hint="eastAsia" w:hAnsi="宋体" w:eastAsia="宋体" w:cs="MS Gothic"/>
          <w:color w:val="auto"/>
          <w:sz w:val="24"/>
          <w:szCs w:val="24"/>
          <w:highlight w:val="none"/>
        </w:rPr>
        <w:t xml:space="preserve">整改条件或供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商未按要求整改的，采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当依法追究供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商的</w:t>
      </w:r>
      <w:r>
        <w:rPr>
          <w:rFonts w:hint="eastAsia" w:hAnsi="宋体" w:eastAsia="宋体" w:cs="微软雅黑"/>
          <w:color w:val="auto"/>
          <w:sz w:val="24"/>
          <w:szCs w:val="24"/>
          <w:highlight w:val="none"/>
        </w:rPr>
        <w:t xml:space="preserve">违约责</w:t>
      </w:r>
      <w:r>
        <w:rPr>
          <w:rFonts w:hint="eastAsia" w:hAnsi="宋体" w:eastAsia="宋体" w:cs="MS Gothic"/>
          <w:color w:val="auto"/>
          <w:sz w:val="24"/>
          <w:szCs w:val="24"/>
          <w:highlight w:val="none"/>
        </w:rPr>
        <w:t xml:space="preserve">任并根据生效的裁判文</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支付</w:t>
      </w:r>
      <w:r>
        <w:rPr>
          <w:rFonts w:hint="eastAsia" w:hAnsi="宋体" w:eastAsia="宋体" w:cs="微软雅黑"/>
          <w:color w:val="auto"/>
          <w:sz w:val="24"/>
          <w:szCs w:val="24"/>
          <w:highlight w:val="none"/>
        </w:rPr>
        <w:t xml:space="preserve">资</w:t>
      </w:r>
      <w:r>
        <w:rPr>
          <w:rFonts w:hint="eastAsia" w:hAnsi="宋体" w:eastAsia="宋体" w:cs="MS Gothic"/>
          <w:color w:val="auto"/>
          <w:sz w:val="24"/>
          <w:szCs w:val="24"/>
          <w:highlight w:val="none"/>
        </w:rPr>
        <w:t xml:space="preserve">金。供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商不</w:t>
      </w:r>
      <w:r>
        <w:rPr>
          <w:rFonts w:hint="eastAsia" w:hAnsi="宋体" w:eastAsia="宋体" w:cs="微软雅黑"/>
          <w:color w:val="auto"/>
          <w:sz w:val="24"/>
          <w:szCs w:val="24"/>
          <w:highlight w:val="none"/>
        </w:rPr>
        <w:t xml:space="preserve">认</w:t>
      </w:r>
      <w:r>
        <w:rPr>
          <w:rFonts w:hint="eastAsia" w:hAnsi="宋体" w:eastAsia="宋体" w:cs="MS Gothic"/>
          <w:color w:val="auto"/>
          <w:sz w:val="24"/>
          <w:szCs w:val="24"/>
          <w:highlight w:val="none"/>
        </w:rPr>
        <w:t xml:space="preserve">可</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的，按照采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合同</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定的方式解决；合同中</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定的方式未能解决的，按照《中</w:t>
      </w:r>
      <w:r>
        <w:rPr>
          <w:rFonts w:hint="eastAsia" w:hAnsi="宋体" w:eastAsia="宋体" w:cs="微软雅黑"/>
          <w:color w:val="auto"/>
          <w:sz w:val="24"/>
          <w:szCs w:val="24"/>
          <w:highlight w:val="none"/>
        </w:rPr>
        <w:t xml:space="preserve">华</w:t>
      </w:r>
      <w:r>
        <w:rPr>
          <w:rFonts w:hint="eastAsia" w:hAnsi="宋体" w:eastAsia="宋体" w:cs="MS Gothic"/>
          <w:color w:val="auto"/>
          <w:sz w:val="24"/>
          <w:szCs w:val="24"/>
          <w:highlight w:val="none"/>
        </w:rPr>
        <w:t xml:space="preserve">人民共和国民法典》等法律法</w:t>
      </w:r>
      <w:r>
        <w:rPr>
          <w:rFonts w:hint="eastAsia" w:hAnsi="宋体" w:eastAsia="宋体" w:cs="微软雅黑"/>
          <w:color w:val="auto"/>
          <w:sz w:val="24"/>
          <w:szCs w:val="24"/>
          <w:highlight w:val="none"/>
        </w:rPr>
        <w:t xml:space="preserve">规规</w:t>
      </w:r>
      <w:r>
        <w:rPr>
          <w:rFonts w:hint="eastAsia" w:hAnsi="宋体" w:eastAsia="宋体" w:cs="MS Gothic"/>
          <w:color w:val="auto"/>
          <w:sz w:val="24"/>
          <w:szCs w:val="24"/>
          <w:highlight w:val="none"/>
        </w:rPr>
        <w:t xml:space="preserve">定</w:t>
      </w:r>
      <w:r>
        <w:rPr>
          <w:rFonts w:hint="eastAsia" w:hAnsi="宋体" w:eastAsia="宋体" w:cs="微软雅黑"/>
          <w:color w:val="auto"/>
          <w:sz w:val="24"/>
          <w:szCs w:val="24"/>
          <w:highlight w:val="none"/>
        </w:rPr>
        <w:t xml:space="preserve">处</w:t>
      </w:r>
      <w:r>
        <w:rPr>
          <w:rFonts w:hint="eastAsia" w:hAnsi="宋体" w:eastAsia="宋体" w:cs="MS Gothic"/>
          <w:color w:val="auto"/>
          <w:sz w:val="24"/>
          <w:szCs w:val="24"/>
          <w:highlight w:val="none"/>
        </w:rPr>
        <w:t xml:space="preserve">理。</w:t>
      </w:r>
      <w:r/>
    </w:p>
    <w:p>
      <w:pPr>
        <w:pStyle w:val="1221"/>
        <w:ind w:firstLine="48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8.3《政府采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下表</w:t>
      </w:r>
      <w:r>
        <w:rPr>
          <w:rFonts w:hint="eastAsia" w:hAnsi="宋体" w:eastAsia="宋体"/>
          <w:color w:val="auto"/>
          <w:sz w:val="24"/>
          <w:szCs w:val="24"/>
          <w:highlight w:val="none"/>
        </w:rPr>
        <w:t xml:space="preserve">1）、合同是申</w:t>
      </w:r>
      <w:r>
        <w:rPr>
          <w:rFonts w:hint="eastAsia" w:hAnsi="宋体" w:eastAsia="宋体" w:cs="微软雅黑"/>
          <w:color w:val="auto"/>
          <w:sz w:val="24"/>
          <w:szCs w:val="24"/>
          <w:highlight w:val="none"/>
        </w:rPr>
        <w:t xml:space="preserve">请</w:t>
      </w:r>
      <w:r>
        <w:rPr>
          <w:rFonts w:hint="eastAsia" w:hAnsi="宋体" w:eastAsia="宋体" w:cs="MS Gothic"/>
          <w:color w:val="auto"/>
          <w:sz w:val="24"/>
          <w:szCs w:val="24"/>
          <w:highlight w:val="none"/>
        </w:rPr>
        <w:t xml:space="preserve">支付政府采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合同价款的必</w:t>
      </w:r>
      <w:r>
        <w:rPr>
          <w:rFonts w:hint="eastAsia" w:hAnsi="宋体" w:eastAsia="宋体" w:cs="微软雅黑"/>
          <w:color w:val="auto"/>
          <w:sz w:val="24"/>
          <w:szCs w:val="24"/>
          <w:highlight w:val="none"/>
        </w:rPr>
        <w:t xml:space="preserve">备资</w:t>
      </w:r>
      <w:r>
        <w:rPr>
          <w:rFonts w:hint="eastAsia" w:hAnsi="宋体" w:eastAsia="宋体" w:cs="MS Gothic"/>
          <w:color w:val="auto"/>
          <w:sz w:val="24"/>
          <w:szCs w:val="24"/>
          <w:highlight w:val="none"/>
        </w:rPr>
        <w:t xml:space="preserve">料。</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收合格后采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人申</w:t>
      </w:r>
      <w:r>
        <w:rPr>
          <w:rFonts w:hint="eastAsia" w:hAnsi="宋体" w:eastAsia="宋体" w:cs="微软雅黑"/>
          <w:color w:val="auto"/>
          <w:sz w:val="24"/>
          <w:szCs w:val="24"/>
          <w:highlight w:val="none"/>
        </w:rPr>
        <w:t xml:space="preserve">请财</w:t>
      </w:r>
      <w:r>
        <w:rPr>
          <w:rFonts w:hint="eastAsia" w:hAnsi="宋体" w:eastAsia="宋体" w:cs="MS Gothic"/>
          <w:color w:val="auto"/>
          <w:sz w:val="24"/>
          <w:szCs w:val="24"/>
          <w:highlight w:val="none"/>
        </w:rPr>
        <w:t xml:space="preserve">政性</w:t>
      </w:r>
      <w:r>
        <w:rPr>
          <w:rFonts w:hint="eastAsia" w:hAnsi="宋体" w:eastAsia="宋体" w:cs="微软雅黑"/>
          <w:color w:val="auto"/>
          <w:sz w:val="24"/>
          <w:szCs w:val="24"/>
          <w:highlight w:val="none"/>
        </w:rPr>
        <w:t xml:space="preserve">资</w:t>
      </w:r>
      <w:r>
        <w:rPr>
          <w:rFonts w:hint="eastAsia" w:hAnsi="宋体" w:eastAsia="宋体" w:cs="MS Gothic"/>
          <w:color w:val="auto"/>
          <w:sz w:val="24"/>
          <w:szCs w:val="24"/>
          <w:highlight w:val="none"/>
        </w:rPr>
        <w:t xml:space="preserve">金支付</w:t>
      </w:r>
      <w:r>
        <w:rPr>
          <w:rFonts w:hint="eastAsia" w:hAnsi="宋体" w:eastAsia="宋体" w:cs="微软雅黑"/>
          <w:color w:val="auto"/>
          <w:sz w:val="24"/>
          <w:szCs w:val="24"/>
          <w:highlight w:val="none"/>
        </w:rPr>
        <w:t xml:space="preserve">时</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当在相</w:t>
      </w:r>
      <w:r>
        <w:rPr>
          <w:rFonts w:hint="eastAsia" w:hAnsi="宋体" w:eastAsia="宋体" w:cs="微软雅黑"/>
          <w:color w:val="auto"/>
          <w:sz w:val="24"/>
          <w:szCs w:val="24"/>
          <w:highlight w:val="none"/>
        </w:rPr>
        <w:t xml:space="preserve">应电</w:t>
      </w:r>
      <w:r>
        <w:rPr>
          <w:rFonts w:hint="eastAsia" w:hAnsi="宋体" w:eastAsia="宋体" w:cs="MS Gothic"/>
          <w:color w:val="auto"/>
          <w:sz w:val="24"/>
          <w:szCs w:val="24"/>
          <w:highlight w:val="none"/>
        </w:rPr>
        <w:t xml:space="preserve">子化系</w:t>
      </w:r>
      <w:r>
        <w:rPr>
          <w:rFonts w:hint="eastAsia" w:hAnsi="宋体" w:eastAsia="宋体" w:cs="微软雅黑"/>
          <w:color w:val="auto"/>
          <w:sz w:val="24"/>
          <w:szCs w:val="24"/>
          <w:highlight w:val="none"/>
        </w:rPr>
        <w:t xml:space="preserve">统</w:t>
      </w:r>
      <w:r>
        <w:rPr>
          <w:rFonts w:hint="eastAsia" w:hAnsi="宋体" w:eastAsia="宋体" w:cs="MS Gothic"/>
          <w:color w:val="auto"/>
          <w:sz w:val="24"/>
          <w:szCs w:val="24"/>
          <w:highlight w:val="none"/>
        </w:rPr>
        <w:t xml:space="preserve">上</w:t>
      </w:r>
      <w:r>
        <w:rPr>
          <w:rFonts w:hint="eastAsia" w:hAnsi="宋体" w:eastAsia="宋体" w:cs="微软雅黑"/>
          <w:color w:val="auto"/>
          <w:sz w:val="24"/>
          <w:szCs w:val="24"/>
          <w:highlight w:val="none"/>
        </w:rPr>
        <w:t xml:space="preserve">传</w:t>
      </w:r>
      <w:r>
        <w:rPr>
          <w:rFonts w:hint="eastAsia" w:hAnsi="宋体" w:eastAsia="宋体" w:cs="MS Gothic"/>
          <w:color w:val="auto"/>
          <w:sz w:val="24"/>
          <w:szCs w:val="24"/>
          <w:highlight w:val="none"/>
        </w:rPr>
        <w:t xml:space="preserve">《政府采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履</w:t>
      </w:r>
      <w:r>
        <w:rPr>
          <w:rFonts w:hint="eastAsia" w:hAnsi="宋体" w:eastAsia="宋体" w:cs="微软雅黑"/>
          <w:color w:val="auto"/>
          <w:sz w:val="24"/>
          <w:szCs w:val="24"/>
          <w:highlight w:val="none"/>
        </w:rPr>
        <w:t xml:space="preserve">约验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书</w:t>
      </w:r>
      <w:r>
        <w:rPr>
          <w:rFonts w:hint="eastAsia" w:hAnsi="宋体" w:eastAsia="宋体" w:cs="MS Gothic"/>
          <w:color w:val="auto"/>
          <w:sz w:val="24"/>
          <w:szCs w:val="24"/>
          <w:highlight w:val="none"/>
        </w:rPr>
        <w:t xml:space="preserve">》、合同等</w:t>
      </w:r>
      <w:r>
        <w:rPr>
          <w:rFonts w:hint="eastAsia" w:hAnsi="宋体" w:eastAsia="宋体" w:cs="微软雅黑"/>
          <w:color w:val="auto"/>
          <w:sz w:val="24"/>
          <w:szCs w:val="24"/>
          <w:highlight w:val="none"/>
        </w:rPr>
        <w:t xml:space="preserve">证</w:t>
      </w:r>
      <w:r>
        <w:rPr>
          <w:rFonts w:hint="eastAsia" w:hAnsi="宋体" w:eastAsia="宋体" w:cs="MS Gothic"/>
          <w:color w:val="auto"/>
          <w:sz w:val="24"/>
          <w:szCs w:val="24"/>
          <w:highlight w:val="none"/>
        </w:rPr>
        <w:t xml:space="preserve">明性材料。涉及分段</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收付款的</w:t>
      </w:r>
      <w:r>
        <w:rPr>
          <w:rFonts w:hint="eastAsia" w:hAnsi="宋体" w:eastAsia="宋体" w:cs="微软雅黑"/>
          <w:color w:val="auto"/>
          <w:sz w:val="24"/>
          <w:szCs w:val="24"/>
          <w:highlight w:val="none"/>
        </w:rPr>
        <w:t xml:space="preserve">项</w:t>
      </w:r>
      <w:r>
        <w:rPr>
          <w:rFonts w:hint="eastAsia" w:hAnsi="宋体" w:eastAsia="宋体" w:cs="MS Gothic"/>
          <w:color w:val="auto"/>
          <w:sz w:val="24"/>
          <w:szCs w:val="24"/>
          <w:highlight w:val="none"/>
        </w:rPr>
        <w:t xml:space="preserve">目，</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具</w:t>
      </w:r>
      <w:r>
        <w:rPr>
          <w:rFonts w:hint="eastAsia" w:hAnsi="宋体" w:eastAsia="宋体" w:cs="微软雅黑"/>
          <w:color w:val="auto"/>
          <w:sz w:val="24"/>
          <w:szCs w:val="24"/>
          <w:highlight w:val="none"/>
        </w:rPr>
        <w:t xml:space="preserve">备</w:t>
      </w:r>
      <w:r>
        <w:rPr>
          <w:rFonts w:hint="eastAsia" w:hAnsi="宋体" w:eastAsia="宋体" w:cs="MS Gothic"/>
          <w:color w:val="auto"/>
          <w:sz w:val="24"/>
          <w:szCs w:val="24"/>
          <w:highlight w:val="none"/>
        </w:rPr>
        <w:t xml:space="preserve">符合合同</w:t>
      </w:r>
      <w:r>
        <w:rPr>
          <w:rFonts w:hint="eastAsia" w:hAnsi="宋体" w:eastAsia="宋体" w:cs="微软雅黑"/>
          <w:color w:val="auto"/>
          <w:sz w:val="24"/>
          <w:szCs w:val="24"/>
          <w:highlight w:val="none"/>
        </w:rPr>
        <w:t xml:space="preserve">约</w:t>
      </w:r>
      <w:r>
        <w:rPr>
          <w:rFonts w:hint="eastAsia" w:hAnsi="宋体" w:eastAsia="宋体" w:cs="MS Gothic"/>
          <w:color w:val="auto"/>
          <w:sz w:val="24"/>
          <w:szCs w:val="24"/>
          <w:highlight w:val="none"/>
        </w:rPr>
        <w:t xml:space="preserve">定内容的</w:t>
      </w:r>
      <w:r>
        <w:rPr>
          <w:rFonts w:hint="eastAsia" w:hAnsi="宋体" w:eastAsia="宋体" w:cs="微软雅黑"/>
          <w:color w:val="auto"/>
          <w:sz w:val="24"/>
          <w:szCs w:val="24"/>
          <w:highlight w:val="none"/>
        </w:rPr>
        <w:t xml:space="preserve">阶</w:t>
      </w:r>
      <w:r>
        <w:rPr>
          <w:rFonts w:hint="eastAsia" w:hAnsi="宋体" w:eastAsia="宋体" w:cs="MS Gothic"/>
          <w:color w:val="auto"/>
          <w:sz w:val="24"/>
          <w:szCs w:val="24"/>
          <w:highlight w:val="none"/>
        </w:rPr>
        <w:t xml:space="preserve">段性</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收意</w:t>
      </w:r>
      <w:r>
        <w:rPr>
          <w:rFonts w:hint="eastAsia" w:hAnsi="宋体" w:eastAsia="宋体" w:cs="微软雅黑"/>
          <w:color w:val="auto"/>
          <w:sz w:val="24"/>
          <w:szCs w:val="24"/>
          <w:highlight w:val="none"/>
        </w:rPr>
        <w:t xml:space="preserve">见</w:t>
      </w:r>
      <w:r>
        <w:rPr>
          <w:rFonts w:hint="eastAsia" w:hAnsi="宋体" w:eastAsia="宋体" w:cs="MS Gothic"/>
          <w:color w:val="auto"/>
          <w:sz w:val="24"/>
          <w:szCs w:val="24"/>
          <w:highlight w:val="none"/>
        </w:rPr>
        <w:t xml:space="preserve">，分段</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收不合格的，不予支付</w:t>
      </w:r>
      <w:r>
        <w:rPr>
          <w:rFonts w:hint="eastAsia" w:hAnsi="宋体" w:eastAsia="宋体" w:cs="微软雅黑"/>
          <w:color w:val="auto"/>
          <w:sz w:val="24"/>
          <w:szCs w:val="24"/>
          <w:highlight w:val="none"/>
        </w:rPr>
        <w:t xml:space="preserve">该阶</w:t>
      </w:r>
      <w:r>
        <w:rPr>
          <w:rFonts w:hint="eastAsia" w:hAnsi="宋体" w:eastAsia="宋体" w:cs="MS Gothic"/>
          <w:color w:val="auto"/>
          <w:sz w:val="24"/>
          <w:szCs w:val="24"/>
          <w:highlight w:val="none"/>
        </w:rPr>
        <w:t xml:space="preserve">段的</w:t>
      </w:r>
      <w:r>
        <w:rPr>
          <w:rFonts w:hint="eastAsia" w:hAnsi="宋体" w:eastAsia="宋体" w:cs="微软雅黑"/>
          <w:color w:val="auto"/>
          <w:sz w:val="24"/>
          <w:szCs w:val="24"/>
          <w:highlight w:val="none"/>
        </w:rPr>
        <w:t xml:space="preserve">资</w:t>
      </w:r>
      <w:r>
        <w:rPr>
          <w:rFonts w:hint="eastAsia" w:hAnsi="宋体" w:eastAsia="宋体" w:cs="MS Gothic"/>
          <w:color w:val="auto"/>
          <w:sz w:val="24"/>
          <w:szCs w:val="24"/>
          <w:highlight w:val="none"/>
        </w:rPr>
        <w:t xml:space="preserve">金或根据采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文件予以相</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扣减。</w:t>
      </w:r>
      <w:r/>
    </w:p>
    <w:p>
      <w:pPr>
        <w:pStyle w:val="1221"/>
        <w:ind w:firstLine="480"/>
        <w:spacing w:line="360" w:lineRule="auto"/>
        <w:rPr>
          <w:rFonts w:hAnsi="宋体" w:eastAsia="宋体"/>
          <w:b/>
          <w:bCs/>
          <w:color w:val="auto"/>
          <w:sz w:val="24"/>
          <w:szCs w:val="24"/>
          <w:highlight w:val="none"/>
        </w:rPr>
      </w:pPr>
      <w:r>
        <w:rPr>
          <w:rFonts w:hint="eastAsia" w:hAnsi="宋体" w:eastAsia="宋体"/>
          <w:b/>
          <w:bCs/>
          <w:color w:val="auto"/>
          <w:sz w:val="24"/>
          <w:szCs w:val="24"/>
          <w:highlight w:val="none"/>
        </w:rPr>
        <w:t xml:space="preserve">九、</w:t>
      </w:r>
      <w:r>
        <w:rPr>
          <w:rFonts w:hint="eastAsia" w:hAnsi="宋体" w:eastAsia="宋体" w:cs="微软雅黑"/>
          <w:b/>
          <w:bCs/>
          <w:color w:val="auto"/>
          <w:sz w:val="24"/>
          <w:szCs w:val="24"/>
          <w:highlight w:val="none"/>
        </w:rPr>
        <w:t xml:space="preserve">验</w:t>
      </w:r>
      <w:r>
        <w:rPr>
          <w:rFonts w:hint="eastAsia" w:hAnsi="宋体" w:eastAsia="宋体" w:cs="MS Gothic"/>
          <w:b/>
          <w:bCs/>
          <w:color w:val="auto"/>
          <w:sz w:val="24"/>
          <w:szCs w:val="24"/>
          <w:highlight w:val="none"/>
        </w:rPr>
        <w:t xml:space="preserve">收</w:t>
      </w:r>
      <w:r>
        <w:rPr>
          <w:rFonts w:hint="eastAsia" w:hAnsi="宋体" w:eastAsia="宋体" w:cs="微软雅黑"/>
          <w:b/>
          <w:bCs/>
          <w:color w:val="auto"/>
          <w:sz w:val="24"/>
          <w:szCs w:val="24"/>
          <w:highlight w:val="none"/>
        </w:rPr>
        <w:t xml:space="preserve">资</w:t>
      </w:r>
      <w:r>
        <w:rPr>
          <w:rFonts w:hint="eastAsia" w:hAnsi="宋体" w:eastAsia="宋体" w:cs="MS Gothic"/>
          <w:b/>
          <w:bCs/>
          <w:color w:val="auto"/>
          <w:sz w:val="24"/>
          <w:szCs w:val="24"/>
          <w:highlight w:val="none"/>
        </w:rPr>
        <w:t xml:space="preserve">料</w:t>
      </w:r>
      <w:r>
        <w:rPr>
          <w:rFonts w:hint="eastAsia" w:hAnsi="宋体" w:eastAsia="宋体" w:cs="微软雅黑"/>
          <w:b/>
          <w:bCs/>
          <w:color w:val="auto"/>
          <w:sz w:val="24"/>
          <w:szCs w:val="24"/>
          <w:highlight w:val="none"/>
        </w:rPr>
        <w:t xml:space="preserve">归</w:t>
      </w:r>
      <w:r>
        <w:rPr>
          <w:rFonts w:hint="eastAsia" w:hAnsi="宋体" w:eastAsia="宋体" w:cs="MS Gothic"/>
          <w:b/>
          <w:bCs/>
          <w:color w:val="auto"/>
          <w:sz w:val="24"/>
          <w:szCs w:val="24"/>
          <w:highlight w:val="none"/>
        </w:rPr>
        <w:t xml:space="preserve">档</w:t>
      </w:r>
      <w:r/>
    </w:p>
    <w:p>
      <w:pPr>
        <w:pStyle w:val="1221"/>
        <w:ind w:firstLine="480"/>
        <w:spacing w:line="360" w:lineRule="auto"/>
        <w:rPr>
          <w:rFonts w:hAnsi="宋体" w:eastAsia="宋体" w:cs="宋体"/>
          <w:b/>
          <w:color w:val="auto"/>
          <w:sz w:val="24"/>
          <w:szCs w:val="24"/>
          <w:highlight w:val="none"/>
        </w:rPr>
      </w:pPr>
      <w:r>
        <w:rPr>
          <w:rFonts w:hint="eastAsia" w:hAnsi="宋体" w:eastAsia="宋体" w:cs="微软雅黑"/>
          <w:color w:val="auto"/>
          <w:sz w:val="24"/>
          <w:szCs w:val="24"/>
          <w:highlight w:val="none"/>
        </w:rPr>
        <w:t xml:space="preserve">项</w:t>
      </w:r>
      <w:r>
        <w:rPr>
          <w:rFonts w:hint="eastAsia" w:hAnsi="宋体" w:eastAsia="宋体" w:cs="MS Gothic"/>
          <w:color w:val="auto"/>
          <w:sz w:val="24"/>
          <w:szCs w:val="24"/>
          <w:highlight w:val="none"/>
        </w:rPr>
        <w:t xml:space="preserve">目</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收完</w:t>
      </w:r>
      <w:r>
        <w:rPr>
          <w:rFonts w:hint="eastAsia" w:hAnsi="宋体" w:eastAsia="宋体" w:cs="微软雅黑"/>
          <w:color w:val="auto"/>
          <w:sz w:val="24"/>
          <w:szCs w:val="24"/>
          <w:highlight w:val="none"/>
        </w:rPr>
        <w:t xml:space="preserve">结</w:t>
      </w:r>
      <w:r>
        <w:rPr>
          <w:rFonts w:hint="eastAsia" w:hAnsi="宋体" w:eastAsia="宋体" w:cs="MS Gothic"/>
          <w:color w:val="auto"/>
          <w:sz w:val="24"/>
          <w:szCs w:val="24"/>
          <w:highlight w:val="none"/>
        </w:rPr>
        <w:t xml:space="preserve">后，采</w:t>
      </w:r>
      <w:r>
        <w:rPr>
          <w:rFonts w:hint="eastAsia" w:hAnsi="宋体" w:eastAsia="宋体" w:cs="微软雅黑"/>
          <w:color w:val="auto"/>
          <w:sz w:val="24"/>
          <w:szCs w:val="24"/>
          <w:highlight w:val="none"/>
        </w:rPr>
        <w:t xml:space="preserve">购</w:t>
      </w:r>
      <w:r>
        <w:rPr>
          <w:rFonts w:hint="eastAsia" w:hAnsi="宋体" w:eastAsia="宋体" w:cs="MS Gothic"/>
          <w:color w:val="auto"/>
          <w:sz w:val="24"/>
          <w:szCs w:val="24"/>
          <w:highlight w:val="none"/>
        </w:rPr>
        <w:t xml:space="preserve">人</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当将</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收小</w:t>
      </w:r>
      <w:r>
        <w:rPr>
          <w:rFonts w:hint="eastAsia" w:hAnsi="宋体" w:eastAsia="宋体" w:cs="微软雅黑"/>
          <w:color w:val="auto"/>
          <w:sz w:val="24"/>
          <w:szCs w:val="24"/>
          <w:highlight w:val="none"/>
        </w:rPr>
        <w:t xml:space="preserve">组</w:t>
      </w:r>
      <w:r>
        <w:rPr>
          <w:rFonts w:hint="eastAsia" w:hAnsi="宋体" w:eastAsia="宋体" w:cs="MS Gothic"/>
          <w:color w:val="auto"/>
          <w:sz w:val="24"/>
          <w:szCs w:val="24"/>
          <w:highlight w:val="none"/>
        </w:rPr>
        <w:t xml:space="preserve">名</w:t>
      </w:r>
      <w:r>
        <w:rPr>
          <w:rFonts w:hint="eastAsia" w:hAnsi="宋体" w:eastAsia="宋体" w:cs="微软雅黑"/>
          <w:color w:val="auto"/>
          <w:sz w:val="24"/>
          <w:szCs w:val="24"/>
          <w:highlight w:val="none"/>
        </w:rPr>
        <w:t xml:space="preserve">单</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收方案、</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收原始</w:t>
      </w:r>
      <w:r>
        <w:rPr>
          <w:rFonts w:hint="eastAsia" w:hAnsi="宋体" w:eastAsia="宋体" w:cs="微软雅黑"/>
          <w:color w:val="auto"/>
          <w:sz w:val="24"/>
          <w:szCs w:val="24"/>
          <w:highlight w:val="none"/>
        </w:rPr>
        <w:t xml:space="preserve">记录</w:t>
      </w:r>
      <w:r>
        <w:rPr>
          <w:rFonts w:hint="eastAsia" w:hAnsi="宋体" w:eastAsia="宋体" w:cs="MS Gothic"/>
          <w:color w:val="auto"/>
          <w:sz w:val="24"/>
          <w:szCs w:val="24"/>
          <w:highlight w:val="none"/>
        </w:rPr>
        <w:t xml:space="preserve">、</w:t>
      </w:r>
      <w:r>
        <w:rPr>
          <w:rFonts w:hint="eastAsia" w:hAnsi="宋体" w:eastAsia="宋体" w:cs="微软雅黑"/>
          <w:color w:val="auto"/>
          <w:sz w:val="24"/>
          <w:szCs w:val="24"/>
          <w:highlight w:val="none"/>
        </w:rPr>
        <w:t xml:space="preserve">验</w:t>
      </w:r>
      <w:r>
        <w:rPr>
          <w:rFonts w:hint="eastAsia" w:hAnsi="宋体" w:eastAsia="宋体" w:cs="MS Gothic"/>
          <w:color w:val="auto"/>
          <w:sz w:val="24"/>
          <w:szCs w:val="24"/>
          <w:highlight w:val="none"/>
        </w:rPr>
        <w:t xml:space="preserve">收</w:t>
      </w:r>
      <w:r>
        <w:rPr>
          <w:rFonts w:hint="eastAsia" w:hAnsi="宋体" w:eastAsia="宋体" w:cs="微软雅黑"/>
          <w:color w:val="auto"/>
          <w:sz w:val="24"/>
          <w:szCs w:val="24"/>
          <w:highlight w:val="none"/>
        </w:rPr>
        <w:t xml:space="preserve">结</w:t>
      </w:r>
      <w:r>
        <w:rPr>
          <w:rFonts w:hint="eastAsia" w:hAnsi="宋体" w:eastAsia="宋体" w:cs="MS Gothic"/>
          <w:color w:val="auto"/>
          <w:sz w:val="24"/>
          <w:szCs w:val="24"/>
          <w:highlight w:val="none"/>
        </w:rPr>
        <w:t xml:space="preserve">果、</w:t>
      </w:r>
      <w:r>
        <w:rPr>
          <w:rFonts w:hint="eastAsia" w:hAnsi="宋体" w:eastAsia="宋体" w:cs="微软雅黑"/>
          <w:color w:val="auto"/>
          <w:sz w:val="24"/>
          <w:szCs w:val="24"/>
          <w:highlight w:val="none"/>
        </w:rPr>
        <w:t xml:space="preserve">资</w:t>
      </w:r>
      <w:r>
        <w:rPr>
          <w:rFonts w:hint="eastAsia" w:hAnsi="宋体" w:eastAsia="宋体" w:cs="MS Gothic"/>
          <w:color w:val="auto"/>
          <w:sz w:val="24"/>
          <w:szCs w:val="24"/>
          <w:highlight w:val="none"/>
        </w:rPr>
        <w:t xml:space="preserve">金支付情况、追究供</w:t>
      </w:r>
      <w:r>
        <w:rPr>
          <w:rFonts w:hint="eastAsia" w:hAnsi="宋体" w:eastAsia="宋体" w:cs="微软雅黑"/>
          <w:color w:val="auto"/>
          <w:sz w:val="24"/>
          <w:szCs w:val="24"/>
          <w:highlight w:val="none"/>
        </w:rPr>
        <w:t xml:space="preserve">应</w:t>
      </w:r>
      <w:r>
        <w:rPr>
          <w:rFonts w:hint="eastAsia" w:hAnsi="宋体" w:eastAsia="宋体" w:cs="MS Gothic"/>
          <w:color w:val="auto"/>
          <w:sz w:val="24"/>
          <w:szCs w:val="24"/>
          <w:highlight w:val="none"/>
        </w:rPr>
        <w:t xml:space="preserve">商</w:t>
      </w:r>
      <w:r>
        <w:rPr>
          <w:rFonts w:hint="eastAsia" w:hAnsi="宋体" w:eastAsia="宋体" w:cs="微软雅黑"/>
          <w:color w:val="auto"/>
          <w:sz w:val="24"/>
          <w:szCs w:val="24"/>
          <w:highlight w:val="none"/>
        </w:rPr>
        <w:t xml:space="preserve">违约责</w:t>
      </w:r>
      <w:r>
        <w:rPr>
          <w:rFonts w:hint="eastAsia" w:hAnsi="宋体" w:eastAsia="宋体" w:cs="MS Gothic"/>
          <w:color w:val="auto"/>
          <w:sz w:val="24"/>
          <w:szCs w:val="24"/>
          <w:highlight w:val="none"/>
        </w:rPr>
        <w:t xml:space="preserve">任的情况、合同</w:t>
      </w:r>
      <w:r>
        <w:rPr>
          <w:rFonts w:hint="eastAsia" w:hAnsi="宋体" w:eastAsia="宋体" w:cs="微软雅黑"/>
          <w:color w:val="auto"/>
          <w:sz w:val="24"/>
          <w:szCs w:val="24"/>
          <w:highlight w:val="none"/>
        </w:rPr>
        <w:t xml:space="preserve">变</w:t>
      </w:r>
      <w:r>
        <w:rPr>
          <w:rFonts w:hint="eastAsia" w:hAnsi="宋体" w:eastAsia="宋体" w:cs="MS Gothic"/>
          <w:color w:val="auto"/>
          <w:sz w:val="24"/>
          <w:szCs w:val="24"/>
          <w:highlight w:val="none"/>
        </w:rPr>
        <w:t xml:space="preserve">更、中止或</w:t>
      </w:r>
      <w:r>
        <w:rPr>
          <w:rFonts w:hint="eastAsia" w:hAnsi="宋体" w:eastAsia="宋体" w:cs="微软雅黑"/>
          <w:color w:val="auto"/>
          <w:sz w:val="24"/>
          <w:szCs w:val="24"/>
          <w:highlight w:val="none"/>
        </w:rPr>
        <w:t xml:space="preserve">终</w:t>
      </w:r>
      <w:r>
        <w:rPr>
          <w:rFonts w:hint="eastAsia" w:hAnsi="宋体" w:eastAsia="宋体" w:cs="MS Gothic"/>
          <w:color w:val="auto"/>
          <w:sz w:val="24"/>
          <w:szCs w:val="24"/>
          <w:highlight w:val="none"/>
        </w:rPr>
        <w:t xml:space="preserve">止相关</w:t>
      </w:r>
      <w:r>
        <w:rPr>
          <w:rFonts w:hint="eastAsia" w:hAnsi="宋体" w:eastAsia="宋体" w:cs="微软雅黑"/>
          <w:color w:val="auto"/>
          <w:sz w:val="24"/>
          <w:szCs w:val="24"/>
          <w:highlight w:val="none"/>
        </w:rPr>
        <w:t xml:space="preserve">资</w:t>
      </w:r>
      <w:r>
        <w:rPr>
          <w:rFonts w:hint="eastAsia" w:hAnsi="宋体" w:eastAsia="宋体" w:cs="MS Gothic"/>
          <w:color w:val="auto"/>
          <w:sz w:val="24"/>
          <w:szCs w:val="24"/>
          <w:highlight w:val="none"/>
        </w:rPr>
        <w:t xml:space="preserve">料（若有）等作</w:t>
      </w:r>
      <w:r>
        <w:rPr>
          <w:rFonts w:hint="eastAsia" w:hAnsi="宋体" w:eastAsia="宋体" w:cs="微软雅黑"/>
          <w:color w:val="auto"/>
          <w:sz w:val="24"/>
          <w:szCs w:val="24"/>
          <w:highlight w:val="none"/>
        </w:rPr>
        <w:t xml:space="preserve">为</w:t>
      </w:r>
      <w:r>
        <w:rPr>
          <w:rFonts w:hint="eastAsia" w:hAnsi="宋体" w:eastAsia="宋体" w:cs="MS Gothic"/>
          <w:color w:val="auto"/>
          <w:sz w:val="24"/>
          <w:szCs w:val="24"/>
          <w:highlight w:val="none"/>
        </w:rPr>
        <w:t xml:space="preserve">采</w:t>
      </w:r>
      <w:r>
        <w:rPr>
          <w:rFonts w:hint="eastAsia" w:hAnsi="宋体" w:eastAsia="宋体" w:cs="微软雅黑"/>
          <w:color w:val="auto"/>
          <w:sz w:val="24"/>
          <w:szCs w:val="24"/>
          <w:highlight w:val="none"/>
        </w:rPr>
        <w:t xml:space="preserve">购项</w:t>
      </w:r>
      <w:r>
        <w:rPr>
          <w:rFonts w:hint="eastAsia" w:hAnsi="宋体" w:eastAsia="宋体" w:cs="MS Gothic"/>
          <w:color w:val="auto"/>
          <w:sz w:val="24"/>
          <w:szCs w:val="24"/>
          <w:highlight w:val="none"/>
        </w:rPr>
        <w:t xml:space="preserve">目档案妥善保管，不得</w:t>
      </w:r>
      <w:r>
        <w:rPr>
          <w:rFonts w:hint="eastAsia" w:hAnsi="宋体" w:eastAsia="宋体" w:cs="微软雅黑"/>
          <w:color w:val="auto"/>
          <w:sz w:val="24"/>
          <w:szCs w:val="24"/>
          <w:highlight w:val="none"/>
        </w:rPr>
        <w:t xml:space="preserve">伪</w:t>
      </w:r>
      <w:r>
        <w:rPr>
          <w:rFonts w:hint="eastAsia" w:hAnsi="宋体" w:eastAsia="宋体" w:cs="MS Gothic"/>
          <w:color w:val="auto"/>
          <w:sz w:val="24"/>
          <w:szCs w:val="24"/>
          <w:highlight w:val="none"/>
        </w:rPr>
        <w:t xml:space="preserve">造、</w:t>
      </w:r>
      <w:r>
        <w:rPr>
          <w:rFonts w:hint="eastAsia" w:hAnsi="宋体" w:eastAsia="宋体" w:cs="微软雅黑"/>
          <w:color w:val="auto"/>
          <w:sz w:val="24"/>
          <w:szCs w:val="24"/>
          <w:highlight w:val="none"/>
        </w:rPr>
        <w:t xml:space="preserve">编</w:t>
      </w:r>
      <w:r>
        <w:rPr>
          <w:rFonts w:hint="eastAsia" w:hAnsi="宋体" w:eastAsia="宋体" w:cs="MS Gothic"/>
          <w:color w:val="auto"/>
          <w:sz w:val="24"/>
          <w:szCs w:val="24"/>
          <w:highlight w:val="none"/>
        </w:rPr>
        <w:t xml:space="preserve">造、</w:t>
      </w:r>
      <w:r>
        <w:rPr>
          <w:rFonts w:hint="eastAsia" w:hAnsi="宋体" w:eastAsia="宋体" w:cs="微软雅黑"/>
          <w:color w:val="auto"/>
          <w:sz w:val="24"/>
          <w:szCs w:val="24"/>
          <w:highlight w:val="none"/>
        </w:rPr>
        <w:t xml:space="preserve">隐</w:t>
      </w:r>
      <w:r>
        <w:rPr>
          <w:rFonts w:hint="eastAsia" w:hAnsi="宋体" w:eastAsia="宋体" w:cs="MS Gothic"/>
          <w:color w:val="auto"/>
          <w:sz w:val="24"/>
          <w:szCs w:val="24"/>
          <w:highlight w:val="none"/>
        </w:rPr>
        <w:t xml:space="preserve">匿或者</w:t>
      </w:r>
      <w:r>
        <w:rPr>
          <w:rFonts w:hint="eastAsia" w:hAnsi="宋体" w:eastAsia="宋体" w:cs="微软雅黑"/>
          <w:color w:val="auto"/>
          <w:sz w:val="24"/>
          <w:szCs w:val="24"/>
          <w:highlight w:val="none"/>
        </w:rPr>
        <w:t xml:space="preserve">违规销毁</w:t>
      </w:r>
      <w:r>
        <w:rPr>
          <w:rFonts w:hint="eastAsia" w:hAnsi="宋体" w:eastAsia="宋体" w:cs="MS Gothic"/>
          <w:color w:val="auto"/>
          <w:sz w:val="24"/>
          <w:szCs w:val="24"/>
          <w:highlight w:val="none"/>
        </w:rPr>
        <w:t xml:space="preserve">，保存期限</w:t>
      </w:r>
      <w:r>
        <w:rPr>
          <w:rFonts w:hint="eastAsia" w:hAnsi="宋体" w:eastAsia="宋体" w:cs="微软雅黑"/>
          <w:color w:val="auto"/>
          <w:sz w:val="24"/>
          <w:szCs w:val="24"/>
          <w:highlight w:val="none"/>
        </w:rPr>
        <w:t xml:space="preserve">为</w:t>
      </w:r>
      <w:r>
        <w:rPr>
          <w:rFonts w:hint="eastAsia" w:hAnsi="宋体" w:eastAsia="宋体" w:cs="MS Gothic"/>
          <w:color w:val="auto"/>
          <w:sz w:val="24"/>
          <w:szCs w:val="24"/>
          <w:highlight w:val="none"/>
        </w:rPr>
        <w:t xml:space="preserve">从采</w:t>
      </w:r>
      <w:r>
        <w:rPr>
          <w:rFonts w:hint="eastAsia" w:hAnsi="宋体" w:eastAsia="宋体" w:cs="微软雅黑"/>
          <w:color w:val="auto"/>
          <w:sz w:val="24"/>
          <w:szCs w:val="24"/>
          <w:highlight w:val="none"/>
        </w:rPr>
        <w:t xml:space="preserve">购结</w:t>
      </w:r>
      <w:r>
        <w:rPr>
          <w:rFonts w:hint="eastAsia" w:hAnsi="宋体" w:eastAsia="宋体" w:cs="MS Gothic"/>
          <w:color w:val="auto"/>
          <w:sz w:val="24"/>
          <w:szCs w:val="24"/>
          <w:highlight w:val="none"/>
        </w:rPr>
        <w:t xml:space="preserve">束之日起至少保存十五年。</w:t>
      </w:r>
      <w:r/>
    </w:p>
    <w:p>
      <w:pPr>
        <w:ind w:firstLine="258"/>
        <w:jc w:val="center"/>
        <w:spacing w:before="240" w:after="240"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方正小标宋简体" w:hAnsi="Arial" w:eastAsia="方正小标宋简体" w:cs="Arial"/>
          <w:color w:val="auto"/>
          <w:spacing w:val="9"/>
          <w:sz w:val="24"/>
          <w:szCs w:val="24"/>
          <w:highlight w:val="none"/>
        </w:rPr>
        <w:br w:type="page" w:clear="all"/>
      </w:r>
      <w:r>
        <w:rPr>
          <w:rFonts w:hint="eastAsia" w:ascii="方正小标宋简体" w:hAnsi="Arial" w:eastAsia="方正小标宋简体" w:cs="Arial"/>
          <w:color w:val="auto"/>
          <w:spacing w:val="9"/>
          <w:sz w:val="24"/>
          <w:szCs w:val="24"/>
          <w:highlight w:val="none"/>
        </w:rPr>
        <w:t xml:space="preserve">政府采购履约验收书(服务类）</w:t>
      </w:r>
      <w:r/>
    </w:p>
    <w:tbl>
      <w:tblPr>
        <w:tblStyle w:val="985"/>
        <w:tblW w:w="963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□自行简易验收</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□验收小组验收</w:t>
            </w:r>
            <w:r/>
          </w:p>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  格□ </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按  时□ </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  格□ </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  格□ </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  格□ </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  格□ </w:t>
            </w:r>
            <w:r/>
          </w:p>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存在问题</w:t>
            </w:r>
            <w:r/>
          </w:p>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验收小组成员</w:t>
            </w:r>
            <w:r/>
          </w:p>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供应商确认：</w:t>
            </w:r>
            <w:r/>
          </w:p>
          <w:p>
            <w:pPr>
              <w:jc w:val="left"/>
              <w:spacing w:line="360"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p>
            <w:pPr>
              <w:jc w:val="left"/>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（单位公章或授权代表签字）</w:t>
            </w:r>
            <w:r/>
          </w:p>
        </w:tc>
      </w:tr>
    </w:tbl>
    <w:p>
      <w:pPr>
        <w:spacing w:line="360" w:lineRule="auto"/>
        <w:rPr>
          <w:color w:val="auto"/>
          <w:highlight w:val="none"/>
        </w:rPr>
      </w:pPr>
      <w:r>
        <w:rPr>
          <w:color w:val="auto"/>
          <w:highlight w:val="none"/>
        </w:rPr>
      </w:r>
      <w:r/>
    </w:p>
    <w:tbl>
      <w:tblPr>
        <w:tblStyle w:val="98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801"/>
        <w:gridCol w:w="714"/>
        <w:gridCol w:w="3801"/>
        <w:gridCol w:w="722"/>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rPr>
                <w:rFonts w:ascii="方正小标宋_GBK" w:hAnsi="方正小标宋_GBK" w:eastAsia="方正小标宋_GBK" w:cs="方正小标宋_GBK"/>
                <w:color w:val="auto"/>
                <w:sz w:val="24"/>
                <w:szCs w:val="24"/>
                <w:highlight w:val="none"/>
              </w:rPr>
            </w:pPr>
            <w:r>
              <w:rPr>
                <w:rFonts w:ascii="方正小标宋_GBK" w:hAnsi="方正小标宋_GBK" w:eastAsia="方正小标宋_GBK" w:cs="方正小标宋_GBK"/>
                <w:color w:val="auto"/>
                <w:sz w:val="24"/>
                <w:szCs w:val="24"/>
                <w:highlight w:val="none"/>
                <w:lang w:bidi="ar"/>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单位公章</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         年 月 日</w:t>
            </w:r>
            <w:bookmarkEnd w:id="0"/>
            <w:r/>
            <w:r/>
          </w:p>
        </w:tc>
      </w:tr>
    </w:tbl>
    <w:p>
      <w:pPr>
        <w:jc w:val="center"/>
        <w:spacing w:line="480" w:lineRule="auto"/>
        <w:rPr>
          <w:color w:val="auto"/>
          <w:sz w:val="24"/>
          <w:szCs w:val="24"/>
          <w:highlight w:val="none"/>
        </w:rPr>
        <w:pBdr>
          <w:top w:val="none" w:color="000000" w:sz="0" w:space="0"/>
          <w:left w:val="none" w:color="000000" w:sz="0" w:space="0"/>
          <w:bottom w:val="none" w:color="000000" w:sz="0" w:space="0"/>
          <w:right w:val="none" w:color="000000" w:sz="0" w:space="0"/>
        </w:pBdr>
        <w:outlineLvl w:val="0"/>
      </w:pPr>
      <w:r>
        <w:rPr>
          <w:color w:val="auto"/>
          <w:sz w:val="24"/>
          <w:szCs w:val="24"/>
          <w:highlight w:val="none"/>
        </w:rPr>
      </w:r>
      <w:r/>
    </w:p>
    <w:p>
      <w:pPr>
        <w:pStyle w:val="986"/>
        <w:rPr>
          <w:color w:val="auto"/>
          <w:highlight w:val="none"/>
        </w:rPr>
      </w:pPr>
      <w:r>
        <w:rPr>
          <w:color w:val="auto"/>
          <w:highlight w:val="none"/>
        </w:rPr>
      </w:r>
      <w:r/>
    </w:p>
    <w:p>
      <w:pPr>
        <w:pStyle w:val="992"/>
        <w:rPr>
          <w:color w:val="auto"/>
          <w:highlight w:val="none"/>
        </w:rPr>
      </w:pPr>
      <w:r>
        <w:rPr>
          <w:color w:val="auto"/>
          <w:highlight w:val="none"/>
        </w:rPr>
      </w:r>
      <w:r/>
    </w:p>
    <w:p>
      <w:pPr>
        <w:rPr>
          <w:color w:val="auto"/>
          <w:highlight w:val="none"/>
        </w:rPr>
      </w:pPr>
      <w:r>
        <w:rPr>
          <w:color w:val="auto"/>
          <w:highlight w:val="none"/>
        </w:rPr>
      </w:r>
      <w:r/>
    </w:p>
    <w:p>
      <w:pPr>
        <w:pStyle w:val="986"/>
        <w:rPr>
          <w:color w:val="auto"/>
          <w:highlight w:val="none"/>
        </w:rPr>
      </w:pPr>
      <w:r>
        <w:rPr>
          <w:color w:val="auto"/>
          <w:highlight w:val="none"/>
        </w:rPr>
      </w:r>
      <w:r/>
    </w:p>
    <w:p>
      <w:pPr>
        <w:rPr>
          <w:color w:val="auto"/>
          <w:highlight w:val="none"/>
        </w:rPr>
      </w:pPr>
      <w:r>
        <w:rPr>
          <w:color w:val="auto"/>
          <w:highlight w:val="none"/>
        </w:rPr>
      </w:r>
      <w:r/>
    </w:p>
    <w:p>
      <w:pPr>
        <w:pStyle w:val="986"/>
        <w:rPr>
          <w:color w:val="auto"/>
          <w:highlight w:val="none"/>
        </w:rPr>
      </w:pPr>
      <w:r>
        <w:rPr>
          <w:color w:val="auto"/>
          <w:highlight w:val="none"/>
        </w:rPr>
      </w:r>
      <w:r/>
    </w:p>
    <w:p>
      <w:pPr>
        <w:jc w:val="center"/>
        <w:spacing w:line="48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color w:val="auto"/>
          <w:sz w:val="24"/>
          <w:szCs w:val="24"/>
          <w:highlight w:val="none"/>
        </w:rPr>
        <w:br w:type="page" w:clear="all"/>
      </w:r>
      <w:r>
        <w:rPr>
          <w:rFonts w:hint="eastAsia" w:ascii="仿宋" w:hAnsi="仿宋" w:eastAsia="仿宋" w:cs="仿宋"/>
          <w:b/>
          <w:bCs/>
          <w:color w:val="auto"/>
          <w:sz w:val="44"/>
          <w:szCs w:val="44"/>
          <w:highlight w:val="none"/>
        </w:rPr>
        <w:t xml:space="preserve">第四部分 投标文件格式</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对本章所有的投标书格式</w:t>
      </w:r>
      <w:r>
        <w:rPr>
          <w:rFonts w:ascii="宋体" w:hAnsi="宋体"/>
          <w:color w:val="auto"/>
          <w:sz w:val="24"/>
          <w:szCs w:val="24"/>
          <w:highlight w:val="none"/>
        </w:rPr>
        <w:t xml:space="preserve">，投标方可根据自身情况进行补充和修改，但补充和修改不得造成与本格式内容有实质性的违背。</w:t>
      </w:r>
      <w:r/>
    </w:p>
    <w:p>
      <w:pPr>
        <w:pStyle w:val="992"/>
        <w:ind w:firstLine="0"/>
        <w:spacing w:line="360" w:lineRule="auto"/>
        <w:rPr>
          <w:rFonts w:ascii="宋体" w:hAnsi="宋体"/>
          <w:b/>
          <w:color w:val="auto"/>
          <w:sz w:val="24"/>
          <w:szCs w:val="24"/>
          <w:highlight w:val="none"/>
        </w:rPr>
      </w:pPr>
      <w:r/>
      <w:bookmarkStart w:id="42" w:name="_Toc430265233"/>
      <w:r/>
      <w:bookmarkStart w:id="43" w:name="_Toc467507044"/>
      <w:r/>
      <w:bookmarkStart w:id="44" w:name="_Toc405288080"/>
      <w:r/>
      <w:bookmarkStart w:id="45" w:name="_Toc467507054"/>
      <w:r/>
      <w:bookmarkStart w:id="46" w:name="_Toc322442932"/>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pPr>
      <w:r>
        <w:rPr>
          <w:rFonts w:ascii="宋体" w:hAnsi="宋体"/>
          <w:b/>
          <w:color w:val="auto"/>
          <w:sz w:val="24"/>
          <w:szCs w:val="24"/>
          <w:highlight w:val="none"/>
        </w:rPr>
      </w:r>
      <w:r/>
    </w:p>
    <w:p>
      <w:pPr>
        <w:pStyle w:val="992"/>
        <w:ind w:firstLine="0"/>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1、关于资格文件的声明函</w:t>
      </w:r>
      <w:r/>
    </w:p>
    <w:p>
      <w:pPr>
        <w:pStyle w:val="992"/>
        <w:ind w:left="126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92"/>
        <w:ind w:left="126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92"/>
        <w:ind w:left="1260" w:firstLine="1416"/>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关于资格文件的声明函</w:t>
      </w:r>
      <w:r/>
    </w:p>
    <w:p>
      <w:pPr>
        <w:pStyle w:val="992"/>
        <w:ind w:left="1260"/>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pStyle w:val="992"/>
        <w:ind w:firstLine="0"/>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苏州市公共资源交易中心太仓分中心  </w:t>
      </w:r>
      <w:r>
        <w:rPr>
          <w:rFonts w:hint="eastAsia" w:ascii="宋体" w:hAnsi="宋体"/>
          <w:color w:val="auto"/>
          <w:sz w:val="24"/>
          <w:szCs w:val="24"/>
          <w:highlight w:val="none"/>
        </w:rPr>
        <w:t xml:space="preserve">：</w:t>
      </w:r>
      <w:r/>
    </w:p>
    <w:p>
      <w:pPr>
        <w:pStyle w:val="992"/>
        <w:ind w:right="445"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hint="eastAsia" w:ascii="宋体" w:hAnsi="宋体"/>
          <w:b/>
          <w:color w:val="auto"/>
          <w:sz w:val="24"/>
          <w:szCs w:val="24"/>
          <w:highlight w:val="none"/>
          <w:u w:val="single"/>
        </w:rPr>
        <w:t xml:space="preserve">JSZC-320585-JZCG-G2026-0070</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92"/>
        <w:ind w:left="1259" w:firstLine="426"/>
        <w:spacing w:line="360" w:lineRule="auto"/>
        <w:rPr>
          <w:rFonts w:ascii="宋体" w:hAnsi="宋体"/>
          <w:color w:val="auto"/>
          <w:sz w:val="24"/>
          <w:szCs w:val="24"/>
          <w:highlight w:val="none"/>
        </w:rPr>
      </w:pPr>
      <w:r>
        <w:rPr>
          <w:rFonts w:ascii="宋体" w:hAnsi="宋体"/>
          <w:color w:val="auto"/>
          <w:sz w:val="24"/>
          <w:szCs w:val="24"/>
          <w:highlight w:val="none"/>
        </w:rPr>
      </w:r>
      <w:r/>
    </w:p>
    <w:p>
      <w:pPr>
        <w:pStyle w:val="992"/>
        <w:ind w:left="1259" w:firstLine="426"/>
        <w:spacing w:line="360" w:lineRule="auto"/>
        <w:rPr>
          <w:rFonts w:ascii="宋体" w:hAnsi="宋体"/>
          <w:color w:val="auto"/>
          <w:sz w:val="24"/>
          <w:szCs w:val="24"/>
          <w:highlight w:val="none"/>
        </w:rPr>
      </w:pPr>
      <w:r>
        <w:rPr>
          <w:rFonts w:ascii="宋体" w:hAnsi="宋体"/>
          <w:color w:val="auto"/>
          <w:sz w:val="24"/>
          <w:szCs w:val="24"/>
          <w:highlight w:val="none"/>
        </w:rPr>
      </w:r>
      <w:r/>
    </w:p>
    <w:p>
      <w:pPr>
        <w:pStyle w:val="992"/>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992"/>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pStyle w:val="992"/>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投标日期：     年  </w:t>
      </w:r>
      <w:r>
        <w:rPr>
          <w:rFonts w:ascii="宋体" w:hAnsi="宋体"/>
          <w:color w:val="auto"/>
          <w:sz w:val="24"/>
          <w:szCs w:val="24"/>
          <w:highlight w:val="none"/>
        </w:rPr>
        <w:tab/>
      </w:r>
      <w:r>
        <w:rPr>
          <w:rFonts w:hint="eastAsia" w:ascii="宋体" w:hAnsi="宋体"/>
          <w:color w:val="auto"/>
          <w:sz w:val="24"/>
          <w:szCs w:val="24"/>
          <w:highlight w:val="none"/>
        </w:rPr>
        <w:t xml:space="preserve">月</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2、投标承诺函</w:t>
      </w:r>
      <w:r/>
    </w:p>
    <w:p>
      <w:pPr>
        <w:jc w:val="left"/>
        <w:spacing w:line="360" w:lineRule="auto"/>
        <w:tabs>
          <w:tab w:val="left" w:pos="3633" w:leader="none"/>
          <w:tab w:val="center" w:pos="4723" w:leader="none"/>
        </w:tabs>
        <w:rPr>
          <w:rFonts w:ascii="宋体" w:hAnsi="宋体"/>
          <w:b/>
          <w:color w:val="auto"/>
          <w:sz w:val="24"/>
          <w:szCs w:val="24"/>
          <w:highlight w:val="none"/>
        </w:rPr>
      </w:pPr>
      <w:r>
        <w:rPr>
          <w:rFonts w:ascii="宋体" w:hAnsi="宋体"/>
          <w:b/>
          <w:color w:val="auto"/>
          <w:sz w:val="24"/>
          <w:szCs w:val="24"/>
          <w:highlight w:val="none"/>
        </w:rPr>
        <w:tab/>
      </w:r>
      <w:r>
        <w:rPr>
          <w:rFonts w:ascii="宋体" w:hAnsi="宋体"/>
          <w:b/>
          <w:color w:val="auto"/>
          <w:sz w:val="24"/>
          <w:szCs w:val="24"/>
          <w:highlight w:val="none"/>
        </w:rPr>
        <w:tab/>
      </w:r>
      <w:r>
        <w:rPr>
          <w:rFonts w:hint="eastAsia" w:ascii="宋体" w:hAnsi="宋体"/>
          <w:b/>
          <w:color w:val="auto"/>
          <w:sz w:val="24"/>
          <w:szCs w:val="24"/>
          <w:highlight w:val="none"/>
        </w:rPr>
        <w:t xml:space="preserve">投标承诺函</w:t>
      </w:r>
      <w:r/>
    </w:p>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苏州市公共资源交易中心太仓分中心 </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我们收到贵单位</w:t>
      </w:r>
      <w:r>
        <w:rPr>
          <w:rFonts w:hint="eastAsia" w:ascii="宋体" w:hAnsi="宋体"/>
          <w:color w:val="auto"/>
          <w:sz w:val="24"/>
          <w:szCs w:val="24"/>
          <w:highlight w:val="none"/>
          <w:u w:val="single"/>
        </w:rPr>
        <w:t xml:space="preserve">太仓市娄江新城医院（瑞金医院太仓分院）数智化二期建设应用软件开发</w:t>
      </w:r>
      <w:r>
        <w:rPr>
          <w:rFonts w:hint="eastAsia" w:ascii="宋体" w:hAnsi="宋体"/>
          <w:color w:val="auto"/>
          <w:sz w:val="24"/>
          <w:szCs w:val="24"/>
          <w:highlight w:val="none"/>
        </w:rPr>
        <w:t xml:space="preserve">招标文件（项目编号：JSZC-320585-JZCG-G2026-0070），经仔细阅读和研究，我们决定参加投标。</w:t>
      </w:r>
      <w:r/>
    </w:p>
    <w:p>
      <w:pPr>
        <w:ind w:firstLine="240"/>
        <w:spacing w:line="460" w:lineRule="exact"/>
        <w:rPr>
          <w:rFonts w:ascii="宋体" w:hAnsi="宋体"/>
          <w:color w:val="auto"/>
          <w:sz w:val="24"/>
          <w:szCs w:val="24"/>
          <w:highlight w:val="none"/>
        </w:rPr>
      </w:pPr>
      <w:r>
        <w:rPr>
          <w:rFonts w:ascii="宋体" w:hAnsi="宋体"/>
          <w:color w:val="auto"/>
          <w:sz w:val="24"/>
          <w:szCs w:val="24"/>
          <w:highlight w:val="none"/>
        </w:rPr>
        <w:t xml:space="preserve">  1</w:t>
      </w:r>
      <w:r>
        <w:rPr>
          <w:rFonts w:hint="eastAsia" w:ascii="宋体" w:hAnsi="宋体"/>
          <w:color w:val="auto"/>
          <w:sz w:val="24"/>
          <w:szCs w:val="24"/>
          <w:highlight w:val="none"/>
        </w:rPr>
        <w:t xml:space="preserve">、我们愿意按照招标文件的一切要求，提供包括完成该项目全部内容的设备、材料及人工、机械、保险、劳保、各种税费以及质保期间的一切费用。</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    2</w:t>
      </w:r>
      <w:r>
        <w:rPr>
          <w:rFonts w:hint="eastAsia" w:ascii="宋体" w:hAnsi="宋体"/>
          <w:color w:val="auto"/>
          <w:sz w:val="24"/>
          <w:szCs w:val="24"/>
          <w:highlight w:val="none"/>
        </w:rPr>
        <w:t xml:space="preserve">、如果我们的投标书被接受，我们将严格履行招标文件中规定的每一项要求，按期、按质、按量履行合同的义务。</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    3</w:t>
      </w:r>
      <w:r>
        <w:rPr>
          <w:rFonts w:hint="eastAsia" w:ascii="宋体" w:hAnsi="宋体"/>
          <w:color w:val="auto"/>
          <w:sz w:val="24"/>
          <w:szCs w:val="24"/>
          <w:highlight w:val="none"/>
        </w:rPr>
        <w:t xml:space="preserve">、我们同意按招标文件中的规定，本投标书的有效期限为开标后</w:t>
      </w:r>
      <w:r>
        <w:rPr>
          <w:rFonts w:hint="eastAsia" w:ascii="宋体" w:hAnsi="宋体"/>
          <w:b/>
          <w:color w:val="auto"/>
          <w:sz w:val="24"/>
          <w:szCs w:val="24"/>
          <w:highlight w:val="none"/>
          <w:u w:val="single"/>
        </w:rPr>
        <w:t xml:space="preserve">90</w:t>
      </w:r>
      <w:r>
        <w:rPr>
          <w:rFonts w:hint="eastAsia" w:ascii="宋体" w:hAnsi="宋体"/>
          <w:color w:val="auto"/>
          <w:sz w:val="24"/>
          <w:szCs w:val="24"/>
          <w:highlight w:val="none"/>
        </w:rPr>
        <w:t xml:space="preserve">天。</w:t>
      </w:r>
      <w:r/>
    </w:p>
    <w:p>
      <w:pPr>
        <w:spacing w:line="460" w:lineRule="exact"/>
        <w:rPr>
          <w:rFonts w:ascii="宋体" w:hAnsi="宋体"/>
          <w:color w:val="auto"/>
          <w:sz w:val="24"/>
          <w:szCs w:val="24"/>
          <w:highlight w:val="none"/>
        </w:rPr>
        <w:outlineLvl w:val="1"/>
      </w:pPr>
      <w:r>
        <w:rPr>
          <w:rFonts w:ascii="宋体" w:hAnsi="宋体"/>
          <w:color w:val="auto"/>
          <w:sz w:val="24"/>
          <w:szCs w:val="24"/>
          <w:highlight w:val="none"/>
        </w:rPr>
        <w:t xml:space="preserve">    4</w:t>
      </w:r>
      <w:r>
        <w:rPr>
          <w:rFonts w:hint="eastAsia" w:ascii="宋体" w:hAnsi="宋体"/>
          <w:color w:val="auto"/>
          <w:sz w:val="24"/>
          <w:szCs w:val="24"/>
          <w:highlight w:val="none"/>
        </w:rPr>
        <w:t xml:space="preserve">、我们愿意提供招标方在招标文件中要求的所有资料。</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    5</w:t>
      </w:r>
      <w:r>
        <w:rPr>
          <w:rFonts w:hint="eastAsia" w:ascii="宋体" w:hAnsi="宋体"/>
          <w:color w:val="auto"/>
          <w:sz w:val="24"/>
          <w:szCs w:val="24"/>
          <w:highlight w:val="none"/>
        </w:rPr>
        <w:t xml:space="preserve">、我们认为你们有权决定中标者，还认为你们有权接受或拒绝所有的投标者。</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    6</w:t>
      </w:r>
      <w:r>
        <w:rPr>
          <w:rFonts w:hint="eastAsia" w:ascii="宋体" w:hAnsi="宋体"/>
          <w:color w:val="auto"/>
          <w:sz w:val="24"/>
          <w:szCs w:val="24"/>
          <w:highlight w:val="none"/>
        </w:rPr>
        <w:t xml:space="preserve">、</w:t>
      </w:r>
      <w:r>
        <w:rPr>
          <w:color w:val="auto"/>
          <w:sz w:val="24"/>
          <w:szCs w:val="24"/>
          <w:highlight w:val="none"/>
        </w:rPr>
        <w:t xml:space="preserve">我们完全理解贵方不一定要接受最低报价的投标或收到的任何投标。</w:t>
      </w:r>
      <w:r/>
    </w:p>
    <w:p>
      <w:pPr>
        <w:spacing w:line="460" w:lineRule="exact"/>
        <w:rPr>
          <w:rFonts w:ascii="宋体" w:hAnsi="宋体"/>
          <w:color w:val="auto"/>
          <w:sz w:val="24"/>
          <w:szCs w:val="24"/>
          <w:highlight w:val="none"/>
        </w:rPr>
      </w:pPr>
      <w:r>
        <w:rPr>
          <w:rFonts w:ascii="宋体" w:hAnsi="宋体"/>
          <w:color w:val="auto"/>
          <w:sz w:val="24"/>
          <w:szCs w:val="24"/>
          <w:highlight w:val="none"/>
        </w:rPr>
        <w:t xml:space="preserve">    7</w:t>
      </w:r>
      <w:r>
        <w:rPr>
          <w:rFonts w:hint="eastAsia" w:ascii="宋体" w:hAnsi="宋体"/>
          <w:color w:val="auto"/>
          <w:sz w:val="24"/>
          <w:szCs w:val="24"/>
          <w:highlight w:val="none"/>
        </w:rPr>
        <w:t xml:space="preserve">、我们承诺该项投标在开标后的全过程中保持有效，不作任何更改和变动。</w:t>
      </w:r>
      <w:r/>
    </w:p>
    <w:p>
      <w:pPr>
        <w:ind w:firstLine="480"/>
        <w:spacing w:line="460" w:lineRule="exact"/>
        <w:rPr>
          <w:rFonts w:ascii="宋体" w:hAnsi="宋体"/>
          <w:b/>
          <w:bCs/>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如果中标，我们同意并知晓中标通知书发出方式及发出时间，遵守招标文件和中标通知书规定，在指定时间和地点和采购人签订合同。</w:t>
      </w:r>
      <w:r/>
    </w:p>
    <w:p>
      <w:pPr>
        <w:ind w:firstLine="480"/>
        <w:spacing w:line="460" w:lineRule="exact"/>
        <w:rPr>
          <w:rFonts w:ascii="宋体" w:hAnsi="宋体"/>
          <w:color w:val="auto"/>
          <w:sz w:val="24"/>
          <w:szCs w:val="24"/>
          <w:highlight w:val="none"/>
        </w:rPr>
        <w:outlineLvl w:val="1"/>
      </w:pPr>
      <w:r>
        <w:rPr>
          <w:rFonts w:hint="eastAsia" w:ascii="宋体" w:hAnsi="宋体"/>
          <w:color w:val="auto"/>
          <w:sz w:val="24"/>
          <w:szCs w:val="24"/>
          <w:highlight w:val="none"/>
        </w:rPr>
        <w:t xml:space="preserve">9、综合说明：</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）伴随服务及配合措施；</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）要求甲方提供的配合；</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）对招标文件有不同意见的偏离说明；</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）其它说明。</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所有有关标书的函电，请按下列地址联系：</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单位：                         联系人：</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地址：                         邮政编码：</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联系电话：                     传真：</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spacing w:line="460" w:lineRule="exact"/>
        <w:rPr>
          <w:rFonts w:ascii="宋体" w:hAnsi="宋体"/>
          <w:b/>
          <w:color w:val="auto"/>
          <w:sz w:val="24"/>
          <w:szCs w:val="24"/>
          <w:highlight w:val="none"/>
        </w:rPr>
      </w:pPr>
      <w:r>
        <w:rPr>
          <w:rFonts w:hint="eastAsia" w:ascii="宋体" w:hAnsi="宋体"/>
          <w:color w:val="auto"/>
          <w:sz w:val="24"/>
          <w:szCs w:val="24"/>
          <w:highlight w:val="none"/>
        </w:rPr>
        <w:t xml:space="preserve">投标日期：  年  月  日</w:t>
      </w:r>
      <w:r/>
    </w:p>
    <w:p>
      <w:pPr>
        <w:ind w:right="-210"/>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ascii="宋体" w:hAnsi="宋体"/>
          <w:color w:val="auto"/>
          <w:sz w:val="24"/>
          <w:szCs w:val="24"/>
          <w:highlight w:val="none"/>
        </w:rPr>
        <w:outlineLvl w:val="2"/>
      </w:pPr>
      <w:r>
        <w:rPr>
          <w:rFonts w:hint="eastAsia" w:ascii="宋体" w:hAnsi="宋体" w:cs="宋体"/>
          <w:b/>
          <w:color w:val="auto"/>
          <w:sz w:val="24"/>
          <w:szCs w:val="24"/>
          <w:highlight w:val="none"/>
        </w:rPr>
        <w:t xml:space="preserve">参加政府采购活动前三年内，在经营活动中没有重大违法记录声明</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致：苏州市公共资源交易中心太仓分中心：</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我单位</w:t>
      </w:r>
      <w:r>
        <w:rPr>
          <w:rFonts w:hint="eastAsia" w:ascii="宋体" w:hAnsi="宋体"/>
          <w:color w:val="auto"/>
          <w:sz w:val="24"/>
          <w:szCs w:val="24"/>
          <w:highlight w:val="none"/>
          <w:u w:val="single"/>
        </w:rPr>
        <w:t xml:space="preserve">         （供应商名称）        </w:t>
      </w:r>
      <w:r>
        <w:rPr>
          <w:rFonts w:hint="eastAsia" w:ascii="宋体" w:hAnsi="宋体"/>
          <w:color w:val="auto"/>
          <w:sz w:val="24"/>
          <w:szCs w:val="24"/>
          <w:highlight w:val="none"/>
        </w:rPr>
        <w:t xml:space="preserve"> 在参加政府采购活动前三年内，没有重大违法记录，特此声明。</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若采购代理机构在本项目采购过程中发现我单位近三年内在经营活动中有重大违法记录，我单位将无条件退出本项目的招标，并承担因此引起的一起后果。</w:t>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pStyle w:val="986"/>
        <w:rPr>
          <w:color w:val="auto"/>
          <w:highlight w:val="none"/>
        </w:rPr>
      </w:pPr>
      <w:r>
        <w:rPr>
          <w:color w:val="auto"/>
          <w:highlight w:val="none"/>
        </w:rPr>
      </w:r>
      <w:r/>
    </w:p>
    <w:p>
      <w:pPr>
        <w:pStyle w:val="992"/>
        <w:rPr>
          <w:color w:val="auto"/>
          <w:highlight w:val="none"/>
        </w:rPr>
      </w:pPr>
      <w:r>
        <w:rPr>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供应商名称（单位公章）：</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法定代表人（负责人）或代理人（签字或盖章）：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投标日期：  年   月   日</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pStyle w:val="992"/>
        <w:ind w:firstLine="0"/>
        <w:spacing w:line="360" w:lineRule="auto"/>
        <w:rPr>
          <w:rFonts w:ascii="宋体" w:hAnsi="宋体"/>
          <w:color w:val="auto"/>
          <w:sz w:val="24"/>
          <w:szCs w:val="24"/>
          <w:highlight w:val="none"/>
        </w:rPr>
        <w:outlineLvl w:val="1"/>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4、投标单位情况表</w:t>
      </w:r>
      <w:r/>
    </w:p>
    <w:p>
      <w:pPr>
        <w:pStyle w:val="992"/>
        <w:ind w:left="1260" w:firstLine="17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投标单位情况表</w:t>
      </w:r>
      <w:r/>
    </w:p>
    <w:p>
      <w:pPr>
        <w:pStyle w:val="992"/>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985"/>
        <w:tblW w:w="8528" w:type="dxa"/>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Height w:val="366"/>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1845"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gridSpan w:val="2"/>
            <w:tcW w:w="3030"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1845"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c>
          <w:tcPr>
            <w:tcW w:w="1344"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gridSpan w:val="2"/>
            <w:tcW w:w="3030"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1845" w:type="dxa"/>
            <w:textDirection w:val="lrTb"/>
            <w:noWrap w:val="false"/>
          </w:tcPr>
          <w:p>
            <w:pPr>
              <w:pStyle w:val="992"/>
              <w:ind w:firstLine="0"/>
              <w:spacing w:line="3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3236"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其中：有中高级以上职称的人数</w:t>
            </w:r>
            <w:r/>
          </w:p>
        </w:tc>
        <w:tc>
          <w:tcPr>
            <w:tcW w:w="1138"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vAlign w:val="center"/>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资产总计</w:t>
            </w:r>
            <w:r/>
          </w:p>
        </w:tc>
        <w:tc>
          <w:tcPr>
            <w:tcW w:w="1845" w:type="dxa"/>
            <w:vAlign w:val="center"/>
            <w:textDirection w:val="lrTb"/>
            <w:noWrap w:val="false"/>
          </w:tcPr>
          <w:p>
            <w:pPr>
              <w:pStyle w:val="992"/>
              <w:ind w:firstLine="12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344" w:type="dxa"/>
            <w:vAlign w:val="center"/>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gridSpan w:val="2"/>
            <w:tcW w:w="3030" w:type="dxa"/>
            <w:vAlign w:val="center"/>
            <w:textDirection w:val="lrTb"/>
            <w:noWrap w:val="false"/>
          </w:tcPr>
          <w:p>
            <w:pPr>
              <w:pStyle w:val="992"/>
              <w:ind w:left="1260" w:firstLine="0"/>
              <w:jc w:val="center"/>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cantSplit/>
        </w:trPr>
        <w:tc>
          <w:tcPr>
            <w:tcW w:w="2309" w:type="dxa"/>
            <w:vAlign w:val="center"/>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股东权益</w:t>
            </w:r>
            <w:r/>
          </w:p>
        </w:tc>
        <w:tc>
          <w:tcPr>
            <w:tcW w:w="1845" w:type="dxa"/>
            <w:vAlign w:val="center"/>
            <w:textDirection w:val="lrTb"/>
            <w:noWrap w:val="false"/>
          </w:tcPr>
          <w:p>
            <w:pPr>
              <w:pStyle w:val="992"/>
              <w:ind w:firstLine="96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1344" w:type="dxa"/>
            <w:vAlign w:val="center"/>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销售收入</w:t>
            </w:r>
            <w:r/>
          </w:p>
        </w:tc>
        <w:tc>
          <w:tcPr>
            <w:gridSpan w:val="2"/>
            <w:tcW w:w="3030" w:type="dxa"/>
            <w:vAlign w:val="center"/>
            <w:textDirection w:val="lrTb"/>
            <w:noWrap w:val="false"/>
          </w:tcPr>
          <w:p>
            <w:pPr>
              <w:pStyle w:val="992"/>
              <w:ind w:firstLine="0"/>
              <w:spacing w:line="340" w:lineRule="exact"/>
              <w:rPr>
                <w:rFonts w:ascii="宋体" w:hAnsi="宋体"/>
                <w:b/>
                <w:color w:val="auto"/>
                <w:sz w:val="24"/>
                <w:szCs w:val="24"/>
                <w:highlight w:val="none"/>
              </w:rPr>
            </w:pPr>
            <w:r>
              <w:rPr>
                <w:rFonts w:hint="eastAsia" w:ascii="宋体" w:hAnsi="宋体"/>
                <w:b/>
                <w:color w:val="auto"/>
                <w:sz w:val="24"/>
                <w:szCs w:val="24"/>
                <w:highlight w:val="none"/>
              </w:rPr>
              <w:t xml:space="preserve">2025年   万元</w:t>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实现利润</w:t>
            </w:r>
            <w:r/>
          </w:p>
        </w:tc>
        <w:tc>
          <w:tcPr>
            <w:tcW w:w="1845" w:type="dxa"/>
            <w:textDirection w:val="lrTb"/>
            <w:noWrap w:val="false"/>
          </w:tcPr>
          <w:p>
            <w:pPr>
              <w:pStyle w:val="992"/>
              <w:ind w:firstLine="0"/>
              <w:spacing w:line="340" w:lineRule="exact"/>
              <w:rPr>
                <w:rFonts w:ascii="宋体" w:hAnsi="宋体"/>
                <w:b/>
                <w:color w:val="auto"/>
                <w:sz w:val="24"/>
                <w:szCs w:val="24"/>
                <w:highlight w:val="none"/>
              </w:rPr>
            </w:pPr>
            <w:r>
              <w:rPr>
                <w:rFonts w:hint="eastAsia" w:ascii="宋体" w:hAnsi="宋体"/>
                <w:b/>
                <w:color w:val="auto"/>
                <w:sz w:val="24"/>
                <w:szCs w:val="24"/>
                <w:highlight w:val="none"/>
              </w:rPr>
              <w:t xml:space="preserve">2025年     万元</w:t>
            </w:r>
            <w:r/>
          </w:p>
        </w:tc>
        <w:tc>
          <w:tcPr>
            <w:tcW w:w="1344"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c>
          <w:tcPr>
            <w:gridSpan w:val="2"/>
            <w:tcW w:w="3030"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营业面积（含厂房面积）</w:t>
            </w:r>
            <w:r/>
          </w:p>
        </w:tc>
        <w:tc>
          <w:tcPr>
            <w:tcW w:w="1845" w:type="dxa"/>
            <w:vAlign w:val="center"/>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       平方米</w:t>
            </w:r>
            <w:r/>
          </w:p>
        </w:tc>
        <w:tc>
          <w:tcPr>
            <w:tcW w:w="1344"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gridSpan w:val="2"/>
            <w:tcW w:w="3030"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自有面积平方米</w:t>
            </w:r>
            <w:r/>
          </w:p>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承租面积平方米</w:t>
            </w:r>
            <w:r/>
          </w:p>
        </w:tc>
      </w:tr>
      <w:tr>
        <w:trPr>
          <w:cantSplit/>
          <w:trHeight w:val="926"/>
        </w:trPr>
        <w:tc>
          <w:tcPr>
            <w:tcW w:w="2309" w:type="dxa"/>
            <w:vAlign w:val="center"/>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4"/>
            <w:tcW w:w="6219" w:type="dxa"/>
            <w:textDirection w:val="lrTb"/>
            <w:noWrap w:val="false"/>
          </w:tcPr>
          <w:p>
            <w:pPr>
              <w:pStyle w:val="992"/>
              <w:ind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668"/>
        </w:trPr>
        <w:tc>
          <w:tcPr>
            <w:tcW w:w="2309" w:type="dxa"/>
            <w:vAlign w:val="center"/>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近两年来完成或正在履行的重大合同情况</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年内在经营过程中受到何种奖励或处分（包括情况和结果）</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年内有无因售假、售劣或是其他原因被消费者投诉或起诉的情况及说明（包括解决方式和结果）</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最近</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年内主要负责人有无因经济犯罪被司法机关追究的情况及说明</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获得技术认证的工程师及简介</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560"/>
        </w:trPr>
        <w:tc>
          <w:tcPr>
            <w:tcW w:w="2309" w:type="dxa"/>
            <w:textDirection w:val="lrTb"/>
            <w:noWrap w:val="false"/>
          </w:tcPr>
          <w:p>
            <w:pPr>
              <w:pStyle w:val="992"/>
              <w:ind w:firstLine="0"/>
              <w:spacing w:line="340" w:lineRule="exact"/>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4"/>
            <w:tcW w:w="6219" w:type="dxa"/>
            <w:textDirection w:val="lrTb"/>
            <w:noWrap w:val="false"/>
          </w:tcPr>
          <w:p>
            <w:pPr>
              <w:pStyle w:val="992"/>
              <w:ind w:left="1260" w:firstLine="0"/>
              <w:spacing w:line="340" w:lineRule="exact"/>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5、法定代表人授权委托书 （如有）</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jc w:val="center"/>
        <w:spacing w:line="360" w:lineRule="auto"/>
        <w:rPr>
          <w:rFonts w:ascii="宋体" w:hAnsi="宋体"/>
          <w:color w:val="auto"/>
          <w:sz w:val="24"/>
          <w:szCs w:val="24"/>
          <w:highlight w:val="none"/>
        </w:rPr>
        <w:outlineLvl w:val="2"/>
      </w:pPr>
      <w:r>
        <w:rPr>
          <w:rFonts w:hint="eastAsia" w:ascii="宋体" w:hAnsi="宋体"/>
          <w:color w:val="auto"/>
          <w:sz w:val="24"/>
          <w:szCs w:val="24"/>
          <w:highlight w:val="none"/>
        </w:rPr>
        <w:t xml:space="preserve">授权委托书</w:t>
      </w:r>
      <w:r/>
    </w:p>
    <w:p>
      <w:pPr>
        <w:ind w:firstLine="42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本授权委托书声明：我</w:t>
      </w:r>
      <w:r>
        <w:rPr>
          <w:rFonts w:hint="eastAsia" w:ascii="宋体" w:hAnsi="宋体"/>
          <w:color w:val="auto"/>
          <w:sz w:val="24"/>
          <w:szCs w:val="24"/>
          <w:highlight w:val="none"/>
          <w:u w:val="single"/>
        </w:rPr>
        <w:t xml:space="preserve">（姓名）</w:t>
      </w: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 xml:space="preserve">（投标单位名称）</w:t>
      </w:r>
      <w:r>
        <w:rPr>
          <w:rFonts w:hint="eastAsia" w:ascii="宋体" w:hAnsi="宋体"/>
          <w:color w:val="auto"/>
          <w:sz w:val="24"/>
          <w:szCs w:val="24"/>
          <w:highlight w:val="none"/>
        </w:rPr>
        <w:t xml:space="preserve">的法定代表人，现授权委托</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（姓名）</w:t>
      </w:r>
      <w:r>
        <w:rPr>
          <w:rFonts w:hint="eastAsia" w:ascii="宋体" w:hAnsi="宋体"/>
          <w:color w:val="auto"/>
          <w:sz w:val="24"/>
          <w:szCs w:val="24"/>
          <w:highlight w:val="none"/>
        </w:rPr>
        <w:t xml:space="preserve">为我公司代理人，以本公司的名义参加</w:t>
      </w:r>
      <w:r>
        <w:rPr>
          <w:rFonts w:hint="eastAsia" w:ascii="宋体" w:hAnsi="宋体"/>
          <w:b/>
          <w:color w:val="auto"/>
          <w:sz w:val="24"/>
          <w:szCs w:val="24"/>
          <w:highlight w:val="none"/>
          <w:u w:val="single"/>
        </w:rPr>
        <w:t xml:space="preserve">苏州市公共资源交易中心太仓分中心</w:t>
      </w:r>
      <w:r>
        <w:rPr>
          <w:rFonts w:hint="eastAsia" w:ascii="宋体" w:hAnsi="宋体"/>
          <w:color w:val="auto"/>
          <w:sz w:val="24"/>
          <w:szCs w:val="24"/>
          <w:highlight w:val="none"/>
        </w:rPr>
        <w:t xml:space="preserve">组织实施的编号为</w:t>
      </w:r>
      <w:r>
        <w:rPr>
          <w:rFonts w:hint="eastAsia" w:ascii="宋体" w:hAnsi="宋体"/>
          <w:color w:val="auto"/>
          <w:sz w:val="24"/>
          <w:szCs w:val="24"/>
          <w:highlight w:val="none"/>
          <w:u w:val="single"/>
        </w:rPr>
        <w:t xml:space="preserve">JSZC-320585-JZCG-G2026-0070</w:t>
      </w:r>
      <w:r>
        <w:rPr>
          <w:rFonts w:hint="eastAsia" w:ascii="宋体" w:hAnsi="宋体"/>
          <w:color w:val="auto"/>
          <w:sz w:val="24"/>
          <w:szCs w:val="24"/>
          <w:highlight w:val="none"/>
        </w:rPr>
        <w:t xml:space="preserve">号的招标活动。代理人在开标、评标、合同谈判过程中所签署的一切文件和处理与这有关的一切事务，我均予以承认。</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代理人无转委托权。特此委托！</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授权代理人：（签字或盖章）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月   日</w:t>
      </w:r>
      <w:r/>
    </w:p>
    <w:p>
      <w:pPr>
        <w:ind w:firstLine="420"/>
        <w:jc w:val="righ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jc w:val="righ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jc w:val="righ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pStyle w:val="1117"/>
        <w:rPr>
          <w:color w:val="auto"/>
          <w:szCs w:val="24"/>
          <w:highlight w:val="none"/>
        </w:rPr>
      </w:pPr>
      <w:r>
        <w:rPr>
          <w:color w:val="auto"/>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outlineLvl w:val="1"/>
      </w:pPr>
      <w:r>
        <w:rPr>
          <w:rFonts w:hint="eastAsia" w:ascii="宋体" w:hAnsi="宋体"/>
          <w:b/>
          <w:color w:val="auto"/>
          <w:sz w:val="24"/>
          <w:szCs w:val="24"/>
          <w:highlight w:val="none"/>
        </w:rPr>
        <w:t xml:space="preserve">6、开标一览表</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olor w:val="auto"/>
          <w:sz w:val="24"/>
          <w:szCs w:val="24"/>
          <w:highlight w:val="none"/>
        </w:rPr>
        <w:outlineLvl w:val="2"/>
      </w:pPr>
      <w:r>
        <w:rPr>
          <w:rFonts w:hint="eastAsia" w:ascii="宋体" w:hAnsi="宋体"/>
          <w:b/>
          <w:color w:val="auto"/>
          <w:sz w:val="24"/>
          <w:szCs w:val="24"/>
          <w:highlight w:val="none"/>
        </w:rPr>
        <w:t xml:space="preserve">开标一览表</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项目编号：JSZC-320585-JZCG-G2026-0070</w:t>
      </w:r>
      <w:r/>
    </w:p>
    <w:p>
      <w:pPr>
        <w:ind w:firstLine="72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项目名称：太仓市娄江新城医院（瑞金医院太仓分院）数智化二期建设应用软件开发</w:t>
      </w:r>
      <w:r/>
    </w:p>
    <w:tbl>
      <w:tblPr>
        <w:tblStyle w:val="985"/>
        <w:tblW w:w="7371" w:type="dxa"/>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pStyle w:val="1032"/>
              <w:jc w:val="center"/>
              <w:spacing w:before="0" w:beforeAutospacing="0" w:after="0" w:afterAutospacing="0" w:line="360" w:lineRule="auto"/>
              <w:widowControl w:val="off"/>
              <w:rPr>
                <w:rFonts w:eastAsia="宋体"/>
                <w:color w:val="auto"/>
                <w:szCs w:val="24"/>
                <w:highlight w:val="none"/>
              </w:rPr>
            </w:pPr>
            <w:r>
              <w:rPr>
                <w:rFonts w:hint="eastAsia" w:eastAsia="宋体"/>
                <w:color w:val="auto"/>
                <w:szCs w:val="24"/>
                <w:highlight w:val="none"/>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pStyle w:val="1032"/>
              <w:jc w:val="center"/>
              <w:spacing w:before="0" w:beforeAutospacing="0" w:after="0" w:afterAutospacing="0" w:line="360" w:lineRule="auto"/>
              <w:widowControl w:val="off"/>
              <w:rPr>
                <w:rFonts w:eastAsia="宋体"/>
                <w:color w:val="auto"/>
                <w:szCs w:val="24"/>
                <w:highlight w:val="none"/>
              </w:rPr>
            </w:pPr>
            <w:r>
              <w:rPr>
                <w:rFonts w:hint="eastAsia" w:eastAsia="宋体"/>
                <w:color w:val="auto"/>
                <w:szCs w:val="24"/>
                <w:highlight w:val="none"/>
              </w:rPr>
              <w:t xml:space="preserve">内容</w:t>
            </w:r>
            <w:r/>
          </w:p>
        </w:tc>
      </w:tr>
      <w:tr>
        <w:trPr>
          <w:cantSplit/>
          <w:trHeight w:val="701"/>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pStyle w:val="1032"/>
              <w:jc w:val="center"/>
              <w:spacing w:before="0" w:beforeAutospacing="0" w:after="0" w:afterAutospacing="0" w:line="360" w:lineRule="auto"/>
              <w:widowControl w:val="off"/>
              <w:rPr>
                <w:rFonts w:eastAsia="宋体"/>
                <w:color w:val="auto"/>
                <w:szCs w:val="24"/>
                <w:highlight w:val="none"/>
              </w:rPr>
            </w:pPr>
            <w:r>
              <w:rPr>
                <w:rFonts w:hint="eastAsia" w:eastAsia="宋体"/>
                <w:color w:val="auto"/>
                <w:szCs w:val="24"/>
                <w:highlight w:val="none"/>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pStyle w:val="1032"/>
              <w:spacing w:before="0" w:beforeAutospacing="0" w:after="0" w:afterAutospacing="0" w:line="360" w:lineRule="auto"/>
              <w:widowControl w:val="off"/>
              <w:rPr>
                <w:rFonts w:eastAsia="宋体"/>
                <w:b/>
                <w:color w:val="auto"/>
                <w:szCs w:val="24"/>
                <w:highlight w:val="none"/>
                <w:u w:val="single"/>
              </w:rPr>
            </w:pPr>
            <w:r>
              <w:rPr>
                <w:rFonts w:hint="eastAsia" w:eastAsia="宋体"/>
                <w:color w:val="auto"/>
                <w:szCs w:val="24"/>
                <w:highlight w:val="none"/>
                <w:u w:val="single"/>
              </w:rPr>
              <w:t xml:space="preserve">　　　　　　　　　　　　</w:t>
            </w:r>
            <w:r>
              <w:rPr>
                <w:rFonts w:hint="eastAsia" w:eastAsia="宋体"/>
                <w:b/>
                <w:color w:val="auto"/>
                <w:szCs w:val="24"/>
                <w:highlight w:val="none"/>
                <w:u w:val="single"/>
              </w:rPr>
              <w:t xml:space="preserve">元</w:t>
            </w:r>
            <w:r/>
          </w:p>
        </w:tc>
      </w:tr>
    </w:tbl>
    <w:p>
      <w:pPr>
        <w:ind w:firstLine="720"/>
        <w:spacing w:line="360" w:lineRule="auto"/>
        <w:rPr>
          <w:rFonts w:ascii="宋体" w:hAnsi="宋体"/>
          <w:b/>
          <w:color w:val="auto"/>
          <w:sz w:val="24"/>
          <w:szCs w:val="24"/>
          <w:highlight w:val="none"/>
        </w:rPr>
      </w:pPr>
      <w:r>
        <w:rPr>
          <w:rFonts w:ascii="宋体" w:hAnsi="宋体"/>
          <w:b/>
          <w:color w:val="auto"/>
          <w:sz w:val="24"/>
          <w:szCs w:val="24"/>
          <w:highlight w:val="none"/>
        </w:rPr>
      </w:r>
      <w:r/>
    </w:p>
    <w:p>
      <w:pPr>
        <w:ind w:right="24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投标人（单位盖章）：                     </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w:t>
      </w:r>
      <w:r>
        <w:rPr>
          <w:rFonts w:ascii="宋体" w:hAnsi="宋体"/>
          <w:color w:val="auto"/>
          <w:sz w:val="24"/>
          <w:szCs w:val="24"/>
          <w:highlight w:val="none"/>
        </w:rPr>
        <w:t xml:space="preserve">签字或盖章</w:t>
      </w:r>
      <w:r>
        <w:rPr>
          <w:rFonts w:hint="eastAsia" w:ascii="宋体" w:hAnsi="宋体"/>
          <w:color w:val="auto"/>
          <w:sz w:val="24"/>
          <w:szCs w:val="24"/>
          <w:highlight w:val="none"/>
        </w:rPr>
        <w:t xml:space="preserve">）：         </w:t>
      </w:r>
      <w:r/>
    </w:p>
    <w:p>
      <w:pPr>
        <w:ind w:firstLine="43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投标日期：    年     月     日          </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注：1、</w:t>
      </w:r>
      <w:r>
        <w:rPr>
          <w:rFonts w:ascii="宋体" w:hAnsi="宋体" w:cs="宋体"/>
          <w:color w:val="auto"/>
          <w:sz w:val="24"/>
          <w:szCs w:val="24"/>
          <w:highlight w:val="none"/>
        </w:rPr>
        <w:t xml:space="preserve">投标报价一次报定，</w:t>
      </w:r>
      <w:r>
        <w:rPr>
          <w:rFonts w:cs="宋体"/>
          <w:color w:val="auto"/>
          <w:sz w:val="24"/>
          <w:szCs w:val="24"/>
          <w:highlight w:val="none"/>
        </w:rPr>
        <w:t xml:space="preserve">包括上述</w:t>
      </w:r>
      <w:r>
        <w:rPr>
          <w:rFonts w:hint="eastAsia" w:cs="宋体"/>
          <w:color w:val="auto"/>
          <w:sz w:val="24"/>
          <w:szCs w:val="24"/>
          <w:highlight w:val="none"/>
        </w:rPr>
        <w:t xml:space="preserve">服务管理、人员、培训、管理、维护、保险、利润、税金、调试达到正常可使用状态、政策性文件规定及合同包含的所有风险、责任等各项应有费用。</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00"/>
        <w:spacing w:line="360" w:lineRule="auto"/>
        <w:rPr>
          <w:color w:val="auto"/>
          <w:sz w:val="24"/>
          <w:szCs w:val="24"/>
          <w:highlight w:val="none"/>
        </w:rPr>
      </w:pPr>
      <w:r>
        <w:rPr>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t xml:space="preserve">7、投标报价明细表（公开分项报价表）</w:t>
      </w:r>
      <w:r/>
    </w:p>
    <w:p>
      <w:pPr>
        <w:ind w:firstLine="2400"/>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3012"/>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 w:val="24"/>
          <w:szCs w:val="24"/>
          <w:highlight w:val="none"/>
        </w:rPr>
        <w:t xml:space="preserve">（一）投标报价分项明细表</w:t>
      </w:r>
      <w:r>
        <w:rPr>
          <w:rFonts w:ascii="宋体" w:hAnsi="宋体" w:cs="宋体"/>
          <w:b/>
          <w:color w:val="auto"/>
          <w:sz w:val="30"/>
          <w:highlight w:val="none"/>
        </w:rPr>
        <w:t xml:space="preserve"> </w:t>
      </w:r>
      <w:r/>
    </w:p>
    <w:tbl>
      <w:tblPr>
        <w:tblStyle w:val="985"/>
        <w:tblW w:w="9887"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1424"/>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品牌、规格、型号</w:t>
            </w:r>
            <w:r>
              <w:rPr>
                <w:rFonts w:hint="eastAsia" w:hAnsi="宋体"/>
                <w:bCs/>
                <w:color w:val="auto"/>
                <w:sz w:val="24"/>
                <w:szCs w:val="24"/>
                <w:highlight w:val="none"/>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rFonts w:hAnsi="宋体"/>
                <w:bCs/>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shd w:val="clear" w:color="000000" w:fill="ffffff"/>
            <w:tcBorders>
              <w:top w:val="single" w:color="auto" w:sz="6" w:space="0"/>
              <w:left w:val="single" w:color="auto" w:sz="6" w:space="0"/>
              <w:bottom w:val="single" w:color="auto" w:sz="6" w:space="0"/>
              <w:right w:val="single" w:color="auto" w:sz="4" w:space="0"/>
            </w:tcBorders>
            <w:tcW w:w="1424" w:type="dxa"/>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424" w:type="dxa"/>
            <w:vAlign w:val="center"/>
            <w:textDirection w:val="lrTb"/>
            <w:noWrap w:val="false"/>
          </w:tcPr>
          <w:p>
            <w:pPr>
              <w:jc w:val="center"/>
              <w:rPr>
                <w:bCs/>
                <w:color w:val="auto"/>
                <w:sz w:val="24"/>
                <w:szCs w:val="24"/>
                <w:highlight w:val="none"/>
              </w:rPr>
            </w:pPr>
            <w:r>
              <w:rPr>
                <w:bCs/>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color w:val="auto"/>
                <w:sz w:val="24"/>
                <w:szCs w:val="24"/>
                <w:highlight w:val="none"/>
              </w:rPr>
            </w:pPr>
            <w:r>
              <w:rPr>
                <w:bCs/>
                <w:color w:val="auto"/>
                <w:sz w:val="24"/>
                <w:szCs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color w:val="auto"/>
                <w:sz w:val="24"/>
                <w:szCs w:val="24"/>
                <w:highlight w:val="none"/>
              </w:rPr>
            </w:pPr>
            <w:r>
              <w:rPr>
                <w:rFonts w:hAnsi="宋体"/>
                <w:bCs/>
                <w:color w:val="auto"/>
                <w:sz w:val="24"/>
                <w:szCs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768" w:type="dxa"/>
            <w:vAlign w:val="center"/>
            <w:textDirection w:val="lrTb"/>
            <w:noWrap w:val="false"/>
          </w:tcPr>
          <w:p>
            <w:pPr>
              <w:rPr>
                <w:bCs/>
                <w:color w:val="auto"/>
                <w:sz w:val="24"/>
                <w:szCs w:val="24"/>
                <w:highlight w:val="none"/>
              </w:rPr>
            </w:pPr>
            <w:r>
              <w:rPr>
                <w:rFonts w:hAnsi="宋体"/>
                <w:bCs/>
                <w:color w:val="auto"/>
                <w:sz w:val="24"/>
                <w:szCs w:val="24"/>
                <w:highlight w:val="none"/>
              </w:rPr>
              <w:t xml:space="preserve">大写：</w:t>
            </w:r>
            <w:r>
              <w:rPr>
                <w:rFonts w:hint="eastAsia" w:hAnsi="宋体"/>
                <w:bCs/>
                <w:color w:val="auto"/>
                <w:sz w:val="24"/>
                <w:szCs w:val="24"/>
                <w:highlight w:val="none"/>
              </w:rPr>
              <w:t xml:space="preserve">        </w:t>
            </w:r>
            <w:r>
              <w:rPr>
                <w:rFonts w:hAnsi="宋体"/>
                <w:bCs/>
                <w:color w:val="auto"/>
                <w:sz w:val="24"/>
                <w:szCs w:val="24"/>
                <w:highlight w:val="none"/>
              </w:rPr>
              <w:t xml:space="preserve">元</w:t>
            </w:r>
            <w:r>
              <w:rPr>
                <w:rFonts w:hint="eastAsia" w:hAnsi="宋体"/>
                <w:bCs/>
                <w:color w:val="auto"/>
                <w:sz w:val="24"/>
                <w:szCs w:val="24"/>
                <w:highlight w:val="none"/>
              </w:rPr>
              <w:t xml:space="preserve">；               小写：               元</w:t>
            </w:r>
            <w:r/>
          </w:p>
        </w:tc>
      </w:tr>
    </w:tbl>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w:t>
      </w:r>
      <w:r/>
    </w:p>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1、本表报价的合计金额应与开标一览表报价一致</w:t>
      </w:r>
      <w:r/>
    </w:p>
    <w:p>
      <w:pPr>
        <w:ind w:firstLine="482"/>
        <w:spacing w:line="499" w:lineRule="atLeast"/>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2、本表中货物内容根据标的物填写品牌、型号、</w:t>
      </w:r>
      <w:r>
        <w:rPr>
          <w:rFonts w:hint="eastAsia" w:ascii="宋体" w:hAnsi="宋体" w:cs="仿宋"/>
          <w:b/>
          <w:bCs/>
          <w:color w:val="auto"/>
          <w:sz w:val="24"/>
          <w:highlight w:val="none"/>
        </w:rPr>
        <w:t xml:space="preserve">规格等信息，涉及</w:t>
      </w:r>
      <w:r>
        <w:rPr>
          <w:rFonts w:hint="eastAsia" w:ascii="宋体" w:hAnsi="宋体" w:cs="宋体"/>
          <w:b/>
          <w:bCs/>
          <w:color w:val="auto"/>
          <w:sz w:val="24"/>
          <w:highlight w:val="none"/>
        </w:rPr>
        <w:t xml:space="preserve">服务内容的，根据服务分项名称填写服务说明等内容。</w:t>
      </w:r>
      <w:r/>
    </w:p>
    <w:p>
      <w:pPr>
        <w:pStyle w:val="986"/>
        <w:rPr>
          <w:color w:val="auto"/>
          <w:highlight w:val="none"/>
        </w:rPr>
      </w:pPr>
      <w:r>
        <w:rPr>
          <w:color w:val="auto"/>
          <w:highlight w:val="none"/>
        </w:rPr>
      </w:r>
      <w:r/>
    </w:p>
    <w:p>
      <w:pPr>
        <w:spacing w:line="360" w:lineRule="auto"/>
        <w:rPr>
          <w:rFonts w:hAnsi="宋体"/>
          <w:b/>
          <w:color w:val="auto"/>
          <w:sz w:val="24"/>
          <w:szCs w:val="24"/>
          <w:highlight w:val="none"/>
        </w:rPr>
      </w:pPr>
      <w:r>
        <w:rPr>
          <w:rFonts w:hAnsi="宋体"/>
          <w:b/>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 </w:t>
      </w:r>
      <w:r/>
    </w:p>
    <w:p>
      <w:pPr>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投标日期：      年     月     日</w:t>
      </w:r>
      <w:r/>
    </w:p>
    <w:p>
      <w:pPr>
        <w:pStyle w:val="1000"/>
        <w:spacing w:line="360" w:lineRule="auto"/>
        <w:rPr>
          <w:color w:val="auto"/>
          <w:sz w:val="24"/>
          <w:szCs w:val="24"/>
          <w:highlight w:val="none"/>
        </w:rPr>
      </w:pPr>
      <w:r>
        <w:rPr>
          <w:color w:val="auto"/>
          <w:sz w:val="24"/>
          <w:szCs w:val="24"/>
          <w:highlight w:val="none"/>
        </w:rPr>
      </w:r>
      <w:r/>
    </w:p>
    <w:p>
      <w:pPr>
        <w:ind w:firstLine="1200"/>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1200"/>
        <w:spacing w:line="360" w:lineRule="auto"/>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ind w:firstLine="3012"/>
        <w:rPr>
          <w:rFonts w:ascii="宋体" w:hAnsi="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 w:val="24"/>
          <w:szCs w:val="24"/>
          <w:highlight w:val="none"/>
        </w:rPr>
        <w:t xml:space="preserve">（二）投标报价合理性说明（如有）</w:t>
      </w:r>
      <w:r/>
    </w:p>
    <w:p>
      <w:pPr>
        <w:spacing w:line="420" w:lineRule="exact"/>
        <w:rPr>
          <w:rFonts w:ascii="宋体" w:hAnsi="宋体"/>
          <w:b/>
          <w:color w:val="auto"/>
          <w:highlight w:val="none"/>
        </w:rPr>
      </w:pPr>
      <w:r>
        <w:rPr>
          <w:rFonts w:ascii="宋体" w:hAnsi="宋体"/>
          <w:b/>
          <w:color w:val="auto"/>
          <w:highlight w:val="none"/>
        </w:rPr>
      </w:r>
      <w:r/>
    </w:p>
    <w:p>
      <w:pPr>
        <w:ind w:firstLine="440"/>
        <w:spacing w:line="420" w:lineRule="exact"/>
        <w:rPr>
          <w:rFonts w:ascii="宋体" w:hAnsi="宋体" w:cs="宋体"/>
          <w:b/>
          <w:color w:val="auto"/>
          <w:sz w:val="22"/>
          <w:szCs w:val="18"/>
          <w:highlight w:val="none"/>
        </w:rPr>
      </w:pPr>
      <w:r>
        <w:rPr>
          <w:rFonts w:hint="eastAsia" w:ascii="宋体" w:hAnsi="宋体" w:cs="宋体"/>
          <w:b/>
          <w:color w:val="auto"/>
          <w:sz w:val="22"/>
          <w:szCs w:val="18"/>
          <w:highlight w:val="none"/>
        </w:rPr>
        <w:t xml:space="preserve">注：根据</w:t>
      </w:r>
      <w:r>
        <w:rPr>
          <w:rFonts w:hint="eastAsia" w:cs="微软雅黑" w:asciiTheme="minorEastAsia" w:hAnsiTheme="minorEastAsia" w:eastAsiaTheme="minorEastAsia"/>
          <w:b/>
          <w:color w:val="auto"/>
          <w:sz w:val="22"/>
          <w:szCs w:val="18"/>
          <w:highlight w:val="none"/>
        </w:rPr>
        <w:t xml:space="preserve">财政部《关于推动解决政府采购异常低价问题的通知》（财库〔</w:t>
      </w:r>
      <w:r>
        <w:rPr>
          <w:rFonts w:asciiTheme="minorEastAsia" w:hAnsiTheme="minorEastAsia" w:eastAsiaTheme="minorEastAsia"/>
          <w:b/>
          <w:color w:val="auto"/>
          <w:sz w:val="22"/>
          <w:szCs w:val="18"/>
          <w:highlight w:val="none"/>
        </w:rPr>
        <w:t xml:space="preserve">2026</w:t>
      </w:r>
      <w:r>
        <w:rPr>
          <w:rFonts w:hint="eastAsia" w:cs="微软雅黑" w:asciiTheme="minorEastAsia" w:hAnsiTheme="minorEastAsia" w:eastAsiaTheme="minorEastAsia"/>
          <w:b/>
          <w:color w:val="auto"/>
          <w:sz w:val="22"/>
          <w:szCs w:val="18"/>
          <w:highlight w:val="none"/>
        </w:rPr>
        <w:t xml:space="preserve">〕</w:t>
      </w:r>
      <w:r>
        <w:rPr>
          <w:rFonts w:hint="eastAsia" w:asciiTheme="minorEastAsia" w:hAnsiTheme="minorEastAsia" w:eastAsiaTheme="minorEastAsia"/>
          <w:b/>
          <w:color w:val="auto"/>
          <w:sz w:val="22"/>
          <w:szCs w:val="18"/>
          <w:highlight w:val="none"/>
        </w:rPr>
        <w:t xml:space="preserve">2号</w:t>
      </w:r>
      <w:r>
        <w:rPr>
          <w:rFonts w:hint="eastAsia" w:cs="微软雅黑" w:asciiTheme="minorEastAsia" w:hAnsiTheme="minorEastAsia" w:eastAsiaTheme="minorEastAsia"/>
          <w:b/>
          <w:color w:val="auto"/>
          <w:sz w:val="22"/>
          <w:szCs w:val="18"/>
          <w:highlight w:val="none"/>
        </w:rPr>
        <w:t xml:space="preserve">）</w:t>
      </w:r>
      <w:r>
        <w:rPr>
          <w:rFonts w:hint="eastAsia" w:ascii="宋体" w:hAnsi="宋体" w:cs="宋体"/>
          <w:b/>
          <w:color w:val="auto"/>
          <w:sz w:val="22"/>
          <w:szCs w:val="18"/>
          <w:highlight w:val="none"/>
        </w:rPr>
        <w:t xml:space="preserve"> ，若投标人的投标（响应）报价满足以下任一条件：</w:t>
      </w:r>
      <w:r/>
    </w:p>
    <w:p>
      <w:pPr>
        <w:ind w:firstLine="440"/>
        <w:spacing w:line="420" w:lineRule="exact"/>
        <w:rPr>
          <w:rFonts w:ascii="宋体" w:hAnsi="宋体" w:cs="宋体"/>
          <w:b/>
          <w:color w:val="auto"/>
          <w:sz w:val="22"/>
          <w:szCs w:val="18"/>
          <w:highlight w:val="none"/>
        </w:rPr>
      </w:pPr>
      <w:r>
        <w:rPr>
          <w:rFonts w:hint="eastAsia" w:ascii="宋体" w:hAnsi="宋体" w:cs="宋体"/>
          <w:b/>
          <w:color w:val="auto"/>
          <w:sz w:val="22"/>
          <w:szCs w:val="18"/>
          <w:highlight w:val="none"/>
        </w:rPr>
        <w:t xml:space="preserve">1）</w:t>
      </w:r>
      <w:r>
        <w:rPr>
          <w:rFonts w:ascii="宋体" w:hAnsi="宋体" w:cs="宋体"/>
          <w:b/>
          <w:bCs/>
          <w:color w:val="auto"/>
          <w:sz w:val="22"/>
          <w:szCs w:val="18"/>
          <w:highlight w:val="none"/>
        </w:rPr>
        <w:t xml:space="preserve">投标（响应）报价低于全部通过符合性审查供应商投标（响应）报价平均值50%的，即投标（响应）报价&lt;全部通过符合性审查供应商投标（响应）报价平均值×50%；</w:t>
      </w:r>
      <w:r/>
    </w:p>
    <w:p>
      <w:pPr>
        <w:ind w:firstLine="440"/>
        <w:spacing w:line="420" w:lineRule="exact"/>
        <w:rPr>
          <w:rFonts w:ascii="宋体" w:hAnsi="宋体" w:cs="宋体"/>
          <w:b/>
          <w:color w:val="auto"/>
          <w:sz w:val="22"/>
          <w:szCs w:val="18"/>
          <w:highlight w:val="none"/>
        </w:rPr>
      </w:pPr>
      <w:r>
        <w:rPr>
          <w:rFonts w:hint="eastAsia" w:ascii="宋体" w:hAnsi="宋体" w:cs="宋体"/>
          <w:b/>
          <w:color w:val="auto"/>
          <w:sz w:val="22"/>
          <w:szCs w:val="18"/>
          <w:highlight w:val="none"/>
        </w:rPr>
        <w:t xml:space="preserve">2）</w:t>
      </w:r>
      <w:r>
        <w:rPr>
          <w:rFonts w:ascii="宋体" w:hAnsi="宋体" w:cs="宋体"/>
          <w:b/>
          <w:bCs/>
          <w:color w:val="auto"/>
          <w:sz w:val="22"/>
          <w:szCs w:val="18"/>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2"/>
          <w:szCs w:val="18"/>
          <w:highlight w:val="none"/>
        </w:rPr>
        <w:t xml:space="preserve">；</w:t>
      </w:r>
      <w:r/>
    </w:p>
    <w:p>
      <w:pPr>
        <w:ind w:firstLine="425"/>
        <w:jc w:val="left"/>
        <w:spacing w:line="360" w:lineRule="auto"/>
        <w:rPr>
          <w:rFonts w:ascii="宋体" w:hAnsi="宋体" w:cs="宋体"/>
          <w:b/>
          <w:bCs/>
          <w:color w:val="auto"/>
          <w:sz w:val="22"/>
          <w:szCs w:val="18"/>
          <w:highlight w:val="none"/>
        </w:rPr>
      </w:pPr>
      <w:r>
        <w:rPr>
          <w:rFonts w:hint="eastAsia" w:ascii="宋体" w:hAnsi="宋体" w:cs="宋体"/>
          <w:b/>
          <w:bCs/>
          <w:color w:val="auto"/>
          <w:sz w:val="22"/>
          <w:szCs w:val="18"/>
          <w:highlight w:val="none"/>
        </w:rPr>
        <w:t xml:space="preserve">3）</w:t>
      </w:r>
      <w:r>
        <w:rPr>
          <w:rFonts w:ascii="宋体" w:hAnsi="宋体" w:cs="宋体"/>
          <w:b/>
          <w:bCs/>
          <w:color w:val="auto"/>
          <w:sz w:val="22"/>
          <w:szCs w:val="18"/>
          <w:highlight w:val="none"/>
        </w:rPr>
        <w:t xml:space="preserve">投标（响应）报价低于采购项目最高限价45%的，即投标（响应）报价&lt;采购项目最高限价×45%；</w:t>
      </w:r>
      <w:r/>
    </w:p>
    <w:p>
      <w:pPr>
        <w:ind w:firstLine="425"/>
        <w:jc w:val="left"/>
        <w:spacing w:line="360" w:lineRule="auto"/>
        <w:rPr>
          <w:rFonts w:ascii="宋体" w:hAnsi="宋体"/>
          <w:color w:val="auto"/>
          <w:sz w:val="24"/>
          <w:szCs w:val="24"/>
          <w:highlight w:val="none"/>
        </w:rPr>
      </w:pPr>
      <w:r>
        <w:rPr>
          <w:rFonts w:hint="eastAsia" w:ascii="宋体" w:hAnsi="宋体" w:cs="宋体"/>
          <w:b/>
          <w:bCs/>
          <w:color w:val="auto"/>
          <w:sz w:val="22"/>
          <w:szCs w:val="18"/>
          <w:highlight w:val="none"/>
        </w:rPr>
        <w:t xml:space="preserve">4）</w:t>
      </w:r>
      <w:r>
        <w:rPr>
          <w:rFonts w:ascii="宋体" w:hAnsi="宋体" w:cs="宋体"/>
          <w:b/>
          <w:bCs/>
          <w:color w:val="auto"/>
          <w:sz w:val="22"/>
          <w:szCs w:val="18"/>
          <w:highlight w:val="none"/>
        </w:rPr>
        <w:t xml:space="preserve">评审委员会基于专业判断，认为供应商报价过低，有可能影响产品质量或者不能诚信履约的其他情形。</w:t>
      </w:r>
      <w:r>
        <w:rPr>
          <w:rFonts w:ascii="宋体" w:hAnsi="宋体" w:cs="宋体"/>
          <w:b/>
          <w:bCs/>
          <w:color w:val="auto"/>
          <w:sz w:val="22"/>
          <w:szCs w:val="18"/>
          <w:highlight w:val="none"/>
        </w:rPr>
        <w:br/>
      </w:r>
      <w:r>
        <w:rPr>
          <w:rFonts w:hint="eastAsia" w:ascii="宋体" w:hAnsi="宋体" w:cs="宋体"/>
          <w:b/>
          <w:bCs/>
          <w:color w:val="auto"/>
          <w:sz w:val="22"/>
          <w:szCs w:val="18"/>
          <w:highlight w:val="none"/>
        </w:rPr>
        <w:t xml:space="preserve">    </w:t>
      </w:r>
      <w:r>
        <w:rPr>
          <w:rFonts w:ascii="宋体" w:hAnsi="宋体" w:cs="宋体"/>
          <w:b/>
          <w:bCs/>
          <w:color w:val="auto"/>
          <w:sz w:val="22"/>
          <w:szCs w:val="18"/>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auto"/>
          <w:sz w:val="24"/>
          <w:highlight w:val="none"/>
        </w:rPr>
        <w:b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法定代表人或委托代理人（签字或盖章）： </w:t>
      </w:r>
      <w:r/>
    </w:p>
    <w:p>
      <w:pPr>
        <w:pStyle w:val="1000"/>
        <w:ind w:firstLine="0"/>
        <w:spacing w:line="360" w:lineRule="auto"/>
        <w:rPr>
          <w:rFonts w:hAnsi="宋体"/>
          <w:color w:val="auto"/>
          <w:sz w:val="24"/>
          <w:szCs w:val="24"/>
          <w:highlight w:val="none"/>
        </w:rPr>
      </w:pPr>
      <w:r>
        <w:rPr>
          <w:rFonts w:hint="eastAsia" w:hAnsi="宋体"/>
          <w:color w:val="auto"/>
          <w:sz w:val="24"/>
          <w:szCs w:val="24"/>
          <w:highlight w:val="none"/>
        </w:rPr>
        <w:t xml:space="preserve">投标日期：      年     月     日</w:t>
      </w:r>
      <w:r/>
    </w:p>
    <w:p>
      <w:pPr>
        <w:pStyle w:val="1000"/>
        <w:spacing w:line="360" w:lineRule="auto"/>
        <w:rPr>
          <w:color w:val="auto"/>
          <w:sz w:val="24"/>
          <w:szCs w:val="24"/>
          <w:highlight w:val="none"/>
        </w:rPr>
      </w:pPr>
      <w:r>
        <w:rPr>
          <w:color w:val="auto"/>
          <w:sz w:val="24"/>
          <w:szCs w:val="24"/>
          <w:highlight w:val="none"/>
        </w:rPr>
      </w:r>
      <w:r/>
    </w:p>
    <w:p>
      <w:pPr>
        <w:pStyle w:val="1000"/>
        <w:spacing w:line="360" w:lineRule="auto"/>
        <w:rPr>
          <w:color w:val="auto"/>
          <w:sz w:val="24"/>
          <w:szCs w:val="24"/>
          <w:highlight w:val="none"/>
        </w:rPr>
      </w:pPr>
      <w:r>
        <w:rPr>
          <w:color w:val="auto"/>
          <w:sz w:val="24"/>
          <w:szCs w:val="24"/>
          <w:highlight w:val="none"/>
        </w:rPr>
      </w:r>
      <w:r/>
    </w:p>
    <w:p>
      <w:pPr>
        <w:spacing w:line="360" w:lineRule="auto"/>
        <w:rPr>
          <w:rFonts w:hAnsi="宋体"/>
          <w:b/>
          <w:bCs/>
          <w:color w:val="auto"/>
          <w:sz w:val="24"/>
          <w:szCs w:val="24"/>
          <w:highlight w:val="none"/>
        </w:rPr>
        <w:outlineLvl w:val="1"/>
      </w:pPr>
      <w:r>
        <w:rPr>
          <w:rFonts w:hint="eastAsia" w:hAnsi="宋体"/>
          <w:b/>
          <w:bCs/>
          <w:color w:val="auto"/>
          <w:sz w:val="24"/>
          <w:szCs w:val="24"/>
          <w:highlight w:val="none"/>
        </w:rPr>
        <w:br w:type="page" w:clear="all"/>
      </w:r>
      <w:r>
        <w:rPr>
          <w:rFonts w:hint="eastAsia" w:hAnsi="宋体"/>
          <w:b/>
          <w:bCs/>
          <w:color w:val="auto"/>
          <w:sz w:val="24"/>
          <w:szCs w:val="24"/>
          <w:highlight w:val="none"/>
        </w:rPr>
        <w:t xml:space="preserve">8、服务要求偏离表</w:t>
      </w:r>
      <w:r/>
    </w:p>
    <w:p>
      <w:pPr>
        <w:jc w:val="center"/>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服务要求偏离表</w:t>
      </w:r>
      <w:r/>
    </w:p>
    <w:p>
      <w:pPr>
        <w:spacing w:line="360" w:lineRule="auto"/>
        <w:rPr>
          <w:rFonts w:ascii="宋体" w:hAnsi="宋体"/>
          <w:color w:val="auto"/>
          <w:sz w:val="24"/>
          <w:szCs w:val="24"/>
          <w:highlight w:val="none"/>
        </w:rPr>
      </w:pPr>
      <w:r>
        <w:rPr>
          <w:rFonts w:ascii="宋体" w:hAnsi="宋体"/>
          <w:color w:val="auto"/>
          <w:sz w:val="24"/>
          <w:szCs w:val="24"/>
          <w:highlight w:val="none"/>
        </w:rPr>
      </w:r>
      <w:r/>
    </w:p>
    <w:tbl>
      <w:tblPr>
        <w:tblStyle w:val="98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内容</w:t>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招标文件</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投标文件</w:t>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响应要求</w:t>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偏离情况</w:t>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150"/>
        </w:trPr>
        <w:tc>
          <w:tcPr>
            <w:tcW w:w="959"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010"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52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43"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55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center"/>
        <w:spacing w:line="360" w:lineRule="auto"/>
        <w:rPr>
          <w:rFonts w:ascii="宋体" w:hAnsi="宋体"/>
          <w:b/>
          <w:color w:val="auto"/>
          <w:spacing w:val="20"/>
          <w:sz w:val="24"/>
          <w:szCs w:val="24"/>
          <w:highlight w:val="none"/>
        </w:rPr>
      </w:pPr>
      <w:r>
        <w:rPr>
          <w:rFonts w:ascii="宋体" w:hAnsi="宋体"/>
          <w:b/>
          <w:color w:val="auto"/>
          <w:spacing w:val="20"/>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outlineLvl w:val="1"/>
      </w:pPr>
      <w:r>
        <w:rPr>
          <w:rFonts w:ascii="宋体" w:hAnsi="宋体"/>
          <w:color w:val="auto"/>
          <w:sz w:val="24"/>
          <w:szCs w:val="24"/>
          <w:highlight w:val="none"/>
        </w:rPr>
        <w:t xml:space="preserve">2</w:t>
      </w:r>
      <w:r>
        <w:rPr>
          <w:rFonts w:hint="eastAsia" w:ascii="宋体" w:hAnsi="宋体"/>
          <w:color w:val="auto"/>
          <w:sz w:val="24"/>
          <w:szCs w:val="24"/>
          <w:highlight w:val="none"/>
        </w:rPr>
        <w:t xml:space="preserve">.若事项较多，投标人可根据响应内容的实际情况另纸说明。</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jc w:val="left"/>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spacing w:line="360" w:lineRule="auto"/>
        <w:rPr>
          <w:rFonts w:ascii="宋体" w:hAnsi="宋体"/>
          <w:color w:val="auto"/>
          <w:sz w:val="24"/>
          <w:szCs w:val="24"/>
          <w:highlight w:val="none"/>
        </w:rPr>
      </w:pPr>
      <w:r>
        <w:rPr>
          <w:rFonts w:hAnsi="宋体"/>
          <w:color w:val="auto"/>
          <w:sz w:val="24"/>
          <w:szCs w:val="24"/>
          <w:highlight w:val="none"/>
        </w:rPr>
        <w:t xml:space="preserve">投标</w:t>
      </w:r>
      <w:r>
        <w:rPr>
          <w:rFonts w:hint="eastAsia" w:hAnsi="宋体"/>
          <w:color w:val="auto"/>
          <w:sz w:val="24"/>
          <w:szCs w:val="24"/>
          <w:highlight w:val="none"/>
        </w:rPr>
        <w:t xml:space="preserve">日期：   年   月   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Ansi="宋体"/>
          <w:b/>
          <w:bCs/>
          <w:color w:val="auto"/>
          <w:sz w:val="24"/>
          <w:szCs w:val="24"/>
          <w:highlight w:val="none"/>
        </w:rPr>
        <w:outlineLvl w:val="1"/>
      </w:pPr>
      <w:r>
        <w:rPr>
          <w:rFonts w:hint="eastAsia" w:hAnsi="宋体"/>
          <w:b/>
          <w:bCs/>
          <w:color w:val="auto"/>
          <w:sz w:val="24"/>
          <w:szCs w:val="24"/>
          <w:highlight w:val="none"/>
        </w:rPr>
        <w:br w:type="page" w:clear="all"/>
      </w:r>
      <w:r>
        <w:rPr>
          <w:rFonts w:hint="eastAsia" w:hAnsi="宋体"/>
          <w:b/>
          <w:bCs/>
          <w:color w:val="auto"/>
          <w:sz w:val="24"/>
          <w:szCs w:val="24"/>
          <w:highlight w:val="none"/>
        </w:rPr>
        <w:t xml:space="preserve">9、商务偏离表</w:t>
      </w:r>
      <w:r/>
    </w:p>
    <w:p>
      <w:pPr>
        <w:jc w:val="center"/>
        <w:spacing w:line="360" w:lineRule="auto"/>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商务条款偏离表</w:t>
      </w:r>
      <w:r/>
    </w:p>
    <w:tbl>
      <w:tblPr>
        <w:tblStyle w:val="98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992"/>
        <w:ind w:firstLine="0"/>
        <w:spacing w:line="360" w:lineRule="auto"/>
        <w:rPr>
          <w:rFonts w:ascii="宋体" w:hAnsi="宋体"/>
          <w:color w:val="auto"/>
          <w:sz w:val="24"/>
          <w:szCs w:val="24"/>
          <w:highlight w:val="none"/>
        </w:rPr>
        <w:outlineLvl w:val="1"/>
      </w:pPr>
      <w:r>
        <w:rPr>
          <w:rFonts w:hint="eastAsia" w:ascii="宋体" w:hAnsi="宋体"/>
          <w:color w:val="auto"/>
          <w:sz w:val="24"/>
          <w:szCs w:val="24"/>
          <w:highlight w:val="none"/>
        </w:rPr>
        <w:t xml:space="preserve">2.若事项较多，投标人可根据响应内容的实际情况另纸说明。</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投标日期</w:t>
      </w:r>
      <w:r>
        <w:rPr>
          <w:rFonts w:ascii="宋体" w:hAnsi="宋体"/>
          <w:bCs/>
          <w:color w:val="auto"/>
          <w:sz w:val="24"/>
          <w:szCs w:val="24"/>
          <w:highlight w:val="none"/>
        </w:rPr>
        <w:t xml:space="preserve">:   年</w:t>
      </w:r>
      <w:r>
        <w:rPr>
          <w:rFonts w:hint="eastAsia" w:ascii="宋体" w:hAnsi="宋体"/>
          <w:bCs/>
          <w:color w:val="auto"/>
          <w:sz w:val="24"/>
          <w:szCs w:val="24"/>
          <w:highlight w:val="none"/>
        </w:rPr>
        <w:t xml:space="preserve">  月   日</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b/>
          <w:color w:val="auto"/>
          <w:sz w:val="24"/>
          <w:szCs w:val="24"/>
          <w:highlight w:val="none"/>
        </w:rPr>
        <w:outlineLvl w:val="1"/>
      </w:pPr>
      <w:r>
        <w:rPr>
          <w:rFonts w:hint="eastAsia" w:ascii="宋体" w:hAnsi="宋体"/>
          <w:b/>
          <w:bCs/>
          <w:color w:val="auto"/>
          <w:sz w:val="24"/>
          <w:szCs w:val="24"/>
          <w:highlight w:val="none"/>
        </w:rPr>
        <w:br w:type="page" w:clear="all"/>
      </w:r>
      <w:r>
        <w:rPr>
          <w:rFonts w:hint="eastAsia" w:ascii="宋体" w:hAnsi="宋体"/>
          <w:b/>
          <w:bCs/>
          <w:color w:val="auto"/>
          <w:sz w:val="24"/>
          <w:szCs w:val="24"/>
          <w:highlight w:val="none"/>
        </w:rPr>
        <w:t xml:space="preserve">10、</w:t>
      </w:r>
      <w:r>
        <w:rPr>
          <w:rFonts w:hint="eastAsia" w:ascii="宋体" w:hAnsi="宋体"/>
          <w:b/>
          <w:color w:val="auto"/>
          <w:sz w:val="24"/>
          <w:szCs w:val="24"/>
          <w:highlight w:val="none"/>
        </w:rPr>
        <w:t xml:space="preserve">企业类似业绩一览表</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企业类似业绩一览表</w:t>
      </w:r>
      <w:r/>
    </w:p>
    <w:tbl>
      <w:tblPr>
        <w:tblStyle w:val="98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项目时间</w:t>
            </w:r>
            <w:r/>
          </w:p>
        </w:tc>
        <w:tc>
          <w:tcPr>
            <w:tcW w:w="1347" w:type="dxa"/>
            <w:vAlign w:val="center"/>
            <w:textDirection w:val="lrTb"/>
            <w:noWrap w:val="false"/>
          </w:tcPr>
          <w:p>
            <w:pPr>
              <w:jc w:val="center"/>
              <w:spacing w:line="360" w:lineRule="auto"/>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合同金额</w:t>
            </w:r>
            <w:r/>
          </w:p>
          <w:p>
            <w:pPr>
              <w:jc w:val="center"/>
              <w:spacing w:line="360" w:lineRule="auto"/>
              <w:tabs>
                <w:tab w:val="left" w:pos="6252" w:leader="none"/>
              </w:tabs>
              <w:rPr>
                <w:rFonts w:ascii="宋体" w:hAnsi="宋体"/>
                <w:color w:val="auto"/>
                <w:sz w:val="24"/>
                <w:szCs w:val="24"/>
                <w:highlight w:val="none"/>
              </w:rPr>
            </w:pPr>
            <w:r>
              <w:rPr>
                <w:rFonts w:hint="eastAsia" w:ascii="宋体" w:hAnsi="宋体"/>
                <w:color w:val="auto"/>
                <w:sz w:val="24"/>
                <w:szCs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123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56"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27" w:type="dxa"/>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34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65"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274"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240"/>
        <w:spacing w:line="360" w:lineRule="auto"/>
        <w:rPr>
          <w:rFonts w:ascii="宋体" w:hAnsi="宋体"/>
          <w:color w:val="auto"/>
          <w:sz w:val="24"/>
          <w:szCs w:val="24"/>
          <w:highlight w:val="none"/>
        </w:rPr>
      </w:pPr>
      <w:r>
        <w:rPr>
          <w:rFonts w:ascii="宋体" w:hAnsi="宋体"/>
          <w:color w:val="auto"/>
          <w:sz w:val="24"/>
          <w:szCs w:val="24"/>
          <w:highlight w:val="none"/>
        </w:rPr>
        <w:t xml:space="preserve">附：</w:t>
      </w:r>
      <w:r>
        <w:rPr>
          <w:rFonts w:hint="eastAsia" w:ascii="宋体" w:hAnsi="宋体"/>
          <w:color w:val="auto"/>
          <w:sz w:val="24"/>
          <w:szCs w:val="24"/>
          <w:highlight w:val="none"/>
        </w:rPr>
        <w:t xml:space="preserve">按照招标文件要求及评分标准提供相应证明材料</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投标单位（单位盖章）： </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法定代表人或代理人（</w:t>
      </w:r>
      <w:r>
        <w:rPr>
          <w:rFonts w:ascii="宋体" w:hAnsi="宋体"/>
          <w:color w:val="auto"/>
          <w:sz w:val="24"/>
          <w:szCs w:val="24"/>
          <w:highlight w:val="none"/>
        </w:rPr>
        <w:t xml:space="preserve">签字或盖章</w:t>
      </w:r>
      <w:r>
        <w:rPr>
          <w:rFonts w:hint="eastAsia" w:ascii="宋体" w:hAnsi="宋体"/>
          <w:color w:val="auto"/>
          <w:sz w:val="24"/>
          <w:szCs w:val="24"/>
          <w:highlight w:val="none"/>
        </w:rPr>
        <w:t xml:space="preserve">）：</w:t>
      </w:r>
      <w:r/>
    </w:p>
    <w:p>
      <w:pPr>
        <w:spacing w:line="360" w:lineRule="auto"/>
        <w:rPr>
          <w:color w:val="auto"/>
          <w:sz w:val="24"/>
          <w:szCs w:val="24"/>
          <w:highlight w:val="none"/>
        </w:rPr>
      </w:pPr>
      <w:r>
        <w:rPr>
          <w:rFonts w:ascii="宋体" w:hAnsi="宋体"/>
          <w:color w:val="auto"/>
          <w:sz w:val="24"/>
          <w:szCs w:val="24"/>
          <w:highlight w:val="none"/>
        </w:rPr>
        <w:t xml:space="preserve">投标</w:t>
      </w: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bCs/>
          <w:color w:val="auto"/>
          <w:sz w:val="24"/>
          <w:szCs w:val="24"/>
          <w:highlight w:val="none"/>
        </w:rPr>
      </w:pPr>
      <w:r>
        <w:rPr>
          <w:rFonts w:ascii="宋体" w:hAnsi="宋体"/>
          <w:b/>
          <w:bCs/>
          <w:color w:val="auto"/>
          <w:sz w:val="24"/>
          <w:szCs w:val="24"/>
          <w:highlight w:val="none"/>
        </w:rPr>
      </w:r>
      <w:r/>
    </w:p>
    <w:p>
      <w:pPr>
        <w:spacing w:line="360" w:lineRule="auto"/>
        <w:rPr>
          <w:rFonts w:ascii="宋体" w:hAnsi="宋体"/>
          <w:b/>
          <w:bCs/>
          <w:color w:val="auto"/>
          <w:sz w:val="24"/>
          <w:szCs w:val="24"/>
          <w:highlight w:val="none"/>
        </w:rPr>
        <w:outlineLvl w:val="1"/>
      </w:pPr>
      <w:r>
        <w:rPr>
          <w:rFonts w:hint="eastAsia" w:ascii="宋体" w:hAnsi="宋体"/>
          <w:b/>
          <w:bCs/>
          <w:color w:val="auto"/>
          <w:sz w:val="24"/>
          <w:szCs w:val="24"/>
          <w:highlight w:val="none"/>
        </w:rPr>
        <w:br w:type="page" w:clear="all"/>
      </w:r>
      <w:r>
        <w:rPr>
          <w:rFonts w:hint="eastAsia" w:ascii="宋体" w:hAnsi="宋体"/>
          <w:b/>
          <w:bCs/>
          <w:color w:val="auto"/>
          <w:sz w:val="24"/>
          <w:szCs w:val="24"/>
          <w:highlight w:val="none"/>
        </w:rPr>
        <w:t xml:space="preserve">11、拟投入本项目的专业技术（服务）人员情况一览表</w:t>
      </w:r>
      <w:r/>
    </w:p>
    <w:p>
      <w:pPr>
        <w:pStyle w:val="1155"/>
        <w:ind w:firstLine="890"/>
        <w:rPr>
          <w:b/>
          <w:color w:val="auto"/>
          <w:highlight w:val="none"/>
        </w:rPr>
      </w:pPr>
      <w:r>
        <w:rPr>
          <w:rFonts w:hint="eastAsia"/>
          <w:b/>
          <w:color w:val="auto"/>
          <w:highlight w:val="none"/>
        </w:rPr>
        <w:t xml:space="preserve">拟投入本项目的专业技术（服务）人员情况一览表</w:t>
      </w:r>
      <w:r/>
    </w:p>
    <w:tbl>
      <w:tblPr>
        <w:tblStyle w:val="98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b/>
                <w:color w:val="auto"/>
                <w:sz w:val="24"/>
                <w:szCs w:val="24"/>
                <w:highlight w:val="none"/>
              </w:rPr>
              <w:t xml:space="preserve">专业</w:t>
            </w:r>
            <w:r>
              <w:rPr>
                <w:rFonts w:hint="eastAsia" w:ascii="宋体" w:hAnsi="宋体" w:cs="宋体"/>
                <w:b/>
                <w:color w:val="auto"/>
                <w:sz w:val="24"/>
                <w:szCs w:val="24"/>
                <w:highlight w:val="none"/>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4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left w:val="single" w:color="auto" w:sz="4" w:space="0"/>
              <w:bottom w:val="single" w:color="auto" w:sz="4" w:space="0"/>
              <w:right w:val="single" w:color="auto" w:sz="4" w:space="0"/>
            </w:tcBorders>
            <w:tcW w:w="659"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附：1、按照招标文件要求提供相应资质证明材料。</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00"/>
        <w:spacing w:line="360" w:lineRule="auto"/>
        <w:rPr>
          <w:color w:val="auto"/>
          <w:sz w:val="24"/>
          <w:szCs w:val="24"/>
          <w:highlight w:val="none"/>
        </w:rPr>
      </w:pPr>
      <w:r>
        <w:rPr>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投标单位（单位盖章）： </w:t>
      </w:r>
      <w:r/>
    </w:p>
    <w:p>
      <w:pPr>
        <w:spacing w:line="360" w:lineRule="auto"/>
        <w:rPr>
          <w:rFonts w:ascii="宋体" w:hAnsi="宋体"/>
          <w:color w:val="auto"/>
          <w:sz w:val="24"/>
          <w:szCs w:val="24"/>
          <w:highlight w:val="none"/>
        </w:rPr>
        <w:outlineLvl w:val="2"/>
      </w:pPr>
      <w:r>
        <w:rPr>
          <w:rFonts w:hint="eastAsia" w:ascii="宋体" w:hAnsi="宋体"/>
          <w:color w:val="auto"/>
          <w:sz w:val="24"/>
          <w:szCs w:val="24"/>
          <w:highlight w:val="none"/>
        </w:rPr>
        <w:t xml:space="preserve">法定代表人或代理人（</w:t>
      </w:r>
      <w:r>
        <w:rPr>
          <w:rFonts w:ascii="宋体" w:hAnsi="宋体"/>
          <w:color w:val="auto"/>
          <w:sz w:val="24"/>
          <w:szCs w:val="24"/>
          <w:highlight w:val="none"/>
        </w:rPr>
        <w:t xml:space="preserve">签字或盖章</w:t>
      </w:r>
      <w:r>
        <w:rPr>
          <w:rFonts w:hint="eastAsia" w:ascii="宋体" w:hAnsi="宋体"/>
          <w:color w:val="auto"/>
          <w:sz w:val="24"/>
          <w:szCs w:val="24"/>
          <w:highlight w:val="none"/>
        </w:rPr>
        <w:t xml:space="preserve">）</w:t>
      </w:r>
      <w:r/>
    </w:p>
    <w:p>
      <w:pPr>
        <w:pStyle w:val="1000"/>
        <w:ind w:firstLine="0"/>
        <w:spacing w:line="360" w:lineRule="auto"/>
        <w:rPr>
          <w:color w:val="auto"/>
          <w:sz w:val="24"/>
          <w:szCs w:val="24"/>
          <w:highlight w:val="none"/>
        </w:rPr>
      </w:pPr>
      <w:r>
        <w:rPr>
          <w:rFonts w:hAnsi="宋体"/>
          <w:color w:val="auto"/>
          <w:sz w:val="24"/>
          <w:szCs w:val="24"/>
          <w:highlight w:val="none"/>
        </w:rPr>
        <w:t xml:space="preserve">投标</w:t>
      </w: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b/>
          <w:color w:val="auto"/>
          <w:sz w:val="24"/>
          <w:szCs w:val="24"/>
          <w:highlight w:val="none"/>
        </w:rPr>
        <w:outlineLvl w:val="1"/>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12、</w:t>
      </w:r>
      <w:bookmarkStart w:id="47" w:name="OLE_LINK4"/>
      <w:r>
        <w:rPr>
          <w:rFonts w:hint="eastAsia" w:ascii="宋体" w:hAnsi="宋体"/>
          <w:b/>
          <w:color w:val="auto"/>
          <w:sz w:val="24"/>
          <w:szCs w:val="24"/>
          <w:highlight w:val="none"/>
        </w:rPr>
        <w:t xml:space="preserve">中小企业声明函（如有）       </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中小企业声明函（服务）</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w:t>
      </w:r>
      <w:r>
        <w:rPr>
          <w:rFonts w:hint="eastAsia" w:ascii="宋体" w:hAnsi="宋体"/>
          <w:color w:val="auto"/>
          <w:sz w:val="24"/>
          <w:szCs w:val="24"/>
          <w:highlight w:val="none"/>
        </w:rPr>
        <w:t xml:space="preserve">﹝</w:t>
      </w:r>
      <w:r>
        <w:rPr>
          <w:rFonts w:ascii="宋体" w:hAnsi="宋体"/>
          <w:color w:val="auto"/>
          <w:sz w:val="24"/>
          <w:szCs w:val="24"/>
          <w:highlight w:val="none"/>
        </w:rPr>
        <w:t xml:space="preserve">2020</w:t>
      </w:r>
      <w:r>
        <w:rPr>
          <w:rFonts w:hint="eastAsia" w:ascii="宋体" w:hAnsi="宋体"/>
          <w:color w:val="auto"/>
          <w:sz w:val="24"/>
          <w:szCs w:val="24"/>
          <w:highlight w:val="none"/>
        </w:rPr>
        <w:t xml:space="preserve">﹞</w:t>
      </w:r>
      <w:r>
        <w:rPr>
          <w:rFonts w:ascii="宋体" w:hAnsi="宋体"/>
          <w:color w:val="auto"/>
          <w:sz w:val="24"/>
          <w:szCs w:val="24"/>
          <w:highlight w:val="none"/>
        </w:rPr>
        <w:t xml:space="preserve">46号）的规定，本公司参加</w:t>
      </w:r>
      <w:r>
        <w:rPr>
          <w:rFonts w:hint="eastAsia" w:ascii="宋体" w:hAnsi="宋体"/>
          <w:i/>
          <w:color w:val="auto"/>
          <w:sz w:val="24"/>
          <w:szCs w:val="24"/>
          <w:highlight w:val="none"/>
          <w:u w:val="single"/>
        </w:rPr>
        <w:t xml:space="preserve">（单位名称）</w:t>
      </w:r>
      <w:r>
        <w:rPr>
          <w:rFonts w:ascii="宋体" w:hAnsi="宋体"/>
          <w:color w:val="auto"/>
          <w:sz w:val="24"/>
          <w:szCs w:val="24"/>
          <w:highlight w:val="none"/>
        </w:rPr>
        <w:t xml:space="preserve">的</w:t>
      </w:r>
      <w:r>
        <w:rPr>
          <w:rFonts w:hint="eastAsia" w:ascii="宋体" w:hAnsi="宋体"/>
          <w:i/>
          <w:color w:val="auto"/>
          <w:sz w:val="24"/>
          <w:szCs w:val="24"/>
          <w:highlight w:val="none"/>
          <w:u w:val="single"/>
        </w:rPr>
        <w:t xml:space="preserve">（项目名称）</w:t>
      </w:r>
      <w:r>
        <w:rPr>
          <w:rFonts w:ascii="宋体" w:hAnsi="宋体"/>
          <w:color w:val="auto"/>
          <w:sz w:val="24"/>
          <w:szCs w:val="24"/>
          <w:highlight w:val="none"/>
        </w:rPr>
        <w:t xml:space="preserve">采购活动，服务全部由符合政策要求的中小企业承接。相关企业</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含联合体中的中小企业、签订分包意向协议的中小企业</w:t>
      </w:r>
      <w:r>
        <w:rPr>
          <w:rFonts w:hint="eastAsia" w:ascii="宋体" w:hAnsi="宋体"/>
          <w:color w:val="auto"/>
          <w:sz w:val="24"/>
          <w:szCs w:val="24"/>
          <w:highlight w:val="none"/>
        </w:rPr>
        <w:t xml:space="preserve">）</w:t>
      </w:r>
      <w:r>
        <w:rPr>
          <w:rFonts w:ascii="宋体" w:hAnsi="宋体"/>
          <w:color w:val="auto"/>
          <w:sz w:val="24"/>
          <w:szCs w:val="24"/>
          <w:highlight w:val="none"/>
        </w:rPr>
        <w:t xml:space="preserve">的具体情况如下：</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i/>
          <w:color w:val="auto"/>
          <w:sz w:val="24"/>
          <w:szCs w:val="24"/>
          <w:highlight w:val="none"/>
          <w:u w:val="single"/>
        </w:rPr>
        <w:t xml:space="preserve">（标的名称）</w:t>
      </w:r>
      <w:r>
        <w:rPr>
          <w:rFonts w:ascii="宋体" w:hAnsi="宋体"/>
          <w:color w:val="auto"/>
          <w:sz w:val="24"/>
          <w:szCs w:val="24"/>
          <w:highlight w:val="none"/>
        </w:rPr>
        <w:t xml:space="preserve">，属于软件和信息技术服务业；</w:t>
      </w:r>
      <w:r>
        <w:rPr>
          <w:rFonts w:hint="eastAsia" w:ascii="宋体" w:hAnsi="宋体"/>
          <w:color w:val="auto"/>
          <w:sz w:val="24"/>
          <w:szCs w:val="24"/>
          <w:highlight w:val="none"/>
        </w:rPr>
        <w:t xml:space="preserve">承接企业为</w:t>
      </w:r>
      <w:r>
        <w:rPr>
          <w:rFonts w:hint="eastAsia" w:ascii="宋体" w:hAnsi="宋体"/>
          <w:i/>
          <w:color w:val="auto"/>
          <w:sz w:val="24"/>
          <w:szCs w:val="24"/>
          <w:highlight w:val="none"/>
          <w:u w:val="single"/>
        </w:rPr>
        <w:t xml:space="preserve">（企业名称）</w:t>
      </w:r>
      <w:r>
        <w:rPr>
          <w:rFonts w:hint="eastAsia" w:ascii="宋体" w:hAnsi="宋体"/>
          <w:color w:val="auto"/>
          <w:sz w:val="24"/>
          <w:szCs w:val="24"/>
          <w:highlight w:val="none"/>
        </w:rPr>
        <w:t xml:space="preserve">，</w:t>
      </w:r>
      <w:r>
        <w:rPr>
          <w:rFonts w:ascii="宋体" w:hAnsi="宋体"/>
          <w:color w:val="auto"/>
          <w:sz w:val="24"/>
          <w:szCs w:val="24"/>
          <w:highlight w:val="none"/>
        </w:rPr>
        <w:t xml:space="preserve">从业人员</w:t>
      </w:r>
      <w:r>
        <w:rPr>
          <w:rFonts w:ascii="宋体" w:hAnsi="宋体"/>
          <w:color w:val="auto"/>
          <w:sz w:val="24"/>
          <w:szCs w:val="24"/>
          <w:highlight w:val="none"/>
          <w:u w:val="single"/>
        </w:rPr>
        <w:tab/>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ab/>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ab/>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szCs w:val="24"/>
          <w:highlight w:val="none"/>
        </w:rPr>
        <w:t xml:space="preserve">1</w:t>
      </w:r>
      <w:r>
        <w:rPr>
          <w:color w:val="auto"/>
          <w:position w:val="16"/>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t xml:space="preserve">属于</w:t>
      </w:r>
      <w:r>
        <w:rPr>
          <w:rFonts w:ascii="宋体" w:hAnsi="宋体"/>
          <w:color w:val="auto"/>
          <w:sz w:val="24"/>
          <w:szCs w:val="24"/>
          <w:highlight w:val="none"/>
          <w:u w:val="single"/>
        </w:rPr>
        <w:tab/>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i/>
          <w:color w:val="auto"/>
          <w:sz w:val="24"/>
          <w:szCs w:val="24"/>
          <w:highlight w:val="none"/>
          <w:u w:val="single"/>
        </w:rPr>
        <w:t xml:space="preserve">（</w:t>
      </w:r>
      <w:r>
        <w:rPr>
          <w:rFonts w:hint="eastAsia" w:ascii="宋体" w:hAnsi="宋体"/>
          <w:i/>
          <w:color w:val="auto"/>
          <w:sz w:val="24"/>
          <w:szCs w:val="24"/>
          <w:highlight w:val="none"/>
        </w:rPr>
        <w:t xml:space="preserve">中型企业、小型企业、微型企业，三者选一填写）</w:t>
      </w:r>
      <w:r>
        <w:rPr>
          <w:rFonts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480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120" w:firstLine="480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w:t>
      </w:r>
      <w:r/>
    </w:p>
    <w:p>
      <w:pPr>
        <w:spacing w:line="360" w:lineRule="auto"/>
        <w:rPr>
          <w:rFonts w:ascii="宋体" w:hAnsi="宋体"/>
          <w:color w:val="auto"/>
          <w:sz w:val="24"/>
          <w:szCs w:val="24"/>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szCs w:val="24"/>
          <w:highlight w:val="none"/>
        </w:rPr>
        <w:t xml:space="preserve">1</w:t>
      </w:r>
      <w:r>
        <w:rPr>
          <w:color w:val="auto"/>
          <w:position w:val="16"/>
          <w:sz w:val="24"/>
          <w:szCs w:val="24"/>
          <w:highlight w:val="none"/>
        </w:rPr>
        <w:fldChar w:fldCharType="end"/>
      </w:r>
      <w:r>
        <w:rPr>
          <w:rFonts w:hint="eastAsia" w:ascii="宋体" w:hAnsi="宋体"/>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备注：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1、中小企业参加政府采购活动，应当出具《中小企业声明函》，否则不得享受相关中小企业扶持政策。</w:t>
      </w:r>
      <w:r/>
    </w:p>
    <w:p>
      <w:pPr>
        <w:ind w:firstLine="432"/>
        <w:spacing w:line="360" w:lineRule="auto"/>
        <w:rPr>
          <w:rFonts w:ascii="宋体" w:hAnsi="宋体"/>
          <w:b/>
          <w:color w:val="auto"/>
          <w:sz w:val="24"/>
          <w:szCs w:val="24"/>
          <w:highlight w:val="none"/>
        </w:rPr>
      </w:pPr>
      <w:r>
        <w:rPr>
          <w:rFonts w:ascii="宋体" w:hAnsi="宋体" w:cs="宋体"/>
          <w:color w:val="auto"/>
          <w:sz w:val="24"/>
          <w:szCs w:val="24"/>
          <w:highlight w:val="none"/>
        </w:rPr>
        <w:t xml:space="preserve">2、投标人提供的中小企业声明函必须包含本项目所有服务及其服务承接企业，并按照声明函格式填写完整、明确，否则视为未按规定提供声明函，投标无效。</w:t>
      </w:r>
      <w:r/>
    </w:p>
    <w:p>
      <w:pPr>
        <w:pStyle w:val="1221"/>
        <w:spacing w:line="360" w:lineRule="auto"/>
        <w:rPr>
          <w:rFonts w:hAnsi="宋体" w:eastAsia="宋体"/>
          <w:b/>
          <w:color w:val="auto"/>
          <w:sz w:val="24"/>
          <w:szCs w:val="24"/>
          <w:highlight w:val="none"/>
        </w:rPr>
      </w:pPr>
      <w:r>
        <w:rPr>
          <w:rFonts w:hAnsi="宋体" w:eastAsia="宋体"/>
          <w:b/>
          <w:color w:val="auto"/>
          <w:sz w:val="24"/>
          <w:szCs w:val="24"/>
          <w:highlight w:val="none"/>
        </w:rPr>
      </w:r>
      <w:r/>
    </w:p>
    <w:p>
      <w:pPr>
        <w:pStyle w:val="1221"/>
        <w:spacing w:line="360" w:lineRule="auto"/>
        <w:rPr>
          <w:rFonts w:hAnsi="宋体" w:eastAsia="宋体"/>
          <w:b/>
          <w:color w:val="auto"/>
          <w:sz w:val="24"/>
          <w:szCs w:val="24"/>
          <w:highlight w:val="none"/>
        </w:rPr>
        <w:outlineLvl w:val="2"/>
      </w:pPr>
      <w:r>
        <w:rPr>
          <w:rFonts w:hint="eastAsia" w:hAnsi="宋体" w:eastAsia="宋体"/>
          <w:b/>
          <w:color w:val="auto"/>
          <w:sz w:val="24"/>
          <w:szCs w:val="24"/>
          <w:highlight w:val="none"/>
        </w:rPr>
        <w:t xml:space="preserve">附：中小企业划型标准规定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（一）农、林、牧、渔业。</w:t>
      </w:r>
      <w:r>
        <w:rPr>
          <w:rFonts w:hint="eastAsia" w:hAnsi="宋体" w:eastAsia="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（二）工业。</w:t>
      </w:r>
      <w:r>
        <w:rPr>
          <w:rFonts w:hint="eastAsia" w:hAnsi="宋体" w:eastAsia="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（三）建筑业。</w:t>
      </w:r>
      <w:r>
        <w:rPr>
          <w:rFonts w:hint="eastAsia" w:hAnsi="宋体" w:eastAsia="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（四）批发业。</w:t>
      </w:r>
      <w:r>
        <w:rPr>
          <w:rFonts w:hint="eastAsia" w:hAnsi="宋体" w:eastAsia="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（五）零售业。</w:t>
      </w:r>
      <w:r>
        <w:rPr>
          <w:rFonts w:hint="eastAsia" w:hAnsi="宋体" w:eastAsia="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（六）交通运输业。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（七）仓储业。</w:t>
      </w:r>
      <w:r>
        <w:rPr>
          <w:rFonts w:hint="eastAsia" w:hAnsi="宋体" w:eastAsia="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（八）邮政业。</w:t>
      </w:r>
      <w:r>
        <w:rPr>
          <w:rFonts w:hint="eastAsia" w:hAnsi="宋体" w:eastAsia="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（九）住宿业。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（十）餐饮业。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（十一）信息传输业。</w:t>
      </w:r>
      <w:r>
        <w:rPr>
          <w:rFonts w:hint="eastAsia" w:hAnsi="宋体" w:eastAsia="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（十二）软件和信息技术服务业。</w:t>
      </w:r>
      <w:r>
        <w:rPr>
          <w:rFonts w:hint="eastAsia" w:hAnsi="宋体" w:eastAsia="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（十三）房地产开发经营。</w:t>
      </w:r>
      <w:r>
        <w:rPr>
          <w:rFonts w:hint="eastAsia" w:hAnsi="宋体" w:eastAsia="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（十四）物业管理。</w:t>
      </w:r>
      <w:r>
        <w:rPr>
          <w:rFonts w:hint="eastAsia" w:hAnsi="宋体" w:eastAsia="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221"/>
        <w:spacing w:line="360" w:lineRule="auto"/>
        <w:rPr>
          <w:rFonts w:hAnsi="宋体" w:eastAsia="宋体"/>
          <w:color w:val="auto"/>
          <w:sz w:val="24"/>
          <w:szCs w:val="24"/>
          <w:highlight w:val="none"/>
        </w:rPr>
      </w:pPr>
      <w:r>
        <w:rPr>
          <w:rFonts w:hint="eastAsia" w:hAnsi="宋体" w:eastAsia="宋体"/>
          <w:b/>
          <w:color w:val="auto"/>
          <w:sz w:val="24"/>
          <w:szCs w:val="24"/>
          <w:highlight w:val="none"/>
        </w:rPr>
        <w:t xml:space="preserve">（十五）租赁和商务服务业。</w:t>
      </w:r>
      <w:r>
        <w:rPr>
          <w:rFonts w:hint="eastAsia" w:hAnsi="宋体" w:eastAsia="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32"/>
        <w:spacing w:before="0" w:beforeAutospacing="0" w:after="0" w:afterAutospacing="0" w:line="360" w:lineRule="auto"/>
        <w:rPr>
          <w:rFonts w:eastAsia="宋体" w:cs="Times New Roman"/>
          <w:b/>
          <w:color w:val="auto"/>
          <w:szCs w:val="24"/>
          <w:highlight w:val="none"/>
        </w:rPr>
      </w:pPr>
      <w:r>
        <w:rPr>
          <w:rFonts w:hint="eastAsia" w:eastAsia="宋体"/>
          <w:b/>
          <w:color w:val="auto"/>
          <w:szCs w:val="24"/>
          <w:highlight w:val="none"/>
        </w:rPr>
        <w:t xml:space="preserve">（十六）其他未列明行业。</w:t>
      </w:r>
      <w:r>
        <w:rPr>
          <w:rFonts w:hint="eastAsia" w:eastAsia="宋体"/>
          <w:color w:val="auto"/>
          <w:szCs w:val="24"/>
          <w:highlight w:val="none"/>
        </w:rPr>
        <w:t xml:space="preserve">从业人员300人以下的为中小微型企业。其中，从业人员100人及以上的为中型企业；从业人员10人及以上的为小型企业；从业人员10人以下的为微型企业。</w:t>
      </w:r>
      <w:r/>
    </w:p>
    <w:p>
      <w:pPr>
        <w:pStyle w:val="1032"/>
        <w:spacing w:before="0" w:beforeAutospacing="0" w:after="0" w:afterAutospacing="0" w:line="360" w:lineRule="auto"/>
        <w:rPr>
          <w:rFonts w:eastAsia="宋体" w:cs="Times New Roman"/>
          <w:b/>
          <w:color w:val="auto"/>
          <w:szCs w:val="24"/>
          <w:highlight w:val="none"/>
        </w:rPr>
      </w:pPr>
      <w:r>
        <w:rPr>
          <w:rFonts w:eastAsia="宋体" w:cs="Times New Roman"/>
          <w:b/>
          <w:color w:val="auto"/>
          <w:szCs w:val="24"/>
          <w:highlight w:val="none"/>
        </w:rPr>
      </w:r>
      <w:r/>
    </w:p>
    <w:p>
      <w:pPr>
        <w:pStyle w:val="1032"/>
        <w:spacing w:before="0" w:beforeAutospacing="0" w:after="0" w:afterAutospacing="0" w:line="360" w:lineRule="auto"/>
        <w:rPr>
          <w:rFonts w:eastAsia="宋体" w:cs="Times New Roman"/>
          <w:b/>
          <w:color w:val="auto"/>
          <w:szCs w:val="24"/>
          <w:highlight w:val="none"/>
        </w:rPr>
      </w:pPr>
      <w:r>
        <w:rPr>
          <w:rFonts w:eastAsia="宋体" w:cs="Times New Roman"/>
          <w:b/>
          <w:color w:val="auto"/>
          <w:szCs w:val="24"/>
          <w:highlight w:val="none"/>
        </w:rPr>
      </w:r>
      <w:r/>
    </w:p>
    <w:p>
      <w:pPr>
        <w:pStyle w:val="1032"/>
        <w:spacing w:before="0" w:beforeAutospacing="0" w:after="0" w:afterAutospacing="0" w:line="360" w:lineRule="auto"/>
        <w:rPr>
          <w:rFonts w:eastAsia="宋体" w:cs="Times New Roman"/>
          <w:b/>
          <w:color w:val="auto"/>
          <w:szCs w:val="24"/>
          <w:highlight w:val="none"/>
        </w:rPr>
        <w:outlineLvl w:val="1"/>
      </w:pPr>
      <w:r>
        <w:rPr>
          <w:rFonts w:eastAsia="宋体" w:cs="Times New Roman"/>
          <w:b/>
          <w:color w:val="auto"/>
          <w:szCs w:val="24"/>
          <w:highlight w:val="none"/>
        </w:rPr>
        <w:br w:type="page" w:clear="all"/>
      </w:r>
      <w:r>
        <w:rPr>
          <w:rFonts w:eastAsia="宋体" w:cs="Times New Roman"/>
          <w:b/>
          <w:color w:val="auto"/>
          <w:szCs w:val="24"/>
          <w:highlight w:val="none"/>
        </w:rPr>
        <w:t xml:space="preserve">1</w:t>
      </w:r>
      <w:r>
        <w:rPr>
          <w:rFonts w:hint="eastAsia" w:eastAsia="宋体" w:cs="Times New Roman"/>
          <w:b/>
          <w:color w:val="auto"/>
          <w:szCs w:val="24"/>
          <w:highlight w:val="none"/>
        </w:rPr>
        <w:t xml:space="preserve">3、</w:t>
      </w:r>
      <w:r>
        <w:rPr>
          <w:rFonts w:eastAsia="宋体" w:cs="Times New Roman"/>
          <w:b/>
          <w:color w:val="auto"/>
          <w:szCs w:val="24"/>
          <w:highlight w:val="none"/>
        </w:rPr>
        <w:t xml:space="preserve">残疾人福利性单位声明函（</w:t>
      </w:r>
      <w:r>
        <w:rPr>
          <w:rFonts w:hint="eastAsia" w:eastAsia="宋体" w:cs="Times New Roman"/>
          <w:b/>
          <w:color w:val="auto"/>
          <w:szCs w:val="24"/>
          <w:highlight w:val="none"/>
        </w:rPr>
        <w:t xml:space="preserve">如有</w:t>
      </w:r>
      <w:r>
        <w:rPr>
          <w:rFonts w:eastAsia="宋体" w:cs="Times New Roman"/>
          <w:b/>
          <w:color w:val="auto"/>
          <w:szCs w:val="24"/>
          <w:highlight w:val="none"/>
        </w:rPr>
        <w:t xml:space="preserve">）</w:t>
      </w:r>
      <w:r/>
    </w:p>
    <w:p>
      <w:pPr>
        <w:jc w:val="left"/>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firstLine="1920"/>
        <w:jc w:val="left"/>
        <w:spacing w:line="360" w:lineRule="auto"/>
        <w:widowControl/>
        <w:rPr>
          <w:rFonts w:ascii="宋体" w:hAnsi="宋体"/>
          <w:color w:val="auto"/>
          <w:sz w:val="24"/>
          <w:szCs w:val="24"/>
          <w:highlight w:val="none"/>
        </w:rPr>
        <w:outlineLvl w:val="0"/>
      </w:pPr>
      <w:r>
        <w:rPr>
          <w:rFonts w:ascii="宋体" w:hAnsi="宋体"/>
          <w:color w:val="auto"/>
          <w:sz w:val="24"/>
          <w:szCs w:val="24"/>
          <w:highlight w:val="none"/>
        </w:rPr>
        <w:t xml:space="preserve">残疾人福利性单位声明函</w:t>
      </w:r>
      <w:r/>
    </w:p>
    <w:p>
      <w:pPr>
        <w:ind w:firstLine="1440"/>
        <w:jc w:val="left"/>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单位名称（盖章）：</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日 期：</w:t>
      </w:r>
      <w:r/>
    </w:p>
    <w:p>
      <w:pPr>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br w:type="page" w:clear="all"/>
      </w:r>
      <w:r>
        <w:rPr>
          <w:rFonts w:hint="eastAsia" w:ascii="宋体" w:hAnsi="宋体"/>
          <w:b/>
          <w:color w:val="auto"/>
          <w:sz w:val="24"/>
          <w:szCs w:val="24"/>
          <w:highlight w:val="none"/>
        </w:rPr>
        <w:t xml:space="preserve">14、</w:t>
      </w:r>
      <w:r>
        <w:rPr>
          <w:rFonts w:ascii="宋体" w:hAnsi="宋体"/>
          <w:b/>
          <w:color w:val="auto"/>
          <w:sz w:val="24"/>
          <w:szCs w:val="24"/>
          <w:highlight w:val="none"/>
        </w:rPr>
        <w:t xml:space="preserve">监狱企业证明文件（如有）</w:t>
      </w:r>
      <w:r/>
    </w:p>
    <w:p>
      <w:pPr>
        <w:pStyle w:val="1028"/>
        <w:ind w:left="525"/>
        <w:jc w:val="center"/>
        <w:spacing w:line="360" w:lineRule="auto"/>
        <w:rPr>
          <w:color w:val="auto"/>
          <w:highlight w:val="none"/>
        </w:rPr>
      </w:pPr>
      <w:r>
        <w:rPr>
          <w:color w:val="auto"/>
          <w:highlight w:val="none"/>
        </w:rPr>
      </w:r>
      <w:r/>
    </w:p>
    <w:p>
      <w:pPr>
        <w:ind w:firstLine="2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256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监狱企业证明文件</w:t>
      </w:r>
      <w:r/>
    </w:p>
    <w:p>
      <w:pPr>
        <w:spacing w:line="360" w:lineRule="auto"/>
        <w:rPr>
          <w:b/>
          <w:bCs/>
          <w:color w:val="auto"/>
          <w:sz w:val="24"/>
          <w:szCs w:val="24"/>
          <w:highlight w:val="none"/>
        </w:rPr>
      </w:pPr>
      <w:r>
        <w:rPr>
          <w:b/>
          <w:bCs/>
          <w:color w:val="auto"/>
          <w:sz w:val="24"/>
          <w:szCs w:val="24"/>
          <w:highlight w:val="none"/>
        </w:rPr>
      </w:r>
      <w:r/>
    </w:p>
    <w:p>
      <w:pPr>
        <w:ind w:firstLine="504"/>
        <w:spacing w:line="360" w:lineRule="auto"/>
        <w:rPr>
          <w:rFonts w:ascii="宋体" w:hAnsi="宋体"/>
          <w:b/>
          <w:color w:val="auto"/>
          <w:spacing w:val="6"/>
          <w:sz w:val="24"/>
          <w:szCs w:val="24"/>
          <w:highlight w:val="none"/>
        </w:rPr>
      </w:pPr>
      <w:r>
        <w:rPr>
          <w:rFonts w:hint="eastAsia" w:ascii="宋体" w:hAnsi="宋体"/>
          <w:b/>
          <w:color w:val="auto"/>
          <w:spacing w:val="6"/>
          <w:sz w:val="24"/>
          <w:szCs w:val="24"/>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b/>
          <w:color w:val="auto"/>
          <w:sz w:val="24"/>
          <w:szCs w:val="24"/>
          <w:highlight w:val="none"/>
        </w:rPr>
      </w:pPr>
      <w:r>
        <w:rPr>
          <w:rFonts w:ascii="宋体" w:hAnsi="宋体"/>
          <w:b/>
          <w:color w:val="auto"/>
          <w:sz w:val="24"/>
          <w:szCs w:val="24"/>
          <w:highlight w:val="none"/>
        </w:rPr>
      </w:r>
      <w:bookmarkEnd w:id="47"/>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pStyle w:val="1655"/>
        <w:spacing w:line="520" w:lineRule="exact"/>
        <w:rPr>
          <w:color w:val="auto"/>
          <w:highlight w:val="none"/>
        </w:rPr>
      </w:pPr>
      <w:r>
        <w:rPr>
          <w:b/>
          <w:color w:val="auto"/>
          <w:sz w:val="32"/>
          <w:highlight w:val="none"/>
        </w:rPr>
        <w:t xml:space="preserve">2</w:t>
      </w:r>
      <w:r>
        <w:rPr>
          <w:rFonts w:hint="eastAsia"/>
          <w:b/>
          <w:color w:val="auto"/>
          <w:sz w:val="32"/>
          <w:highlight w:val="none"/>
        </w:rPr>
        <w:t xml:space="preserve">5、关于符合本国产品标准的声明函</w:t>
      </w:r>
      <w:r>
        <w:rPr>
          <w:rFonts w:hint="eastAsia"/>
          <w:b/>
          <w:color w:val="auto"/>
          <w:sz w:val="32"/>
          <w:highlight w:val="none"/>
        </w:rPr>
        <w:br/>
      </w:r>
      <w:r/>
    </w:p>
    <w:p>
      <w:pPr>
        <w:pStyle w:val="1655"/>
        <w:jc w:val="center"/>
        <w:spacing w:line="520" w:lineRule="exact"/>
        <w:rPr>
          <w:rFonts w:ascii="宋体" w:hAnsi="宋体" w:cs="宋体"/>
          <w:color w:val="auto"/>
          <w:sz w:val="32"/>
          <w:highlight w:val="none"/>
        </w:rPr>
      </w:pPr>
      <w:r>
        <w:rPr>
          <w:rFonts w:hint="eastAsia" w:ascii="宋体" w:hAnsi="宋体" w:cs="宋体"/>
          <w:color w:val="auto"/>
          <w:sz w:val="32"/>
          <w:highlight w:val="none"/>
        </w:rPr>
        <w:t xml:space="preserve">关于符合本国产品标准的声明函</w:t>
      </w:r>
      <w:r/>
    </w:p>
    <w:p>
      <w:pPr>
        <w:pStyle w:val="1655"/>
        <w:spacing w:line="520" w:lineRule="exact"/>
        <w:rPr>
          <w:color w:val="auto"/>
          <w:sz w:val="24"/>
          <w:highlight w:val="none"/>
        </w:rPr>
      </w:pPr>
      <w:r>
        <w:rPr>
          <w:color w:val="auto"/>
          <w:sz w:val="24"/>
          <w:highlight w:val="none"/>
        </w:rPr>
      </w:r>
      <w:r/>
    </w:p>
    <w:p>
      <w:pPr>
        <w:pStyle w:val="1655"/>
        <w:ind w:firstLine="480"/>
        <w:spacing w:line="400" w:lineRule="exact"/>
        <w:rPr>
          <w:color w:val="auto"/>
          <w:sz w:val="24"/>
          <w:highlight w:val="none"/>
        </w:rPr>
      </w:pPr>
      <w:r>
        <w:rPr>
          <w:rFonts w:hint="eastAsia"/>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655"/>
        <w:ind w:firstLine="480"/>
        <w:spacing w:line="400" w:lineRule="exact"/>
        <w:rPr>
          <w:color w:val="auto"/>
          <w:sz w:val="24"/>
          <w:highlight w:val="none"/>
        </w:rPr>
      </w:pPr>
      <w:r>
        <w:rPr>
          <w:rFonts w:hint="eastAsia"/>
          <w:color w:val="auto"/>
          <w:sz w:val="24"/>
          <w:highlight w:val="none"/>
        </w:rPr>
        <w:t xml:space="preserve">1.</w:t>
      </w:r>
      <w:r>
        <w:rPr>
          <w:rFonts w:hint="eastAsia" w:ascii="宋体" w:hAnsi="宋体" w:cs="宋体"/>
          <w:i/>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（产品名称1）</w:t>
      </w:r>
      <w:r>
        <w:rPr>
          <w:rFonts w:hint="eastAsia"/>
          <w:color w:val="auto"/>
          <w:sz w:val="24"/>
          <w:highlight w:val="none"/>
          <w:vertAlign w:val="superscript"/>
        </w:rPr>
        <w:t xml:space="preserve">1</w:t>
      </w:r>
      <w:r>
        <w:rPr>
          <w:rFonts w:hint="eastAsia"/>
          <w:color w:val="auto"/>
          <w:sz w:val="24"/>
          <w:highlight w:val="none"/>
        </w:rPr>
        <w:t xml:space="preserve">，生产厂为 </w:t>
      </w:r>
      <w:r>
        <w:rPr>
          <w:rStyle w:val="1042"/>
          <w:rFonts w:hint="eastAsia" w:ascii="宋体" w:hAnsi="宋体" w:cs="宋体"/>
          <w:i w:val="0"/>
          <w:color w:val="auto"/>
          <w:sz w:val="24"/>
          <w:highlight w:val="none"/>
          <w:u w:val="single"/>
          <w:shd w:val="clear" w:color="auto" w:fill="ffffff"/>
        </w:rPr>
        <w:t xml:space="preserve">（厂 名） </w:t>
      </w:r>
      <w:r>
        <w:rPr>
          <w:rFonts w:hint="eastAsia"/>
          <w:color w:val="auto"/>
          <w:sz w:val="24"/>
          <w:highlight w:val="none"/>
          <w:vertAlign w:val="superscript"/>
        </w:rPr>
        <w:t xml:space="preserve">2</w:t>
      </w:r>
      <w:r>
        <w:rPr>
          <w:rFonts w:hint="eastAsia"/>
          <w:color w:val="auto"/>
          <w:sz w:val="24"/>
          <w:highlight w:val="none"/>
        </w:rPr>
        <w:t xml:space="preserve">，厂址为</w:t>
      </w:r>
      <w:r>
        <w:rPr>
          <w:rStyle w:val="1042"/>
          <w:rFonts w:hint="eastAsia" w:ascii="宋体" w:hAnsi="宋体" w:cs="宋体"/>
          <w:i w:val="0"/>
          <w:color w:val="auto"/>
          <w:sz w:val="24"/>
          <w:highlight w:val="none"/>
          <w:u w:val="single"/>
          <w:shd w:val="clear" w:color="auto" w:fill="ffffff"/>
        </w:rPr>
        <w:t xml:space="preserve">（生产厂址） </w:t>
      </w:r>
      <w:r>
        <w:rPr>
          <w:rFonts w:hint="eastAsia"/>
          <w:color w:val="auto"/>
          <w:sz w:val="24"/>
          <w:highlight w:val="none"/>
        </w:rPr>
        <w:t xml:space="preserve">。 </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 </w:t>
      </w:r>
      <w:r>
        <w:rPr>
          <w:rFonts w:hint="eastAsia"/>
          <w:color w:val="auto"/>
          <w:sz w:val="24"/>
          <w:highlight w:val="none"/>
        </w:rPr>
        <w:t xml:space="preserve">的中国境内生产的组件成本占比≥</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w:t>
      </w:r>
      <w:r>
        <w:rPr>
          <w:rStyle w:val="1042"/>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 xml:space="preserve">3</w:t>
      </w:r>
      <w:r>
        <w:rPr>
          <w:rFonts w:hint="eastAsia"/>
          <w:color w:val="auto"/>
          <w:sz w:val="24"/>
          <w:highlight w:val="none"/>
        </w:rPr>
        <w:t xml:space="preserve">。</w:t>
      </w:r>
      <w:r>
        <w:rPr>
          <w:rStyle w:val="1042"/>
          <w:rFonts w:ascii="宋体" w:hAnsi="宋体" w:cs="宋体"/>
          <w:i w:val="0"/>
          <w:color w:val="auto"/>
          <w:sz w:val="24"/>
          <w:highlight w:val="none"/>
          <w:u w:val="single"/>
          <w:shd w:val="clear" w:color="auto" w:fill="ffffff"/>
        </w:rPr>
        <w:t xml:space="preserve"> / </w:t>
      </w:r>
      <w:r>
        <w:rPr>
          <w:rFonts w:hint="eastAsia"/>
          <w:color w:val="auto"/>
          <w:sz w:val="24"/>
          <w:highlight w:val="none"/>
        </w:rPr>
        <w:t xml:space="preserve">的</w:t>
      </w:r>
      <w:r>
        <w:rPr>
          <w:rStyle w:val="1042"/>
          <w:rFonts w:ascii="宋体" w:hAnsi="宋体" w:cs="宋体"/>
          <w:i w:val="0"/>
          <w:color w:val="auto"/>
          <w:sz w:val="24"/>
          <w:highlight w:val="none"/>
          <w:u w:val="single"/>
          <w:shd w:val="clear" w:color="auto" w:fill="ffffff"/>
        </w:rPr>
        <w:t xml:space="preserve"> /  </w:t>
      </w:r>
      <w:r>
        <w:rPr>
          <w:rFonts w:hint="eastAsia"/>
          <w:color w:val="auto"/>
          <w:sz w:val="24"/>
          <w:highlight w:val="none"/>
          <w:vertAlign w:val="superscript"/>
        </w:rPr>
        <w:t xml:space="preserve">4</w:t>
      </w:r>
      <w:r>
        <w:rPr>
          <w:rFonts w:hint="eastAsia"/>
          <w:color w:val="auto"/>
          <w:sz w:val="24"/>
          <w:highlight w:val="none"/>
        </w:rPr>
        <w:t xml:space="preserve">在中国境内生产。</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w:t>
      </w:r>
      <w:r>
        <w:rPr>
          <w:rStyle w:val="1042"/>
          <w:rFonts w:ascii="宋体" w:hAnsi="宋体" w:cs="宋体"/>
          <w:i w:val="0"/>
          <w:color w:val="auto"/>
          <w:sz w:val="24"/>
          <w:highlight w:val="none"/>
          <w:u w:val="single"/>
          <w:shd w:val="clear" w:color="auto" w:fill="ffffff"/>
        </w:rPr>
        <w:t xml:space="preserve"> </w:t>
      </w:r>
      <w:r>
        <w:rPr>
          <w:rFonts w:hint="eastAsia"/>
          <w:color w:val="auto"/>
          <w:sz w:val="24"/>
          <w:highlight w:val="none"/>
        </w:rPr>
        <w:t xml:space="preserve">的</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w:t>
      </w:r>
      <w:r>
        <w:rPr>
          <w:rStyle w:val="1042"/>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 xml:space="preserve">5</w:t>
      </w:r>
      <w:r>
        <w:rPr>
          <w:rFonts w:hint="eastAsia"/>
          <w:color w:val="auto"/>
          <w:sz w:val="24"/>
          <w:highlight w:val="none"/>
        </w:rPr>
        <w:t xml:space="preserve">在中国境内完成。</w:t>
      </w:r>
      <w:r/>
    </w:p>
    <w:p>
      <w:pPr>
        <w:pStyle w:val="1655"/>
        <w:ind w:firstLine="480"/>
        <w:spacing w:line="400" w:lineRule="exact"/>
        <w:rPr>
          <w:color w:val="auto"/>
          <w:sz w:val="24"/>
          <w:highlight w:val="none"/>
        </w:rPr>
      </w:pPr>
      <w:r>
        <w:rPr>
          <w:color w:val="auto"/>
          <w:sz w:val="24"/>
          <w:highlight w:val="none"/>
        </w:rPr>
        <w:t xml:space="preserve">2</w:t>
      </w:r>
      <w:r>
        <w:rPr>
          <w:rFonts w:hint="eastAsia"/>
          <w:color w:val="auto"/>
          <w:sz w:val="24"/>
          <w:highlight w:val="none"/>
        </w:rPr>
        <w:t xml:space="preserve">.</w:t>
      </w:r>
      <w:r>
        <w:rPr>
          <w:rFonts w:hint="eastAsia" w:ascii="宋体" w:hAnsi="宋体" w:cs="宋体"/>
          <w:i/>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（产品名称2）</w:t>
      </w:r>
      <w:r>
        <w:rPr>
          <w:rFonts w:hint="eastAsia"/>
          <w:color w:val="auto"/>
          <w:sz w:val="24"/>
          <w:highlight w:val="none"/>
          <w:vertAlign w:val="superscript"/>
        </w:rPr>
        <w:t xml:space="preserve">1</w:t>
      </w:r>
      <w:r>
        <w:rPr>
          <w:rFonts w:hint="eastAsia"/>
          <w:color w:val="auto"/>
          <w:sz w:val="24"/>
          <w:highlight w:val="none"/>
        </w:rPr>
        <w:t xml:space="preserve">，生产厂为 </w:t>
      </w:r>
      <w:r>
        <w:rPr>
          <w:rStyle w:val="1042"/>
          <w:rFonts w:hint="eastAsia" w:ascii="宋体" w:hAnsi="宋体" w:cs="宋体"/>
          <w:i w:val="0"/>
          <w:color w:val="auto"/>
          <w:sz w:val="24"/>
          <w:highlight w:val="none"/>
          <w:u w:val="single"/>
          <w:shd w:val="clear" w:color="auto" w:fill="ffffff"/>
        </w:rPr>
        <w:t xml:space="preserve">（厂 名） </w:t>
      </w:r>
      <w:r>
        <w:rPr>
          <w:rFonts w:hint="eastAsia"/>
          <w:color w:val="auto"/>
          <w:sz w:val="24"/>
          <w:highlight w:val="none"/>
          <w:vertAlign w:val="superscript"/>
        </w:rPr>
        <w:t xml:space="preserve">2</w:t>
      </w:r>
      <w:r>
        <w:rPr>
          <w:rFonts w:hint="eastAsia"/>
          <w:color w:val="auto"/>
          <w:sz w:val="24"/>
          <w:highlight w:val="none"/>
        </w:rPr>
        <w:t xml:space="preserve">，厂址为</w:t>
      </w:r>
      <w:r>
        <w:rPr>
          <w:rStyle w:val="1042"/>
          <w:rFonts w:hint="eastAsia" w:ascii="宋体" w:hAnsi="宋体" w:cs="宋体"/>
          <w:i w:val="0"/>
          <w:color w:val="auto"/>
          <w:sz w:val="24"/>
          <w:highlight w:val="none"/>
          <w:u w:val="single"/>
          <w:shd w:val="clear" w:color="auto" w:fill="ffffff"/>
        </w:rPr>
        <w:t xml:space="preserve">（生产厂址） </w:t>
      </w:r>
      <w:r>
        <w:rPr>
          <w:rFonts w:hint="eastAsia"/>
          <w:color w:val="auto"/>
          <w:sz w:val="24"/>
          <w:highlight w:val="none"/>
        </w:rPr>
        <w:t xml:space="preserve">。 </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 </w:t>
      </w:r>
      <w:r>
        <w:rPr>
          <w:rFonts w:hint="eastAsia"/>
          <w:color w:val="auto"/>
          <w:sz w:val="24"/>
          <w:highlight w:val="none"/>
        </w:rPr>
        <w:t xml:space="preserve">的中国境内生产的组件成本占比≥</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w:t>
      </w:r>
      <w:r>
        <w:rPr>
          <w:rStyle w:val="1042"/>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 xml:space="preserve">3</w:t>
      </w:r>
      <w:r>
        <w:rPr>
          <w:rFonts w:hint="eastAsia"/>
          <w:color w:val="auto"/>
          <w:sz w:val="24"/>
          <w:highlight w:val="none"/>
        </w:rPr>
        <w:t xml:space="preserve">。</w:t>
      </w:r>
      <w:r>
        <w:rPr>
          <w:rStyle w:val="1042"/>
          <w:rFonts w:ascii="宋体" w:hAnsi="宋体" w:cs="宋体"/>
          <w:i w:val="0"/>
          <w:color w:val="auto"/>
          <w:sz w:val="24"/>
          <w:highlight w:val="none"/>
          <w:u w:val="single"/>
          <w:shd w:val="clear" w:color="auto" w:fill="ffffff"/>
        </w:rPr>
        <w:t xml:space="preserve"> / </w:t>
      </w:r>
      <w:r>
        <w:rPr>
          <w:rFonts w:hint="eastAsia"/>
          <w:color w:val="auto"/>
          <w:sz w:val="24"/>
          <w:highlight w:val="none"/>
        </w:rPr>
        <w:t xml:space="preserve">的</w:t>
      </w:r>
      <w:r>
        <w:rPr>
          <w:rStyle w:val="1042"/>
          <w:rFonts w:ascii="宋体" w:hAnsi="宋体" w:cs="宋体"/>
          <w:i w:val="0"/>
          <w:color w:val="auto"/>
          <w:sz w:val="24"/>
          <w:highlight w:val="none"/>
          <w:u w:val="single"/>
          <w:shd w:val="clear" w:color="auto" w:fill="ffffff"/>
        </w:rPr>
        <w:t xml:space="preserve"> /  </w:t>
      </w:r>
      <w:r>
        <w:rPr>
          <w:rFonts w:hint="eastAsia"/>
          <w:color w:val="auto"/>
          <w:sz w:val="24"/>
          <w:highlight w:val="none"/>
          <w:vertAlign w:val="superscript"/>
        </w:rPr>
        <w:t xml:space="preserve">4</w:t>
      </w:r>
      <w:r>
        <w:rPr>
          <w:rFonts w:hint="eastAsia"/>
          <w:color w:val="auto"/>
          <w:sz w:val="24"/>
          <w:highlight w:val="none"/>
        </w:rPr>
        <w:t xml:space="preserve">在中国境内生产。</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w:t>
      </w:r>
      <w:r>
        <w:rPr>
          <w:rStyle w:val="1042"/>
          <w:rFonts w:ascii="宋体" w:hAnsi="宋体" w:cs="宋体"/>
          <w:i w:val="0"/>
          <w:color w:val="auto"/>
          <w:sz w:val="24"/>
          <w:highlight w:val="none"/>
          <w:u w:val="single"/>
          <w:shd w:val="clear" w:color="auto" w:fill="ffffff"/>
        </w:rPr>
        <w:t xml:space="preserve"> </w:t>
      </w:r>
      <w:r>
        <w:rPr>
          <w:rFonts w:hint="eastAsia"/>
          <w:color w:val="auto"/>
          <w:sz w:val="24"/>
          <w:highlight w:val="none"/>
        </w:rPr>
        <w:t xml:space="preserve">的</w:t>
      </w:r>
      <w:r>
        <w:rPr>
          <w:rStyle w:val="1042"/>
          <w:rFonts w:hint="eastAsia" w:ascii="宋体" w:hAnsi="宋体" w:cs="宋体"/>
          <w:i w:val="0"/>
          <w:color w:val="auto"/>
          <w:sz w:val="24"/>
          <w:highlight w:val="none"/>
          <w:u w:val="single"/>
          <w:shd w:val="clear" w:color="auto" w:fill="ffffff"/>
        </w:rPr>
        <w:t xml:space="preserve"> </w:t>
      </w:r>
      <w:r>
        <w:rPr>
          <w:rStyle w:val="1042"/>
          <w:rFonts w:ascii="宋体" w:hAnsi="宋体" w:cs="宋体"/>
          <w:i w:val="0"/>
          <w:color w:val="auto"/>
          <w:sz w:val="24"/>
          <w:highlight w:val="none"/>
          <w:u w:val="single"/>
          <w:shd w:val="clear" w:color="auto" w:fill="ffffff"/>
        </w:rPr>
        <w:t xml:space="preserve"> </w:t>
      </w:r>
      <w:r>
        <w:rPr>
          <w:rStyle w:val="1042"/>
          <w:rFonts w:hint="eastAsia" w:ascii="宋体" w:hAnsi="宋体" w:cs="宋体"/>
          <w:i w:val="0"/>
          <w:color w:val="auto"/>
          <w:sz w:val="24"/>
          <w:highlight w:val="none"/>
          <w:u w:val="single"/>
          <w:shd w:val="clear" w:color="auto" w:fill="ffffff"/>
        </w:rPr>
        <w:t xml:space="preserve">/</w:t>
      </w:r>
      <w:r>
        <w:rPr>
          <w:rStyle w:val="1042"/>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 xml:space="preserve">5</w:t>
      </w:r>
      <w:r>
        <w:rPr>
          <w:rFonts w:hint="eastAsia"/>
          <w:color w:val="auto"/>
          <w:sz w:val="24"/>
          <w:highlight w:val="none"/>
        </w:rPr>
        <w:t xml:space="preserve">在中国境内完成。</w:t>
      </w:r>
      <w:r/>
    </w:p>
    <w:p>
      <w:pPr>
        <w:pStyle w:val="1655"/>
        <w:ind w:firstLine="480"/>
        <w:spacing w:line="400" w:lineRule="exact"/>
        <w:rPr>
          <w:color w:val="auto"/>
          <w:sz w:val="24"/>
          <w:highlight w:val="none"/>
        </w:rPr>
      </w:pPr>
      <w:r>
        <w:rPr>
          <w:rFonts w:hint="eastAsia"/>
          <w:color w:val="auto"/>
          <w:sz w:val="24"/>
          <w:highlight w:val="none"/>
        </w:rPr>
        <w:t xml:space="preserve">……</w:t>
      </w:r>
      <w:r/>
    </w:p>
    <w:p>
      <w:pPr>
        <w:pStyle w:val="1655"/>
        <w:ind w:firstLine="480"/>
        <w:spacing w:line="400" w:lineRule="exact"/>
        <w:rPr>
          <w:color w:val="auto"/>
          <w:sz w:val="24"/>
          <w:highlight w:val="none"/>
        </w:rPr>
      </w:pPr>
      <w:r>
        <w:rPr>
          <w:rFonts w:hint="eastAsia"/>
          <w:color w:val="auto"/>
          <w:sz w:val="24"/>
          <w:highlight w:val="none"/>
        </w:rPr>
        <w:t xml:space="preserve">本公司（单位）对上述声明内容的真实性负责。如有虚假，愿承担相应法律责任。</w:t>
      </w:r>
      <w:r/>
    </w:p>
    <w:p>
      <w:pPr>
        <w:pStyle w:val="1655"/>
        <w:spacing w:line="400" w:lineRule="exact"/>
        <w:rPr>
          <w:color w:val="auto"/>
          <w:sz w:val="24"/>
          <w:highlight w:val="none"/>
        </w:rPr>
      </w:pPr>
      <w:r>
        <w:rPr>
          <w:color w:val="auto"/>
          <w:sz w:val="24"/>
          <w:highlight w:val="none"/>
        </w:rPr>
      </w:r>
      <w:r/>
    </w:p>
    <w:p>
      <w:pPr>
        <w:pStyle w:val="1655"/>
        <w:ind w:firstLine="3840"/>
        <w:spacing w:line="400" w:lineRule="exact"/>
        <w:rPr>
          <w:color w:val="auto"/>
          <w:sz w:val="24"/>
          <w:highlight w:val="none"/>
        </w:rPr>
      </w:pPr>
      <w:r>
        <w:rPr>
          <w:rFonts w:hint="eastAsia"/>
          <w:color w:val="auto"/>
          <w:sz w:val="24"/>
          <w:highlight w:val="none"/>
        </w:rPr>
        <w:t xml:space="preserve">公司（单位）名称（盖章）： </w:t>
      </w:r>
      <w:r/>
    </w:p>
    <w:p>
      <w:pPr>
        <w:pStyle w:val="1655"/>
        <w:spacing w:line="400" w:lineRule="exact"/>
        <w:rPr>
          <w:color w:val="auto"/>
          <w:sz w:val="24"/>
          <w:highlight w:val="none"/>
        </w:rPr>
      </w:pPr>
      <w:r>
        <w:rPr>
          <w:rFonts w:hint="eastAsia"/>
          <w:color w:val="auto"/>
          <w:sz w:val="24"/>
          <w:highlight w:val="none"/>
        </w:rPr>
        <w:t xml:space="preserve">                                日期：　 </w:t>
      </w:r>
      <w:r>
        <w:rPr>
          <w:rFonts w:hint="eastAsia" w:ascii="宋体" w:hAnsi="宋体" w:cs="宋体"/>
          <w:color w:val="auto"/>
          <w:sz w:val="24"/>
          <w:highlight w:val="none"/>
        </w:rPr>
        <w:t xml:space="preserve">年 </w:t>
      </w:r>
      <w:r>
        <w:rPr>
          <w:rFonts w:hint="eastAsia"/>
          <w:color w:val="auto"/>
          <w:sz w:val="24"/>
          <w:highlight w:val="none"/>
        </w:rPr>
        <w:t xml:space="preserve"> </w:t>
      </w:r>
      <w:r>
        <w:rPr>
          <w:rFonts w:hint="eastAsia" w:ascii="宋体" w:hAnsi="宋体" w:cs="宋体"/>
          <w:color w:val="auto"/>
          <w:sz w:val="24"/>
          <w:highlight w:val="none"/>
        </w:rPr>
        <w:t xml:space="preserve">月 　日</w:t>
      </w:r>
      <w:r>
        <w:rPr>
          <w:rFonts w:hint="eastAsia"/>
          <w:color w:val="auto"/>
          <w:sz w:val="24"/>
          <w:highlight w:val="none"/>
        </w:rPr>
        <w:t xml:space="preserve">      </w:t>
      </w:r>
      <w:r/>
    </w:p>
    <w:p>
      <w:pPr>
        <w:pStyle w:val="1655"/>
        <w:spacing w:line="360" w:lineRule="exact"/>
        <w:rPr>
          <w:color w:val="auto"/>
          <w:sz w:val="24"/>
          <w:highlight w:val="none"/>
        </w:rPr>
      </w:pPr>
      <w:r>
        <w:rPr>
          <w:color w:val="auto"/>
          <w:sz w:val="24"/>
          <w:highlight w:val="none"/>
        </w:rPr>
      </w:r>
      <w:r/>
    </w:p>
    <w:p>
      <w:pPr>
        <w:pStyle w:val="1032"/>
        <w:spacing w:before="30" w:after="30" w:line="300" w:lineRule="exact"/>
        <w:rPr>
          <w:color w:val="auto"/>
          <w:szCs w:val="24"/>
          <w:highlight w:val="none"/>
        </w:rPr>
      </w:pPr>
      <w:r>
        <w:rPr>
          <w:rFonts w:hint="eastAsia" w:eastAsia="宋体"/>
          <w:color w:val="auto"/>
          <w:szCs w:val="24"/>
          <w:highlight w:val="none"/>
        </w:rPr>
        <w:t xml:space="preserve">注：</w:t>
      </w:r>
      <w:r/>
    </w:p>
    <w:p>
      <w:pPr>
        <w:pStyle w:val="1032"/>
        <w:spacing w:before="30" w:after="30" w:line="300" w:lineRule="exact"/>
        <w:rPr>
          <w:color w:val="auto"/>
          <w:szCs w:val="24"/>
          <w:highlight w:val="none"/>
        </w:rPr>
      </w:pPr>
      <w:r>
        <w:rPr>
          <w:rFonts w:hint="eastAsia" w:eastAsia="宋体"/>
          <w:color w:val="auto"/>
          <w:szCs w:val="24"/>
          <w:highlight w:val="none"/>
        </w:rPr>
        <w:t xml:space="preserve">1、产品如有型号，请在“产品名称”栏一并填写。</w:t>
      </w:r>
      <w:r/>
    </w:p>
    <w:p>
      <w:pPr>
        <w:pStyle w:val="1032"/>
        <w:spacing w:before="30" w:after="30" w:line="300" w:lineRule="exact"/>
        <w:rPr>
          <w:color w:val="auto"/>
          <w:szCs w:val="24"/>
          <w:highlight w:val="none"/>
        </w:rPr>
      </w:pPr>
      <w:r>
        <w:rPr>
          <w:rFonts w:hint="eastAsia" w:eastAsia="宋体"/>
          <w:color w:val="auto"/>
          <w:szCs w:val="24"/>
          <w:highlight w:val="none"/>
        </w:rPr>
        <w:t xml:space="preserve">2、生产厂名与厂址应与生产厂营业执照载明的相关信息保持一致。</w:t>
      </w:r>
      <w:r/>
    </w:p>
    <w:p>
      <w:pPr>
        <w:pStyle w:val="1032"/>
        <w:spacing w:before="30" w:after="30" w:line="300" w:lineRule="exact"/>
        <w:rPr>
          <w:color w:val="auto"/>
          <w:szCs w:val="24"/>
          <w:highlight w:val="none"/>
        </w:rPr>
      </w:pPr>
      <w:r>
        <w:rPr>
          <w:rFonts w:hint="eastAsia" w:eastAsia="宋体"/>
          <w:color w:val="auto"/>
          <w:szCs w:val="24"/>
          <w:highlight w:val="none"/>
        </w:rPr>
        <w:t xml:space="preserve">3、该产品的中国境内生产的组件成本占比相关要求实施前，“规定比例”栏可不填，下同。</w:t>
      </w:r>
      <w:r/>
    </w:p>
    <w:p>
      <w:pPr>
        <w:pStyle w:val="1032"/>
        <w:spacing w:before="30" w:after="30" w:line="300" w:lineRule="exact"/>
        <w:rPr>
          <w:color w:val="auto"/>
          <w:szCs w:val="24"/>
          <w:highlight w:val="none"/>
        </w:rPr>
      </w:pPr>
      <w:r>
        <w:rPr>
          <w:rFonts w:hint="eastAsia" w:eastAsia="宋体"/>
          <w:color w:val="auto"/>
          <w:szCs w:val="24"/>
          <w:highlight w:val="none"/>
        </w:rPr>
        <w:t xml:space="preserve">4、该产品的关键组件要求实施前，“关键组件”栏可不填，下同。</w:t>
      </w:r>
      <w:r/>
    </w:p>
    <w:p>
      <w:pPr>
        <w:pStyle w:val="1032"/>
        <w:spacing w:before="30" w:after="30" w:line="300" w:lineRule="exact"/>
        <w:rPr>
          <w:rFonts w:eastAsia="宋体"/>
          <w:color w:val="auto"/>
          <w:szCs w:val="24"/>
          <w:highlight w:val="none"/>
        </w:rPr>
      </w:pPr>
      <w:r>
        <w:rPr>
          <w:rFonts w:hint="eastAsia" w:eastAsia="宋体"/>
          <w:color w:val="auto"/>
          <w:szCs w:val="24"/>
          <w:highlight w:val="none"/>
        </w:rPr>
        <w:t xml:space="preserve">5、该产品的关键工序要求实施前，“关键工序”栏可不填，下同。</w:t>
      </w:r>
      <w:r/>
    </w:p>
    <w:p>
      <w:pPr>
        <w:pStyle w:val="1032"/>
        <w:spacing w:before="30" w:after="30" w:line="300" w:lineRule="exact"/>
        <w:rPr>
          <w:color w:val="auto"/>
          <w:highlight w:val="none"/>
        </w:rPr>
      </w:pPr>
      <w:r>
        <w:rPr>
          <w:rFonts w:hint="eastAsia"/>
          <w:color w:val="auto"/>
          <w:highlight w:val="none"/>
        </w:rPr>
        <w:t xml:space="preserve">6、《声明函》中标注“  </w:t>
      </w:r>
      <w:r>
        <w:rPr>
          <w:rFonts w:hint="eastAsia"/>
          <w:i/>
          <w:color w:val="auto"/>
          <w:highlight w:val="none"/>
        </w:rPr>
        <w:t xml:space="preserve">/  </w:t>
      </w:r>
      <w:r>
        <w:rPr>
          <w:rFonts w:hint="eastAsia"/>
          <w:color w:val="auto"/>
          <w:highlight w:val="none"/>
        </w:rPr>
        <w:t xml:space="preserve">”的地方无需填写。</w:t>
      </w:r>
      <w:r/>
    </w:p>
    <w:p>
      <w:pPr>
        <w:pStyle w:val="986"/>
        <w:spacing w:line="300" w:lineRule="exact"/>
        <w:rPr>
          <w:color w:val="auto"/>
          <w:highlight w:val="none"/>
        </w:rPr>
      </w:pPr>
      <w:r>
        <w:rPr>
          <w:rFonts w:hint="eastAsia" w:ascii="宋体" w:hAnsi="宋体"/>
          <w:b/>
          <w:bCs/>
          <w:color w:val="auto"/>
          <w:sz w:val="24"/>
          <w:highlight w:val="none"/>
        </w:rPr>
        <w:t xml:space="preserve">7、注：此项上传至“关于符合本国产品标准的声明函”节点</w:t>
      </w:r>
      <w:r>
        <w:rPr>
          <w:rFonts w:hint="eastAsia" w:ascii="宋体" w:hAnsi="宋体"/>
          <w:color w:val="auto"/>
          <w:sz w:val="24"/>
          <w:highlight w:val="none"/>
        </w:rPr>
        <w:t xml:space="preserve">     </w:t>
      </w:r>
      <w:r/>
    </w:p>
    <w:p>
      <w:pPr>
        <w:spacing w:line="360" w:lineRule="auto"/>
        <w:rPr>
          <w:rFonts w:ascii="宋体" w:hAnsi="宋体"/>
          <w:b/>
          <w:color w:val="auto"/>
          <w:sz w:val="24"/>
          <w:szCs w:val="24"/>
          <w:highlight w:val="none"/>
        </w:rPr>
      </w:pPr>
      <w:r>
        <w:rPr>
          <w:rFonts w:ascii="宋体" w:hAnsi="宋体"/>
          <w:b/>
          <w:color w:val="auto"/>
          <w:sz w:val="24"/>
          <w:szCs w:val="24"/>
          <w:highlight w:val="none"/>
        </w:rPr>
      </w:r>
      <w:bookmarkEnd w:id="42"/>
      <w:r/>
      <w:bookmarkEnd w:id="43"/>
      <w:r/>
      <w:bookmarkEnd w:id="44"/>
      <w:r/>
      <w:bookmarkEnd w:id="45"/>
      <w:r/>
      <w:bookmarkEnd w:id="46"/>
      <w:r/>
      <w:r/>
    </w:p>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br w:type="page" w:clear="all"/>
      </w:r>
      <w:r/>
    </w:p>
    <w:p>
      <w:pPr>
        <w:numPr>
          <w:ilvl w:val="0"/>
          <w:numId w:val="3"/>
        </w:numPr>
        <w:jc w:val="center"/>
        <w:spacing w:line="480" w:lineRule="auto"/>
        <w:rPr>
          <w:rFonts w:ascii="仿宋" w:hAnsi="仿宋" w:eastAsia="仿宋" w:cs="仿宋"/>
          <w:b/>
          <w:bCs/>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44"/>
          <w:szCs w:val="44"/>
          <w:highlight w:val="none"/>
        </w:rPr>
        <w:t xml:space="preserve">评标方法与评标标准</w:t>
      </w:r>
      <w:r/>
    </w:p>
    <w:p>
      <w:pPr>
        <w:pStyle w:val="1055"/>
        <w:rPr>
          <w:color w:val="auto"/>
          <w:highlight w:val="none"/>
        </w:rPr>
      </w:pPr>
      <w:r>
        <w:rPr>
          <w:color w:val="auto"/>
          <w:highlight w:val="none"/>
        </w:rPr>
      </w:r>
      <w:r/>
    </w:p>
    <w:p>
      <w:pPr>
        <w:pStyle w:val="1112"/>
        <w:ind w:firstLine="480"/>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一、评标办法：</w:t>
      </w:r>
      <w:r/>
    </w:p>
    <w:p>
      <w:pPr>
        <w:pStyle w:val="1112"/>
        <w:numPr>
          <w:ilvl w:val="0"/>
          <w:numId w:val="4"/>
        </w:numPr>
        <w:ind w:left="0" w:firstLine="48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4"/>
          <w:szCs w:val="24"/>
          <w:highlight w:val="none"/>
          <w:lang w:val="zh-CN"/>
        </w:rPr>
        <w:t xml:space="preserve">综合评分得分最高的投标人为中标候选人</w:t>
      </w:r>
      <w:r>
        <w:rPr>
          <w:rFonts w:hint="eastAsia" w:hAnsi="宋体" w:eastAsia="宋体" w:cs="宋体"/>
          <w:color w:val="auto"/>
          <w:sz w:val="24"/>
          <w:szCs w:val="24"/>
          <w:highlight w:val="none"/>
        </w:rPr>
        <w:t xml:space="preserve">。综合评分的主要因素为：价格、技术、信誉、业绩、服务、对招标文件的响应程度，以及相应的商务标和技术标比重或者分值等。</w:t>
      </w:r>
      <w:r/>
    </w:p>
    <w:p>
      <w:pPr>
        <w:numPr>
          <w:ilvl w:val="0"/>
          <w:numId w:val="4"/>
        </w:num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4"/>
        </w:num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结果按评审后得分由高到低顺序排列。得分相同的，按投标报价由低到高顺序排列。得分且投标报价相同的并列。投标文件满足招标文件全部实质性要求，各标段以评标总得分从高到低为相应标段中标候选人排名，排名第一的为中标供应商，定标的顺序从根据标段号顺序依次确定中标人。已达到得标上限数的供应商在后面的标段中失去得标权（已在前期各标段评审中获得了采购文件规定的得标上限数（</w:t>
      </w:r>
      <w:r>
        <w:rPr>
          <w:rFonts w:hint="eastAsia" w:ascii="宋体" w:hAnsi="宋体" w:cs="宋体"/>
          <w:b/>
          <w:bCs/>
          <w:color w:val="auto"/>
          <w:sz w:val="24"/>
          <w:szCs w:val="24"/>
          <w:highlight w:val="none"/>
        </w:rPr>
        <w:t xml:space="preserve">本项目上限数为1</w:t>
      </w:r>
      <w:r>
        <w:rPr>
          <w:rFonts w:hint="eastAsia" w:ascii="宋体" w:hAnsi="宋体" w:cs="宋体"/>
          <w:color w:val="auto"/>
          <w:sz w:val="24"/>
          <w:szCs w:val="24"/>
          <w:highlight w:val="none"/>
        </w:rPr>
        <w:t xml:space="preserve">）的供应商，不再具有该标段的得标权），由该标段具有得标权且评标总得分最高的为该标段中标供应商，进入每个标段评审的实质响应且具有得标权的供应商不得少于3家。</w:t>
      </w:r>
      <w:r/>
    </w:p>
    <w:p>
      <w:pPr>
        <w:numPr>
          <w:ilvl w:val="0"/>
          <w:numId w:val="4"/>
        </w:numPr>
        <w:ind w:left="0"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7.中小企业相关政策：</w:t>
      </w:r>
      <w:r/>
    </w:p>
    <w:p>
      <w:pPr>
        <w:ind w:firstLine="480"/>
        <w:spacing w:line="360" w:lineRule="auto"/>
        <w:widowControl/>
        <w:rPr>
          <w:rFonts w:ascii="宋体" w:hAnsi="宋体" w:cs="宋体"/>
          <w:b/>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二、评分标准：</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价格分（15分）</w:t>
      </w:r>
      <w:r/>
    </w:p>
    <w:p>
      <w:pPr>
        <w:pStyle w:val="1189"/>
        <w:ind w:firstLine="480"/>
        <w:jc w:val="left"/>
        <w:widowControl/>
        <w:rPr>
          <w:rFonts w:asciiTheme="minorEastAsia" w:hAnsiTheme="minorEastAsia" w:eastAsiaTheme="minorEastAsia" w:cstheme="minorBidi"/>
          <w:color w:val="auto"/>
          <w:highlight w:val="none"/>
        </w:rPr>
      </w:pPr>
      <w:r/>
      <w:bookmarkStart w:id="48" w:name="OLE_LINK5"/>
      <w:r>
        <w:rPr>
          <w:rFonts w:hint="eastAsia" w:asciiTheme="minorEastAsia" w:hAnsiTheme="minorEastAsia" w:eastAsiaTheme="minorEastAsia" w:cstheme="minorBidi"/>
          <w:color w:val="auto"/>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pStyle w:val="1189"/>
        <w:ind w:firstLine="480"/>
        <w:jc w:val="left"/>
        <w:widowControl/>
        <w:rPr>
          <w:rFonts w:asciiTheme="minorEastAsia" w:hAnsiTheme="minorEastAsia" w:eastAsiaTheme="minorEastAsia" w:cstheme="minorBidi"/>
          <w:color w:val="auto"/>
          <w:highlight w:val="none"/>
        </w:rPr>
      </w:pPr>
      <w:r>
        <w:rPr>
          <w:rFonts w:hint="eastAsia" w:asciiTheme="minorEastAsia" w:hAnsiTheme="minorEastAsia" w:eastAsiaTheme="minorEastAsia" w:cstheme="minorBidi"/>
          <w:color w:val="auto"/>
          <w:highlight w:val="none"/>
        </w:rPr>
        <w:t xml:space="preserve">第二步：在所有有效投标报价中满足招标文件要求，且投标价格最低的投标报价为评标基准价，其价格分为15分，其他投标人的价格分按照下列公式计算（计算结果四舍五入保留两位小数）。</w:t>
      </w:r>
      <w:r/>
    </w:p>
    <w:p>
      <w:pPr>
        <w:pStyle w:val="1189"/>
        <w:ind w:firstLine="480"/>
        <w:jc w:val="left"/>
        <w:widowControl/>
        <w:rPr>
          <w:rFonts w:asciiTheme="minorEastAsia" w:hAnsiTheme="minorEastAsia" w:eastAsiaTheme="minorEastAsia" w:cstheme="minorBidi"/>
          <w:color w:val="auto"/>
          <w:highlight w:val="none"/>
        </w:rPr>
      </w:pPr>
      <w:r>
        <w:rPr>
          <w:rFonts w:hint="eastAsia" w:asciiTheme="minorEastAsia" w:hAnsiTheme="minorEastAsia" w:eastAsiaTheme="minorEastAsia" w:cstheme="minorBidi"/>
          <w:color w:val="auto"/>
          <w:highlight w:val="none"/>
        </w:rPr>
        <w:t xml:space="preserve">投标报价得分＝（评标基准价/投标报价）×15％×100</w:t>
      </w:r>
      <w:bookmarkEnd w:id="48"/>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重点内容响应情况（48分）</w:t>
      </w:r>
      <w:r/>
    </w:p>
    <w:p>
      <w:pPr>
        <w:pStyle w:val="1189"/>
        <w:ind w:firstLine="482"/>
        <w:jc w:val="left"/>
        <w:widowControl/>
        <w:rPr>
          <w:rFonts w:asciiTheme="minorEastAsia" w:hAnsiTheme="minorEastAsia" w:eastAsiaTheme="minorEastAsia" w:cstheme="minorBidi"/>
          <w:b/>
          <w:bCs/>
          <w:color w:val="auto"/>
          <w:highlight w:val="none"/>
        </w:rPr>
      </w:pPr>
      <w:r>
        <w:rPr>
          <w:rFonts w:hint="eastAsia" w:asciiTheme="minorEastAsia" w:hAnsiTheme="minorEastAsia" w:eastAsiaTheme="minorEastAsia"/>
          <w:b/>
          <w:bCs/>
          <w:color w:val="auto"/>
          <w:highlight w:val="none"/>
          <w:lang w:val="zh-TW"/>
        </w:rPr>
        <w:t xml:space="preserve">①</w:t>
      </w:r>
      <w:r>
        <w:rPr>
          <w:rFonts w:hint="eastAsia" w:asciiTheme="minorEastAsia" w:hAnsiTheme="minorEastAsia" w:eastAsiaTheme="minorEastAsia" w:cstheme="minorBidi"/>
          <w:b/>
          <w:bCs/>
          <w:color w:val="auto"/>
          <w:highlight w:val="none"/>
        </w:rPr>
        <w:t xml:space="preserve">“▲”条款响应情况重要功能响应（40分）</w:t>
      </w:r>
      <w:r/>
    </w:p>
    <w:p>
      <w:pPr>
        <w:pStyle w:val="1189"/>
        <w:ind w:firstLine="480"/>
        <w:jc w:val="left"/>
        <w:widowControl/>
        <w:rPr>
          <w:rFonts w:asciiTheme="minorEastAsia" w:hAnsiTheme="minorEastAsia" w:eastAsiaTheme="minorEastAsia" w:cstheme="minorBidi"/>
          <w:color w:val="auto"/>
          <w:highlight w:val="none"/>
        </w:rPr>
      </w:pPr>
      <w:r>
        <w:rPr>
          <w:rFonts w:hint="eastAsia" w:asciiTheme="minorEastAsia" w:hAnsiTheme="minorEastAsia" w:eastAsiaTheme="minorEastAsia" w:cstheme="minorBidi"/>
          <w:color w:val="auto"/>
          <w:highlight w:val="none"/>
        </w:rPr>
        <w:t xml:space="preserve">投标人按照招标文件要求对采购需求“需求功能模块技术参数及要求”要求进行应答：</w:t>
      </w:r>
      <w:r/>
    </w:p>
    <w:p>
      <w:pPr>
        <w:pStyle w:val="1189"/>
        <w:ind w:firstLine="480"/>
        <w:jc w:val="left"/>
        <w:widowControl/>
        <w:rPr>
          <w:rFonts w:asciiTheme="minorEastAsia" w:hAnsiTheme="minorEastAsia" w:eastAsiaTheme="minorEastAsia" w:cstheme="minorBidi"/>
          <w:color w:val="auto"/>
          <w:highlight w:val="none"/>
        </w:rPr>
      </w:pPr>
      <w:r>
        <w:rPr>
          <w:rFonts w:hint="eastAsia" w:asciiTheme="minorEastAsia" w:hAnsiTheme="minorEastAsia" w:eastAsiaTheme="minorEastAsia" w:cstheme="minorBidi"/>
          <w:color w:val="auto"/>
          <w:highlight w:val="none"/>
        </w:rPr>
        <w:t xml:space="preserve">带“▲”</w:t>
      </w:r>
      <w:r>
        <w:rPr>
          <w:rFonts w:hint="eastAsia" w:asciiTheme="minorEastAsia" w:hAnsiTheme="minorEastAsia" w:eastAsiaTheme="minorEastAsia" w:cstheme="minorBidi"/>
          <w:color w:val="auto"/>
          <w:highlight w:val="none"/>
          <w:lang w:val="en-US" w:eastAsia="zh-CN"/>
        </w:rPr>
        <w:t xml:space="preserve">条款</w:t>
      </w:r>
      <w:r>
        <w:rPr>
          <w:rFonts w:hint="eastAsia" w:asciiTheme="minorEastAsia" w:hAnsiTheme="minorEastAsia" w:eastAsiaTheme="minorEastAsia" w:cstheme="minorBidi"/>
          <w:color w:val="auto"/>
          <w:highlight w:val="none"/>
        </w:rPr>
        <w:t xml:space="preserve">需按要求提供截图或承诺函（格式自拟），每有一项符合要求的得2分，共20项</w:t>
      </w:r>
      <w:r>
        <w:rPr>
          <w:rFonts w:hint="eastAsia" w:asciiTheme="minorEastAsia" w:hAnsiTheme="minorEastAsia" w:eastAsiaTheme="minorEastAsia" w:cstheme="minorBidi"/>
          <w:color w:val="auto"/>
          <w:highlight w:val="none"/>
          <w:lang w:eastAsia="zh-CN"/>
        </w:rPr>
        <w:t xml:space="preserve">（</w:t>
      </w:r>
      <w:r>
        <w:rPr>
          <w:rFonts w:hint="eastAsia" w:asciiTheme="minorEastAsia" w:hAnsiTheme="minorEastAsia" w:eastAsiaTheme="minorEastAsia" w:cstheme="minorBidi"/>
          <w:color w:val="auto"/>
          <w:highlight w:val="none"/>
          <w:lang w:val="en-US" w:eastAsia="zh-CN"/>
        </w:rPr>
        <w:t xml:space="preserve">40分</w:t>
      </w:r>
      <w:r>
        <w:rPr>
          <w:rFonts w:hint="eastAsia" w:asciiTheme="minorEastAsia" w:hAnsiTheme="minorEastAsia" w:eastAsiaTheme="minorEastAsia" w:cstheme="minorBidi"/>
          <w:color w:val="auto"/>
          <w:highlight w:val="none"/>
          <w:lang w:eastAsia="zh-CN"/>
        </w:rPr>
        <w:t xml:space="preserve">）</w:t>
      </w:r>
      <w:r>
        <w:rPr>
          <w:rFonts w:hint="eastAsia" w:asciiTheme="minorEastAsia" w:hAnsiTheme="minorEastAsia" w:eastAsiaTheme="minorEastAsia" w:cstheme="minorBidi"/>
          <w:color w:val="auto"/>
          <w:highlight w:val="none"/>
        </w:rPr>
        <w:t xml:space="preserve">。</w:t>
      </w:r>
      <w:r/>
    </w:p>
    <w:p>
      <w:pPr>
        <w:pStyle w:val="1189"/>
        <w:ind w:firstLine="482"/>
        <w:jc w:val="left"/>
        <w:widowControl/>
        <w:rPr>
          <w:rFonts w:asciiTheme="minorEastAsia" w:hAnsiTheme="minorEastAsia" w:eastAsiaTheme="minorEastAsia" w:cstheme="minorBidi"/>
          <w:b/>
          <w:bCs/>
          <w:color w:val="auto"/>
          <w:highlight w:val="none"/>
        </w:rPr>
      </w:pPr>
      <w:r>
        <w:rPr>
          <w:rFonts w:hint="eastAsia" w:asciiTheme="minorEastAsia" w:hAnsiTheme="minorEastAsia" w:eastAsiaTheme="minorEastAsia"/>
          <w:b/>
          <w:bCs/>
          <w:color w:val="auto"/>
          <w:highlight w:val="none"/>
          <w:lang w:val="zh-TW"/>
        </w:rPr>
        <w:t xml:space="preserve">②</w:t>
      </w:r>
      <w:r>
        <w:rPr>
          <w:rFonts w:hint="eastAsia" w:asciiTheme="minorEastAsia" w:hAnsiTheme="minorEastAsia" w:eastAsiaTheme="minorEastAsia" w:cstheme="minorBidi"/>
          <w:b/>
          <w:bCs/>
          <w:color w:val="auto"/>
          <w:highlight w:val="none"/>
        </w:rPr>
        <w:t xml:space="preserve">关键技术能力响应情况（8分）</w:t>
      </w:r>
      <w:r/>
    </w:p>
    <w:p>
      <w:pPr>
        <w:pStyle w:val="1189"/>
        <w:ind w:firstLine="480"/>
        <w:jc w:val="left"/>
        <w:widowControl/>
        <w:rPr>
          <w:rFonts w:asciiTheme="minorEastAsia" w:hAnsiTheme="minorEastAsia" w:eastAsiaTheme="minorEastAsia" w:cstheme="minorBidi"/>
          <w:color w:val="auto"/>
          <w:highlight w:val="none"/>
        </w:rPr>
      </w:pPr>
      <w:r>
        <w:rPr>
          <w:rFonts w:asciiTheme="minorEastAsia" w:hAnsiTheme="minorEastAsia" w:eastAsiaTheme="minorEastAsia" w:cstheme="minorBidi"/>
          <w:color w:val="auto"/>
          <w:highlight w:val="none"/>
        </w:rPr>
        <w:t xml:space="preserve">投标人按照招标文件要求以下四项核心能力需要提供完整测评证书或者互认证证书并加盖公章，确保信息真实有效，每缺失一项扣2分，共8分。未提供和未盖章的均不得分。</w:t>
      </w:r>
      <w:r/>
    </w:p>
    <w:p>
      <w:pPr>
        <w:pStyle w:val="1189"/>
        <w:ind w:firstLine="480"/>
        <w:jc w:val="left"/>
        <w:widowControl/>
        <w:rPr>
          <w:rFonts w:asciiTheme="minorEastAsia" w:hAnsiTheme="minorEastAsia" w:eastAsiaTheme="minorEastAsia" w:cstheme="minorBidi"/>
          <w:color w:val="auto"/>
          <w:highlight w:val="none"/>
        </w:rPr>
      </w:pPr>
      <w:r>
        <w:rPr>
          <w:rFonts w:asciiTheme="minorEastAsia" w:hAnsiTheme="minorEastAsia" w:eastAsiaTheme="minorEastAsia" w:cstheme="minorBidi"/>
          <w:color w:val="auto"/>
          <w:highlight w:val="none"/>
        </w:rPr>
        <w:t xml:space="preserve">（1）医学大模型核心底座能力：考虑到本项目患者、医护、医患、管理的场景应用需求，均构建在大模型能力之上，是项目的核心所在。投标人需具备成熟的大模型服务能力，需提供由国家测评机构（中国信息通信研究院或中国电子技术标准化研究院）开具的“大模型服务能力成熟度等级证书”。</w:t>
      </w:r>
      <w:r/>
    </w:p>
    <w:p>
      <w:pPr>
        <w:pStyle w:val="1189"/>
        <w:ind w:firstLine="480"/>
        <w:jc w:val="left"/>
        <w:widowControl/>
        <w:rPr>
          <w:rFonts w:asciiTheme="minorEastAsia" w:hAnsiTheme="minorEastAsia" w:eastAsiaTheme="minorEastAsia" w:cstheme="minorBidi"/>
          <w:color w:val="auto"/>
          <w:highlight w:val="none"/>
        </w:rPr>
      </w:pPr>
      <w:r>
        <w:rPr>
          <w:rFonts w:asciiTheme="minorEastAsia" w:hAnsiTheme="minorEastAsia" w:eastAsiaTheme="minorEastAsia" w:cstheme="minorBidi"/>
          <w:color w:val="auto"/>
          <w:highlight w:val="none"/>
        </w:rPr>
        <w:t xml:space="preserve">（2）智能体开发平台能力：考虑到本项目人工智能产品开发需满足数据不出院，在院内进行数据处理、模型构建，在不同场景智能体应用的要求，需为医院搭建一个统一的模型中心，支持自动学习、数据中心、训练中心、应用编排、应用管理等一系列模型服务。需提供由国家测评机构（中国信息通信研究院或中国电子技术标准化研究院）开具的“人工智能开发平台产品能力评测证书”。</w:t>
      </w:r>
      <w:r/>
    </w:p>
    <w:p>
      <w:pPr>
        <w:pStyle w:val="1189"/>
        <w:ind w:firstLine="480"/>
        <w:jc w:val="left"/>
        <w:widowControl/>
        <w:rPr>
          <w:rFonts w:asciiTheme="minorEastAsia" w:hAnsiTheme="minorEastAsia" w:eastAsiaTheme="minorEastAsia" w:cstheme="minorBidi"/>
          <w:color w:val="auto"/>
          <w:highlight w:val="none"/>
        </w:rPr>
      </w:pPr>
      <w:r>
        <w:rPr>
          <w:rFonts w:asciiTheme="minorEastAsia" w:hAnsiTheme="minorEastAsia" w:eastAsiaTheme="minorEastAsia" w:cstheme="minorBidi"/>
          <w:color w:val="auto"/>
          <w:highlight w:val="none"/>
        </w:rPr>
        <w:t xml:space="preserve">（3）机器学习平台能力：考虑到本项目建设元宇宙急救、全周期健康管理、智能决策推演等多个算法模型，需满足机器学习能力，且对底层算力的调度能力要求较高，需提供由国家测评机构（中国信息通信研究院或中国电子技术标准化研究院）开具的“机器学习智算服务可信云”证书。</w:t>
      </w:r>
      <w:r/>
    </w:p>
    <w:p>
      <w:pPr>
        <w:pStyle w:val="1189"/>
        <w:ind w:firstLine="480"/>
        <w:jc w:val="left"/>
        <w:widowControl/>
        <w:rPr>
          <w:rFonts w:asciiTheme="minorEastAsia" w:hAnsiTheme="minorEastAsia" w:eastAsiaTheme="minorEastAsia" w:cstheme="minorBidi"/>
          <w:color w:val="auto"/>
          <w:highlight w:val="none"/>
        </w:rPr>
      </w:pPr>
      <w:r>
        <w:rPr>
          <w:rFonts w:asciiTheme="minorEastAsia" w:hAnsiTheme="minorEastAsia" w:eastAsiaTheme="minorEastAsia" w:cstheme="minorBidi"/>
          <w:color w:val="auto"/>
          <w:highlight w:val="none"/>
        </w:rPr>
        <w:t xml:space="preserve">（4）统一人工智能平台能力：考虑到本项目复杂度高，软硬件适配对工期的影响较大，需满足与符合安全可靠测试要求的操作系统、CPU服务器、AI芯片服务器、数据库、中间件等的互认证，并提供产品兼容性证明或技术认证书证明材料。（证明在多种环境中的兼容性、稳定性与性能一致性，不少于5个，不区分产品，否则不得分）。</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建设内容响应情况（14分）</w:t>
      </w:r>
      <w:r/>
    </w:p>
    <w:p>
      <w:pPr>
        <w:pStyle w:val="1189"/>
        <w:ind w:firstLine="482"/>
        <w:jc w:val="left"/>
        <w:widowControl/>
        <w:rPr>
          <w:rFonts w:ascii="宋体" w:hAnsi="宋体"/>
          <w:b/>
          <w:bCs/>
          <w:color w:val="auto"/>
          <w:highlight w:val="none"/>
        </w:rPr>
      </w:pPr>
      <w:r>
        <w:rPr>
          <w:rFonts w:hint="eastAsia" w:asciiTheme="minorEastAsia" w:hAnsiTheme="minorEastAsia" w:eastAsiaTheme="minorEastAsia"/>
          <w:b/>
          <w:bCs/>
          <w:color w:val="auto"/>
          <w:highlight w:val="none"/>
          <w:lang w:val="zh-TW"/>
        </w:rPr>
        <w:t xml:space="preserve">①</w:t>
      </w:r>
      <w:r>
        <w:rPr>
          <w:rFonts w:hint="eastAsia" w:ascii="宋体" w:hAnsi="宋体"/>
          <w:b/>
          <w:bCs/>
          <w:color w:val="auto"/>
          <w:highlight w:val="none"/>
        </w:rPr>
        <w:t xml:space="preserve">需求理解（6分）</w:t>
      </w:r>
      <w:r/>
    </w:p>
    <w:p>
      <w:pPr>
        <w:pStyle w:val="1189"/>
        <w:ind w:firstLine="480"/>
        <w:jc w:val="left"/>
        <w:widowControl/>
        <w:rPr>
          <w:rFonts w:ascii="宋体" w:hAnsi="宋体"/>
          <w:color w:val="auto"/>
          <w:highlight w:val="none"/>
        </w:rPr>
      </w:pPr>
      <w:r>
        <w:rPr>
          <w:rFonts w:ascii="宋体" w:hAnsi="宋体"/>
          <w:color w:val="auto"/>
          <w:highlight w:val="none"/>
        </w:rPr>
        <w:t xml:space="preserve">根据投标人对本项目设计方案响应内容，主要包括</w:t>
      </w:r>
      <w:r>
        <w:rPr>
          <w:rFonts w:hint="eastAsia" w:ascii="宋体" w:hAnsi="宋体"/>
          <w:color w:val="auto"/>
          <w:highlight w:val="none"/>
        </w:rPr>
        <w:t xml:space="preserve">（1）</w:t>
      </w:r>
      <w:r>
        <w:rPr>
          <w:rFonts w:ascii="宋体" w:hAnsi="宋体"/>
          <w:color w:val="auto"/>
          <w:highlight w:val="none"/>
        </w:rPr>
        <w:t xml:space="preserve">项目必要性及需求理解：深入分析项目实施政策及依据、行业发展需求及趋势、项目建设目标分析、问题与差距理解、项目实施必要性，确保全面精准把握项目需求核心要点；</w:t>
      </w:r>
      <w:r>
        <w:rPr>
          <w:rFonts w:hint="eastAsia" w:ascii="宋体" w:hAnsi="宋体"/>
          <w:color w:val="auto"/>
          <w:highlight w:val="none"/>
        </w:rPr>
        <w:t xml:space="preserve">（2）</w:t>
      </w:r>
      <w:r>
        <w:rPr>
          <w:rFonts w:ascii="宋体" w:hAnsi="宋体"/>
          <w:color w:val="auto"/>
          <w:highlight w:val="none"/>
        </w:rPr>
        <w:t xml:space="preserve">项目建设内容需求分析，针对项目目标分析、项目需求功能分析及性能分析，确保全面精准理解建设内容及要求；</w:t>
      </w:r>
      <w:r>
        <w:rPr>
          <w:rFonts w:hint="eastAsia" w:ascii="宋体" w:hAnsi="宋体"/>
          <w:color w:val="auto"/>
          <w:highlight w:val="none"/>
        </w:rPr>
        <w:t xml:space="preserve">（3）</w:t>
      </w:r>
      <w:r>
        <w:rPr>
          <w:rFonts w:ascii="宋体" w:hAnsi="宋体"/>
          <w:color w:val="auto"/>
          <w:highlight w:val="none"/>
        </w:rPr>
        <w:t xml:space="preserve">业务可行性内容评审：对项目数据分析、需求可行性分析、当前业务流程分析、升级后的流程分析，确保深入理解项目及建设方案设计可行可靠；</w:t>
      </w:r>
      <w:r/>
    </w:p>
    <w:p>
      <w:pPr>
        <w:pStyle w:val="1189"/>
        <w:ind w:firstLine="480"/>
        <w:jc w:val="left"/>
        <w:widowControl/>
        <w:rPr>
          <w:rFonts w:ascii="宋体" w:hAnsi="宋体"/>
          <w:color w:val="auto"/>
          <w:highlight w:val="none"/>
        </w:rPr>
      </w:pPr>
      <w:r>
        <w:rPr>
          <w:rFonts w:ascii="宋体" w:hAnsi="宋体"/>
          <w:color w:val="auto"/>
          <w:highlight w:val="none"/>
        </w:rPr>
        <w:t xml:space="preserve">方案内容每有一项内容针对本项目且符合本项目实际需求的，得2分，满分6分。每缺少一项内容，或内容非专门针对本项目，或内容不能满足本项目实际需求的，不得分。</w:t>
      </w:r>
      <w:r/>
    </w:p>
    <w:p>
      <w:pPr>
        <w:pStyle w:val="1189"/>
        <w:ind w:firstLine="482"/>
        <w:jc w:val="left"/>
        <w:widowControl/>
        <w:rPr>
          <w:rFonts w:ascii="宋体" w:hAnsi="宋体"/>
          <w:b/>
          <w:bCs/>
          <w:color w:val="auto"/>
          <w:highlight w:val="none"/>
        </w:rPr>
      </w:pPr>
      <w:r>
        <w:rPr>
          <w:rFonts w:hint="eastAsia" w:asciiTheme="minorEastAsia" w:hAnsiTheme="minorEastAsia" w:eastAsiaTheme="minorEastAsia"/>
          <w:b/>
          <w:bCs/>
          <w:color w:val="auto"/>
          <w:highlight w:val="none"/>
          <w:lang w:val="zh-TW"/>
        </w:rPr>
        <w:t xml:space="preserve">②</w:t>
      </w:r>
      <w:r>
        <w:rPr>
          <w:rFonts w:hint="eastAsia" w:ascii="宋体" w:hAnsi="宋体"/>
          <w:b/>
          <w:bCs/>
          <w:color w:val="auto"/>
          <w:highlight w:val="none"/>
        </w:rPr>
        <w:t xml:space="preserve">总体架构设计方案（8分）</w:t>
      </w:r>
      <w:r/>
    </w:p>
    <w:p>
      <w:pPr>
        <w:pStyle w:val="1189"/>
        <w:ind w:firstLine="480"/>
        <w:jc w:val="left"/>
        <w:widowControl/>
        <w:rPr>
          <w:rFonts w:ascii="宋体" w:hAnsi="宋体"/>
          <w:color w:val="auto"/>
          <w:highlight w:val="none"/>
        </w:rPr>
      </w:pPr>
      <w:r>
        <w:rPr>
          <w:rFonts w:ascii="宋体" w:hAnsi="宋体"/>
          <w:color w:val="auto"/>
          <w:highlight w:val="none"/>
        </w:rPr>
        <w:t xml:space="preserve">根据投标人对本项目设计方案响应内容，主要包括</w:t>
      </w:r>
      <w:r>
        <w:rPr>
          <w:rFonts w:hint="eastAsia" w:ascii="宋体" w:hAnsi="宋体"/>
          <w:color w:val="auto"/>
          <w:highlight w:val="none"/>
        </w:rPr>
        <w:t xml:space="preserve">（1）</w:t>
      </w:r>
      <w:r>
        <w:rPr>
          <w:rFonts w:ascii="宋体" w:hAnsi="宋体"/>
          <w:color w:val="auto"/>
          <w:highlight w:val="none"/>
        </w:rPr>
        <w:t xml:space="preserve">总体场景蓝图架构及框架：从居民、医护、机构三个场景层面，对项目整体场景架构设计，并清晰描述项目架构内容及总体目标；</w:t>
      </w:r>
      <w:r>
        <w:rPr>
          <w:rFonts w:hint="eastAsia" w:ascii="宋体" w:hAnsi="宋体"/>
          <w:color w:val="auto"/>
          <w:highlight w:val="none"/>
        </w:rPr>
        <w:t xml:space="preserve">（2）</w:t>
      </w:r>
      <w:r>
        <w:rPr>
          <w:rFonts w:ascii="宋体" w:hAnsi="宋体"/>
          <w:color w:val="auto"/>
          <w:highlight w:val="none"/>
        </w:rPr>
        <w:t xml:space="preserve">应用场景功能设计架构：根据项目建设内容设计整体应用架构，采用合适技术，功能模块设计合理，并与建设目标对应；</w:t>
      </w:r>
      <w:r>
        <w:rPr>
          <w:rFonts w:hint="eastAsia" w:ascii="宋体" w:hAnsi="宋体"/>
          <w:color w:val="auto"/>
          <w:highlight w:val="none"/>
        </w:rPr>
        <w:t xml:space="preserve">（3）</w:t>
      </w:r>
      <w:r>
        <w:rPr>
          <w:rFonts w:ascii="宋体" w:hAnsi="宋体"/>
          <w:color w:val="auto"/>
          <w:highlight w:val="none"/>
        </w:rPr>
        <w:t xml:space="preserve">数据架构及核心技术设计：对数据处理流程和特点、数据存储、数据监控和质量控制、大模型技术、三维建模技术、智能推演，进行设计描述，确保项目建设数据及技术路径可行可靠；</w:t>
      </w:r>
      <w:r>
        <w:rPr>
          <w:rFonts w:hint="eastAsia" w:ascii="宋体" w:hAnsi="宋体"/>
          <w:color w:val="auto"/>
          <w:highlight w:val="none"/>
        </w:rPr>
        <w:t xml:space="preserve">（4）</w:t>
      </w:r>
      <w:r>
        <w:rPr>
          <w:rFonts w:ascii="宋体" w:hAnsi="宋体"/>
          <w:color w:val="auto"/>
          <w:highlight w:val="none"/>
        </w:rPr>
        <w:t xml:space="preserve">系统安全与对接：需考虑项目建设板块与其他系统的集成需求设计，系统安全方案设计、集成对接方案及标准，确保全面理解设计方案，为后续建设落地提供方案依据。</w:t>
      </w:r>
      <w:r/>
    </w:p>
    <w:p>
      <w:pPr>
        <w:pStyle w:val="1189"/>
        <w:ind w:firstLine="480"/>
        <w:jc w:val="left"/>
        <w:widowControl/>
        <w:rPr>
          <w:rFonts w:ascii="宋体" w:hAnsi="宋体"/>
          <w:color w:val="auto"/>
          <w:highlight w:val="none"/>
        </w:rPr>
      </w:pPr>
      <w:r>
        <w:rPr>
          <w:rFonts w:ascii="宋体" w:hAnsi="宋体"/>
          <w:color w:val="auto"/>
          <w:highlight w:val="none"/>
        </w:rPr>
        <w:t xml:space="preserve">方案内容每有一项内容针对本项目且符合本项目实际需求的，得2分，满分8分。每缺少一项内容，或内容非专门针对本项目，或内容不能满足本项目实际需求的，不得分。</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项目实施方案（2分）</w:t>
      </w:r>
      <w:r/>
    </w:p>
    <w:p>
      <w:pPr>
        <w:pStyle w:val="1189"/>
        <w:ind w:firstLine="480"/>
        <w:jc w:val="left"/>
        <w:widowControl/>
        <w:rPr>
          <w:rFonts w:ascii="宋体" w:hAnsi="宋体"/>
          <w:color w:val="auto"/>
          <w:highlight w:val="none"/>
        </w:rPr>
      </w:pPr>
      <w:r>
        <w:rPr>
          <w:rFonts w:ascii="宋体" w:hAnsi="宋体"/>
          <w:color w:val="auto"/>
          <w:highlight w:val="none"/>
        </w:rPr>
        <w:t xml:space="preserve">根据招标文件要求和投标人提供的项目实施方案进行评分，方案内包含:①项目整体实施要求：对项目工期、项目管理、进度、人员配置的响应是否满足项目要求；②项目管理措施：对项目管理制度概述、领导小组、项目小组、配置管理建议、监测及配置状态，进行设计描述，确保切合项目。③项目进度计划：对项目进行设计阶段、建设阶段、测试及试运行阶段、验收阶段，进行设计描述，确保满足切合项目。④项目质量管理：对项目服务质量、服务检查、需求变更管理、验收方法和标准，进行描述设计，确保满足切合项目。</w:t>
      </w:r>
      <w:r/>
    </w:p>
    <w:p>
      <w:pPr>
        <w:pStyle w:val="1189"/>
        <w:ind w:firstLine="480"/>
        <w:jc w:val="left"/>
        <w:widowControl/>
        <w:rPr>
          <w:rFonts w:ascii="宋体" w:hAnsi="宋体"/>
          <w:color w:val="auto"/>
          <w:highlight w:val="none"/>
        </w:rPr>
      </w:pPr>
      <w:r>
        <w:rPr>
          <w:rFonts w:ascii="宋体" w:hAnsi="宋体"/>
          <w:color w:val="auto"/>
          <w:highlight w:val="none"/>
        </w:rPr>
        <w:t xml:space="preserve">方案内容每有一项内容针对本项目且符合本项目实际需求的，得0.5分，满分2分。每缺少一项内容，或内容非专门针对本项目，或内容不能满足本项目实际需求的，不得分。</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售后方案（3分）</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根据招标文件要求和投标人提供的售后服务方案进行评分，方案内包含:①售后服务流程：对预防类及故障维护类服务流程，进行描述设计，确保满足切合项目；②维护范围及内容：对售后维护内容、范围、进行描述设计，确保满足切合项目；③应急响应服务：对项目日常应急响应保障措施，进行描述设计，确保满足切合项目。</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方案内容每有一项内容针对本项目且符合本项目实际需求的，得1分，满分3分。每缺少一项内容，或内容非专门针对本项目，或内容不能满足本项目实际需求的，不得分。</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培训方案（3分）</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根据招标文件要求和投标人提供的培训方案进行评分，方案内包含:①培训内容及方式，进行描述设计，确保满足切合项目；②培训计划，进行描述设计，确保满足切合项目；③培训人员及文档：进行描述设计，确保满足切合项目。</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方案内容每有一项内容针对本项目且符合本项目实际需求的，得1分，满分3分。每缺少一项内容，或内容非专门针对本项目，或内容不能满足本项目实际需求的，不得分。</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安全保障方案（2分）</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根据招标文件要求和投标人提供的安全保障方案进行评分，方案内包含:①沟通保密管理：对项目沟通方法、沟通工作机制，进行描述设计，确保满足切合项目；②安全保障管理：对项目的变更、交付内容、管理基线，进行描述设计，确保满足切合项目。</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方案内容每有一项内容针对本项目且符合本项目实际需求的，得1分，满分2分。每缺少一项内容，或内容非专门针对本项目，或内容不能满足本项目实际需求的，不得分。</w:t>
      </w:r>
      <w:r/>
    </w:p>
    <w:p>
      <w:pPr>
        <w:pStyle w:val="1189"/>
        <w:numPr>
          <w:ilvl w:val="0"/>
          <w:numId w:val="5"/>
        </w:numPr>
        <w:ind w:firstLine="0"/>
        <w:jc w:val="left"/>
        <w:widowControl/>
        <w:rPr>
          <w:rFonts w:ascii="宋体" w:hAnsi="宋体"/>
          <w:b/>
          <w:bCs/>
          <w:color w:val="auto"/>
          <w:highlight w:val="none"/>
        </w:rPr>
      </w:pPr>
      <w:r/>
      <w:bookmarkStart w:id="49" w:name="OLE_LINK6"/>
      <w:r>
        <w:rPr>
          <w:rFonts w:hint="eastAsia" w:ascii="宋体" w:hAnsi="宋体"/>
          <w:b/>
          <w:bCs/>
          <w:color w:val="auto"/>
          <w:highlight w:val="none"/>
        </w:rPr>
        <w:t xml:space="preserve">风险管理方案</w:t>
      </w:r>
      <w:bookmarkEnd w:id="49"/>
      <w:r>
        <w:rPr>
          <w:rFonts w:hint="eastAsia" w:ascii="宋体" w:hAnsi="宋体"/>
          <w:b/>
          <w:bCs/>
          <w:color w:val="auto"/>
          <w:highlight w:val="none"/>
        </w:rPr>
        <w:t xml:space="preserve">（3分）</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根据招标文件要求和投标人提供的进度风险管理方案进行评分，方案内包含:①项目进度风险：对项目进度的风险特性、进度风险管理，进行描述设计，确保满足切合项目；②进度风险识别：对风险分类、风险识别、风险评估，进行描述设计，确保满足切合项目；③风险应对措施：对风险处置原则、处置手段，进行描述设计，确保满足切合项目。</w:t>
      </w:r>
      <w:r/>
    </w:p>
    <w:p>
      <w:pPr>
        <w:pStyle w:val="1189"/>
        <w:ind w:firstLine="480"/>
        <w:jc w:val="left"/>
        <w:widowControl/>
        <w:rPr>
          <w:rFonts w:ascii="宋体" w:hAnsi="宋体"/>
          <w:color w:val="auto"/>
          <w:highlight w:val="none"/>
        </w:rPr>
      </w:pPr>
      <w:r>
        <w:rPr>
          <w:rFonts w:hint="eastAsia" w:ascii="宋体" w:hAnsi="宋体"/>
          <w:color w:val="auto"/>
          <w:highlight w:val="none"/>
        </w:rPr>
        <w:t xml:space="preserve">方案内容每有一项内容针对本项目且符合本项目实际需求的，得1分，满分3分。每缺少一项内容，或内容非专门针对本项目，或内容不能满足本项目实际需求的，不得分。</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项目团队人员（5分）</w:t>
      </w:r>
      <w:r/>
    </w:p>
    <w:p>
      <w:pPr>
        <w:pStyle w:val="1189"/>
        <w:ind w:firstLine="482"/>
        <w:jc w:val="left"/>
        <w:widowControl/>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①</w:t>
      </w:r>
      <w:r>
        <w:rPr>
          <w:rFonts w:hint="eastAsia" w:asciiTheme="minorEastAsia" w:hAnsiTheme="minorEastAsia" w:eastAsiaTheme="minorEastAsia"/>
          <w:b/>
          <w:bCs/>
          <w:color w:val="auto"/>
          <w:highlight w:val="none"/>
          <w:lang w:val="zh-TW"/>
        </w:rPr>
        <w:t xml:space="preserve">项目经理（</w:t>
      </w:r>
      <w:r>
        <w:rPr>
          <w:rFonts w:hint="eastAsia" w:asciiTheme="minorEastAsia" w:hAnsiTheme="minorEastAsia" w:eastAsiaTheme="minorEastAsia"/>
          <w:b/>
          <w:bCs/>
          <w:color w:val="auto"/>
          <w:highlight w:val="none"/>
        </w:rPr>
        <w:t xml:space="preserve">1分</w:t>
      </w:r>
      <w:r>
        <w:rPr>
          <w:rFonts w:hint="eastAsia" w:asciiTheme="minorEastAsia" w:hAnsiTheme="minorEastAsia" w:eastAsiaTheme="minorEastAsia"/>
          <w:b/>
          <w:bCs/>
          <w:color w:val="auto"/>
          <w:highlight w:val="none"/>
          <w:lang w:val="zh-TW"/>
        </w:rPr>
        <w:t xml:space="preserve">）</w:t>
      </w:r>
      <w:r/>
    </w:p>
    <w:p>
      <w:pPr>
        <w:pStyle w:val="1189"/>
        <w:ind w:firstLine="480"/>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项目经理要求1人（满足以下条件得1分，否则得0分）：</w:t>
      </w:r>
      <w:r/>
    </w:p>
    <w:p>
      <w:pPr>
        <w:pStyle w:val="1189"/>
        <w:ind w:firstLine="480"/>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（1）高级信息系统项目管理师证书；提供项目经理相关证书扫描件。</w:t>
      </w:r>
      <w:r/>
    </w:p>
    <w:p>
      <w:pPr>
        <w:pStyle w:val="1189"/>
        <w:ind w:firstLine="482"/>
        <w:jc w:val="left"/>
        <w:widowControl/>
        <w:rPr>
          <w:rFonts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t xml:space="preserve">②</w:t>
      </w:r>
      <w:r>
        <w:rPr>
          <w:rFonts w:hint="eastAsia" w:asciiTheme="minorEastAsia" w:hAnsiTheme="minorEastAsia" w:eastAsiaTheme="minorEastAsia"/>
          <w:b/>
          <w:bCs/>
          <w:color w:val="auto"/>
          <w:highlight w:val="none"/>
          <w:lang w:val="zh-TW"/>
        </w:rPr>
        <w:t xml:space="preserve">项目团队人员（</w:t>
      </w:r>
      <w:r>
        <w:rPr>
          <w:rFonts w:hint="eastAsia" w:asciiTheme="minorEastAsia" w:hAnsiTheme="minorEastAsia" w:eastAsiaTheme="minorEastAsia"/>
          <w:b/>
          <w:bCs/>
          <w:color w:val="auto"/>
          <w:highlight w:val="none"/>
        </w:rPr>
        <w:t xml:space="preserve">4分</w:t>
      </w:r>
      <w:r>
        <w:rPr>
          <w:rFonts w:hint="eastAsia" w:asciiTheme="minorEastAsia" w:hAnsiTheme="minorEastAsia" w:eastAsiaTheme="minorEastAsia"/>
          <w:b/>
          <w:bCs/>
          <w:color w:val="auto"/>
          <w:highlight w:val="none"/>
          <w:lang w:val="zh-TW"/>
        </w:rPr>
        <w:t xml:space="preserve">）</w:t>
      </w:r>
      <w:r/>
    </w:p>
    <w:p>
      <w:pPr>
        <w:pStyle w:val="1189"/>
        <w:ind w:firstLine="480"/>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项目团队成员具备以下专业技术能力的资质</w:t>
      </w:r>
      <w:r/>
    </w:p>
    <w:p>
      <w:pPr>
        <w:pStyle w:val="1189"/>
        <w:ind w:firstLine="480"/>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（1）系统集成项目管理工程师（每提供一份证书得1分，最多得1分）</w:t>
      </w:r>
      <w:r/>
    </w:p>
    <w:p>
      <w:pPr>
        <w:pStyle w:val="1189"/>
        <w:ind w:firstLine="480"/>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（2）高级系统架构设计师（每提供一份证书得1分，最多得1分）</w:t>
      </w:r>
      <w:r/>
    </w:p>
    <w:p>
      <w:pPr>
        <w:pStyle w:val="1189"/>
        <w:ind w:firstLine="480"/>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（3）软件设计师、中级网络工程师或系统分析</w:t>
      </w:r>
      <w:bookmarkStart w:id="56" w:name="_GoBack"/>
      <w:r/>
      <w:bookmarkEnd w:id="56"/>
      <w:r>
        <w:rPr>
          <w:rFonts w:asciiTheme="minorEastAsia" w:hAnsiTheme="minorEastAsia" w:eastAsiaTheme="minorEastAsia"/>
          <w:color w:val="auto"/>
          <w:highlight w:val="none"/>
        </w:rPr>
        <w:t xml:space="preserve">师的专业证书。（每提供一份证书得0.5分，最多得2分）</w:t>
      </w:r>
      <w:r/>
    </w:p>
    <w:p>
      <w:pPr>
        <w:pStyle w:val="1189"/>
        <w:ind w:firstLine="480"/>
        <w:jc w:val="left"/>
        <w:widowControl/>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最高得4分，同一人最多得1分，(上述人员均需提供有效期内的证书</w:t>
      </w:r>
      <w:r>
        <w:rPr>
          <w:rFonts w:hint="eastAsia" w:asciiTheme="minorEastAsia" w:hAnsiTheme="minorEastAsia" w:eastAsiaTheme="minorEastAsia"/>
          <w:color w:val="auto"/>
          <w:highlight w:val="none"/>
          <w:lang w:val="en-US" w:eastAsia="zh-CN"/>
        </w:rPr>
        <w:t xml:space="preserve">扫描件</w:t>
      </w:r>
      <w:r>
        <w:rPr>
          <w:rFonts w:asciiTheme="minorEastAsia" w:hAnsiTheme="minorEastAsia" w:eastAsiaTheme="minorEastAsia"/>
          <w:color w:val="auto"/>
          <w:highlight w:val="none"/>
        </w:rPr>
        <w:t xml:space="preserve">。)</w:t>
      </w:r>
      <w:r/>
    </w:p>
    <w:p>
      <w:pPr>
        <w:pStyle w:val="1189"/>
        <w:numPr>
          <w:ilvl w:val="0"/>
          <w:numId w:val="5"/>
        </w:numPr>
        <w:ind w:firstLine="0"/>
        <w:jc w:val="left"/>
        <w:widowControl/>
        <w:rPr>
          <w:rFonts w:ascii="宋体" w:hAnsi="宋体"/>
          <w:b/>
          <w:bCs/>
          <w:color w:val="auto"/>
          <w:highlight w:val="none"/>
        </w:rPr>
      </w:pPr>
      <w:r>
        <w:rPr>
          <w:rFonts w:hint="eastAsia" w:ascii="宋体" w:hAnsi="宋体"/>
          <w:b/>
          <w:bCs/>
          <w:color w:val="auto"/>
          <w:highlight w:val="none"/>
        </w:rPr>
        <w:t xml:space="preserve">类似业绩（5分）</w:t>
      </w:r>
      <w:r/>
    </w:p>
    <w:p>
      <w:pPr>
        <w:pStyle w:val="1189"/>
        <w:ind w:firstLine="480"/>
        <w:jc w:val="left"/>
        <w:widowControl/>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投标人自2022年7月1日以来承接的医疗AI或者医学大模型类项目业绩。</w:t>
      </w:r>
      <w:r/>
    </w:p>
    <w:p>
      <w:pPr>
        <w:pStyle w:val="1189"/>
        <w:ind w:firstLine="480"/>
        <w:jc w:val="left"/>
        <w:widowControl/>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有一个有效业绩得1分，每增加一个有效业绩加1分，最高得分为5分，没有有效的类似项目业绩的得0分。须有合同佐证（合同关键页复印件），需体现合同的签约主体、项目名称及内容、签约日期等合同要素的相关内容，否则将不予认可。</w:t>
      </w:r>
      <w:r/>
    </w:p>
    <w:p>
      <w:pPr>
        <w:spacing w:line="360" w:lineRule="auto"/>
        <w:rPr>
          <w:color w:val="auto"/>
          <w:highlight w:val="none"/>
        </w:rPr>
        <w:sectPr>
          <w:footnotePr/>
          <w:endnotePr/>
          <w:type w:val="nextPage"/>
          <w:pgSz w:w="11906" w:h="16838" w:orient="portrait"/>
          <w:pgMar w:top="1134" w:right="1610" w:bottom="1134" w:left="1474" w:header="851" w:footer="765" w:gutter="0"/>
          <w:cols w:num="1" w:sep="0" w:space="720" w:equalWidth="1"/>
          <w:docGrid w:linePitch="360"/>
        </w:sectPr>
      </w:pPr>
      <w:r/>
      <w:bookmarkStart w:id="50" w:name="_Toc25709"/>
      <w:r/>
      <w:bookmarkStart w:id="51" w:name="_Toc19312"/>
      <w:r/>
      <w:bookmarkStart w:id="52" w:name="_Toc26900_WPSOffice_Level1"/>
      <w:r/>
      <w:bookmarkStart w:id="53" w:name="_Toc17475"/>
      <w:r/>
      <w:bookmarkStart w:id="54" w:name="_Toc24463_WPSOffice_Level1"/>
      <w:r/>
      <w:bookmarkStart w:id="55" w:name="_Toc4694_WPSOffice_Level1"/>
      <w:r/>
      <w:bookmarkEnd w:id="50"/>
      <w:r/>
      <w:bookmarkEnd w:id="51"/>
      <w:r/>
      <w:bookmarkEnd w:id="52"/>
      <w:r/>
      <w:bookmarkEnd w:id="53"/>
      <w:r/>
      <w:bookmarkEnd w:id="54"/>
      <w:r/>
      <w:bookmarkEnd w:id="55"/>
      <w:r/>
      <w:r/>
    </w:p>
    <w:p>
      <w:pPr>
        <w:pStyle w:val="1209"/>
        <w:ind w:firstLine="0"/>
        <w:jc w:val="both"/>
        <w:spacing w:line="360" w:lineRule="auto"/>
        <w:rPr>
          <w:rFonts w:ascii="宋体" w:hAnsi="宋体" w:cs="宋体"/>
          <w:color w:val="auto"/>
          <w:sz w:val="24"/>
          <w:szCs w:val="24"/>
          <w:highlight w:val="none"/>
        </w:rPr>
        <w:outlineLvl w:val="9"/>
      </w:pPr>
      <w:r>
        <w:rPr>
          <w:rFonts w:ascii="宋体" w:hAnsi="宋体" w:cs="宋体"/>
          <w:color w:val="auto"/>
          <w:sz w:val="24"/>
          <w:szCs w:val="24"/>
          <w:highlight w:val="none"/>
        </w:rPr>
      </w:r>
      <w:r/>
    </w:p>
    <w:p>
      <w:pPr>
        <w:numPr>
          <w:ilvl w:val="0"/>
          <w:numId w:val="3"/>
        </w:numPr>
        <w:jc w:val="center"/>
        <w:spacing w:line="480" w:lineRule="auto"/>
        <w:rPr>
          <w:rFonts w:ascii="仿宋" w:hAnsi="仿宋" w:eastAsia="仿宋" w:cs="仿宋"/>
          <w:b/>
          <w:bCs/>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bCs/>
          <w:color w:val="auto"/>
          <w:sz w:val="44"/>
          <w:szCs w:val="44"/>
          <w:highlight w:val="none"/>
        </w:rPr>
        <w:t xml:space="preserve">合同格式</w:t>
      </w:r>
      <w:bookmarkEnd w:id="1"/>
      <w:r/>
      <w:bookmarkEnd w:id="2"/>
      <w:r/>
      <w:bookmarkEnd w:id="3"/>
      <w:r/>
      <w:bookmarkEnd w:id="4"/>
      <w:r/>
      <w:r/>
    </w:p>
    <w:p>
      <w:pPr>
        <w:pStyle w:val="1209"/>
        <w:spacing w:line="360" w:lineRule="auto"/>
        <w:rPr>
          <w:color w:val="auto"/>
          <w:sz w:val="24"/>
          <w:szCs w:val="24"/>
          <w:highlight w:val="none"/>
        </w:rPr>
        <w:outlineLvl w:val="9"/>
      </w:pPr>
      <w:r>
        <w:rPr>
          <w:color w:val="auto"/>
          <w:sz w:val="24"/>
          <w:szCs w:val="24"/>
          <w:highlight w:val="none"/>
        </w:rPr>
      </w:r>
      <w:r/>
    </w:p>
    <w:p>
      <w:pPr>
        <w:jc w:val="center"/>
        <w:spacing w:line="360" w:lineRule="auto"/>
        <w:rPr>
          <w:rFonts w:eastAsia="黑体"/>
          <w:color w:val="auto"/>
          <w:sz w:val="24"/>
          <w:szCs w:val="24"/>
          <w:highlight w:val="none"/>
        </w:rPr>
      </w:pPr>
      <w:r>
        <w:rPr>
          <w:rFonts w:eastAsia="黑体"/>
          <w:color w:val="auto"/>
          <w:sz w:val="24"/>
          <w:szCs w:val="24"/>
          <w:highlight w:val="none"/>
        </w:rPr>
      </w:r>
      <w:r/>
    </w:p>
    <w:p>
      <w:pPr>
        <w:ind w:firstLine="643"/>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合同主要条款</w:t>
      </w:r>
      <w:r/>
    </w:p>
    <w:p>
      <w:pPr>
        <w:pStyle w:val="1055"/>
        <w:rPr>
          <w:color w:val="auto"/>
          <w:highlight w:val="none"/>
        </w:rPr>
      </w:pPr>
      <w:r>
        <w:rPr>
          <w:color w:val="auto"/>
          <w:highlight w:val="none"/>
        </w:rPr>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采购人（以下称甲方）</w:t>
      </w:r>
      <w:r>
        <w:rPr>
          <w:rFonts w:ascii="宋体" w:hAnsi="宋体" w:cs="宋体"/>
          <w:color w:val="auto"/>
          <w:sz w:val="24"/>
          <w:szCs w:val="24"/>
          <w:highlight w:val="none"/>
        </w:rPr>
        <w:t xml:space="preserve">                     </w:t>
      </w:r>
      <w:r>
        <w:rPr>
          <w:rFonts w:ascii="宋体" w:hAnsi="宋体" w:cs="宋体"/>
          <w:color w:val="auto"/>
          <w:sz w:val="24"/>
          <w:szCs w:val="24"/>
          <w:highlight w:val="none"/>
        </w:rPr>
        <w:tab/>
      </w:r>
      <w:r>
        <w:rPr>
          <w:rFonts w:hint="eastAsia" w:ascii="宋体" w:hAnsi="宋体" w:cs="宋体"/>
          <w:color w:val="auto"/>
          <w:sz w:val="24"/>
          <w:szCs w:val="24"/>
          <w:highlight w:val="none"/>
        </w:rPr>
        <w:t xml:space="preserve">供应商：（以下称乙方）</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ascii="宋体" w:hAnsi="宋体" w:cs="宋体"/>
          <w:color w:val="auto"/>
          <w:sz w:val="24"/>
          <w:szCs w:val="24"/>
          <w:highlight w:val="none"/>
        </w:rPr>
        <w:t xml:space="preserve">                                    地址：   </w:t>
      </w:r>
      <w:r/>
    </w:p>
    <w:p>
      <w:pPr>
        <w:ind w:firstLine="480"/>
        <w:spacing w:line="46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根据《中华人民共和国民法典》、《中华人民共和国政府采购法》等相关法律法规的规定，甲、乙双方按照苏州市公共资源交易中心太仓分中心组织的关于</w:t>
      </w:r>
      <w:r>
        <w:rPr>
          <w:rFonts w:ascii="宋体" w:hAnsi="宋体" w:cs="宋体"/>
          <w:b/>
          <w:color w:val="auto"/>
          <w:sz w:val="24"/>
          <w:szCs w:val="24"/>
          <w:highlight w:val="none"/>
        </w:rPr>
        <w:t xml:space="preserve">___________</w:t>
      </w:r>
      <w:r>
        <w:rPr>
          <w:rFonts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项目（</w:t>
      </w:r>
      <w:r>
        <w:rPr>
          <w:rFonts w:hint="eastAsia" w:ascii="宋体" w:hAnsi="宋体" w:cs="宋体"/>
          <w:b/>
          <w:color w:val="auto"/>
          <w:sz w:val="24"/>
          <w:szCs w:val="24"/>
          <w:highlight w:val="none"/>
        </w:rPr>
        <w:t xml:space="preserve">编号</w:t>
      </w:r>
      <w:r>
        <w:rPr>
          <w:rFonts w:ascii="宋体" w:hAnsi="宋体" w:cs="宋体"/>
          <w:b/>
          <w:color w:val="auto"/>
          <w:sz w:val="24"/>
          <w:szCs w:val="24"/>
          <w:highlight w:val="none"/>
        </w:rPr>
        <w:t xml:space="preserve">___________</w:t>
      </w:r>
      <w:r>
        <w:rPr>
          <w:rFonts w:hint="eastAsia" w:ascii="宋体" w:hAnsi="宋体" w:cs="宋体"/>
          <w:color w:val="auto"/>
          <w:sz w:val="24"/>
          <w:szCs w:val="24"/>
          <w:highlight w:val="none"/>
        </w:rPr>
        <w:t xml:space="preserve">）的招标结果，协商一致，签订本合同。</w:t>
      </w:r>
      <w:r/>
    </w:p>
    <w:p>
      <w:pPr>
        <w:ind w:firstLine="47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第一条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服务范围</w:t>
      </w:r>
      <w:r/>
    </w:p>
    <w:p>
      <w:pPr>
        <w:ind w:left="44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 甲方聘请乙方提供以下服务：</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1）本合同项下的服务指：</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2）服务内容：</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3）服务标准：</w:t>
      </w:r>
      <w:r/>
    </w:p>
    <w:p>
      <w:pPr>
        <w:ind w:firstLine="480"/>
        <w:spacing w:line="460" w:lineRule="exact"/>
        <w:rPr>
          <w:rFonts w:ascii="宋体" w:hAnsi="宋体" w:cs="宋体"/>
          <w:b/>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4）履约时间、地点：。</w:t>
      </w:r>
      <w:r/>
    </w:p>
    <w:p>
      <w:pPr>
        <w:ind w:firstLine="482"/>
        <w:spacing w:line="46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第二条</w:t>
      </w:r>
      <w:r>
        <w:rPr>
          <w:rFonts w:ascii="宋体" w:hAnsi="宋体" w:cs="宋体"/>
          <w:b/>
          <w:bCs/>
          <w:color w:val="auto"/>
          <w:sz w:val="24"/>
          <w:szCs w:val="24"/>
          <w:highlight w:val="none"/>
        </w:rPr>
        <w:t xml:space="preserve"> 组成本合同的有关文件 </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numPr>
          <w:ilvl w:val="0"/>
          <w:numId w:val="6"/>
        </w:numPr>
        <w:ind w:firstLine="480"/>
        <w:jc w:val="left"/>
        <w:spacing w:after="200"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招标采购文件（</w:t>
      </w:r>
      <w:r>
        <w:rPr>
          <w:rFonts w:hint="eastAsia" w:ascii="宋体" w:hAnsi="宋体" w:cs="宋体"/>
          <w:b/>
          <w:color w:val="auto"/>
          <w:sz w:val="24"/>
          <w:szCs w:val="24"/>
          <w:highlight w:val="none"/>
        </w:rPr>
        <w:t xml:space="preserve">编号：</w:t>
      </w:r>
      <w:r>
        <w:rPr>
          <w:rFonts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w:t>
      </w:r>
      <w:r/>
    </w:p>
    <w:p>
      <w:pPr>
        <w:numPr>
          <w:ilvl w:val="0"/>
          <w:numId w:val="6"/>
        </w:numPr>
        <w:ind w:firstLine="480"/>
        <w:jc w:val="left"/>
        <w:spacing w:after="200"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乙方提供的投标文件和投标报价表；</w:t>
      </w:r>
      <w:r>
        <w:rPr>
          <w:rFonts w:ascii="宋体" w:hAnsi="宋体" w:cs="宋体"/>
          <w:color w:val="auto"/>
          <w:sz w:val="24"/>
          <w:szCs w:val="24"/>
          <w:highlight w:val="none"/>
        </w:rPr>
        <w:t xml:space="preserve">           </w:t>
      </w:r>
      <w:r/>
    </w:p>
    <w:p>
      <w:pPr>
        <w:numPr>
          <w:ilvl w:val="0"/>
          <w:numId w:val="6"/>
        </w:numPr>
        <w:ind w:firstLine="480"/>
        <w:jc w:val="left"/>
        <w:spacing w:after="200"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乙方在</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过程中所作的其他承诺、声明、书面澄清等；</w:t>
      </w:r>
      <w:r/>
    </w:p>
    <w:p>
      <w:pPr>
        <w:numPr>
          <w:ilvl w:val="0"/>
          <w:numId w:val="6"/>
        </w:numPr>
        <w:ind w:firstLine="480"/>
        <w:jc w:val="left"/>
        <w:spacing w:after="200"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w:t>
      </w:r>
      <w:r>
        <w:rPr>
          <w:rFonts w:ascii="宋体" w:hAnsi="宋体" w:cs="宋体"/>
          <w:color w:val="auto"/>
          <w:sz w:val="24"/>
          <w:szCs w:val="24"/>
          <w:highlight w:val="none"/>
        </w:rPr>
        <w:t xml:space="preserve">                               </w:t>
      </w:r>
      <w:r/>
    </w:p>
    <w:p>
      <w:pPr>
        <w:numPr>
          <w:ilvl w:val="0"/>
          <w:numId w:val="6"/>
        </w:numPr>
        <w:ind w:firstLine="480"/>
        <w:jc w:val="left"/>
        <w:spacing w:after="200"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甲乙双方商定的其他文件等。</w:t>
      </w:r>
      <w:r/>
    </w:p>
    <w:p>
      <w:pPr>
        <w:ind w:firstLine="482"/>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第三条</w:t>
      </w:r>
      <w:r>
        <w:rPr>
          <w:rFonts w:ascii="宋体" w:hAnsi="宋体" w:cs="宋体"/>
          <w:b/>
          <w:color w:val="auto"/>
          <w:sz w:val="24"/>
          <w:szCs w:val="24"/>
          <w:highlight w:val="none"/>
        </w:rPr>
        <w:t xml:space="preserve"> 合同总价款 </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合同价格按此次成交价格执行，合同总金额为人民币</w:t>
      </w:r>
      <w:r>
        <w:rPr>
          <w:rFonts w:ascii="宋体" w:hAnsi="宋体" w:cs="宋体"/>
          <w:color w:val="auto"/>
          <w:sz w:val="24"/>
          <w:szCs w:val="24"/>
          <w:highlight w:val="none"/>
        </w:rPr>
        <w:t xml:space="preserve">___________（大写）人民币，小写：（￥：）元整（含税）。详情见附件一。</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除非合同条款中另有规定，本合同执行期间合同总价款不变。</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第四条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合同款支付</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1、本合同项下所有款项均以人民币支付。</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2、本合同项下的采购资金由甲方支付。</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3、根据现行税法对乙方征收的与本合同有关的一切税费均由乙方承担。</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4、付款步骤、方式：甲方将按照本条的规定向乙方支付合同价款，合同价款分三期支付。</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第一期付款</w:t>
      </w:r>
      <w:r>
        <w:rPr>
          <w:rFonts w:ascii="宋体" w:hAnsi="宋体" w:cs="宋体"/>
          <w:color w:val="auto"/>
          <w:sz w:val="24"/>
          <w:szCs w:val="24"/>
          <w:highlight w:val="none"/>
        </w:rPr>
        <w:t xml:space="preserve">(首付款)</w:t>
      </w:r>
      <w:r/>
    </w:p>
    <w:p>
      <w:pPr>
        <w:ind w:firstLine="480"/>
        <w:spacing w:line="460" w:lineRule="exact"/>
        <w:rPr>
          <w:rFonts w:ascii="宋体" w:hAnsi="宋体" w:cs="宋体"/>
          <w:color w:val="auto"/>
          <w:sz w:val="24"/>
          <w:szCs w:val="24"/>
          <w:highlight w:val="none"/>
        </w:rPr>
      </w:pPr>
      <w:r>
        <w:rPr>
          <w:rFonts w:hint="eastAsia" w:ascii="宋体" w:hAnsi="宋体"/>
          <w:color w:val="auto"/>
          <w:sz w:val="24"/>
          <w:highlight w:val="none"/>
        </w:rPr>
        <w:t xml:space="preserve">落实《关于做好政府采购支持企业发展有关事项的通知》（苏财购</w:t>
      </w:r>
      <w:r>
        <w:rPr>
          <w:rFonts w:ascii="宋体" w:hAnsi="宋体"/>
          <w:color w:val="auto"/>
          <w:sz w:val="24"/>
          <w:highlight w:val="none"/>
        </w:rPr>
        <w:t xml:space="preserve">〔2020〕52号）文件要求，合同签订后</w:t>
      </w:r>
      <w:r>
        <w:rPr>
          <w:rFonts w:hint="eastAsia" w:ascii="宋体" w:hAnsi="宋体" w:cs="宋体"/>
          <w:color w:val="auto"/>
          <w:sz w:val="24"/>
          <w:szCs w:val="24"/>
          <w:highlight w:val="none"/>
        </w:rPr>
        <w:t xml:space="preserve">甲方收到乙方出具的合同总价   %</w:t>
      </w:r>
      <w:r>
        <w:rPr>
          <w:rFonts w:ascii="宋体" w:hAnsi="宋体" w:cs="宋体"/>
          <w:color w:val="auto"/>
          <w:sz w:val="24"/>
          <w:szCs w:val="24"/>
          <w:highlight w:val="none"/>
        </w:rPr>
        <w:t xml:space="preserve">银行保函及提交的下列①项文件后的（</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）个工作日内以电汇的方式向乙方支付相当于本合同总价</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%的首付款即￥         元（人民币大写：          ）：</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①乙方按照本次付款金额向甲方开具的中国税务机关监制</w:t>
      </w:r>
      <w:r>
        <w:rPr>
          <w:rFonts w:ascii="宋体" w:hAnsi="宋体" w:cs="宋体"/>
          <w:color w:val="auto"/>
          <w:sz w:val="24"/>
          <w:szCs w:val="24"/>
          <w:highlight w:val="none"/>
        </w:rPr>
        <w:t xml:space="preserve">/认可的发票。</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6、第二期付款（初验付款）</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甲方将在软件初验通过后的（   </w:t>
      </w:r>
      <w:r>
        <w:rPr>
          <w:rFonts w:ascii="宋体" w:hAnsi="宋体"/>
          <w:color w:val="auto"/>
          <w:sz w:val="24"/>
          <w:highlight w:val="none"/>
        </w:rPr>
        <w:t xml:space="preserve">）天内在收到乙方提交下列①项文件后的    </w:t>
      </w:r>
      <w:r>
        <w:rPr>
          <w:rFonts w:hint="eastAsia" w:ascii="宋体" w:hAnsi="宋体"/>
          <w:color w:val="auto"/>
          <w:sz w:val="24"/>
          <w:highlight w:val="none"/>
        </w:rPr>
        <w:t xml:space="preserve">个工作日内以电汇的方式向乙方支付相当于本合同总价   </w:t>
      </w:r>
      <w:r>
        <w:rPr>
          <w:rFonts w:hint="eastAsia" w:ascii="宋体" w:hAnsi="宋体" w:cs="宋体"/>
          <w:color w:val="auto"/>
          <w:position w:val="2"/>
          <w:sz w:val="24"/>
          <w:szCs w:val="24"/>
          <w:highlight w:val="none"/>
        </w:rPr>
        <w:t xml:space="preserve">%</w:t>
      </w:r>
      <w:r>
        <w:rPr>
          <w:rFonts w:ascii="宋体" w:hAnsi="宋体"/>
          <w:color w:val="auto"/>
          <w:sz w:val="24"/>
          <w:highlight w:val="none"/>
        </w:rPr>
        <w:t xml:space="preserve">的验收付款即￥</w:t>
      </w:r>
      <w:r>
        <w:rPr>
          <w:rFonts w:hint="eastAsia" w:ascii="宋体" w:hAnsi="宋体"/>
          <w:color w:val="auto"/>
          <w:sz w:val="24"/>
          <w:highlight w:val="none"/>
        </w:rPr>
        <w:t xml:space="preserve">  </w:t>
      </w:r>
      <w:r>
        <w:rPr>
          <w:rFonts w:ascii="宋体" w:hAnsi="宋体"/>
          <w:color w:val="auto"/>
          <w:sz w:val="24"/>
          <w:highlight w:val="none"/>
        </w:rPr>
        <w:t xml:space="preserve">元（人民币大写：          </w:t>
      </w:r>
      <w:r>
        <w:rPr>
          <w:rFonts w:hint="eastAsia" w:ascii="宋体" w:hAnsi="宋体"/>
          <w:color w:val="auto"/>
          <w:sz w:val="24"/>
          <w:highlight w:val="none"/>
        </w:rPr>
        <w:t xml:space="preserve">）：</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①乙方按照本次付款金额向甲方开具的中国税务机关监制</w:t>
      </w:r>
      <w:r>
        <w:rPr>
          <w:rFonts w:ascii="宋体" w:hAnsi="宋体"/>
          <w:color w:val="auto"/>
          <w:sz w:val="24"/>
          <w:highlight w:val="none"/>
        </w:rPr>
        <w:t xml:space="preserve">/认可的发票。</w:t>
      </w:r>
      <w:r/>
    </w:p>
    <w:p>
      <w:pPr>
        <w:ind w:firstLine="480"/>
        <w:spacing w:line="460" w:lineRule="exact"/>
        <w:rPr>
          <w:rFonts w:ascii="宋体" w:hAnsi="宋体"/>
          <w:color w:val="auto"/>
          <w:sz w:val="24"/>
          <w:highlight w:val="none"/>
        </w:rPr>
      </w:pPr>
      <w:r>
        <w:rPr>
          <w:rFonts w:ascii="宋体" w:hAnsi="宋体"/>
          <w:color w:val="auto"/>
          <w:sz w:val="24"/>
          <w:highlight w:val="none"/>
        </w:rPr>
        <w:t xml:space="preserve">7、第三期付款（终验付款）</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项目完成各项工作并向甲方提交所有成果，通过甲方组织的验收后，甲方将在软件开发验收合格后收到乙方提交下列①、②项文件后的（   </w:t>
      </w:r>
      <w:r>
        <w:rPr>
          <w:rFonts w:ascii="宋体" w:hAnsi="宋体"/>
          <w:color w:val="auto"/>
          <w:sz w:val="24"/>
          <w:highlight w:val="none"/>
        </w:rPr>
        <w:t xml:space="preserve">）天内以电汇的方式向乙方支付相当于本合同总价</w:t>
      </w:r>
      <w:r>
        <w:rPr>
          <w:rFonts w:hint="eastAsia" w:ascii="宋体" w:hAnsi="宋体"/>
          <w:color w:val="auto"/>
          <w:sz w:val="24"/>
          <w:highlight w:val="none"/>
        </w:rPr>
        <w:t xml:space="preserve">  %</w:t>
      </w:r>
      <w:r>
        <w:rPr>
          <w:rFonts w:ascii="宋体" w:hAnsi="宋体"/>
          <w:color w:val="auto"/>
          <w:sz w:val="24"/>
          <w:highlight w:val="none"/>
        </w:rPr>
        <w:t xml:space="preserve">的验收付款即￥    </w:t>
      </w:r>
      <w:r>
        <w:rPr>
          <w:rFonts w:hint="eastAsia" w:ascii="宋体" w:hAnsi="宋体"/>
          <w:color w:val="auto"/>
          <w:sz w:val="24"/>
          <w:highlight w:val="none"/>
        </w:rPr>
        <w:t xml:space="preserve">元（人民币大写：</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①甲方签发的《验收合格证书》或双方其他关于软件开发部分或全部的确认文件；</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②乙方按照本次付款金额向甲方开具的中国税务机关监制</w:t>
      </w:r>
      <w:r>
        <w:rPr>
          <w:rFonts w:ascii="宋体" w:hAnsi="宋体"/>
          <w:color w:val="auto"/>
          <w:sz w:val="24"/>
          <w:highlight w:val="none"/>
        </w:rPr>
        <w:t xml:space="preserve">/认可的发票。</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第五条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履约验收及标准</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1、项目完成后甲方将组织专业人员进行项目的验收工作，如存在问题，乙方应进行改进，直至验收合格为止；</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2、验收标准: </w:t>
      </w:r>
      <w:r>
        <w:rPr>
          <w:rFonts w:hint="eastAsia" w:ascii="宋体" w:hAnsi="宋体" w:cs="宋体"/>
          <w:color w:val="auto"/>
          <w:sz w:val="24"/>
          <w:szCs w:val="24"/>
          <w:highlight w:val="none"/>
        </w:rPr>
        <w:t xml:space="preserve">按采购文件要求、乙方的投标承诺及国家相关标准；</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甲方与乙方将根据本合同规定的进度进行从开发、设计、优化、交付、安装、上线、测试到验收的各项工作。甲方与乙方将各指定一名代表负责处理与本合同有关的技术事务。当发现技术问题或就技术问题发生争议时，双方代表应以书面的方式表明各自的认识，分析原因、分清责任并协商解决出现的问题；</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4、验收分初验和终验两次。初验通过且经监理方确认满足终验条件后，乙方可申请最终验收。当软件系统通过运行测试并通过专家评审后即终验完毕，甲方向乙方签发终验报告。验收可进行多次；</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5、上述各阶段验收期限内甲方对开发软件有异议的，应以书面形式通知乙方。乙方应在收到甲方异议之日起【</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】个工作日内提出解决方案。验收期限内甲方未签署《验收合格证书》或其他验收合格确认文件亦未正式提出异议，视为验收合格；</w:t>
      </w:r>
      <w:r/>
    </w:p>
    <w:p>
      <w:pPr>
        <w:ind w:left="225" w:hanging="12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6、如果因甲方设备或系统或其他原因，上述验收未通过的，则甲方应负责在</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）个工作日内解决存在的问题并再次进行验收；</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7、如因乙方的原因应用软件未能通过验收测试，且乙方已针对性地全面地解决了存在的问题，乙方需在</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日内解决相关现存问题，并通知甲方继续验收，甲方应对乙方进行再次验收的工作尽力给予协助；</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8、如果甲方提出本合同及其附件规定以外的应用软件或其服务的新增需求，则甲方和乙方将另行洽谈，各方就该等新增需求的协商和约定不应影响本合同的执行；</w:t>
      </w:r>
      <w:r/>
    </w:p>
    <w:p>
      <w:pPr>
        <w:ind w:firstLine="480"/>
        <w:spacing w:line="460" w:lineRule="exact"/>
        <w:rPr>
          <w:color w:val="auto"/>
          <w:highlight w:val="none"/>
        </w:rPr>
      </w:pPr>
      <w:r>
        <w:rPr>
          <w:rFonts w:ascii="宋体" w:hAnsi="宋体" w:cs="宋体"/>
          <w:color w:val="auto"/>
          <w:sz w:val="24"/>
          <w:szCs w:val="24"/>
          <w:highlight w:val="none"/>
        </w:rPr>
        <w:t xml:space="preserve">9、初验：系统达到验收条件后由乙方向监理方提出验收申请，监理方收到验收申请后，按照招标文件、合同等约定内容检查后启动验收。验收由甲方、乙方、监理方人员共同参与，同时乙方需提供软件文档（包括《用户需求说明书》、《系统部署文档》）以及可安装的程序运行文件，软件文档部分的验收通过后，即视为初验通过；</w:t>
      </w:r>
      <w:r/>
    </w:p>
    <w:p>
      <w:pPr>
        <w:ind w:firstLine="480"/>
        <w:spacing w:line="460" w:lineRule="exact"/>
        <w:rPr>
          <w:color w:val="auto"/>
          <w:highlight w:val="none"/>
        </w:rPr>
      </w:pPr>
      <w:r>
        <w:rPr>
          <w:rFonts w:ascii="宋体" w:hAnsi="宋体" w:cs="宋体"/>
          <w:color w:val="auto"/>
          <w:sz w:val="24"/>
          <w:szCs w:val="24"/>
          <w:highlight w:val="none"/>
        </w:rPr>
        <w:t xml:space="preserve">10、终验：初验通过且软件系统试运行，初验遗留问题已解决，乙方确认软件系统具备正常运行条件后向监理方提出终验申请。监理方确认系统已通过第三方软件测试、安全测试后组织专家、甲方、乙方、监理方进行验收评审，评审通过后，即终验完毕，甲方向乙方签发终验报告；</w:t>
      </w:r>
      <w:r/>
    </w:p>
    <w:p>
      <w:pPr>
        <w:ind w:firstLine="480"/>
        <w:spacing w:line="460" w:lineRule="exact"/>
        <w:rPr>
          <w:color w:val="auto"/>
          <w:highlight w:val="none"/>
        </w:rPr>
      </w:pPr>
      <w:r>
        <w:rPr>
          <w:rFonts w:ascii="宋体" w:hAnsi="宋体" w:cs="宋体"/>
          <w:color w:val="auto"/>
          <w:sz w:val="24"/>
          <w:szCs w:val="24"/>
          <w:highlight w:val="none"/>
        </w:rPr>
        <w:t xml:space="preserve">11、保修期：指应用软件在终验合格后进入的由乙方对应用软件保修的期间。应用软件的保修期为【</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】个自然月，自甲方向乙方签发《验收合格证书》或其他验收合格确认文件之日起计算。在保修期内，乙方应保证应用软件的正常使用，如涉及重大修改的，双方另行协商具体费用。</w:t>
      </w:r>
      <w:r/>
    </w:p>
    <w:p>
      <w:pPr>
        <w:ind w:firstLine="482"/>
        <w:spacing w:line="4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第六条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甲、乙双方权利义务</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1、甲方应当为保证项目服务的完成，给予乙方积极支持，为乙方提供项目实施的必要条件；</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2、甲方应当按照本合同约定按时支付合同金额。</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3、乙方在服务中获取相关信息、提交的服务成果未经甲方书面许可，不得向任何第三方泄露。</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4、乙方提供必要的技术培训，协助甲方完成其他需要配合的服务。</w:t>
      </w:r>
      <w:r/>
    </w:p>
    <w:p>
      <w:pPr>
        <w:ind w:firstLine="480"/>
        <w:spacing w:line="460" w:lineRule="exact"/>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5、乙方根据国家标准、行业标准和规范要求及标书规定的服务质量标准和有关要求，保质保量地完成服务工作。</w:t>
      </w:r>
      <w:r/>
    </w:p>
    <w:p>
      <w:pPr>
        <w:ind w:firstLine="480"/>
        <w:spacing w:line="460" w:lineRule="exact"/>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6、乙方有义务及时向甲方报告合同工作的执行过程情况，当需要甲方配合支持时，应提前通知甲方。</w:t>
      </w:r>
      <w:r/>
    </w:p>
    <w:p>
      <w:pPr>
        <w:ind w:firstLine="480"/>
        <w:spacing w:line="460" w:lineRule="exact"/>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7、在合同规定的期限内，乙方应当为其产品、服务持续提供安全维护和安全更新，不得无故终止提供服务。</w:t>
      </w:r>
      <w:r/>
    </w:p>
    <w:p>
      <w:pPr>
        <w:ind w:firstLine="482"/>
        <w:spacing w:line="460" w:lineRule="exact"/>
        <w:tabs>
          <w:tab w:val="left" w:pos="54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第七条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知识产权和归属</w:t>
      </w:r>
      <w:r/>
    </w:p>
    <w:p>
      <w:pPr>
        <w:pStyle w:val="1112"/>
        <w:ind w:firstLine="480"/>
        <w:spacing w:line="460" w:lineRule="exact"/>
        <w:rPr>
          <w:rFonts w:hAnsi="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、乙方应保证其提供的服务不受任何第三方提出的侵犯其著作权、商标权、专利权等知识产权方面的诉求；若乙方存在侵犯第三方知识产权或其他权利的，由乙方承担由此引发的一切责任。</w:t>
      </w:r>
      <w:r/>
    </w:p>
    <w:p>
      <w:pPr>
        <w:pStyle w:val="1112"/>
        <w:ind w:firstLine="480"/>
        <w:spacing w:line="460" w:lineRule="exact"/>
        <w:rPr>
          <w:rFonts w:hAnsi="宋体"/>
          <w:b/>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、在合同履行过程中，由甲方向乙方提供的资料</w:t>
      </w:r>
      <w:r>
        <w:rPr>
          <w:rFonts w:hAnsi="宋体" w:eastAsia="宋体"/>
          <w:color w:val="auto"/>
          <w:sz w:val="24"/>
          <w:szCs w:val="24"/>
          <w:highlight w:val="none"/>
        </w:rPr>
        <w:t xml:space="preserve">——</w:t>
      </w:r>
      <w:r>
        <w:rPr>
          <w:rFonts w:hint="eastAsia" w:hAnsi="宋体" w:eastAsia="宋体"/>
          <w:color w:val="auto"/>
          <w:sz w:val="24"/>
          <w:szCs w:val="24"/>
          <w:highlight w:val="none"/>
        </w:rPr>
        <w:t xml:space="preserve">包括但不限于程序、文件、报告、说明、图表等均归甲方所有。</w:t>
      </w:r>
      <w:r/>
    </w:p>
    <w:p>
      <w:pPr>
        <w:pStyle w:val="1112"/>
        <w:ind w:firstLine="480"/>
        <w:spacing w:line="460" w:lineRule="exact"/>
        <w:rPr>
          <w:rFonts w:hAnsi="宋体" w:eastAsia="宋体"/>
          <w:color w:val="auto"/>
          <w:sz w:val="24"/>
          <w:szCs w:val="24"/>
          <w:highlight w:val="none"/>
        </w:rPr>
      </w:pPr>
      <w:r>
        <w:rPr>
          <w:rFonts w:hAnsi="宋体" w:eastAsia="宋体"/>
          <w:color w:val="auto"/>
          <w:sz w:val="24"/>
          <w:szCs w:val="24"/>
          <w:highlight w:val="none"/>
        </w:rPr>
        <w:t xml:space="preserve">3、合同履行完毕后，乙方依据本合同及本合同附件向甲方提供程序、文件、报告、说明、图表等。定制软件项目技术成果（含源代码、数据所有权、软件著作权、专利权、商标权、使用权等）的所有权归甲方。</w:t>
      </w:r>
      <w:r/>
    </w:p>
    <w:p>
      <w:pPr>
        <w:pStyle w:val="1112"/>
        <w:ind w:firstLine="480"/>
        <w:spacing w:line="460" w:lineRule="exact"/>
        <w:rPr>
          <w:rFonts w:hAnsi="宋体"/>
          <w:color w:val="auto"/>
          <w:sz w:val="24"/>
          <w:szCs w:val="24"/>
          <w:highlight w:val="none"/>
        </w:rPr>
      </w:pPr>
      <w:r>
        <w:rPr>
          <w:rFonts w:hAnsi="宋体" w:eastAsia="宋体" w:cs="宋体"/>
          <w:color w:val="auto"/>
          <w:sz w:val="24"/>
          <w:szCs w:val="24"/>
          <w:highlight w:val="none"/>
        </w:rPr>
        <w:t xml:space="preserve">4、</w:t>
      </w:r>
      <w:r>
        <w:rPr>
          <w:rFonts w:hint="eastAsia" w:hAnsi="宋体" w:eastAsia="宋体"/>
          <w:color w:val="auto"/>
          <w:sz w:val="24"/>
          <w:szCs w:val="24"/>
          <w:highlight w:val="none"/>
        </w:rPr>
        <w:t xml:space="preserve">乙方运维外包活动中产生的政务数据、系统运行数据及收集的个人信息等数据资产归甲方所有。未经甲方同意，不得变更数据用途、用法，不得访问、修改、公开、披露、利用、转让、销毁、私自留存或向第三方提供。</w:t>
      </w:r>
      <w:r/>
    </w:p>
    <w:p>
      <w:pPr>
        <w:ind w:firstLine="482"/>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第八条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保密条款</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在本合同签订、履行过程中知悉的对方资料和信息，除非依照法律规定或者对方当事人的书面同意，任何一方均应保证不向任何第三方提供或披露有关合同的或者履行合同过程中知悉的对方当事人任何信息和资料，包括但不限于</w:t>
      </w:r>
      <w:r>
        <w:rPr>
          <w:rFonts w:ascii="宋体" w:hAnsi="宋体" w:cs="宋体"/>
          <w:color w:val="auto"/>
          <w:sz w:val="24"/>
          <w:szCs w:val="24"/>
          <w:highlight w:val="none"/>
        </w:rPr>
        <w:t xml:space="preserve">技术情报</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技术资料</w:t>
      </w:r>
      <w:r>
        <w:rPr>
          <w:rFonts w:hint="eastAsia" w:ascii="宋体" w:hAnsi="宋体" w:cs="宋体"/>
          <w:color w:val="auto"/>
          <w:sz w:val="24"/>
          <w:szCs w:val="24"/>
          <w:highlight w:val="none"/>
        </w:rPr>
        <w:t xml:space="preserve">、商业秘密和商业信息等，并采取一切合理和必要措施和方式防止任何第三方接触到对方当事人的上述信息和资料。无论合同是否变更、解除或终止，合同的保密条款不受其限制而继续有效，双方都应继续承担保密条款约定的保密义务。</w:t>
      </w:r>
      <w:r/>
    </w:p>
    <w:p>
      <w:pPr>
        <w:ind w:firstLine="482"/>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第九条</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风险责任</w:t>
      </w:r>
      <w:r/>
    </w:p>
    <w:p>
      <w:pPr>
        <w:ind w:firstLine="480"/>
        <w:spacing w:line="460" w:lineRule="exact"/>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1、根据甲乙双方协商确定。乙方在项目服务期间应制定项目安全实施管理措施，并严格遵守安全管理要求，乙方在项目服务过程中因管理不当、维护措施不当等因素或不按安全管理要求，造成人员安全或财产损失事故的，所有责任均由乙方承担，甲方不承担责任。</w:t>
      </w:r>
      <w:r/>
    </w:p>
    <w:p>
      <w:pPr>
        <w:ind w:firstLine="480"/>
        <w:spacing w:line="460" w:lineRule="exact"/>
        <w:tabs>
          <w:tab w:val="left" w:pos="540" w:leader="none"/>
        </w:tabs>
        <w:rPr>
          <w:rFonts w:ascii="宋体" w:hAnsi="宋体" w:cs="宋体"/>
          <w:color w:val="auto"/>
          <w:sz w:val="24"/>
          <w:szCs w:val="24"/>
          <w:highlight w:val="none"/>
        </w:rPr>
      </w:pPr>
      <w:r>
        <w:rPr>
          <w:rFonts w:ascii="宋体" w:hAnsi="宋体" w:cs="宋体"/>
          <w:color w:val="auto"/>
          <w:sz w:val="24"/>
          <w:szCs w:val="24"/>
          <w:highlight w:val="none"/>
        </w:rPr>
        <w:t xml:space="preserve">2、乙方因其网络产品、服务不符或不满足国家标准或法律法规，出现网络安全问题的，所有责任均由乙方承担。</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履约保证金</w:t>
      </w:r>
      <w:r/>
    </w:p>
    <w:p>
      <w:pPr>
        <w:ind w:firstLine="482"/>
        <w:spacing w:line="460" w:lineRule="exact"/>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1.履约保证金为合同总价的   %。乙方应当以支票、汇票、本票或者金融机构、担保机构出具的保函（保险）等非现金形式在本合同签订后十五个工作日内提交给甲方。</w:t>
      </w:r>
      <w:r/>
    </w:p>
    <w:p>
      <w:pPr>
        <w:ind w:firstLine="480"/>
        <w:spacing w:line="460" w:lineRule="exact"/>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p>
    <w:p>
      <w:pPr>
        <w:ind w:firstLine="480"/>
        <w:spacing w:line="460" w:lineRule="exact"/>
        <w:rPr>
          <w:rFonts w:ascii="宋体" w:hAnsi="宋体" w:cs="宋体"/>
          <w:color w:val="auto"/>
          <w:position w:val="2"/>
          <w:sz w:val="24"/>
          <w:szCs w:val="24"/>
          <w:highlight w:val="none"/>
        </w:rPr>
      </w:pPr>
      <w:r>
        <w:rPr>
          <w:rFonts w:hint="eastAsia" w:ascii="宋体" w:hAnsi="宋体" w:cs="宋体"/>
          <w:color w:val="auto"/>
          <w:position w:val="2"/>
          <w:sz w:val="24"/>
          <w:szCs w:val="24"/>
          <w:highlight w:val="none"/>
        </w:rPr>
        <w:t xml:space="preserve">3.项目通过验收，甲方在合同全部履行完毕后十五个工作日内将履约保证金退还乙方（不计息）；逾期退还的，乙方可要求甲方支付违约金，每逾期一天违约金按照履约保证金的万分之一规定支付。</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第十一条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合同的变更和终止</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1、本合同一经签订，甲乙双方不得擅自变更、中止或解除合同。</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第十二条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合同的转让</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1、乙方不得擅自部分或全部转让其应履行的合同义务。    </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2、乙方在履行合同过程中，不得将服务项目委托给第三方。</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第十三条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违约责任</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1、甲方无理由要求终止服务、解除合同的，应向乙方偿付合同总价款5%的违约金，违约金不足以补偿损失的，乙方有权要求甲方补足。</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2、甲方逾期付款的，应按照逾期付款金额每天万分之四的标准支付逾期付款违约金，违约金上限不得超过总合同金额的千分之四。</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4、乙方项目组成员须按招标文件承诺人员配备，未经甲方同意不得擅自更换；如更换需向甲方支付赔偿金。</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6、其他未尽事宜，以《中华人民共和国民法典》和《中华人民共和国政府采购法》等有关法律法规规定为准，无相关规定的，双方协商解决。</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第十四条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不可抗力</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甲、乙方中任何一方，因不可抗力不能按时或完全履行合同的</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，应及时通知对方，并在</w:t>
      </w:r>
      <w:r>
        <w:rPr>
          <w:rFonts w:ascii="宋体" w:hAnsi="宋体" w:cs="宋体"/>
          <w:color w:val="auto"/>
          <w:sz w:val="24"/>
          <w:szCs w:val="24"/>
          <w:highlight w:val="none"/>
        </w:rPr>
        <w:t xml:space="preserve">____个工作日内提供相应证明。未履行完合同部分是否继续履行、如何履行等问题，可由双方初步协商，并向主管部门和政府采购管理部门报告。确定为不可抗力原因造成的损失，可以部分或全部免除责任。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因合同一方迟延履行后发生不可抗力的，不能免除责任。</w:t>
      </w:r>
      <w:r/>
    </w:p>
    <w:p>
      <w:pPr>
        <w:pStyle w:val="1032"/>
        <w:ind w:firstLine="482"/>
        <w:jc w:val="both"/>
        <w:spacing w:before="0" w:beforeAutospacing="0" w:after="0" w:afterAutospacing="0" w:line="460" w:lineRule="exact"/>
        <w:rPr>
          <w:rFonts w:eastAsia="宋体"/>
          <w:color w:val="auto"/>
          <w:szCs w:val="24"/>
          <w:highlight w:val="none"/>
        </w:rPr>
      </w:pPr>
      <w:r>
        <w:rPr>
          <w:rFonts w:hint="eastAsia" w:eastAsia="宋体"/>
          <w:b/>
          <w:color w:val="auto"/>
          <w:szCs w:val="24"/>
          <w:highlight w:val="none"/>
        </w:rPr>
        <w:t xml:space="preserve">第十五条</w:t>
      </w:r>
      <w:r>
        <w:rPr>
          <w:rFonts w:eastAsia="宋体"/>
          <w:b/>
          <w:color w:val="auto"/>
          <w:szCs w:val="24"/>
          <w:highlight w:val="none"/>
        </w:rPr>
        <w:t xml:space="preserve"> </w:t>
      </w:r>
      <w:r>
        <w:rPr>
          <w:rFonts w:hint="eastAsia" w:eastAsia="宋体"/>
          <w:b/>
          <w:color w:val="auto"/>
          <w:szCs w:val="24"/>
          <w:highlight w:val="none"/>
        </w:rPr>
        <w:t xml:space="preserve">索赔</w:t>
      </w:r>
      <w:r/>
    </w:p>
    <w:p>
      <w:pPr>
        <w:pStyle w:val="1032"/>
        <w:ind w:firstLine="480"/>
        <w:jc w:val="both"/>
        <w:spacing w:before="0" w:beforeAutospacing="0" w:after="0" w:afterAutospacing="0" w:line="460" w:lineRule="exact"/>
        <w:rPr>
          <w:rFonts w:eastAsia="宋体"/>
          <w:color w:val="auto"/>
          <w:szCs w:val="24"/>
          <w:highlight w:val="none"/>
        </w:rPr>
      </w:pPr>
      <w:r>
        <w:rPr>
          <w:rFonts w:hint="eastAsia" w:eastAsia="宋体"/>
          <w:color w:val="auto"/>
          <w:szCs w:val="24"/>
          <w:highlight w:val="none"/>
        </w:rPr>
        <w:t xml:space="preserve">如在项目服务提供、使用过程中，甲方发现项目质量与合同内容有不符或不满足国家标准或行业标准，有权向乙方提出索赔，乙方在收到甲方索赔通知后</w:t>
      </w:r>
      <w:r>
        <w:rPr>
          <w:rFonts w:eastAsia="宋体"/>
          <w:color w:val="auto"/>
          <w:szCs w:val="24"/>
          <w:highlight w:val="none"/>
        </w:rPr>
        <w:t xml:space="preserve">                     ______</w:t>
      </w:r>
      <w:r>
        <w:rPr>
          <w:rFonts w:hint="eastAsia" w:eastAsia="宋体"/>
          <w:color w:val="auto"/>
          <w:szCs w:val="24"/>
          <w:highlight w:val="none"/>
        </w:rPr>
        <w:t xml:space="preserve">天内应免费进行补救或弥补相应的缺陷。如果乙方在收到通知后</w:t>
      </w:r>
      <w:r>
        <w:rPr>
          <w:rFonts w:eastAsia="宋体"/>
          <w:color w:val="auto"/>
          <w:szCs w:val="24"/>
          <w:highlight w:val="none"/>
        </w:rPr>
        <w:t xml:space="preserve">_____</w:t>
      </w:r>
      <w:r>
        <w:rPr>
          <w:rFonts w:hint="eastAsia" w:eastAsia="宋体"/>
          <w:color w:val="auto"/>
          <w:szCs w:val="24"/>
          <w:highlight w:val="none"/>
        </w:rPr>
        <w:t xml:space="preserve">天内没有弥补缺陷，或不能弥补缺陷，甲方可采取必要的补救措施，但风险和费用将由乙方承担，同时甲方对乙方行使的其它权利不受影响。甲方因补救措施所承担的所有费用，有权在甲方应支付给乙方的款项中直接扣除。</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第十六条</w:t>
      </w:r>
      <w:r>
        <w:rPr>
          <w:rFonts w:ascii="宋体" w:hAnsi="宋体" w:cs="宋体"/>
          <w:b/>
          <w:color w:val="auto"/>
          <w:sz w:val="24"/>
          <w:szCs w:val="24"/>
          <w:highlight w:val="none"/>
        </w:rPr>
        <w:t xml:space="preserve"> 网络数据安全责任和义务</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乙方在发现其网络产品、服务存在安全缺陷、漏洞或者数据安全风险等情形时，需立即采取补救措施，按照规定及时告知甲方并向有关主管部门报告，乙方为保证甲方的业务能够持续运行，而发生的费用由乙方承担。</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乙方应遵守《中华人民共和国网络安全法》《中华人民共和国数据安全法》和《中华人民共和国个人信息保护法》等所有相关法规，保护甲方的数据安全，防止数据泄露、篡改或被未经授权的第三方访问。业务活动中采集的敏感业务数据不得上传至租用的公有云服务器。</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甲方有权监督本项目服务质量，若乙方未能履行本合同中的任何安全要求，或违反本合同约定的其他事项的，甲方有权提前终止合同、拒绝支付余下款项，或采取其他法律允许的补救措施。乙方违反本合同约定的，应向甲方支付合同总价款______（百分比）的违约金，违约金不足以补偿损失的甲方有权要求乙方补足。</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第十七条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争议的解决</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2、因履行本合同引起的或与本合同有关的争议，甲、乙双方应首先通过友好协商解决，如果协商不能解决争议，则向甲方所在地有管辖权的人民法院提起诉讼；</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3、在法院审理和仲裁期间，除有争议部分外，本合同其他部分应继续履行。</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第十八条</w:t>
      </w:r>
      <w:r>
        <w:rPr>
          <w:rFonts w:ascii="宋体" w:hAnsi="宋体" w:cs="宋体"/>
          <w:b/>
          <w:color w:val="auto"/>
          <w:sz w:val="24"/>
          <w:szCs w:val="24"/>
          <w:highlight w:val="none"/>
        </w:rPr>
        <w:t xml:space="preserve"> 诚实信用 </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乙方应诚实信用，严格按照招标文件要求和投标承诺履行合同，不向甲方进行商业贿赂或者提供不正当利益。</w:t>
      </w:r>
      <w:r/>
    </w:p>
    <w:p>
      <w:pPr>
        <w:ind w:firstLine="482"/>
        <w:spacing w:line="4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第十九条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合同生效及其他</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1、本合同自经甲乙双方授权代表签订并加盖公章（合同章）后，自签订之日起生效。</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2、本合同一式六份，甲方执三份，乙方执三份。</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3、本合同应按照中华人民共和国的现行法律进行解释。</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w:t>
      </w:r>
      <w:r>
        <w:rPr>
          <w:rFonts w:ascii="宋体" w:hAnsi="宋体" w:cs="宋体"/>
          <w:color w:val="auto"/>
          <w:sz w:val="24"/>
          <w:szCs w:val="24"/>
          <w:highlight w:val="none"/>
        </w:rPr>
        <w:t xml:space="preserve">         </w:t>
      </w:r>
      <w:r>
        <w:rPr>
          <w:rFonts w:ascii="宋体" w:hAnsi="宋体" w:cs="宋体"/>
          <w:color w:val="auto"/>
          <w:sz w:val="24"/>
          <w:szCs w:val="24"/>
          <w:highlight w:val="none"/>
        </w:rPr>
        <w:tab/>
      </w:r>
      <w:r>
        <w:rPr>
          <w:rFonts w:hint="eastAsia" w:ascii="宋体" w:hAnsi="宋体" w:cs="宋体"/>
          <w:color w:val="auto"/>
          <w:sz w:val="24"/>
          <w:szCs w:val="24"/>
          <w:highlight w:val="none"/>
        </w:rPr>
        <w:t xml:space="preserve">乙方（供应商）：（盖章）</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w:t>
      </w:r>
      <w:r>
        <w:rPr>
          <w:rFonts w:ascii="宋体" w:hAnsi="宋体" w:cs="宋体"/>
          <w:color w:val="auto"/>
          <w:sz w:val="24"/>
          <w:szCs w:val="24"/>
          <w:highlight w:val="none"/>
        </w:rPr>
        <w:tab/>
      </w:r>
      <w:r>
        <w:rPr>
          <w:rFonts w:ascii="宋体" w:hAnsi="宋体" w:cs="宋体"/>
          <w:color w:val="auto"/>
          <w:sz w:val="24"/>
          <w:szCs w:val="24"/>
          <w:highlight w:val="none"/>
        </w:rPr>
        <w:t xml:space="preserve">           法定代表人或授权代表：</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电</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话：</w:t>
      </w:r>
      <w:r>
        <w:rPr>
          <w:rFonts w:ascii="宋体" w:hAnsi="宋体" w:cs="宋体"/>
          <w:color w:val="auto"/>
          <w:sz w:val="24"/>
          <w:szCs w:val="24"/>
          <w:highlight w:val="none"/>
        </w:rPr>
        <w:tab/>
      </w:r>
      <w:r>
        <w:rPr>
          <w:rFonts w:ascii="宋体" w:hAnsi="宋体" w:cs="宋体"/>
          <w:color w:val="auto"/>
          <w:sz w:val="24"/>
          <w:szCs w:val="24"/>
          <w:highlight w:val="none"/>
        </w:rPr>
        <w:t xml:space="preserve">                         电    话：</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rPr>
          <w:rFonts w:ascii="宋体" w:hAnsi="宋体" w:cs="宋体"/>
          <w:color w:val="auto"/>
          <w:sz w:val="24"/>
          <w:szCs w:val="24"/>
          <w:highlight w:val="none"/>
        </w:rPr>
        <w:t xml:space="preserve">                     </w:t>
      </w:r>
      <w:r>
        <w:rPr>
          <w:rFonts w:ascii="宋体" w:hAnsi="宋体" w:cs="宋体"/>
          <w:color w:val="auto"/>
          <w:sz w:val="24"/>
          <w:szCs w:val="24"/>
          <w:highlight w:val="none"/>
        </w:rPr>
        <w:tab/>
      </w:r>
      <w:r>
        <w:rPr>
          <w:rFonts w:ascii="宋体" w:hAnsi="宋体" w:cs="宋体"/>
          <w:color w:val="auto"/>
          <w:sz w:val="24"/>
          <w:szCs w:val="24"/>
          <w:highlight w:val="none"/>
        </w:rPr>
        <w:t xml:space="preserve">    开户银行：</w:t>
      </w:r>
      <w:r/>
    </w:p>
    <w:p>
      <w:pPr>
        <w:ind w:firstLine="480"/>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帐</w:t>
      </w:r>
      <w:r>
        <w:rPr>
          <w:rFonts w:ascii="宋体" w:hAnsi="宋体" w:cs="宋体"/>
          <w:color w:val="auto"/>
          <w:sz w:val="24"/>
          <w:szCs w:val="24"/>
          <w:highlight w:val="none"/>
        </w:rPr>
        <w:t xml:space="preserve">    号：                        </w:t>
      </w:r>
      <w:r>
        <w:rPr>
          <w:rFonts w:ascii="宋体" w:hAnsi="宋体" w:cs="宋体"/>
          <w:color w:val="auto"/>
          <w:sz w:val="24"/>
          <w:szCs w:val="24"/>
          <w:highlight w:val="none"/>
        </w:rPr>
        <w:tab/>
      </w:r>
      <w:r>
        <w:rPr>
          <w:rFonts w:hint="eastAsia" w:ascii="宋体" w:hAnsi="宋体" w:cs="宋体"/>
          <w:color w:val="auto"/>
          <w:sz w:val="24"/>
          <w:szCs w:val="24"/>
          <w:highlight w:val="none"/>
        </w:rPr>
        <w:t xml:space="preserve">帐</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号：</w:t>
      </w:r>
      <w:r/>
    </w:p>
    <w:p>
      <w:pPr>
        <w:pStyle w:val="1146"/>
        <w:ind w:left="440"/>
        <w:rPr>
          <w:color w:val="auto"/>
          <w:highlight w:val="none"/>
        </w:rPr>
      </w:pPr>
      <w:r>
        <w:rPr>
          <w:rFonts w:hint="eastAsia" w:hAnsi="宋体" w:cs="宋体"/>
          <w:color w:val="auto"/>
          <w:sz w:val="24"/>
          <w:highlight w:val="none"/>
        </w:rPr>
        <w:t xml:space="preserve">日期：</w:t>
      </w:r>
      <w:r>
        <w:rPr>
          <w:rFonts w:hAnsi="宋体" w:cs="宋体"/>
          <w:color w:val="auto"/>
          <w:sz w:val="24"/>
          <w:highlight w:val="none"/>
        </w:rPr>
        <w:t xml:space="preserve"> </w:t>
      </w:r>
      <w:r>
        <w:rPr>
          <w:rFonts w:hint="eastAsia" w:hAnsi="宋体" w:cs="宋体"/>
          <w:color w:val="auto"/>
          <w:sz w:val="24"/>
          <w:highlight w:val="none"/>
        </w:rPr>
        <w:t xml:space="preserve">年</w:t>
      </w:r>
      <w:r>
        <w:rPr>
          <w:rFonts w:hAnsi="宋体" w:cs="宋体"/>
          <w:color w:val="auto"/>
          <w:sz w:val="24"/>
          <w:highlight w:val="none"/>
        </w:rPr>
        <w:t xml:space="preserve">    </w:t>
      </w:r>
      <w:r>
        <w:rPr>
          <w:rFonts w:hint="eastAsia" w:hAnsi="宋体" w:cs="宋体"/>
          <w:color w:val="auto"/>
          <w:sz w:val="24"/>
          <w:highlight w:val="none"/>
        </w:rPr>
        <w:t xml:space="preserve">月</w:t>
      </w:r>
      <w:r>
        <w:rPr>
          <w:rFonts w:hAnsi="宋体" w:cs="宋体"/>
          <w:color w:val="auto"/>
          <w:sz w:val="24"/>
          <w:highlight w:val="none"/>
        </w:rPr>
        <w:t xml:space="preserve">   </w:t>
      </w:r>
      <w:r>
        <w:rPr>
          <w:rFonts w:hint="eastAsia" w:hAnsi="宋体" w:cs="宋体"/>
          <w:color w:val="auto"/>
          <w:sz w:val="24"/>
          <w:highlight w:val="none"/>
        </w:rPr>
        <w:t xml:space="preserve">日</w:t>
      </w:r>
      <w:r>
        <w:rPr>
          <w:rFonts w:hAnsi="宋体" w:cs="宋体"/>
          <w:color w:val="auto"/>
          <w:sz w:val="24"/>
          <w:highlight w:val="none"/>
        </w:rPr>
        <w:t xml:space="preserve">               </w:t>
      </w:r>
      <w:r>
        <w:rPr>
          <w:rFonts w:hint="eastAsia" w:hAnsi="宋体" w:cs="宋体"/>
          <w:color w:val="auto"/>
          <w:sz w:val="24"/>
          <w:highlight w:val="none"/>
        </w:rPr>
        <w:t xml:space="preserve">日期：</w:t>
      </w:r>
      <w:r>
        <w:rPr>
          <w:rFonts w:hAnsi="宋体" w:cs="宋体"/>
          <w:color w:val="auto"/>
          <w:sz w:val="24"/>
          <w:highlight w:val="none"/>
        </w:rPr>
        <w:t xml:space="preserve">  </w:t>
      </w:r>
      <w:r>
        <w:rPr>
          <w:rFonts w:hint="eastAsia" w:hAnsi="宋体" w:cs="宋体"/>
          <w:color w:val="auto"/>
          <w:sz w:val="24"/>
          <w:highlight w:val="none"/>
        </w:rPr>
        <w:t xml:space="preserve">年</w:t>
      </w:r>
      <w:r>
        <w:rPr>
          <w:rFonts w:hAnsi="宋体" w:cs="宋体"/>
          <w:color w:val="auto"/>
          <w:sz w:val="24"/>
          <w:highlight w:val="none"/>
        </w:rPr>
        <w:t xml:space="preserve">  </w:t>
      </w:r>
      <w:r>
        <w:rPr>
          <w:rFonts w:hint="eastAsia" w:hAnsi="宋体" w:cs="宋体"/>
          <w:color w:val="auto"/>
          <w:sz w:val="24"/>
          <w:highlight w:val="none"/>
        </w:rPr>
        <w:t xml:space="preserve">月</w:t>
      </w:r>
      <w:r>
        <w:rPr>
          <w:rFonts w:hAnsi="宋体" w:cs="宋体"/>
          <w:color w:val="auto"/>
          <w:sz w:val="24"/>
          <w:highlight w:val="none"/>
        </w:rPr>
        <w:t xml:space="preserve">  </w:t>
      </w:r>
      <w:r>
        <w:rPr>
          <w:rFonts w:hint="eastAsia" w:hAnsi="宋体" w:cs="宋体"/>
          <w:color w:val="auto"/>
          <w:sz w:val="24"/>
          <w:highlight w:val="none"/>
        </w:rPr>
        <w:t xml:space="preserve">日</w:t>
      </w:r>
      <w:r/>
    </w:p>
    <w:p>
      <w:pPr>
        <w:pStyle w:val="1146"/>
        <w:ind w:left="440"/>
        <w:rPr>
          <w:color w:val="auto"/>
          <w:highlight w:val="none"/>
        </w:rPr>
      </w:pPr>
      <w:r>
        <w:rPr>
          <w:color w:val="auto"/>
          <w:highlight w:val="none"/>
        </w:rPr>
      </w:r>
      <w:r/>
    </w:p>
    <w:p>
      <w:pPr>
        <w:pStyle w:val="1146"/>
        <w:ind w:left="440" w:firstLine="3360"/>
        <w:rPr>
          <w:color w:val="auto"/>
          <w:highlight w:val="none"/>
        </w:rPr>
      </w:pPr>
      <w:r>
        <w:rPr>
          <w:color w:val="auto"/>
          <w:highlight w:val="none"/>
        </w:rPr>
      </w:r>
      <w:r/>
    </w:p>
    <w:p>
      <w:pPr>
        <w:pStyle w:val="1146"/>
        <w:ind w:left="440" w:firstLine="2400"/>
        <w:rPr>
          <w:rFonts w:hAnsi="宋体" w:cs="宋体"/>
          <w:color w:val="auto"/>
          <w:sz w:val="24"/>
          <w:highlight w:val="none"/>
        </w:rPr>
      </w:pPr>
      <w:r>
        <w:rPr>
          <w:rFonts w:hint="eastAsia" w:hAnsi="宋体" w:cs="宋体"/>
          <w:color w:val="auto"/>
          <w:sz w:val="24"/>
          <w:highlight w:val="none"/>
        </w:rPr>
        <w:t xml:space="preserve">全文完</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sectPr>
      <w:footerReference w:type="default" r:id="rId12"/>
      <w:footerReference w:type="first" r:id="rId13"/>
      <w:footnotePr/>
      <w:endnotePr/>
      <w:type w:val="nextPage"/>
      <w:pgSz w:w="11906" w:h="16838" w:orient="portrait"/>
      <w:pgMar w:top="1134" w:right="1610" w:bottom="1134" w:left="1474" w:header="567"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华文楷体">
    <w:panose1 w:val="02010600040101010101"/>
  </w:font>
  <w:font w:name="励字仿宋GB">
    <w:panose1 w:val="020B0503020202020204"/>
  </w:font>
  <w:font w:name="方正小标宋_GBK">
    <w:panose1 w:val="020B0503020202020204"/>
  </w:font>
  <w:font w:name="Schadow Std Roman">
    <w:panose1 w:val="020B0503020202020204"/>
  </w:font>
  <w:font w:name="方正小标宋简体">
    <w:panose1 w:val="020B0503020202020204"/>
  </w:font>
  <w:font w:name="Wonder Arial">
    <w:panose1 w:val="020B0503020202020204"/>
  </w:font>
  <w:font w:name="MS Gothic">
    <w:panose1 w:val="020B0609070205080204"/>
  </w:font>
  <w:font w:name="Consolas">
    <w:panose1 w:val="020B0609020204030204"/>
  </w:font>
  <w:font w:name="SimSong">
    <w:panose1 w:val="020B0503020202020204"/>
  </w:font>
  <w:font w:name="Tahoma">
    <w:panose1 w:val="020B0604030504040204"/>
  </w:font>
  <w:font w:name="华文细黑">
    <w:panose1 w:val="02010600040101010101"/>
  </w:font>
  <w:font w:name="方正仿宋_GB2312">
    <w:panose1 w:val="020B0503020202020204"/>
  </w:font>
  <w:font w:name="MicrosoftYaHei">
    <w:panose1 w:val="020B0503020204020204"/>
  </w:font>
  <w:font w:name="Courier New">
    <w:panose1 w:val="02070309020205020404"/>
  </w:font>
  <w:font w:name="Calibri">
    <w:panose1 w:val="020F0502020204030204"/>
  </w:font>
  <w:font w:name="微软雅黑">
    <w:panose1 w:val="020B0503020204020204"/>
  </w:font>
  <w:font w:name="仿宋">
    <w:panose1 w:val="02010609060101010101"/>
  </w:font>
  <w:font w:name="方正楷体_GB2312">
    <w:panose1 w:val="020B0503020202020204"/>
  </w:font>
  <w:font w:name="等线">
    <w:panose1 w:val="02010600030101010101"/>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13"/>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3"/>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013"/>
                          </w:pPr>
                          <w:r>
                            <w:fldChar w:fldCharType="begin"/>
                          </w:r>
                          <w:r>
                            <w:instrText xml:space="preserve"> PAGE  \* MERGEFORMAT </w:instrText>
                          </w:r>
                          <w:r>
                            <w:fldChar w:fldCharType="separate"/>
                          </w:r>
                          <w:r>
                            <w:t xml:space="preserve">29</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101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lear" w:pos="4153" w:leader="none"/>
        <w:tab w:val="center" w:pos="4479"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3"/>
                          </w:pPr>
                          <w:r>
                            <w:rPr>
                              <w:rFonts w:hint="eastAsia"/>
                            </w:rPr>
                            <w:fldChar w:fldCharType="begin"/>
                          </w:r>
                          <w:r>
                            <w:rPr>
                              <w:rFonts w:hint="eastAsia"/>
                            </w:rPr>
                            <w:instrText xml:space="preserve"> PAGE  \* MERGEFORMAT </w:instrText>
                          </w:r>
                          <w:r>
                            <w:rPr>
                              <w:rFonts w:hint="eastAsia"/>
                            </w:rPr>
                            <w:fldChar w:fldCharType="separate"/>
                          </w:r>
                          <w:r>
                            <w:t xml:space="preserve">122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3"/>
                    </w:pPr>
                    <w:r>
                      <w:rPr>
                        <w:rFonts w:hint="eastAsia"/>
                      </w:rPr>
                      <w:fldChar w:fldCharType="begin"/>
                    </w:r>
                    <w:r>
                      <w:rPr>
                        <w:rFonts w:hint="eastAsia"/>
                      </w:rPr>
                      <w:instrText xml:space="preserve"> PAGE  \* MERGEFORMAT </w:instrText>
                    </w:r>
                    <w:r>
                      <w:rPr>
                        <w:rFonts w:hint="eastAsia"/>
                      </w:rPr>
                      <w:fldChar w:fldCharType="separate"/>
                    </w:r>
                    <w:r>
                      <w:t xml:space="preserve">122</w:t>
                    </w:r>
                    <w:r>
                      <w:rPr>
                        <w:rFonts w:hint="eastAsia"/>
                      </w:rPr>
                      <w:fldChar w:fldCharType="end"/>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1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1648"/>
      <w:isLgl w:val="false"/>
      <w:suff w:val="tab"/>
      <w:lvlText w:val="%1."/>
      <w:lvlJc w:val="left"/>
      <w:pPr>
        <w:ind w:left="425" w:hanging="425"/>
      </w:pPr>
      <w:rPr>
        <w:rFonts w:hint="default"/>
      </w:rPr>
    </w:lvl>
    <w:lvl w:ilvl="1">
      <w:start w:val="1"/>
      <w:numFmt w:val="decimal"/>
      <w:pStyle w:val="1649"/>
      <w:isLgl w:val="false"/>
      <w:suff w:val="tab"/>
      <w:lvlText w:val="%1.%2."/>
      <w:lvlJc w:val="left"/>
      <w:pPr>
        <w:ind w:left="567" w:hanging="567"/>
      </w:pPr>
      <w:rPr>
        <w:rFonts w:hint="default"/>
      </w:rPr>
    </w:lvl>
    <w:lvl w:ilvl="2">
      <w:start w:val="1"/>
      <w:numFmt w:val="decimal"/>
      <w:pStyle w:val="1647"/>
      <w:isLgl w:val="false"/>
      <w:suff w:val="tab"/>
      <w:lvlText w:val="%1.%2.%3."/>
      <w:lvlJc w:val="left"/>
      <w:pPr>
        <w:ind w:left="709" w:hanging="709"/>
      </w:pPr>
      <w:rPr>
        <w:rFonts w:hint="default"/>
        <w:color w:val="auto"/>
      </w:rPr>
    </w:lvl>
    <w:lvl w:ilvl="3">
      <w:start w:val="1"/>
      <w:numFmt w:val="decimal"/>
      <w:pStyle w:val="1650"/>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4"/>
    <w:link w:val="975"/>
    <w:uiPriority w:val="9"/>
    <w:rPr>
      <w:rFonts w:ascii="Arial" w:hAnsi="Arial" w:eastAsia="Arial" w:cs="Arial"/>
      <w:sz w:val="40"/>
      <w:szCs w:val="40"/>
    </w:rPr>
  </w:style>
  <w:style w:type="character" w:styleId="826">
    <w:name w:val="Heading 2 Char"/>
    <w:basedOn w:val="984"/>
    <w:link w:val="976"/>
    <w:uiPriority w:val="9"/>
    <w:rPr>
      <w:rFonts w:ascii="Arial" w:hAnsi="Arial" w:eastAsia="Arial" w:cs="Arial"/>
      <w:sz w:val="34"/>
    </w:rPr>
  </w:style>
  <w:style w:type="character" w:styleId="827">
    <w:name w:val="Heading 3 Char"/>
    <w:basedOn w:val="984"/>
    <w:link w:val="977"/>
    <w:uiPriority w:val="9"/>
    <w:rPr>
      <w:rFonts w:ascii="Arial" w:hAnsi="Arial" w:eastAsia="Arial" w:cs="Arial"/>
      <w:sz w:val="30"/>
      <w:szCs w:val="30"/>
    </w:rPr>
  </w:style>
  <w:style w:type="character" w:styleId="828">
    <w:name w:val="Heading 4 Char"/>
    <w:basedOn w:val="984"/>
    <w:link w:val="978"/>
    <w:uiPriority w:val="9"/>
    <w:rPr>
      <w:rFonts w:ascii="Arial" w:hAnsi="Arial" w:eastAsia="Arial" w:cs="Arial"/>
      <w:b/>
      <w:bCs/>
      <w:sz w:val="26"/>
      <w:szCs w:val="26"/>
    </w:rPr>
  </w:style>
  <w:style w:type="character" w:styleId="829">
    <w:name w:val="Heading 5 Char"/>
    <w:basedOn w:val="984"/>
    <w:link w:val="979"/>
    <w:uiPriority w:val="9"/>
    <w:rPr>
      <w:rFonts w:ascii="Arial" w:hAnsi="Arial" w:eastAsia="Arial" w:cs="Arial"/>
      <w:b/>
      <w:bCs/>
      <w:sz w:val="24"/>
      <w:szCs w:val="24"/>
    </w:rPr>
  </w:style>
  <w:style w:type="character" w:styleId="830">
    <w:name w:val="Heading 6 Char"/>
    <w:basedOn w:val="984"/>
    <w:link w:val="980"/>
    <w:uiPriority w:val="9"/>
    <w:rPr>
      <w:rFonts w:ascii="Arial" w:hAnsi="Arial" w:eastAsia="Arial" w:cs="Arial"/>
      <w:b/>
      <w:bCs/>
      <w:sz w:val="22"/>
      <w:szCs w:val="22"/>
    </w:rPr>
  </w:style>
  <w:style w:type="character" w:styleId="831">
    <w:name w:val="Heading 7 Char"/>
    <w:basedOn w:val="984"/>
    <w:link w:val="981"/>
    <w:uiPriority w:val="9"/>
    <w:rPr>
      <w:rFonts w:ascii="Arial" w:hAnsi="Arial" w:eastAsia="Arial" w:cs="Arial"/>
      <w:b/>
      <w:bCs/>
      <w:i/>
      <w:iCs/>
      <w:sz w:val="22"/>
      <w:szCs w:val="22"/>
    </w:rPr>
  </w:style>
  <w:style w:type="character" w:styleId="832">
    <w:name w:val="Heading 8 Char"/>
    <w:basedOn w:val="984"/>
    <w:link w:val="982"/>
    <w:uiPriority w:val="9"/>
    <w:rPr>
      <w:rFonts w:ascii="Arial" w:hAnsi="Arial" w:eastAsia="Arial" w:cs="Arial"/>
      <w:i/>
      <w:iCs/>
      <w:sz w:val="22"/>
      <w:szCs w:val="22"/>
    </w:rPr>
  </w:style>
  <w:style w:type="character" w:styleId="833">
    <w:name w:val="Heading 9 Char"/>
    <w:basedOn w:val="984"/>
    <w:link w:val="983"/>
    <w:uiPriority w:val="9"/>
    <w:rPr>
      <w:rFonts w:ascii="Arial" w:hAnsi="Arial" w:eastAsia="Arial" w:cs="Arial"/>
      <w:i/>
      <w:iCs/>
      <w:sz w:val="21"/>
      <w:szCs w:val="21"/>
    </w:rPr>
  </w:style>
  <w:style w:type="character" w:styleId="834">
    <w:name w:val="Title Char"/>
    <w:basedOn w:val="984"/>
    <w:link w:val="1034"/>
    <w:uiPriority w:val="10"/>
    <w:rPr>
      <w:sz w:val="48"/>
      <w:szCs w:val="48"/>
    </w:rPr>
  </w:style>
  <w:style w:type="character" w:styleId="835">
    <w:name w:val="Subtitle Char"/>
    <w:basedOn w:val="984"/>
    <w:link w:val="1021"/>
    <w:uiPriority w:val="11"/>
    <w:rPr>
      <w:sz w:val="24"/>
      <w:szCs w:val="24"/>
    </w:rPr>
  </w:style>
  <w:style w:type="paragraph" w:styleId="836">
    <w:name w:val="Quote"/>
    <w:basedOn w:val="974"/>
    <w:next w:val="974"/>
    <w:link w:val="837"/>
    <w:uiPriority w:val="29"/>
    <w:qFormat/>
    <w:pPr>
      <w:ind w:left="720" w:right="720"/>
    </w:pPr>
    <w:rPr>
      <w:i/>
    </w:rPr>
  </w:style>
  <w:style w:type="character" w:styleId="837">
    <w:name w:val="Quote Char"/>
    <w:link w:val="836"/>
    <w:uiPriority w:val="29"/>
    <w:rPr>
      <w:i/>
    </w:rPr>
  </w:style>
  <w:style w:type="paragraph" w:styleId="838">
    <w:name w:val="Intense Quote"/>
    <w:basedOn w:val="974"/>
    <w:next w:val="974"/>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character" w:styleId="840">
    <w:name w:val="Header Char"/>
    <w:basedOn w:val="984"/>
    <w:link w:val="1015"/>
    <w:uiPriority w:val="99"/>
  </w:style>
  <w:style w:type="character" w:styleId="841">
    <w:name w:val="Footer Char"/>
    <w:basedOn w:val="984"/>
    <w:link w:val="1013"/>
    <w:uiPriority w:val="99"/>
  </w:style>
  <w:style w:type="character" w:styleId="842">
    <w:name w:val="Caption Char"/>
    <w:basedOn w:val="993"/>
    <w:link w:val="1013"/>
    <w:uiPriority w:val="99"/>
  </w:style>
  <w:style w:type="table" w:styleId="843">
    <w:name w:val="Table Grid Light"/>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basedOn w:val="9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basedOn w:val="9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basedOn w:val="9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basedOn w:val="9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basedOn w:val="9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basedOn w:val="9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basedOn w:val="9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basedOn w:val="9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basedOn w:val="9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basedOn w:val="9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basedOn w:val="9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basedOn w:val="9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basedOn w:val="9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basedOn w:val="9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basedOn w:val="9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basedOn w:val="9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basedOn w:val="9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basedOn w:val="9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basedOn w:val="9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8">
    <w:name w:val="footnote text"/>
    <w:basedOn w:val="974"/>
    <w:link w:val="969"/>
    <w:uiPriority w:val="99"/>
    <w:semiHidden/>
    <w:unhideWhenUsed/>
    <w:pPr>
      <w:spacing w:after="40" w:line="240" w:lineRule="auto"/>
    </w:pPr>
    <w:rPr>
      <w:sz w:val="18"/>
    </w:rPr>
  </w:style>
  <w:style w:type="character" w:styleId="969">
    <w:name w:val="Footnote Text Char"/>
    <w:link w:val="968"/>
    <w:uiPriority w:val="99"/>
    <w:rPr>
      <w:sz w:val="18"/>
    </w:rPr>
  </w:style>
  <w:style w:type="paragraph" w:styleId="970">
    <w:name w:val="endnote text"/>
    <w:basedOn w:val="974"/>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basedOn w:val="984"/>
    <w:uiPriority w:val="99"/>
    <w:semiHidden/>
    <w:unhideWhenUsed/>
    <w:rPr>
      <w:vertAlign w:val="superscript"/>
    </w:rPr>
  </w:style>
  <w:style w:type="paragraph" w:styleId="973">
    <w:name w:val="TOC Heading"/>
    <w:uiPriority w:val="39"/>
    <w:unhideWhenUsed/>
  </w:style>
  <w:style w:type="paragraph" w:styleId="974" w:default="1">
    <w:name w:val="Normal"/>
    <w:next w:val="986"/>
    <w:uiPriority w:val="0"/>
    <w:qFormat/>
    <w:pPr>
      <w:jc w:val="both"/>
      <w:widowControl w:val="off"/>
    </w:pPr>
    <w:rPr>
      <w:rFonts w:ascii="Times New Roman" w:hAnsi="Times New Roman" w:eastAsia="宋体" w:cs="Times New Roman"/>
      <w:sz w:val="21"/>
      <w:lang w:val="en-US" w:eastAsia="zh-CN" w:bidi="ar-SA"/>
    </w:rPr>
  </w:style>
  <w:style w:type="paragraph" w:styleId="975">
    <w:name w:val="Heading 1"/>
    <w:basedOn w:val="974"/>
    <w:next w:val="974"/>
    <w:link w:val="1089"/>
    <w:uiPriority w:val="0"/>
    <w:qFormat/>
    <w:pPr>
      <w:jc w:val="center"/>
      <w:keepNext/>
      <w:tabs>
        <w:tab w:val="left" w:pos="200" w:leader="none"/>
      </w:tabs>
      <w:outlineLvl w:val="0"/>
    </w:pPr>
    <w:rPr>
      <w:rFonts w:ascii="宋体" w:hAnsi="宋体"/>
      <w:b/>
      <w:sz w:val="36"/>
    </w:rPr>
  </w:style>
  <w:style w:type="paragraph" w:styleId="976">
    <w:name w:val="Heading 2"/>
    <w:basedOn w:val="974"/>
    <w:next w:val="974"/>
    <w:link w:val="1057"/>
    <w:uiPriority w:val="9"/>
    <w:qFormat/>
    <w:pPr>
      <w:jc w:val="center"/>
      <w:keepNext/>
      <w:outlineLvl w:val="1"/>
    </w:pPr>
    <w:rPr>
      <w:rFonts w:ascii="宋体" w:hAnsi="宋体"/>
      <w:b/>
      <w:bCs/>
      <w:sz w:val="28"/>
      <w:szCs w:val="28"/>
    </w:rPr>
  </w:style>
  <w:style w:type="paragraph" w:styleId="977">
    <w:name w:val="Heading 3"/>
    <w:basedOn w:val="974"/>
    <w:next w:val="974"/>
    <w:link w:val="1058"/>
    <w:uiPriority w:val="9"/>
    <w:qFormat/>
    <w:pPr>
      <w:jc w:val="center"/>
      <w:keepNext/>
      <w:outlineLvl w:val="2"/>
    </w:pPr>
    <w:rPr>
      <w:rFonts w:ascii="宋体" w:hAnsi="宋体"/>
      <w:sz w:val="28"/>
    </w:rPr>
  </w:style>
  <w:style w:type="paragraph" w:styleId="978">
    <w:name w:val="Heading 4"/>
    <w:basedOn w:val="974"/>
    <w:next w:val="974"/>
    <w:link w:val="1059"/>
    <w:uiPriority w:val="0"/>
    <w:qFormat/>
    <w:pPr>
      <w:keepNext/>
      <w:outlineLvl w:val="3"/>
    </w:pPr>
    <w:rPr>
      <w:b/>
      <w:bCs/>
      <w:sz w:val="18"/>
    </w:rPr>
  </w:style>
  <w:style w:type="paragraph" w:styleId="979">
    <w:name w:val="Heading 5"/>
    <w:basedOn w:val="974"/>
    <w:next w:val="974"/>
    <w:link w:val="1060"/>
    <w:uiPriority w:val="99"/>
    <w:qFormat/>
    <w:pPr>
      <w:jc w:val="center"/>
      <w:keepNext/>
      <w:outlineLvl w:val="4"/>
    </w:pPr>
    <w:rPr>
      <w:b/>
      <w:bCs/>
      <w:sz w:val="18"/>
    </w:rPr>
  </w:style>
  <w:style w:type="paragraph" w:styleId="980">
    <w:name w:val="Heading 6"/>
    <w:basedOn w:val="974"/>
    <w:next w:val="974"/>
    <w:link w:val="1061"/>
    <w:uiPriority w:val="99"/>
    <w:qFormat/>
    <w:pPr>
      <w:ind w:left="992" w:hanging="567"/>
      <w:keepLines/>
      <w:keepNext/>
      <w:spacing w:before="240" w:after="64" w:line="320" w:lineRule="auto"/>
      <w:outlineLvl w:val="5"/>
    </w:pPr>
    <w:rPr>
      <w:rFonts w:ascii="Cambria" w:hAnsi="Cambria" w:eastAsia="黑体"/>
      <w:b/>
      <w:bCs/>
      <w:sz w:val="28"/>
      <w:szCs w:val="24"/>
    </w:rPr>
  </w:style>
  <w:style w:type="paragraph" w:styleId="981">
    <w:name w:val="Heading 7"/>
    <w:basedOn w:val="974"/>
    <w:next w:val="974"/>
    <w:link w:val="1062"/>
    <w:uiPriority w:val="0"/>
    <w:qFormat/>
    <w:pPr>
      <w:keepNext/>
      <w:outlineLvl w:val="6"/>
    </w:pPr>
    <w:rPr>
      <w:rFonts w:ascii="Arial" w:hAnsi="Arial"/>
      <w:b/>
      <w:bCs/>
      <w:sz w:val="16"/>
      <w:szCs w:val="16"/>
    </w:rPr>
  </w:style>
  <w:style w:type="paragraph" w:styleId="982">
    <w:name w:val="Heading 8"/>
    <w:basedOn w:val="974"/>
    <w:next w:val="974"/>
    <w:link w:val="1063"/>
    <w:uiPriority w:val="9"/>
    <w:qFormat/>
    <w:pPr>
      <w:keepNext/>
      <w:outlineLvl w:val="7"/>
    </w:pPr>
    <w:rPr>
      <w:b/>
      <w:bCs/>
      <w:sz w:val="24"/>
      <w:szCs w:val="24"/>
    </w:rPr>
  </w:style>
  <w:style w:type="paragraph" w:styleId="983">
    <w:name w:val="Heading 9"/>
    <w:basedOn w:val="974"/>
    <w:next w:val="974"/>
    <w:link w:val="1064"/>
    <w:uiPriority w:val="9"/>
    <w:qFormat/>
    <w:pPr>
      <w:jc w:val="center"/>
      <w:keepNext/>
      <w:outlineLvl w:val="8"/>
    </w:pPr>
    <w:rPr>
      <w:b/>
      <w:bCs/>
      <w:szCs w:val="24"/>
    </w:rPr>
  </w:style>
  <w:style w:type="character" w:styleId="984" w:default="1">
    <w:name w:val="Default Paragraph Font"/>
    <w:uiPriority w:val="1"/>
    <w:semiHidden/>
    <w:unhideWhenUsed/>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Body Text"/>
    <w:basedOn w:val="974"/>
    <w:next w:val="974"/>
    <w:link w:val="1071"/>
    <w:uiPriority w:val="0"/>
    <w:qFormat/>
    <w:rPr>
      <w:rFonts w:ascii="方正楷体_GB2312" w:hAnsi="Arial" w:eastAsia="方正楷体_GB2312"/>
      <w:sz w:val="28"/>
    </w:rPr>
  </w:style>
  <w:style w:type="paragraph" w:styleId="987">
    <w:name w:val="List 3"/>
    <w:basedOn w:val="974"/>
    <w:uiPriority w:val="0"/>
    <w:qFormat/>
    <w:pPr>
      <w:ind w:left="100" w:hanging="200"/>
    </w:pPr>
    <w:rPr>
      <w:rFonts w:eastAsia="方正楷体_GB2312"/>
      <w:sz w:val="26"/>
    </w:rPr>
  </w:style>
  <w:style w:type="paragraph" w:styleId="988">
    <w:name w:val="toc 7"/>
    <w:basedOn w:val="974"/>
    <w:next w:val="974"/>
    <w:uiPriority w:val="39"/>
    <w:qFormat/>
    <w:pPr>
      <w:ind w:left="1260"/>
      <w:jc w:val="left"/>
    </w:pPr>
    <w:rPr>
      <w:szCs w:val="21"/>
    </w:rPr>
  </w:style>
  <w:style w:type="paragraph" w:styleId="989">
    <w:name w:val="List Number 2"/>
    <w:basedOn w:val="974"/>
    <w:uiPriority w:val="0"/>
    <w:qFormat/>
    <w:pPr>
      <w:spacing w:line="312" w:lineRule="atLeast"/>
    </w:pPr>
    <w:rPr>
      <w:sz w:val="20"/>
    </w:rPr>
  </w:style>
  <w:style w:type="paragraph" w:styleId="990">
    <w:name w:val="Note Heading"/>
    <w:basedOn w:val="974"/>
    <w:next w:val="974"/>
    <w:link w:val="1065"/>
    <w:uiPriority w:val="0"/>
    <w:qFormat/>
    <w:pPr>
      <w:jc w:val="center"/>
      <w:spacing w:line="360" w:lineRule="auto"/>
    </w:pPr>
    <w:rPr>
      <w:sz w:val="24"/>
      <w:szCs w:val="24"/>
    </w:rPr>
  </w:style>
  <w:style w:type="paragraph" w:styleId="991">
    <w:name w:val="index 8"/>
    <w:basedOn w:val="974"/>
    <w:next w:val="974"/>
    <w:uiPriority w:val="0"/>
    <w:semiHidden/>
    <w:qFormat/>
    <w:pPr>
      <w:ind w:left="1400"/>
    </w:pPr>
  </w:style>
  <w:style w:type="paragraph" w:styleId="992">
    <w:name w:val="Normal Indent"/>
    <w:basedOn w:val="974"/>
    <w:next w:val="974"/>
    <w:link w:val="1066"/>
    <w:uiPriority w:val="0"/>
    <w:qFormat/>
    <w:pPr>
      <w:ind w:firstLine="420"/>
    </w:pPr>
  </w:style>
  <w:style w:type="paragraph" w:styleId="993">
    <w:name w:val="Caption"/>
    <w:basedOn w:val="974"/>
    <w:next w:val="974"/>
    <w:link w:val="1067"/>
    <w:uiPriority w:val="0"/>
    <w:qFormat/>
    <w:rPr>
      <w:rFonts w:ascii="Arial" w:hAnsi="Arial" w:eastAsia="黑体"/>
      <w:sz w:val="20"/>
    </w:rPr>
  </w:style>
  <w:style w:type="paragraph" w:styleId="994">
    <w:name w:val="index 5"/>
    <w:basedOn w:val="974"/>
    <w:next w:val="974"/>
    <w:uiPriority w:val="0"/>
    <w:semiHidden/>
    <w:qFormat/>
    <w:pPr>
      <w:ind w:left="800"/>
    </w:pPr>
  </w:style>
  <w:style w:type="paragraph" w:styleId="995">
    <w:name w:val="List Bullet"/>
    <w:basedOn w:val="974"/>
    <w:uiPriority w:val="0"/>
    <w:qFormat/>
    <w:pPr>
      <w:ind w:left="840" w:hanging="360"/>
      <w:jc w:val="left"/>
      <w:spacing w:line="360" w:lineRule="auto"/>
    </w:pPr>
    <w:rPr>
      <w:b/>
      <w:sz w:val="24"/>
      <w:szCs w:val="24"/>
    </w:rPr>
  </w:style>
  <w:style w:type="paragraph" w:styleId="996">
    <w:name w:val="Document Map"/>
    <w:basedOn w:val="974"/>
    <w:link w:val="1068"/>
    <w:uiPriority w:val="0"/>
    <w:qFormat/>
  </w:style>
  <w:style w:type="paragraph" w:styleId="997">
    <w:name w:val="annotation text"/>
    <w:basedOn w:val="974"/>
    <w:link w:val="1069"/>
    <w:uiPriority w:val="99"/>
    <w:qFormat/>
    <w:pPr>
      <w:jc w:val="left"/>
    </w:pPr>
    <w:rPr>
      <w:rFonts w:ascii="Calibri" w:hAnsi="Calibri"/>
      <w:szCs w:val="22"/>
    </w:rPr>
  </w:style>
  <w:style w:type="paragraph" w:styleId="998">
    <w:name w:val="index 6"/>
    <w:basedOn w:val="974"/>
    <w:next w:val="974"/>
    <w:uiPriority w:val="0"/>
    <w:semiHidden/>
    <w:qFormat/>
    <w:pPr>
      <w:ind w:left="1000"/>
    </w:pPr>
  </w:style>
  <w:style w:type="paragraph" w:styleId="999">
    <w:name w:val="Body Text 3"/>
    <w:basedOn w:val="974"/>
    <w:link w:val="1070"/>
    <w:uiPriority w:val="99"/>
    <w:unhideWhenUsed/>
    <w:qFormat/>
    <w:pPr>
      <w:jc w:val="center"/>
    </w:pPr>
    <w:rPr>
      <w:rFonts w:ascii="宋体" w:hAnsi="宋体" w:eastAsia="方正楷体_GB2312"/>
      <w:sz w:val="26"/>
    </w:rPr>
  </w:style>
  <w:style w:type="paragraph" w:styleId="1000">
    <w:name w:val="Body Text Indent"/>
    <w:basedOn w:val="974"/>
    <w:next w:val="974"/>
    <w:link w:val="1073"/>
    <w:uiPriority w:val="0"/>
    <w:qFormat/>
    <w:pPr>
      <w:ind w:firstLine="574"/>
      <w:spacing w:line="312" w:lineRule="atLeast"/>
    </w:pPr>
    <w:rPr>
      <w:rFonts w:ascii="宋体"/>
      <w:sz w:val="28"/>
    </w:rPr>
  </w:style>
  <w:style w:type="paragraph" w:styleId="1001">
    <w:name w:val="List 2"/>
    <w:basedOn w:val="974"/>
    <w:uiPriority w:val="0"/>
    <w:qFormat/>
    <w:pPr>
      <w:ind w:left="100" w:hanging="200"/>
    </w:pPr>
    <w:rPr>
      <w:szCs w:val="24"/>
    </w:rPr>
  </w:style>
  <w:style w:type="paragraph" w:styleId="1002">
    <w:name w:val="Block Text"/>
    <w:basedOn w:val="974"/>
    <w:uiPriority w:val="0"/>
    <w:qFormat/>
    <w:pPr>
      <w:ind w:left="1890" w:right="11" w:hanging="1409"/>
      <w:spacing w:before="89"/>
      <w:tabs>
        <w:tab w:val="left" w:pos="822" w:leader="none"/>
        <w:tab w:val="left" w:pos="2205" w:leader="none"/>
        <w:tab w:val="left" w:pos="9000" w:leader="none"/>
      </w:tabs>
    </w:pPr>
    <w:rPr>
      <w:sz w:val="24"/>
    </w:rPr>
  </w:style>
  <w:style w:type="paragraph" w:styleId="1003">
    <w:name w:val="List Bullet 2"/>
    <w:basedOn w:val="974"/>
    <w:uiPriority w:val="0"/>
    <w:qFormat/>
    <w:pPr>
      <w:ind w:left="420" w:hanging="420"/>
      <w:spacing w:line="312" w:lineRule="atLeast"/>
      <w:tabs>
        <w:tab w:val="left" w:pos="420" w:leader="none"/>
      </w:tabs>
    </w:pPr>
    <w:rPr>
      <w:sz w:val="20"/>
    </w:rPr>
  </w:style>
  <w:style w:type="paragraph" w:styleId="1004">
    <w:name w:val="index 4"/>
    <w:basedOn w:val="974"/>
    <w:next w:val="974"/>
    <w:uiPriority w:val="0"/>
    <w:semiHidden/>
    <w:qFormat/>
    <w:pPr>
      <w:ind w:left="600"/>
    </w:pPr>
  </w:style>
  <w:style w:type="paragraph" w:styleId="1005">
    <w:name w:val="toc 5"/>
    <w:basedOn w:val="974"/>
    <w:next w:val="974"/>
    <w:uiPriority w:val="39"/>
    <w:qFormat/>
    <w:pPr>
      <w:ind w:left="840"/>
      <w:jc w:val="left"/>
    </w:pPr>
    <w:rPr>
      <w:szCs w:val="21"/>
    </w:rPr>
  </w:style>
  <w:style w:type="paragraph" w:styleId="1006">
    <w:name w:val="toc 3"/>
    <w:basedOn w:val="974"/>
    <w:next w:val="974"/>
    <w:uiPriority w:val="0"/>
    <w:qFormat/>
    <w:pPr>
      <w:ind w:left="420"/>
      <w:jc w:val="left"/>
    </w:pPr>
    <w:rPr>
      <w:i/>
      <w:iCs/>
      <w:szCs w:val="24"/>
    </w:rPr>
  </w:style>
  <w:style w:type="paragraph" w:styleId="1007">
    <w:name w:val="Plain Text"/>
    <w:basedOn w:val="974"/>
    <w:link w:val="1074"/>
    <w:uiPriority w:val="0"/>
    <w:qFormat/>
    <w:rPr>
      <w:rFonts w:ascii="宋体" w:hAnsi="Courier New"/>
    </w:rPr>
  </w:style>
  <w:style w:type="paragraph" w:styleId="1008">
    <w:name w:val="toc 8"/>
    <w:basedOn w:val="974"/>
    <w:next w:val="974"/>
    <w:uiPriority w:val="39"/>
    <w:qFormat/>
    <w:pPr>
      <w:ind w:left="1470"/>
      <w:jc w:val="left"/>
    </w:pPr>
    <w:rPr>
      <w:szCs w:val="21"/>
    </w:rPr>
  </w:style>
  <w:style w:type="paragraph" w:styleId="1009">
    <w:name w:val="index 3"/>
    <w:basedOn w:val="974"/>
    <w:next w:val="974"/>
    <w:uiPriority w:val="0"/>
    <w:semiHidden/>
    <w:qFormat/>
    <w:pPr>
      <w:ind w:left="400"/>
    </w:pPr>
  </w:style>
  <w:style w:type="paragraph" w:styleId="1010">
    <w:name w:val="Date"/>
    <w:basedOn w:val="974"/>
    <w:next w:val="974"/>
    <w:link w:val="1075"/>
    <w:uiPriority w:val="0"/>
    <w:qFormat/>
    <w:pPr>
      <w:spacing w:line="312" w:lineRule="atLeast"/>
    </w:pPr>
    <w:rPr>
      <w:rFonts w:ascii="宋体"/>
      <w:sz w:val="28"/>
    </w:rPr>
  </w:style>
  <w:style w:type="paragraph" w:styleId="1011">
    <w:name w:val="Body Text Indent 2"/>
    <w:basedOn w:val="974"/>
    <w:link w:val="1076"/>
    <w:uiPriority w:val="0"/>
    <w:qFormat/>
    <w:pPr>
      <w:ind w:left="1890" w:hanging="1409"/>
      <w:tabs>
        <w:tab w:val="left" w:pos="1785" w:leader="none"/>
        <w:tab w:val="left" w:pos="1887" w:leader="none"/>
        <w:tab w:val="left" w:pos="2112" w:leader="none"/>
        <w:tab w:val="left" w:pos="9000" w:leader="none"/>
      </w:tabs>
    </w:pPr>
    <w:rPr>
      <w:sz w:val="24"/>
    </w:rPr>
  </w:style>
  <w:style w:type="paragraph" w:styleId="1012">
    <w:name w:val="Balloon Text"/>
    <w:basedOn w:val="974"/>
    <w:link w:val="1077"/>
    <w:uiPriority w:val="0"/>
    <w:unhideWhenUsed/>
    <w:qFormat/>
    <w:rPr>
      <w:rFonts w:ascii="Calibri" w:hAnsi="Calibri"/>
      <w:sz w:val="18"/>
      <w:szCs w:val="18"/>
    </w:rPr>
  </w:style>
  <w:style w:type="paragraph" w:styleId="1013">
    <w:name w:val="Footer"/>
    <w:basedOn w:val="974"/>
    <w:link w:val="1078"/>
    <w:uiPriority w:val="99"/>
    <w:qFormat/>
    <w:pPr>
      <w:jc w:val="left"/>
      <w:tabs>
        <w:tab w:val="center" w:pos="4153" w:leader="none"/>
        <w:tab w:val="right" w:pos="8306" w:leader="none"/>
      </w:tabs>
    </w:pPr>
    <w:rPr>
      <w:sz w:val="18"/>
    </w:rPr>
  </w:style>
  <w:style w:type="paragraph" w:styleId="1014">
    <w:name w:val="envelope return"/>
    <w:basedOn w:val="974"/>
    <w:uiPriority w:val="99"/>
    <w:unhideWhenUsed/>
    <w:qFormat/>
    <w:rPr>
      <w:rFonts w:ascii="Cambria" w:hAnsi="Cambria"/>
    </w:rPr>
  </w:style>
  <w:style w:type="paragraph" w:styleId="1015">
    <w:name w:val="Header"/>
    <w:basedOn w:val="974"/>
    <w:link w:val="1079"/>
    <w:uiPriority w:val="99"/>
    <w:qFormat/>
    <w:pPr>
      <w:jc w:val="center"/>
      <w:tabs>
        <w:tab w:val="center" w:pos="4153" w:leader="none"/>
        <w:tab w:val="right" w:pos="8306" w:leader="none"/>
      </w:tabs>
      <w:pBdr>
        <w:bottom w:val="single" w:color="auto" w:sz="6" w:space="1"/>
      </w:pBdr>
    </w:pPr>
    <w:rPr>
      <w:sz w:val="18"/>
    </w:rPr>
  </w:style>
  <w:style w:type="paragraph" w:styleId="1016">
    <w:name w:val="Signature"/>
    <w:basedOn w:val="974"/>
    <w:link w:val="1080"/>
    <w:uiPriority w:val="0"/>
    <w:qFormat/>
    <w:pPr>
      <w:jc w:val="center"/>
      <w:spacing w:after="600" w:line="312" w:lineRule="atLeast"/>
    </w:pPr>
    <w:rPr>
      <w:rFonts w:eastAsia="方正仿宋_GB2312"/>
      <w:sz w:val="24"/>
    </w:rPr>
  </w:style>
  <w:style w:type="paragraph" w:styleId="1017">
    <w:name w:val="toc 1"/>
    <w:basedOn w:val="974"/>
    <w:next w:val="974"/>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18">
    <w:name w:val="toc 4"/>
    <w:basedOn w:val="974"/>
    <w:next w:val="974"/>
    <w:uiPriority w:val="0"/>
    <w:qFormat/>
    <w:pPr>
      <w:ind w:left="630"/>
      <w:jc w:val="left"/>
    </w:pPr>
    <w:rPr>
      <w:szCs w:val="21"/>
    </w:rPr>
  </w:style>
  <w:style w:type="paragraph" w:styleId="1019">
    <w:name w:val="index heading"/>
    <w:basedOn w:val="974"/>
    <w:next w:val="1020"/>
    <w:uiPriority w:val="0"/>
    <w:semiHidden/>
    <w:qFormat/>
  </w:style>
  <w:style w:type="paragraph" w:styleId="1020">
    <w:name w:val="index 1"/>
    <w:basedOn w:val="974"/>
    <w:next w:val="974"/>
    <w:uiPriority w:val="0"/>
    <w:qFormat/>
  </w:style>
  <w:style w:type="paragraph" w:styleId="1021">
    <w:name w:val="Subtitle"/>
    <w:basedOn w:val="974"/>
    <w:next w:val="974"/>
    <w:link w:val="1081"/>
    <w:uiPriority w:val="0"/>
    <w:qFormat/>
    <w:pPr>
      <w:jc w:val="center"/>
      <w:spacing w:before="240" w:after="60" w:line="312" w:lineRule="auto"/>
      <w:outlineLvl w:val="1"/>
    </w:pPr>
    <w:rPr>
      <w:rFonts w:ascii="Cambria" w:hAnsi="Cambria"/>
      <w:b/>
      <w:bCs/>
      <w:sz w:val="32"/>
      <w:szCs w:val="32"/>
    </w:rPr>
  </w:style>
  <w:style w:type="paragraph" w:styleId="1022">
    <w:name w:val="List"/>
    <w:basedOn w:val="974"/>
    <w:uiPriority w:val="99"/>
    <w:qFormat/>
    <w:pPr>
      <w:ind w:left="200" w:hanging="200"/>
    </w:pPr>
    <w:rPr>
      <w:szCs w:val="24"/>
    </w:rPr>
  </w:style>
  <w:style w:type="paragraph" w:styleId="1023">
    <w:name w:val="toc 6"/>
    <w:basedOn w:val="974"/>
    <w:next w:val="974"/>
    <w:uiPriority w:val="39"/>
    <w:qFormat/>
    <w:pPr>
      <w:ind w:left="1050"/>
      <w:jc w:val="left"/>
    </w:pPr>
    <w:rPr>
      <w:szCs w:val="21"/>
    </w:rPr>
  </w:style>
  <w:style w:type="paragraph" w:styleId="1024">
    <w:name w:val="Body Text Indent 3"/>
    <w:basedOn w:val="974"/>
    <w:link w:val="1082"/>
    <w:uiPriority w:val="99"/>
    <w:qFormat/>
    <w:pPr>
      <w:ind w:firstLine="555"/>
    </w:pPr>
    <w:rPr>
      <w:b/>
      <w:bCs/>
      <w:sz w:val="28"/>
      <w:u w:val="single"/>
    </w:rPr>
  </w:style>
  <w:style w:type="paragraph" w:styleId="1025">
    <w:name w:val="index 7"/>
    <w:basedOn w:val="974"/>
    <w:next w:val="974"/>
    <w:uiPriority w:val="0"/>
    <w:semiHidden/>
    <w:qFormat/>
    <w:pPr>
      <w:ind w:left="1200"/>
    </w:pPr>
  </w:style>
  <w:style w:type="paragraph" w:styleId="1026">
    <w:name w:val="index 9"/>
    <w:basedOn w:val="974"/>
    <w:next w:val="974"/>
    <w:uiPriority w:val="0"/>
    <w:semiHidden/>
    <w:qFormat/>
    <w:pPr>
      <w:ind w:left="1600"/>
    </w:pPr>
  </w:style>
  <w:style w:type="paragraph" w:styleId="1027">
    <w:name w:val="table of figures"/>
    <w:basedOn w:val="974"/>
    <w:next w:val="974"/>
    <w:uiPriority w:val="0"/>
    <w:semiHidden/>
    <w:qFormat/>
    <w:pPr>
      <w:ind w:left="840" w:hanging="420"/>
    </w:pPr>
  </w:style>
  <w:style w:type="paragraph" w:styleId="1028">
    <w:name w:val="toc 2"/>
    <w:basedOn w:val="974"/>
    <w:next w:val="974"/>
    <w:uiPriority w:val="39"/>
    <w:qFormat/>
    <w:pPr>
      <w:ind w:left="250"/>
      <w:jc w:val="left"/>
      <w:spacing w:line="400" w:lineRule="exact"/>
      <w:tabs>
        <w:tab w:val="right" w:pos="9450" w:leader="dot"/>
      </w:tabs>
    </w:pPr>
    <w:rPr>
      <w:bCs/>
      <w:smallCaps/>
      <w:sz w:val="24"/>
      <w:szCs w:val="24"/>
    </w:rPr>
  </w:style>
  <w:style w:type="paragraph" w:styleId="1029">
    <w:name w:val="toc 9"/>
    <w:basedOn w:val="974"/>
    <w:next w:val="974"/>
    <w:uiPriority w:val="0"/>
    <w:qFormat/>
    <w:pPr>
      <w:ind w:left="1680"/>
      <w:jc w:val="left"/>
    </w:pPr>
    <w:rPr>
      <w:szCs w:val="21"/>
    </w:rPr>
  </w:style>
  <w:style w:type="paragraph" w:styleId="1030">
    <w:name w:val="Body Text 2"/>
    <w:basedOn w:val="974"/>
    <w:link w:val="1083"/>
    <w:uiPriority w:val="99"/>
    <w:qFormat/>
    <w:pPr>
      <w:spacing w:after="120" w:line="480" w:lineRule="auto"/>
    </w:pPr>
  </w:style>
  <w:style w:type="paragraph" w:styleId="1031">
    <w:name w:val="HTML Preformatted"/>
    <w:basedOn w:val="974"/>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1032">
    <w:name w:val="Normal (Web)"/>
    <w:basedOn w:val="974"/>
    <w:link w:val="1085"/>
    <w:uiPriority w:val="0"/>
    <w:unhideWhenUsed/>
    <w:qFormat/>
    <w:pPr>
      <w:jc w:val="left"/>
      <w:spacing w:before="100" w:beforeAutospacing="1" w:after="100" w:afterAutospacing="1"/>
      <w:widowControl/>
    </w:pPr>
    <w:rPr>
      <w:rFonts w:ascii="宋体" w:hAnsi="宋体" w:eastAsia="方正楷体_GB2312" w:cs="宋体"/>
      <w:sz w:val="24"/>
    </w:rPr>
  </w:style>
  <w:style w:type="paragraph" w:styleId="1033">
    <w:name w:val="index 2"/>
    <w:basedOn w:val="974"/>
    <w:next w:val="974"/>
    <w:uiPriority w:val="0"/>
    <w:semiHidden/>
    <w:qFormat/>
    <w:pPr>
      <w:ind w:left="200"/>
    </w:pPr>
  </w:style>
  <w:style w:type="paragraph" w:styleId="1034">
    <w:name w:val="Title"/>
    <w:basedOn w:val="974"/>
    <w:next w:val="974"/>
    <w:link w:val="1086"/>
    <w:uiPriority w:val="0"/>
    <w:qFormat/>
    <w:pPr>
      <w:jc w:val="center"/>
      <w:spacing w:before="240" w:after="60"/>
      <w:outlineLvl w:val="0"/>
    </w:pPr>
    <w:rPr>
      <w:rFonts w:ascii="Cambria" w:hAnsi="Cambria"/>
      <w:b/>
      <w:bCs/>
      <w:sz w:val="32"/>
      <w:szCs w:val="32"/>
    </w:rPr>
  </w:style>
  <w:style w:type="paragraph" w:styleId="1035">
    <w:name w:val="annotation subject"/>
    <w:basedOn w:val="997"/>
    <w:next w:val="997"/>
    <w:link w:val="1087"/>
    <w:uiPriority w:val="99"/>
    <w:qFormat/>
    <w:rPr>
      <w:rFonts w:eastAsia="方正楷体_GB2312"/>
      <w:b/>
      <w:bCs/>
      <w:sz w:val="26"/>
    </w:rPr>
  </w:style>
  <w:style w:type="paragraph" w:styleId="1036">
    <w:name w:val="Body Text First Indent"/>
    <w:basedOn w:val="986"/>
    <w:link w:val="1072"/>
    <w:uiPriority w:val="0"/>
    <w:qFormat/>
    <w:pPr>
      <w:ind w:firstLine="420"/>
      <w:spacing w:after="120"/>
    </w:pPr>
    <w:rPr>
      <w:rFonts w:ascii="Tahoma" w:hAnsi="Tahoma" w:eastAsia="Times New Roman"/>
      <w:sz w:val="21"/>
      <w:szCs w:val="24"/>
    </w:rPr>
  </w:style>
  <w:style w:type="paragraph" w:styleId="1037">
    <w:name w:val="Body Text First Indent 2"/>
    <w:basedOn w:val="1000"/>
    <w:link w:val="1088"/>
    <w:uiPriority w:val="0"/>
    <w:qFormat/>
    <w:pPr>
      <w:ind w:left="420" w:firstLine="420"/>
      <w:spacing w:after="120" w:line="240" w:lineRule="auto"/>
    </w:pPr>
    <w:rPr>
      <w:rFonts w:ascii="Times New Roman"/>
      <w:sz w:val="21"/>
      <w:szCs w:val="24"/>
    </w:rPr>
  </w:style>
  <w:style w:type="table" w:styleId="1038">
    <w:name w:val="Table Grid"/>
    <w:basedOn w:val="98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9">
    <w:name w:val="Strong"/>
    <w:uiPriority w:val="0"/>
    <w:qFormat/>
    <w:rPr>
      <w:b/>
      <w:bCs/>
    </w:rPr>
  </w:style>
  <w:style w:type="character" w:styleId="1040">
    <w:name w:val="page number"/>
    <w:uiPriority w:val="0"/>
    <w:qFormat/>
  </w:style>
  <w:style w:type="character" w:styleId="1041">
    <w:name w:val="FollowedHyperlink"/>
    <w:uiPriority w:val="99"/>
    <w:qFormat/>
    <w:rPr>
      <w:color w:val="333333"/>
      <w:u w:val="none"/>
    </w:rPr>
  </w:style>
  <w:style w:type="character" w:styleId="1042">
    <w:name w:val="Emphasis"/>
    <w:basedOn w:val="984"/>
    <w:uiPriority w:val="20"/>
    <w:qFormat/>
    <w:rPr>
      <w:i/>
      <w:iCs/>
    </w:rPr>
  </w:style>
  <w:style w:type="character" w:styleId="1043">
    <w:name w:val="line number"/>
    <w:uiPriority w:val="0"/>
    <w:qFormat/>
    <w:rPr>
      <w:rFonts w:ascii="Tahoma" w:hAnsi="Tahoma" w:eastAsia="宋体"/>
      <w:sz w:val="24"/>
      <w:szCs w:val="24"/>
      <w:lang w:val="en-US" w:eastAsia="zh-CN" w:bidi="ar-SA"/>
    </w:rPr>
  </w:style>
  <w:style w:type="character" w:styleId="1044">
    <w:name w:val="HTML Definition"/>
    <w:uiPriority w:val="0"/>
    <w:unhideWhenUsed/>
  </w:style>
  <w:style w:type="character" w:styleId="1045">
    <w:name w:val="HTML Typewriter"/>
    <w:uiPriority w:val="0"/>
    <w:qFormat/>
    <w:rPr>
      <w:rFonts w:ascii="黑体" w:hAnsi="Courier New" w:eastAsia="黑体"/>
      <w:sz w:val="14"/>
    </w:rPr>
  </w:style>
  <w:style w:type="character" w:styleId="1046">
    <w:name w:val="HTML Acronym"/>
    <w:uiPriority w:val="0"/>
    <w:unhideWhenUsed/>
  </w:style>
  <w:style w:type="character" w:styleId="1047">
    <w:name w:val="HTML Variable"/>
    <w:uiPriority w:val="0"/>
    <w:unhideWhenUsed/>
  </w:style>
  <w:style w:type="character" w:styleId="1048">
    <w:name w:val="Hyperlink"/>
    <w:uiPriority w:val="99"/>
    <w:qFormat/>
    <w:rPr>
      <w:color w:val="333333"/>
      <w:u w:val="none"/>
    </w:rPr>
  </w:style>
  <w:style w:type="character" w:styleId="1049">
    <w:name w:val="HTML Code"/>
    <w:uiPriority w:val="0"/>
    <w:unhideWhenUsed/>
    <w:rPr>
      <w:rFonts w:hint="default" w:ascii="Consolas" w:hAnsi="Consolas" w:eastAsia="Consolas" w:cs="Consolas"/>
      <w:sz w:val="20"/>
    </w:rPr>
  </w:style>
  <w:style w:type="character" w:styleId="1050">
    <w:name w:val="annotation reference"/>
    <w:uiPriority w:val="99"/>
    <w:qFormat/>
    <w:rPr>
      <w:sz w:val="21"/>
      <w:szCs w:val="21"/>
    </w:rPr>
  </w:style>
  <w:style w:type="character" w:styleId="1051">
    <w:name w:val="HTML Cite"/>
    <w:uiPriority w:val="0"/>
    <w:unhideWhenUsed/>
  </w:style>
  <w:style w:type="character" w:styleId="1052">
    <w:name w:val="footnote reference"/>
    <w:uiPriority w:val="0"/>
    <w:qFormat/>
    <w:rPr>
      <w:vertAlign w:val="superscript"/>
    </w:rPr>
  </w:style>
  <w:style w:type="character" w:styleId="1053">
    <w:name w:val="HTML Keyboard"/>
    <w:uiPriority w:val="0"/>
    <w:unhideWhenUsed/>
    <w:rPr>
      <w:rFonts w:hint="default" w:ascii="Consolas" w:hAnsi="Consolas" w:eastAsia="Consolas" w:cs="Consolas"/>
      <w:sz w:val="20"/>
    </w:rPr>
  </w:style>
  <w:style w:type="character" w:styleId="1054">
    <w:name w:val="HTML Sample"/>
    <w:uiPriority w:val="0"/>
    <w:unhideWhenUsed/>
    <w:rPr>
      <w:rFonts w:hint="default" w:ascii="Consolas" w:hAnsi="Consolas" w:eastAsia="Consolas" w:cs="Consolas"/>
    </w:rPr>
  </w:style>
  <w:style w:type="paragraph" w:styleId="1055" w:customStyle="1">
    <w:name w:val="标题 211"/>
    <w:basedOn w:val="974"/>
    <w:next w:val="974"/>
    <w:uiPriority w:val="9"/>
    <w:unhideWhenUsed/>
    <w:qFormat/>
    <w:pPr>
      <w:keepLines/>
      <w:keepNext/>
      <w:spacing w:before="360" w:after="200"/>
      <w:outlineLvl w:val="1"/>
    </w:pPr>
    <w:rPr>
      <w:rFonts w:ascii="Arial" w:hAnsi="Arial" w:cs="Arial"/>
      <w:sz w:val="34"/>
      <w:szCs w:val="22"/>
    </w:rPr>
  </w:style>
  <w:style w:type="character" w:styleId="1056" w:customStyle="1">
    <w:name w:val="标题 1 字符1"/>
    <w:uiPriority w:val="0"/>
    <w:qFormat/>
    <w:rPr>
      <w:rFonts w:ascii="宋体" w:hAnsi="宋体"/>
      <w:b/>
      <w:sz w:val="36"/>
    </w:rPr>
  </w:style>
  <w:style w:type="character" w:styleId="1057" w:customStyle="1">
    <w:name w:val="标题 2 Char"/>
    <w:link w:val="976"/>
    <w:uiPriority w:val="0"/>
    <w:qFormat/>
    <w:rPr>
      <w:rFonts w:ascii="宋体" w:hAnsi="宋体"/>
      <w:b/>
      <w:bCs/>
      <w:sz w:val="28"/>
      <w:szCs w:val="28"/>
    </w:rPr>
  </w:style>
  <w:style w:type="character" w:styleId="1058" w:customStyle="1">
    <w:name w:val="标题 3 Char"/>
    <w:link w:val="977"/>
    <w:uiPriority w:val="0"/>
    <w:qFormat/>
    <w:rPr>
      <w:rFonts w:ascii="宋体" w:hAnsi="宋体" w:eastAsia="宋体"/>
      <w:sz w:val="28"/>
      <w:lang w:val="en-US" w:eastAsia="zh-CN" w:bidi="ar-SA"/>
    </w:rPr>
  </w:style>
  <w:style w:type="character" w:styleId="1059" w:customStyle="1">
    <w:name w:val="标题 4 Char"/>
    <w:link w:val="978"/>
    <w:uiPriority w:val="0"/>
    <w:qFormat/>
    <w:rPr>
      <w:b/>
      <w:bCs/>
      <w:sz w:val="18"/>
    </w:rPr>
  </w:style>
  <w:style w:type="character" w:styleId="1060" w:customStyle="1">
    <w:name w:val="标题 5 Char"/>
    <w:link w:val="979"/>
    <w:uiPriority w:val="0"/>
    <w:qFormat/>
    <w:rPr>
      <w:rFonts w:eastAsia="宋体"/>
      <w:b/>
      <w:bCs/>
      <w:sz w:val="18"/>
      <w:lang w:val="en-US" w:eastAsia="zh-CN" w:bidi="ar-SA"/>
    </w:rPr>
  </w:style>
  <w:style w:type="character" w:styleId="1061" w:customStyle="1">
    <w:name w:val="标题 6 Char"/>
    <w:link w:val="980"/>
    <w:uiPriority w:val="0"/>
    <w:qFormat/>
    <w:rPr>
      <w:rFonts w:ascii="Cambria" w:hAnsi="Cambria" w:eastAsia="黑体"/>
      <w:b/>
      <w:bCs/>
      <w:sz w:val="28"/>
      <w:szCs w:val="24"/>
    </w:rPr>
  </w:style>
  <w:style w:type="character" w:styleId="1062" w:customStyle="1">
    <w:name w:val="标题 7 Char"/>
    <w:link w:val="981"/>
    <w:uiPriority w:val="0"/>
    <w:qFormat/>
    <w:rPr>
      <w:rFonts w:ascii="Arial" w:hAnsi="Arial" w:cs="Arial"/>
      <w:b/>
      <w:bCs/>
      <w:sz w:val="16"/>
      <w:szCs w:val="16"/>
    </w:rPr>
  </w:style>
  <w:style w:type="character" w:styleId="1063" w:customStyle="1">
    <w:name w:val="标题 8 Char"/>
    <w:link w:val="982"/>
    <w:uiPriority w:val="0"/>
    <w:qFormat/>
    <w:rPr>
      <w:b/>
      <w:bCs/>
      <w:sz w:val="24"/>
      <w:szCs w:val="24"/>
    </w:rPr>
  </w:style>
  <w:style w:type="character" w:styleId="1064" w:customStyle="1">
    <w:name w:val="标题 9 Char"/>
    <w:link w:val="983"/>
    <w:uiPriority w:val="0"/>
    <w:qFormat/>
    <w:rPr>
      <w:b/>
      <w:bCs/>
      <w:sz w:val="21"/>
      <w:szCs w:val="24"/>
    </w:rPr>
  </w:style>
  <w:style w:type="character" w:styleId="1065" w:customStyle="1">
    <w:name w:val="注释标题 Char"/>
    <w:link w:val="990"/>
    <w:uiPriority w:val="0"/>
    <w:qFormat/>
    <w:rPr>
      <w:sz w:val="24"/>
      <w:szCs w:val="24"/>
    </w:rPr>
  </w:style>
  <w:style w:type="character" w:styleId="1066" w:customStyle="1">
    <w:name w:val="正文缩进 Char"/>
    <w:link w:val="992"/>
    <w:uiPriority w:val="0"/>
    <w:qFormat/>
    <w:rPr>
      <w:sz w:val="21"/>
    </w:rPr>
  </w:style>
  <w:style w:type="character" w:styleId="1067" w:customStyle="1">
    <w:name w:val="题注 Char"/>
    <w:link w:val="993"/>
    <w:uiPriority w:val="0"/>
    <w:qFormat/>
    <w:rPr>
      <w:rFonts w:ascii="Arial" w:hAnsi="Arial" w:eastAsia="黑体"/>
    </w:rPr>
  </w:style>
  <w:style w:type="character" w:styleId="1068" w:customStyle="1">
    <w:name w:val="文档结构图 Char"/>
    <w:link w:val="996"/>
    <w:uiPriority w:val="0"/>
    <w:qFormat/>
    <w:rPr>
      <w:rFonts w:ascii="Times New Roman" w:hAnsi="Times New Roman" w:eastAsia="宋体"/>
      <w:sz w:val="21"/>
      <w:shd w:val="clear" w:color="auto" w:fill="000080"/>
    </w:rPr>
  </w:style>
  <w:style w:type="character" w:styleId="1069" w:customStyle="1">
    <w:name w:val="批注文字 Char"/>
    <w:link w:val="997"/>
    <w:uiPriority w:val="99"/>
    <w:qFormat/>
    <w:rPr>
      <w:rFonts w:ascii="Calibri" w:hAnsi="Calibri"/>
      <w:sz w:val="21"/>
      <w:szCs w:val="22"/>
    </w:rPr>
  </w:style>
  <w:style w:type="character" w:styleId="1070" w:customStyle="1">
    <w:name w:val="正文文本 3 Char"/>
    <w:link w:val="999"/>
    <w:uiPriority w:val="99"/>
    <w:qFormat/>
    <w:rPr>
      <w:rFonts w:ascii="宋体" w:hAnsi="宋体" w:eastAsia="方正楷体_GB2312"/>
      <w:sz w:val="26"/>
    </w:rPr>
  </w:style>
  <w:style w:type="character" w:styleId="1071" w:customStyle="1">
    <w:name w:val="正文文本 Char"/>
    <w:link w:val="986"/>
    <w:uiPriority w:val="0"/>
    <w:qFormat/>
    <w:rPr>
      <w:rFonts w:ascii="方正楷体_GB2312" w:hAnsi="Arial" w:eastAsia="方正楷体_GB2312"/>
      <w:sz w:val="28"/>
    </w:rPr>
  </w:style>
  <w:style w:type="character" w:styleId="1072" w:customStyle="1">
    <w:name w:val="正文首行缩进 Char1"/>
    <w:link w:val="1036"/>
    <w:uiPriority w:val="0"/>
    <w:qFormat/>
    <w:rPr>
      <w:rFonts w:ascii="Tahoma" w:hAnsi="Tahoma" w:eastAsia="Times New Roman"/>
      <w:sz w:val="21"/>
      <w:szCs w:val="24"/>
      <w:lang w:val="en-US" w:eastAsia="zh-CN" w:bidi="ar-SA"/>
    </w:rPr>
  </w:style>
  <w:style w:type="character" w:styleId="1073" w:customStyle="1">
    <w:name w:val="正文文本缩进 Char1"/>
    <w:link w:val="1000"/>
    <w:uiPriority w:val="0"/>
    <w:qFormat/>
    <w:rPr>
      <w:rFonts w:ascii="宋体" w:eastAsia="宋体"/>
      <w:sz w:val="28"/>
      <w:lang w:val="en-US" w:eastAsia="zh-CN" w:bidi="ar-SA"/>
    </w:rPr>
  </w:style>
  <w:style w:type="character" w:styleId="1074" w:customStyle="1">
    <w:name w:val="纯文本 Char2"/>
    <w:link w:val="1007"/>
    <w:uiPriority w:val="0"/>
    <w:qFormat/>
    <w:rPr>
      <w:rFonts w:ascii="宋体" w:hAnsi="Courier New" w:eastAsia="宋体"/>
      <w:sz w:val="21"/>
      <w:lang w:val="en-US" w:eastAsia="zh-CN" w:bidi="ar-SA"/>
    </w:rPr>
  </w:style>
  <w:style w:type="character" w:styleId="1075" w:customStyle="1">
    <w:name w:val="日期 Char"/>
    <w:link w:val="1010"/>
    <w:uiPriority w:val="0"/>
    <w:qFormat/>
    <w:rPr>
      <w:rFonts w:ascii="宋体"/>
      <w:sz w:val="28"/>
    </w:rPr>
  </w:style>
  <w:style w:type="character" w:styleId="1076" w:customStyle="1">
    <w:name w:val="正文文本缩进 2 Char"/>
    <w:link w:val="1011"/>
    <w:uiPriority w:val="0"/>
    <w:qFormat/>
    <w:rPr>
      <w:sz w:val="24"/>
    </w:rPr>
  </w:style>
  <w:style w:type="character" w:styleId="1077" w:customStyle="1">
    <w:name w:val="批注框文本 Char"/>
    <w:link w:val="1012"/>
    <w:uiPriority w:val="0"/>
    <w:qFormat/>
    <w:rPr>
      <w:rFonts w:ascii="Calibri" w:hAnsi="Calibri" w:eastAsia="宋体"/>
      <w:sz w:val="18"/>
      <w:szCs w:val="18"/>
      <w:lang w:val="en-US" w:eastAsia="zh-CN" w:bidi="ar-SA"/>
    </w:rPr>
  </w:style>
  <w:style w:type="character" w:styleId="1078" w:customStyle="1">
    <w:name w:val="页脚 Char"/>
    <w:link w:val="1013"/>
    <w:uiPriority w:val="99"/>
    <w:qFormat/>
    <w:rPr>
      <w:rFonts w:eastAsia="宋体"/>
      <w:sz w:val="18"/>
      <w:lang w:val="en-US" w:eastAsia="zh-CN" w:bidi="ar-SA"/>
    </w:rPr>
  </w:style>
  <w:style w:type="character" w:styleId="1079" w:customStyle="1">
    <w:name w:val="页眉 Char"/>
    <w:link w:val="1015"/>
    <w:uiPriority w:val="99"/>
    <w:qFormat/>
    <w:rPr>
      <w:rFonts w:eastAsia="宋体"/>
      <w:sz w:val="18"/>
      <w:lang w:val="en-US" w:eastAsia="zh-CN" w:bidi="ar-SA"/>
    </w:rPr>
  </w:style>
  <w:style w:type="character" w:styleId="1080" w:customStyle="1">
    <w:name w:val="签名 Char"/>
    <w:link w:val="1016"/>
    <w:uiPriority w:val="0"/>
    <w:qFormat/>
    <w:rPr>
      <w:rFonts w:eastAsia="方正仿宋_GB2312"/>
      <w:sz w:val="24"/>
    </w:rPr>
  </w:style>
  <w:style w:type="character" w:styleId="1081" w:customStyle="1">
    <w:name w:val="副标题 Char"/>
    <w:link w:val="1021"/>
    <w:uiPriority w:val="0"/>
    <w:qFormat/>
    <w:rPr>
      <w:rFonts w:ascii="Cambria" w:hAnsi="Cambria" w:eastAsia="宋体"/>
      <w:b/>
      <w:bCs/>
      <w:sz w:val="32"/>
      <w:szCs w:val="32"/>
      <w:lang w:val="en-US" w:eastAsia="zh-CN" w:bidi="ar-SA"/>
    </w:rPr>
  </w:style>
  <w:style w:type="character" w:styleId="1082" w:customStyle="1">
    <w:name w:val="正文文本缩进 3 Char"/>
    <w:link w:val="1024"/>
    <w:uiPriority w:val="99"/>
    <w:qFormat/>
    <w:rPr>
      <w:b/>
      <w:bCs/>
      <w:sz w:val="28"/>
      <w:u w:val="single"/>
    </w:rPr>
  </w:style>
  <w:style w:type="character" w:styleId="1083" w:customStyle="1">
    <w:name w:val="正文文本 2 Char"/>
    <w:link w:val="1030"/>
    <w:uiPriority w:val="99"/>
    <w:qFormat/>
    <w:rPr>
      <w:sz w:val="21"/>
    </w:rPr>
  </w:style>
  <w:style w:type="character" w:styleId="1084" w:customStyle="1">
    <w:name w:val="HTML 预设格式 Char"/>
    <w:link w:val="1031"/>
    <w:uiPriority w:val="0"/>
    <w:qFormat/>
    <w:rPr>
      <w:rFonts w:ascii="黑体" w:hAnsi="Courier New" w:eastAsia="黑体" w:cs="Times New Roman"/>
      <w:szCs w:val="24"/>
    </w:rPr>
  </w:style>
  <w:style w:type="character" w:styleId="1085" w:customStyle="1">
    <w:name w:val="普通(网站) Char"/>
    <w:link w:val="1032"/>
    <w:uiPriority w:val="0"/>
    <w:qFormat/>
    <w:rPr>
      <w:rFonts w:ascii="宋体" w:hAnsi="宋体" w:eastAsia="方正楷体_GB2312" w:cs="宋体"/>
      <w:sz w:val="24"/>
    </w:rPr>
  </w:style>
  <w:style w:type="character" w:styleId="1086" w:customStyle="1">
    <w:name w:val="标题 Char"/>
    <w:link w:val="1034"/>
    <w:uiPriority w:val="0"/>
    <w:qFormat/>
    <w:rPr>
      <w:rFonts w:ascii="Cambria" w:hAnsi="Cambria" w:eastAsia="宋体"/>
      <w:b/>
      <w:bCs/>
      <w:sz w:val="32"/>
      <w:szCs w:val="32"/>
      <w:lang w:val="en-US" w:eastAsia="zh-CN" w:bidi="ar-SA"/>
    </w:rPr>
  </w:style>
  <w:style w:type="character" w:styleId="1087" w:customStyle="1">
    <w:name w:val="批注主题 Char"/>
    <w:link w:val="1035"/>
    <w:uiPriority w:val="99"/>
    <w:qFormat/>
    <w:rPr>
      <w:rFonts w:ascii="Calibri" w:hAnsi="Calibri" w:eastAsia="方正楷体_GB2312"/>
      <w:b/>
      <w:bCs/>
      <w:sz w:val="26"/>
      <w:szCs w:val="22"/>
    </w:rPr>
  </w:style>
  <w:style w:type="character" w:styleId="1088" w:customStyle="1">
    <w:name w:val="正文首行缩进 2 Char1"/>
    <w:link w:val="1037"/>
    <w:uiPriority w:val="0"/>
    <w:qFormat/>
    <w:rPr>
      <w:sz w:val="21"/>
      <w:szCs w:val="24"/>
    </w:rPr>
  </w:style>
  <w:style w:type="character" w:styleId="1089" w:customStyle="1">
    <w:name w:val="标题 1 Char"/>
    <w:link w:val="975"/>
    <w:uiPriority w:val="0"/>
    <w:qFormat/>
    <w:rPr>
      <w:rFonts w:eastAsia="方正楷体_GB2312"/>
      <w:b/>
      <w:sz w:val="44"/>
      <w:lang w:val="en-US" w:eastAsia="zh-CN" w:bidi="ar-SA"/>
    </w:rPr>
  </w:style>
  <w:style w:type="character" w:styleId="1090" w:customStyle="1">
    <w:name w:val="标题 6 字符"/>
    <w:uiPriority w:val="0"/>
    <w:qFormat/>
    <w:rPr>
      <w:rFonts w:ascii="Arial" w:hAnsi="Arial" w:eastAsia="黑体"/>
      <w:b/>
      <w:bCs/>
      <w:sz w:val="24"/>
      <w:szCs w:val="24"/>
      <w:lang w:val="en-US" w:eastAsia="zh-CN" w:bidi="ar-SA"/>
    </w:rPr>
  </w:style>
  <w:style w:type="paragraph" w:styleId="1091" w:customStyle="1">
    <w:name w:val="标题7"/>
    <w:basedOn w:val="974"/>
    <w:uiPriority w:val="0"/>
    <w:qFormat/>
    <w:pPr>
      <w:jc w:val="left"/>
      <w:widowControl/>
    </w:pPr>
    <w:rPr>
      <w:rFonts w:ascii="宋体" w:hAnsi="宋体" w:cs="宋体"/>
      <w:sz w:val="24"/>
      <w:szCs w:val="24"/>
    </w:rPr>
  </w:style>
  <w:style w:type="paragraph" w:styleId="1092" w:customStyle="1">
    <w:name w:val="页脚1"/>
    <w:basedOn w:val="974"/>
    <w:uiPriority w:val="99"/>
    <w:qFormat/>
    <w:pPr>
      <w:jc w:val="left"/>
      <w:tabs>
        <w:tab w:val="center" w:pos="4153" w:leader="none"/>
        <w:tab w:val="right" w:pos="8306" w:leader="none"/>
      </w:tabs>
    </w:pPr>
    <w:rPr>
      <w:sz w:val="18"/>
      <w:szCs w:val="18"/>
    </w:rPr>
  </w:style>
  <w:style w:type="paragraph" w:styleId="1093" w:customStyle="1">
    <w:name w:val="段"/>
    <w:next w:val="974"/>
    <w:uiPriority w:val="0"/>
    <w:qFormat/>
    <w:pPr>
      <w:ind w:firstLine="200"/>
      <w:jc w:val="both"/>
    </w:pPr>
    <w:rPr>
      <w:rFonts w:ascii="宋体" w:hAnsi="Times New Roman" w:eastAsia="宋体" w:cs="Times New Roman"/>
      <w:sz w:val="21"/>
      <w:lang w:val="en-US" w:eastAsia="zh-CN" w:bidi="ar-SA"/>
    </w:rPr>
  </w:style>
  <w:style w:type="paragraph" w:styleId="1094" w:customStyle="1">
    <w:name w:val="首行缩进"/>
    <w:basedOn w:val="974"/>
    <w:uiPriority w:val="0"/>
    <w:qFormat/>
    <w:pPr>
      <w:ind w:firstLine="480"/>
    </w:pPr>
    <w:rPr>
      <w:lang w:val="zh-CN"/>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96" w:customStyle="1">
    <w:name w:val="正文文本 字符"/>
    <w:uiPriority w:val="0"/>
    <w:qFormat/>
    <w:rPr>
      <w:rFonts w:ascii="Tahoma" w:hAnsi="Tahoma" w:eastAsia="Times New Roman"/>
      <w:sz w:val="21"/>
      <w:szCs w:val="24"/>
      <w:lang w:val="en-US" w:eastAsia="zh-CN" w:bidi="ar-SA"/>
    </w:rPr>
  </w:style>
  <w:style w:type="character" w:styleId="1097" w:customStyle="1">
    <w:name w:val="A8"/>
    <w:uiPriority w:val="0"/>
    <w:qFormat/>
    <w:rPr>
      <w:rFonts w:ascii="华文细黑" w:eastAsia="华文细黑" w:cs="华文细黑"/>
      <w:color w:val="000000"/>
      <w:sz w:val="14"/>
      <w:szCs w:val="14"/>
    </w:rPr>
  </w:style>
  <w:style w:type="character" w:styleId="1098" w:customStyle="1">
    <w:name w:val="标题 3 字符1"/>
    <w:uiPriority w:val="0"/>
    <w:qFormat/>
    <w:rPr>
      <w:rFonts w:ascii="宋体" w:hAnsi="宋体" w:eastAsia="宋体"/>
      <w:sz w:val="28"/>
      <w:lang w:val="en-US" w:eastAsia="zh-CN" w:bidi="ar-SA"/>
    </w:rPr>
  </w:style>
  <w:style w:type="character" w:styleId="1099" w:customStyle="1">
    <w:name w:val="正文缩进1 Char"/>
    <w:uiPriority w:val="0"/>
    <w:qFormat/>
    <w:rPr>
      <w:rFonts w:ascii="Times New Roman" w:hAnsi="Times New Roman" w:eastAsia="方正楷体_GB2312" w:cs="Times New Roman"/>
      <w:sz w:val="24"/>
      <w:szCs w:val="20"/>
    </w:rPr>
  </w:style>
  <w:style w:type="character" w:styleId="1100" w:customStyle="1">
    <w:name w:val="ih151"/>
    <w:uiPriority w:val="0"/>
    <w:qFormat/>
    <w:rPr>
      <w:color w:val="666666"/>
      <w:sz w:val="18"/>
      <w:szCs w:val="18"/>
      <w:u w:val="none"/>
    </w:rPr>
  </w:style>
  <w:style w:type="character" w:styleId="1101" w:customStyle="1">
    <w:name w:val="02 标题 Char"/>
    <w:link w:val="1102"/>
    <w:uiPriority w:val="0"/>
    <w:qFormat/>
    <w:rPr>
      <w:b/>
      <w:sz w:val="21"/>
      <w:szCs w:val="21"/>
    </w:rPr>
  </w:style>
  <w:style w:type="paragraph" w:styleId="1102" w:customStyle="1">
    <w:name w:val="02 标题"/>
    <w:basedOn w:val="974"/>
    <w:link w:val="1101"/>
    <w:uiPriority w:val="0"/>
    <w:qFormat/>
    <w:pPr>
      <w:keepNext/>
      <w:spacing w:line="360" w:lineRule="auto"/>
      <w:widowControl/>
      <w:outlineLvl w:val="0"/>
    </w:pPr>
    <w:rPr>
      <w:b/>
      <w:szCs w:val="21"/>
    </w:rPr>
  </w:style>
  <w:style w:type="character" w:styleId="1103" w:customStyle="1">
    <w:name w:val="3级方案标题 字符"/>
    <w:link w:val="1104"/>
    <w:uiPriority w:val="0"/>
    <w:qFormat/>
    <w:rPr>
      <w:rFonts w:ascii="宋体" w:hAnsi="宋体"/>
      <w:b/>
      <w:color w:val="000000"/>
      <w:sz w:val="32"/>
      <w:szCs w:val="32"/>
    </w:rPr>
  </w:style>
  <w:style w:type="paragraph" w:styleId="1104" w:customStyle="1">
    <w:name w:val="3级方案标题"/>
    <w:basedOn w:val="977"/>
    <w:link w:val="1103"/>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105" w:customStyle="1">
    <w:name w:val="Char Char9"/>
    <w:uiPriority w:val="0"/>
    <w:qFormat/>
    <w:rPr>
      <w:sz w:val="18"/>
      <w:szCs w:val="18"/>
    </w:rPr>
  </w:style>
  <w:style w:type="character" w:styleId="1106" w:customStyle="1">
    <w:name w:val="正文缩进 Char1"/>
    <w:uiPriority w:val="0"/>
    <w:qFormat/>
    <w:rPr>
      <w:rFonts w:eastAsia="方正楷体_GB2312"/>
      <w:sz w:val="24"/>
    </w:rPr>
  </w:style>
  <w:style w:type="character" w:styleId="1107" w:customStyle="1">
    <w:name w:val="UH正文 Char"/>
    <w:link w:val="1108"/>
    <w:uiPriority w:val="0"/>
    <w:qFormat/>
    <w:rPr>
      <w:rFonts w:ascii="Arial" w:hAnsi="Arial"/>
      <w:sz w:val="24"/>
      <w:szCs w:val="21"/>
      <w:lang w:val="en-US" w:eastAsia="zh-CN" w:bidi="ar-SA"/>
    </w:rPr>
  </w:style>
  <w:style w:type="paragraph" w:styleId="1108" w:customStyle="1">
    <w:name w:val="UH正文"/>
    <w:link w:val="1107"/>
    <w:uiPriority w:val="0"/>
    <w:qFormat/>
    <w:pPr>
      <w:ind w:firstLine="200"/>
      <w:spacing w:line="360" w:lineRule="auto"/>
    </w:pPr>
    <w:rPr>
      <w:rFonts w:ascii="Arial" w:hAnsi="Arial" w:eastAsia="宋体" w:cs="Times New Roman"/>
      <w:sz w:val="24"/>
      <w:szCs w:val="21"/>
      <w:lang w:val="en-US" w:eastAsia="zh-CN" w:bidi="ar-SA"/>
    </w:rPr>
  </w:style>
  <w:style w:type="character" w:styleId="1109" w:customStyle="1">
    <w:name w:val="Andy_3级 Char"/>
    <w:link w:val="1110"/>
    <w:uiPriority w:val="0"/>
    <w:qFormat/>
    <w:rPr>
      <w:rFonts w:ascii="Calibri" w:hAnsi="Calibri"/>
      <w:sz w:val="24"/>
    </w:rPr>
  </w:style>
  <w:style w:type="paragraph" w:styleId="1110" w:customStyle="1">
    <w:name w:val="Andy_3级"/>
    <w:basedOn w:val="974"/>
    <w:link w:val="1109"/>
    <w:uiPriority w:val="0"/>
    <w:qFormat/>
    <w:pPr>
      <w:ind w:left="1260" w:hanging="420"/>
      <w:spacing w:line="360" w:lineRule="auto"/>
      <w:tabs>
        <w:tab w:val="left" w:pos="1260" w:leader="none"/>
      </w:tabs>
    </w:pPr>
    <w:rPr>
      <w:rFonts w:ascii="Calibri" w:hAnsi="Calibri"/>
      <w:sz w:val="24"/>
    </w:rPr>
  </w:style>
  <w:style w:type="character" w:styleId="1111" w:customStyle="1">
    <w:name w:val="Plain Text Char1"/>
    <w:link w:val="1112"/>
    <w:uiPriority w:val="0"/>
    <w:qFormat/>
    <w:rPr>
      <w:rFonts w:ascii="宋体" w:hAnsi="Courier New" w:eastAsia="方正楷体_GB2312"/>
      <w:sz w:val="26"/>
    </w:rPr>
  </w:style>
  <w:style w:type="paragraph" w:styleId="1112" w:customStyle="1">
    <w:name w:val="纯文本1"/>
    <w:basedOn w:val="974"/>
    <w:link w:val="1111"/>
    <w:uiPriority w:val="0"/>
    <w:qFormat/>
    <w:rPr>
      <w:rFonts w:ascii="宋体" w:hAnsi="Courier New" w:eastAsia="方正楷体_GB2312"/>
      <w:sz w:val="26"/>
    </w:rPr>
  </w:style>
  <w:style w:type="character" w:styleId="1113" w:customStyle="1">
    <w:name w:val="不明显参考1"/>
    <w:uiPriority w:val="0"/>
    <w:qFormat/>
    <w:rPr>
      <w:smallCaps/>
      <w:color w:val="c0504d"/>
      <w:u w:val="single"/>
    </w:rPr>
  </w:style>
  <w:style w:type="character" w:styleId="1114" w:customStyle="1">
    <w:name w:val="样式6 Char"/>
    <w:link w:val="1115"/>
    <w:uiPriority w:val="0"/>
    <w:qFormat/>
    <w:rPr>
      <w:rFonts w:ascii="Arial" w:hAnsi="Arial"/>
      <w:b/>
      <w:bCs/>
      <w:sz w:val="28"/>
      <w:szCs w:val="32"/>
    </w:rPr>
  </w:style>
  <w:style w:type="paragraph" w:styleId="1115" w:customStyle="1">
    <w:name w:val="样式6"/>
    <w:basedOn w:val="976"/>
    <w:link w:val="1114"/>
    <w:uiPriority w:val="0"/>
    <w:qFormat/>
    <w:pPr>
      <w:jc w:val="both"/>
      <w:keepLines/>
    </w:pPr>
    <w:rPr>
      <w:rFonts w:ascii="Arial" w:hAnsi="Arial"/>
      <w:szCs w:val="32"/>
    </w:rPr>
  </w:style>
  <w:style w:type="character" w:styleId="1116" w:customStyle="1">
    <w:name w:val="*正文 Char"/>
    <w:link w:val="1117"/>
    <w:uiPriority w:val="0"/>
    <w:qFormat/>
    <w:rPr>
      <w:rFonts w:ascii="宋体" w:hAnsi="宋体" w:cs="MS Gothic"/>
      <w:sz w:val="24"/>
      <w:szCs w:val="21"/>
      <w:u w:val="none"/>
    </w:rPr>
  </w:style>
  <w:style w:type="paragraph" w:styleId="1117" w:customStyle="1">
    <w:name w:val="*正文"/>
    <w:basedOn w:val="974"/>
    <w:link w:val="1116"/>
    <w:uiPriority w:val="0"/>
    <w:qFormat/>
    <w:pPr>
      <w:ind w:firstLine="480"/>
      <w:spacing w:line="360" w:lineRule="auto"/>
    </w:pPr>
    <w:rPr>
      <w:rFonts w:ascii="宋体" w:hAnsi="宋体"/>
      <w:sz w:val="24"/>
      <w:szCs w:val="21"/>
    </w:rPr>
  </w:style>
  <w:style w:type="character" w:styleId="1118" w:customStyle="1">
    <w:name w:val="王兴华的论文正文 Char"/>
    <w:link w:val="1119"/>
    <w:uiPriority w:val="0"/>
    <w:qFormat/>
    <w:rPr>
      <w:rFonts w:eastAsia="宋体"/>
      <w:sz w:val="24"/>
      <w:szCs w:val="24"/>
      <w:lang w:val="en-US" w:eastAsia="zh-CN" w:bidi="ar-SA"/>
    </w:rPr>
  </w:style>
  <w:style w:type="paragraph" w:styleId="1119" w:customStyle="1">
    <w:name w:val="王兴华的论文正文"/>
    <w:basedOn w:val="992"/>
    <w:link w:val="1118"/>
    <w:uiPriority w:val="0"/>
    <w:qFormat/>
    <w:pPr>
      <w:ind w:firstLine="200"/>
      <w:spacing w:line="360" w:lineRule="auto"/>
    </w:pPr>
    <w:rPr>
      <w:sz w:val="24"/>
      <w:szCs w:val="24"/>
    </w:rPr>
  </w:style>
  <w:style w:type="character" w:styleId="1120" w:customStyle="1">
    <w:name w:val="页眉 字符"/>
    <w:uiPriority w:val="0"/>
    <w:qFormat/>
    <w:rPr>
      <w:rFonts w:eastAsia="宋体"/>
      <w:sz w:val="18"/>
      <w:lang w:val="en-US" w:eastAsia="zh-CN" w:bidi="ar-SA"/>
    </w:rPr>
  </w:style>
  <w:style w:type="character" w:styleId="1121" w:customStyle="1">
    <w:name w:val="HTML 预设格式 Char1"/>
    <w:uiPriority w:val="0"/>
    <w:qFormat/>
    <w:rPr>
      <w:rFonts w:ascii="Courier New" w:hAnsi="Courier New" w:eastAsia="方正楷体_GB2312" w:cs="Courier New"/>
    </w:rPr>
  </w:style>
  <w:style w:type="character" w:styleId="1122" w:customStyle="1">
    <w:name w:val="标题 5 字符"/>
    <w:uiPriority w:val="0"/>
    <w:qFormat/>
    <w:rPr>
      <w:rFonts w:eastAsia="宋体"/>
      <w:b/>
      <w:bCs/>
      <w:sz w:val="28"/>
      <w:szCs w:val="28"/>
      <w:lang w:val="en-US" w:eastAsia="zh-CN" w:bidi="ar-SA"/>
    </w:rPr>
  </w:style>
  <w:style w:type="character" w:styleId="1123" w:customStyle="1">
    <w:name w:val="正文首行缩进2字 Char"/>
    <w:link w:val="1124"/>
    <w:uiPriority w:val="0"/>
    <w:qFormat/>
    <w:rPr>
      <w:rFonts w:eastAsia="方正楷体_GB2312"/>
      <w:sz w:val="24"/>
      <w:szCs w:val="24"/>
    </w:rPr>
  </w:style>
  <w:style w:type="paragraph" w:styleId="1124" w:customStyle="1">
    <w:name w:val="正文首行缩进2字"/>
    <w:basedOn w:val="974"/>
    <w:link w:val="1123"/>
    <w:uiPriority w:val="0"/>
    <w:qFormat/>
    <w:pPr>
      <w:ind w:firstLine="540"/>
      <w:spacing w:line="288" w:lineRule="auto"/>
    </w:pPr>
    <w:rPr>
      <w:rFonts w:eastAsia="方正楷体_GB2312"/>
      <w:sz w:val="24"/>
      <w:szCs w:val="24"/>
    </w:rPr>
  </w:style>
  <w:style w:type="character" w:styleId="1125" w:customStyle="1">
    <w:name w:val="批注框文本 字符"/>
    <w:uiPriority w:val="0"/>
    <w:qFormat/>
    <w:rPr>
      <w:rFonts w:eastAsia="方正楷体_GB2312"/>
      <w:sz w:val="18"/>
      <w:szCs w:val="18"/>
      <w:lang w:bidi="ar-SA"/>
    </w:rPr>
  </w:style>
  <w:style w:type="character" w:styleId="1126" w:customStyle="1">
    <w:name w:val="纯文本 Char"/>
    <w:uiPriority w:val="0"/>
    <w:qFormat/>
    <w:rPr>
      <w:rFonts w:ascii="宋体" w:hAnsi="Courier New" w:eastAsia="方正楷体_GB2312"/>
      <w:sz w:val="28"/>
      <w:lang w:val="en-US" w:eastAsia="zh-CN" w:bidi="ar-SA"/>
    </w:rPr>
  </w:style>
  <w:style w:type="character" w:styleId="1127" w:customStyle="1">
    <w:name w:val="表格正文 Char"/>
    <w:link w:val="1128"/>
    <w:uiPriority w:val="0"/>
    <w:qFormat/>
    <w:rPr>
      <w:rFonts w:ascii="等线" w:hAnsi="等线"/>
      <w:sz w:val="21"/>
      <w:szCs w:val="21"/>
    </w:rPr>
  </w:style>
  <w:style w:type="paragraph" w:styleId="1128" w:customStyle="1">
    <w:name w:val="表格正文"/>
    <w:basedOn w:val="974"/>
    <w:link w:val="1127"/>
    <w:uiPriority w:val="0"/>
    <w:qFormat/>
    <w:rPr>
      <w:rFonts w:ascii="等线" w:hAnsi="等线"/>
      <w:szCs w:val="21"/>
    </w:rPr>
  </w:style>
  <w:style w:type="character" w:styleId="1129" w:customStyle="1">
    <w:name w:val="Char Char2"/>
    <w:uiPriority w:val="0"/>
    <w:qFormat/>
    <w:rPr>
      <w:rFonts w:ascii="宋体" w:hAnsi="宋体" w:eastAsia="方正楷体_GB2312"/>
      <w:sz w:val="24"/>
      <w:lang w:val="en-US" w:eastAsia="zh-CN" w:bidi="ar-SA"/>
    </w:rPr>
  </w:style>
  <w:style w:type="character" w:styleId="1130" w:customStyle="1">
    <w:name w:val="正文2 字符"/>
    <w:link w:val="1131"/>
    <w:uiPriority w:val="0"/>
    <w:qFormat/>
    <w:rPr>
      <w:sz w:val="24"/>
      <w:szCs w:val="24"/>
    </w:rPr>
  </w:style>
  <w:style w:type="paragraph" w:styleId="1131" w:customStyle="1">
    <w:name w:val="正文2"/>
    <w:basedOn w:val="974"/>
    <w:link w:val="1130"/>
    <w:uiPriority w:val="0"/>
    <w:qFormat/>
    <w:pPr>
      <w:ind w:firstLine="420"/>
      <w:spacing w:line="360" w:lineRule="auto"/>
    </w:pPr>
    <w:rPr>
      <w:sz w:val="24"/>
      <w:szCs w:val="24"/>
    </w:rPr>
  </w:style>
  <w:style w:type="character" w:styleId="1132" w:customStyle="1">
    <w:name w:val="font31"/>
    <w:uiPriority w:val="0"/>
    <w:qFormat/>
    <w:rPr>
      <w:rFonts w:hint="eastAsia" w:ascii="黑体" w:eastAsia="黑体" w:cs="黑体"/>
      <w:color w:val="000000"/>
      <w:sz w:val="20"/>
      <w:szCs w:val="20"/>
      <w:u w:val="none"/>
    </w:rPr>
  </w:style>
  <w:style w:type="character" w:styleId="1133" w:customStyle="1">
    <w:name w:val="正文首行缩进 Char"/>
    <w:uiPriority w:val="0"/>
    <w:qFormat/>
    <w:rPr>
      <w:rFonts w:ascii="方正楷体_GB2312" w:hAnsi="Arial" w:eastAsia="方正楷体_GB2312"/>
      <w:sz w:val="21"/>
    </w:rPr>
  </w:style>
  <w:style w:type="character" w:styleId="1134" w:customStyle="1">
    <w:name w:val="Char Char10"/>
    <w:uiPriority w:val="0"/>
    <w:qFormat/>
    <w:rPr>
      <w:rFonts w:ascii="Times New Roman" w:hAnsi="Times New Roman" w:eastAsia="宋体" w:cs="Times New Roman"/>
      <w:b/>
      <w:bCs/>
      <w:sz w:val="28"/>
      <w:szCs w:val="28"/>
    </w:rPr>
  </w:style>
  <w:style w:type="character" w:styleId="1135" w:customStyle="1">
    <w:name w:val="标题 8 字符"/>
    <w:uiPriority w:val="0"/>
    <w:qFormat/>
    <w:rPr>
      <w:rFonts w:ascii="Arial" w:hAnsi="Arial" w:eastAsia="黑体"/>
      <w:sz w:val="24"/>
      <w:szCs w:val="24"/>
      <w:lang w:val="en-US" w:eastAsia="zh-CN" w:bidi="ar-SA"/>
    </w:rPr>
  </w:style>
  <w:style w:type="character" w:styleId="1136" w:customStyle="1">
    <w:name w:val="无间隔 Char"/>
    <w:link w:val="1137"/>
    <w:uiPriority w:val="1"/>
    <w:qFormat/>
    <w:rPr>
      <w:rFonts w:ascii="Calibri" w:hAnsi="Calibri"/>
      <w:sz w:val="22"/>
      <w:szCs w:val="22"/>
      <w:lang w:val="en-US" w:eastAsia="zh-CN" w:bidi="ar-SA"/>
    </w:rPr>
  </w:style>
  <w:style w:type="paragraph" w:styleId="1137" w:customStyle="1">
    <w:name w:val="无间隔1"/>
    <w:link w:val="1136"/>
    <w:uiPriority w:val="1"/>
    <w:qFormat/>
    <w:rPr>
      <w:rFonts w:ascii="Calibri" w:hAnsi="Calibri" w:eastAsia="宋体" w:cs="Times New Roman"/>
      <w:sz w:val="22"/>
      <w:szCs w:val="22"/>
      <w:lang w:val="en-US" w:eastAsia="zh-CN" w:bidi="ar-SA"/>
    </w:rPr>
  </w:style>
  <w:style w:type="character" w:styleId="1138" w:customStyle="1">
    <w:name w:val="正文首行缩进 Char Char"/>
    <w:link w:val="1139"/>
    <w:uiPriority w:val="0"/>
    <w:qFormat/>
    <w:rPr>
      <w:szCs w:val="24"/>
    </w:rPr>
  </w:style>
  <w:style w:type="paragraph" w:styleId="1139" w:customStyle="1">
    <w:name w:val="正文首行缩进1"/>
    <w:basedOn w:val="986"/>
    <w:link w:val="1138"/>
    <w:uiPriority w:val="0"/>
    <w:qFormat/>
    <w:pPr>
      <w:ind w:firstLine="420"/>
      <w:spacing w:after="120"/>
      <w:widowControl/>
    </w:pPr>
    <w:rPr>
      <w:rFonts w:ascii="Times New Roman" w:hAnsi="Times New Roman" w:eastAsia="宋体"/>
      <w:sz w:val="20"/>
      <w:szCs w:val="24"/>
    </w:rPr>
  </w:style>
  <w:style w:type="character" w:styleId="1140" w:customStyle="1">
    <w:name w:val="font11"/>
    <w:uiPriority w:val="0"/>
    <w:qFormat/>
    <w:rPr>
      <w:rFonts w:hint="eastAsia" w:ascii="宋体" w:hAnsi="宋体" w:eastAsia="宋体" w:cs="宋体"/>
      <w:color w:val="000000"/>
      <w:sz w:val="20"/>
      <w:szCs w:val="20"/>
      <w:u w:val="none"/>
    </w:rPr>
  </w:style>
  <w:style w:type="character" w:styleId="1141" w:customStyle="1">
    <w:name w:val="列出段落 Char1"/>
    <w:uiPriority w:val="34"/>
    <w:qFormat/>
    <w:rPr>
      <w:sz w:val="21"/>
      <w:szCs w:val="22"/>
    </w:rPr>
  </w:style>
  <w:style w:type="character" w:styleId="1142" w:customStyle="1">
    <w:name w:val="blue3"/>
    <w:uiPriority w:val="0"/>
    <w:qFormat/>
    <w:rPr>
      <w:color w:val="0000ff"/>
      <w:spacing w:val="270"/>
      <w:u w:val="none"/>
    </w:rPr>
  </w:style>
  <w:style w:type="character" w:styleId="1143" w:customStyle="1">
    <w:name w:val="列出段落 字符"/>
    <w:link w:val="1144"/>
    <w:uiPriority w:val="34"/>
    <w:qFormat/>
    <w:rPr>
      <w:sz w:val="21"/>
      <w:szCs w:val="24"/>
    </w:rPr>
  </w:style>
  <w:style w:type="paragraph" w:styleId="1144" w:customStyle="1">
    <w:name w:val="列出段落1"/>
    <w:basedOn w:val="974"/>
    <w:link w:val="1143"/>
    <w:uiPriority w:val="34"/>
    <w:qFormat/>
    <w:pPr>
      <w:ind w:firstLine="420"/>
    </w:pPr>
    <w:rPr>
      <w:szCs w:val="24"/>
    </w:rPr>
  </w:style>
  <w:style w:type="character" w:styleId="1145" w:customStyle="1">
    <w:name w:val="正文首行缩进 2 Char"/>
    <w:link w:val="1146"/>
    <w:uiPriority w:val="99"/>
    <w:qFormat/>
    <w:rPr>
      <w:rFonts w:ascii="宋体" w:eastAsia="宋体"/>
      <w:sz w:val="21"/>
      <w:lang w:val="en-US" w:eastAsia="zh-CN" w:bidi="ar-SA"/>
    </w:rPr>
  </w:style>
  <w:style w:type="paragraph" w:styleId="1146" w:customStyle="1">
    <w:name w:val="正文首行缩进 21"/>
    <w:basedOn w:val="1000"/>
    <w:link w:val="1145"/>
    <w:uiPriority w:val="99"/>
    <w:qFormat/>
    <w:pPr>
      <w:ind w:left="420" w:firstLine="420"/>
      <w:spacing w:after="120" w:line="240" w:lineRule="auto"/>
    </w:pPr>
    <w:rPr>
      <w:sz w:val="21"/>
    </w:rPr>
  </w:style>
  <w:style w:type="character" w:styleId="1147" w:customStyle="1">
    <w:name w:val="ca-0"/>
    <w:uiPriority w:val="0"/>
    <w:qFormat/>
    <w:rPr>
      <w:rFonts w:ascii="Tahoma" w:hAnsi="Tahoma" w:eastAsia="宋体"/>
      <w:sz w:val="24"/>
      <w:szCs w:val="24"/>
      <w:lang w:val="en-US" w:eastAsia="zh-CN" w:bidi="ar-SA"/>
    </w:rPr>
  </w:style>
  <w:style w:type="character" w:styleId="1148" w:customStyle="1">
    <w:name w:val="font41"/>
    <w:uiPriority w:val="0"/>
    <w:qFormat/>
    <w:rPr>
      <w:rFonts w:hint="eastAsia" w:ascii="宋体" w:hAnsi="宋体" w:eastAsia="宋体" w:cs="宋体"/>
      <w:color w:val="000000"/>
      <w:sz w:val="20"/>
      <w:szCs w:val="20"/>
      <w:u w:val="none"/>
    </w:rPr>
  </w:style>
  <w:style w:type="character" w:styleId="1149" w:customStyle="1">
    <w:name w:val="apple-converted-space"/>
    <w:uiPriority w:val="0"/>
    <w:qFormat/>
  </w:style>
  <w:style w:type="character" w:styleId="1150" w:customStyle="1">
    <w:name w:val="日期 字符"/>
    <w:uiPriority w:val="0"/>
    <w:qFormat/>
    <w:rPr>
      <w:rFonts w:ascii="宋体" w:hAnsi="宋体" w:eastAsia="方正楷体_GB2312"/>
      <w:sz w:val="24"/>
      <w:szCs w:val="24"/>
      <w:lang w:val="en-US" w:eastAsia="zh-CN" w:bidi="ar-SA"/>
    </w:rPr>
  </w:style>
  <w:style w:type="character" w:styleId="1151" w:customStyle="1">
    <w:name w:val="不明显强调1"/>
    <w:uiPriority w:val="19"/>
    <w:qFormat/>
    <w:rPr>
      <w:i/>
      <w:iCs/>
      <w:color w:val="808080"/>
    </w:rPr>
  </w:style>
  <w:style w:type="character" w:styleId="1152" w:customStyle="1">
    <w:name w:val="标题 7 字符"/>
    <w:uiPriority w:val="0"/>
    <w:qFormat/>
    <w:rPr>
      <w:rFonts w:ascii="宋体" w:hAnsi="Tahoma" w:eastAsia="方正仿宋_GB2312"/>
      <w:b/>
      <w:sz w:val="24"/>
      <w:szCs w:val="24"/>
      <w:lang w:val="en-US" w:eastAsia="zh-CN" w:bidi="ar-SA"/>
    </w:rPr>
  </w:style>
  <w:style w:type="character" w:styleId="1153" w:customStyle="1">
    <w:name w:val="style221"/>
    <w:uiPriority w:val="0"/>
    <w:qFormat/>
    <w:rPr>
      <w:b/>
      <w:bCs/>
      <w:color w:val="000099"/>
    </w:rPr>
  </w:style>
  <w:style w:type="character" w:styleId="1154" w:customStyle="1">
    <w:name w:val="_正文 Char"/>
    <w:link w:val="1155"/>
    <w:uiPriority w:val="0"/>
    <w:qFormat/>
    <w:rPr>
      <w:sz w:val="24"/>
      <w:szCs w:val="24"/>
    </w:rPr>
  </w:style>
  <w:style w:type="paragraph" w:styleId="1155" w:customStyle="1">
    <w:name w:val="_正文"/>
    <w:basedOn w:val="974"/>
    <w:link w:val="1154"/>
    <w:uiPriority w:val="0"/>
    <w:qFormat/>
    <w:pPr>
      <w:ind w:firstLine="200"/>
      <w:spacing w:line="360" w:lineRule="auto"/>
    </w:pPr>
    <w:rPr>
      <w:sz w:val="24"/>
      <w:szCs w:val="24"/>
    </w:rPr>
  </w:style>
  <w:style w:type="character" w:styleId="1156" w:customStyle="1">
    <w:name w:val="明显强调1"/>
    <w:uiPriority w:val="21"/>
    <w:qFormat/>
    <w:rPr>
      <w:b/>
      <w:bCs/>
      <w:i/>
      <w:iCs/>
      <w:color w:val="4f81bd"/>
    </w:rPr>
  </w:style>
  <w:style w:type="character" w:styleId="1157" w:customStyle="1">
    <w:name w:val="正文缩进 字符"/>
    <w:uiPriority w:val="0"/>
    <w:qFormat/>
    <w:rPr>
      <w:rFonts w:eastAsia="方正楷体_GB2312"/>
      <w:sz w:val="24"/>
      <w:lang w:bidi="ar-SA"/>
    </w:rPr>
  </w:style>
  <w:style w:type="character" w:styleId="1158" w:customStyle="1">
    <w:name w:val="正文文本缩进 3 Char1"/>
    <w:uiPriority w:val="0"/>
    <w:qFormat/>
    <w:rPr>
      <w:rFonts w:hint="default" w:ascii="Calibri" w:hAnsi="Calibri" w:cs="Calibri"/>
      <w:sz w:val="16"/>
      <w:szCs w:val="16"/>
    </w:rPr>
  </w:style>
  <w:style w:type="character" w:styleId="1159" w:customStyle="1">
    <w:name w:val="标题 3 字符"/>
    <w:uiPriority w:val="0"/>
    <w:qFormat/>
    <w:rPr>
      <w:rFonts w:eastAsia="宋体"/>
      <w:b/>
      <w:bCs/>
      <w:sz w:val="32"/>
      <w:szCs w:val="32"/>
      <w:lang w:val="en-US" w:eastAsia="zh-CN" w:bidi="ar-SA"/>
    </w:rPr>
  </w:style>
  <w:style w:type="character" w:styleId="1160" w:customStyle="1">
    <w:name w:val="批注框文本 Char1"/>
    <w:uiPriority w:val="0"/>
    <w:qFormat/>
    <w:rPr>
      <w:rFonts w:hint="default" w:ascii="Calibri" w:hAnsi="Calibri" w:cs="Calibri"/>
      <w:sz w:val="18"/>
      <w:szCs w:val="18"/>
    </w:rPr>
  </w:style>
  <w:style w:type="character" w:styleId="1161" w:customStyle="1">
    <w:name w:val="正文文本缩进 Char"/>
    <w:uiPriority w:val="99"/>
    <w:qFormat/>
    <w:rPr>
      <w:rFonts w:ascii="宋体" w:eastAsia="宋体"/>
      <w:sz w:val="28"/>
      <w:lang w:val="en-US" w:eastAsia="zh-CN" w:bidi="ar-SA"/>
    </w:rPr>
  </w:style>
  <w:style w:type="character" w:styleId="1162" w:customStyle="1">
    <w:name w:val="纯文本 字符"/>
    <w:uiPriority w:val="0"/>
    <w:qFormat/>
    <w:rPr>
      <w:rFonts w:ascii="宋体" w:hAnsi="Courier New" w:eastAsia="方正楷体_GB2312"/>
      <w:sz w:val="26"/>
      <w:lang w:bidi="ar-SA"/>
    </w:rPr>
  </w:style>
  <w:style w:type="character" w:styleId="1163" w:customStyle="1">
    <w:name w:val="文章正文 字符"/>
    <w:link w:val="1164"/>
    <w:uiPriority w:val="0"/>
    <w:qFormat/>
    <w:rPr>
      <w:sz w:val="24"/>
    </w:rPr>
  </w:style>
  <w:style w:type="paragraph" w:styleId="1164" w:customStyle="1">
    <w:name w:val="文章正文"/>
    <w:basedOn w:val="974"/>
    <w:link w:val="1163"/>
    <w:uiPriority w:val="0"/>
    <w:qFormat/>
    <w:pPr>
      <w:ind w:firstLine="560"/>
      <w:jc w:val="left"/>
      <w:spacing w:line="360" w:lineRule="auto"/>
      <w:widowControl/>
    </w:pPr>
    <w:rPr>
      <w:sz w:val="24"/>
    </w:rPr>
  </w:style>
  <w:style w:type="character" w:styleId="1165" w:customStyle="1">
    <w:name w:val="Andy_2级 Char"/>
    <w:link w:val="1166"/>
    <w:uiPriority w:val="0"/>
    <w:qFormat/>
    <w:rPr>
      <w:rFonts w:ascii="Calibri" w:hAnsi="Calibri"/>
      <w:sz w:val="24"/>
    </w:rPr>
  </w:style>
  <w:style w:type="paragraph" w:styleId="1166" w:customStyle="1">
    <w:name w:val="Andy_2级"/>
    <w:basedOn w:val="974"/>
    <w:link w:val="1165"/>
    <w:uiPriority w:val="0"/>
    <w:qFormat/>
    <w:pPr>
      <w:ind w:left="840" w:hanging="420"/>
      <w:spacing w:line="360" w:lineRule="auto"/>
      <w:tabs>
        <w:tab w:val="left" w:pos="840" w:leader="none"/>
      </w:tabs>
    </w:pPr>
    <w:rPr>
      <w:rFonts w:ascii="Calibri" w:hAnsi="Calibri"/>
      <w:sz w:val="24"/>
    </w:rPr>
  </w:style>
  <w:style w:type="character" w:styleId="1167" w:customStyle="1">
    <w:name w:val="方案正文 Char"/>
    <w:link w:val="1168"/>
    <w:uiPriority w:val="0"/>
    <w:qFormat/>
    <w:rPr>
      <w:sz w:val="24"/>
    </w:rPr>
  </w:style>
  <w:style w:type="paragraph" w:styleId="1168" w:customStyle="1">
    <w:name w:val="方案正文"/>
    <w:basedOn w:val="974"/>
    <w:link w:val="1167"/>
    <w:uiPriority w:val="0"/>
    <w:qFormat/>
    <w:pPr>
      <w:spacing w:line="440" w:lineRule="atLeast"/>
    </w:pPr>
    <w:rPr>
      <w:sz w:val="24"/>
    </w:rPr>
  </w:style>
  <w:style w:type="character" w:styleId="1169" w:customStyle="1">
    <w:name w:val="para1"/>
    <w:uiPriority w:val="0"/>
    <w:qFormat/>
    <w:rPr>
      <w:rFonts w:hint="default" w:ascii="Arial" w:hAnsi="Arial" w:cs="Arial"/>
      <w:sz w:val="18"/>
      <w:szCs w:val="18"/>
    </w:rPr>
  </w:style>
  <w:style w:type="character" w:styleId="1170" w:customStyle="1">
    <w:name w:val="03 正文 Char"/>
    <w:link w:val="1171"/>
    <w:uiPriority w:val="0"/>
    <w:qFormat/>
    <w:rPr>
      <w:sz w:val="21"/>
      <w:szCs w:val="22"/>
    </w:rPr>
  </w:style>
  <w:style w:type="paragraph" w:styleId="1171" w:customStyle="1">
    <w:name w:val="03 正文"/>
    <w:basedOn w:val="974"/>
    <w:link w:val="1170"/>
    <w:uiPriority w:val="0"/>
    <w:qFormat/>
    <w:pPr>
      <w:ind w:firstLine="420"/>
      <w:spacing w:line="500" w:lineRule="atLeast"/>
      <w:widowControl/>
    </w:pPr>
    <w:rPr>
      <w:szCs w:val="22"/>
    </w:rPr>
  </w:style>
  <w:style w:type="character" w:styleId="1172" w:customStyle="1">
    <w:name w:val="param-name"/>
    <w:uiPriority w:val="0"/>
    <w:qFormat/>
    <w:rPr>
      <w:rFonts w:ascii="Tahoma" w:hAnsi="Tahoma" w:eastAsia="宋体"/>
      <w:sz w:val="24"/>
      <w:szCs w:val="24"/>
      <w:lang w:val="en-US" w:eastAsia="zh-CN" w:bidi="ar-SA"/>
    </w:rPr>
  </w:style>
  <w:style w:type="character" w:styleId="1173" w:customStyle="1">
    <w:name w:val="apple-style-span"/>
    <w:uiPriority w:val="0"/>
    <w:qFormat/>
    <w:rPr>
      <w:rFonts w:ascii="Tahoma" w:hAnsi="Tahoma" w:eastAsia="宋体"/>
      <w:sz w:val="24"/>
      <w:szCs w:val="24"/>
      <w:lang w:val="en-US" w:eastAsia="zh-CN" w:bidi="ar-SA"/>
    </w:rPr>
  </w:style>
  <w:style w:type="character" w:styleId="1174" w:customStyle="1">
    <w:name w:val="列出段落 Char"/>
    <w:uiPriority w:val="34"/>
    <w:qFormat/>
    <w:rPr>
      <w:rFonts w:ascii="Calibri" w:hAnsi="Calibri"/>
      <w:sz w:val="24"/>
    </w:rPr>
  </w:style>
  <w:style w:type="character" w:styleId="1175" w:customStyle="1">
    <w:name w:val="Char Char8"/>
    <w:uiPriority w:val="0"/>
    <w:qFormat/>
    <w:rPr>
      <w:sz w:val="18"/>
      <w:szCs w:val="18"/>
    </w:rPr>
  </w:style>
  <w:style w:type="character" w:styleId="1176" w:customStyle="1">
    <w:name w:val="正文文本缩进 字符1"/>
    <w:uiPriority w:val="0"/>
    <w:qFormat/>
    <w:rPr>
      <w:rFonts w:ascii="宋体" w:eastAsia="宋体"/>
      <w:sz w:val="28"/>
      <w:lang w:val="en-US" w:eastAsia="zh-CN" w:bidi="ar-SA"/>
    </w:rPr>
  </w:style>
  <w:style w:type="character" w:styleId="1177" w:customStyle="1">
    <w:name w:val="HTML 预设格式 字符"/>
    <w:uiPriority w:val="0"/>
    <w:qFormat/>
    <w:rPr>
      <w:rFonts w:ascii="宋体" w:hAnsi="宋体" w:cs="宋体"/>
      <w:sz w:val="24"/>
      <w:szCs w:val="24"/>
    </w:rPr>
  </w:style>
  <w:style w:type="character" w:styleId="1178" w:customStyle="1">
    <w:name w:val="style141"/>
    <w:uiPriority w:val="0"/>
    <w:qFormat/>
    <w:rPr>
      <w:rFonts w:hint="eastAsia" w:ascii="宋体" w:hAnsi="宋体" w:eastAsia="宋体"/>
    </w:rPr>
  </w:style>
  <w:style w:type="character" w:styleId="1179" w:customStyle="1">
    <w:name w:val="_标题3 Char"/>
    <w:link w:val="1180"/>
    <w:uiPriority w:val="0"/>
    <w:qFormat/>
    <w:rPr>
      <w:rFonts w:ascii="Calibri" w:hAnsi="Calibri" w:eastAsia="宋体" w:cs="Times New Roman"/>
      <w:b/>
      <w:sz w:val="28"/>
      <w:szCs w:val="21"/>
    </w:rPr>
  </w:style>
  <w:style w:type="paragraph" w:styleId="1180" w:customStyle="1">
    <w:name w:val="_标题3"/>
    <w:basedOn w:val="974"/>
    <w:next w:val="974"/>
    <w:link w:val="1179"/>
    <w:uiPriority w:val="0"/>
    <w:qFormat/>
    <w:pPr>
      <w:jc w:val="left"/>
      <w:keepNext/>
      <w:spacing w:line="360" w:lineRule="auto"/>
      <w:outlineLvl w:val="2"/>
    </w:pPr>
    <w:rPr>
      <w:rFonts w:ascii="Calibri" w:hAnsi="Calibri"/>
      <w:b/>
      <w:sz w:val="28"/>
      <w:szCs w:val="21"/>
    </w:rPr>
  </w:style>
  <w:style w:type="character" w:styleId="1181" w:customStyle="1">
    <w:name w:val="列出段落 Char2"/>
    <w:link w:val="1182"/>
    <w:uiPriority w:val="34"/>
    <w:qFormat/>
    <w:rPr>
      <w:rFonts w:ascii="Calibri" w:hAnsi="Calibri"/>
      <w:sz w:val="24"/>
    </w:rPr>
  </w:style>
  <w:style w:type="paragraph" w:styleId="1182">
    <w:name w:val="List Paragraph"/>
    <w:basedOn w:val="974"/>
    <w:link w:val="1181"/>
    <w:uiPriority w:val="99"/>
    <w:qFormat/>
    <w:pPr>
      <w:ind w:firstLine="420"/>
      <w:spacing w:line="360" w:lineRule="auto"/>
    </w:pPr>
    <w:rPr>
      <w:rFonts w:ascii="Calibri" w:hAnsi="Calibri"/>
      <w:sz w:val="24"/>
    </w:rPr>
  </w:style>
  <w:style w:type="character" w:styleId="1183" w:customStyle="1">
    <w:name w:val="para"/>
    <w:uiPriority w:val="0"/>
    <w:qFormat/>
    <w:rPr>
      <w:rFonts w:ascii="Tahoma" w:hAnsi="Tahoma" w:eastAsia="宋体"/>
      <w:sz w:val="24"/>
      <w:szCs w:val="24"/>
      <w:lang w:val="en-US" w:eastAsia="zh-CN" w:bidi="ar-SA"/>
    </w:rPr>
  </w:style>
  <w:style w:type="character" w:styleId="1184" w:customStyle="1">
    <w:name w:val="font21"/>
    <w:uiPriority w:val="0"/>
    <w:qFormat/>
    <w:rPr>
      <w:rFonts w:hint="eastAsia" w:ascii="宋体" w:hAnsi="宋体" w:eastAsia="宋体" w:cs="宋体"/>
      <w:color w:val="000000"/>
      <w:sz w:val="22"/>
      <w:szCs w:val="22"/>
      <w:u w:val="none"/>
    </w:rPr>
  </w:style>
  <w:style w:type="character" w:styleId="1185" w:customStyle="1">
    <w:name w:val="ca-1"/>
    <w:uiPriority w:val="0"/>
    <w:qFormat/>
    <w:rPr>
      <w:rFonts w:ascii="Tahoma" w:hAnsi="Tahoma" w:eastAsia="宋体"/>
      <w:sz w:val="24"/>
      <w:szCs w:val="24"/>
      <w:lang w:val="en-US" w:eastAsia="zh-CN" w:bidi="ar-SA"/>
    </w:rPr>
  </w:style>
  <w:style w:type="character" w:styleId="1186" w:customStyle="1">
    <w:name w:val="style21"/>
    <w:uiPriority w:val="0"/>
    <w:qFormat/>
    <w:rPr>
      <w:rFonts w:ascii="Tahoma" w:hAnsi="Tahoma" w:eastAsia="宋体"/>
      <w:color w:val="2e65b5"/>
      <w:sz w:val="24"/>
      <w:szCs w:val="24"/>
      <w:lang w:val="en-US" w:eastAsia="zh-CN" w:bidi="ar-SA"/>
    </w:rPr>
  </w:style>
  <w:style w:type="character" w:styleId="1187" w:customStyle="1">
    <w:name w:val="纯文本 Char Char Char Char Char Char Char Char Char Char"/>
    <w:uiPriority w:val="0"/>
    <w:qFormat/>
    <w:rPr>
      <w:rFonts w:ascii="宋体" w:hAnsi="Courier New" w:eastAsia="方正楷体_GB2312"/>
      <w:sz w:val="26"/>
      <w:lang w:val="en-US" w:eastAsia="zh-CN" w:bidi="ar-SA"/>
    </w:rPr>
  </w:style>
  <w:style w:type="character" w:styleId="1188" w:customStyle="1">
    <w:name w:val="无间隔 Char1"/>
    <w:link w:val="1189"/>
    <w:uiPriority w:val="1"/>
    <w:qFormat/>
    <w:rPr>
      <w:sz w:val="24"/>
      <w:szCs w:val="24"/>
      <w:lang w:val="en-US" w:eastAsia="zh-CN" w:bidi="ar-SA"/>
    </w:rPr>
  </w:style>
  <w:style w:type="paragraph" w:styleId="1189">
    <w:name w:val="No Spacing"/>
    <w:basedOn w:val="974"/>
    <w:link w:val="1188"/>
    <w:uiPriority w:val="1"/>
    <w:qFormat/>
    <w:pPr>
      <w:ind w:firstLine="200"/>
      <w:spacing w:line="360" w:lineRule="auto"/>
    </w:pPr>
    <w:rPr>
      <w:sz w:val="24"/>
      <w:szCs w:val="24"/>
    </w:rPr>
  </w:style>
  <w:style w:type="character" w:styleId="1190" w:customStyle="1">
    <w:name w:val="09汇 表 Char"/>
    <w:link w:val="1191"/>
    <w:uiPriority w:val="0"/>
    <w:qFormat/>
    <w:rPr>
      <w:bCs/>
      <w:color w:val="000000"/>
      <w:sz w:val="22"/>
      <w:szCs w:val="24"/>
    </w:rPr>
  </w:style>
  <w:style w:type="paragraph" w:styleId="1191" w:customStyle="1">
    <w:name w:val="09汇 表"/>
    <w:basedOn w:val="974"/>
    <w:link w:val="1190"/>
    <w:uiPriority w:val="0"/>
    <w:qFormat/>
    <w:pPr>
      <w:jc w:val="center"/>
      <w:widowControl/>
    </w:pPr>
    <w:rPr>
      <w:bCs/>
      <w:color w:val="000000"/>
      <w:sz w:val="22"/>
      <w:szCs w:val="24"/>
    </w:rPr>
  </w:style>
  <w:style w:type="character" w:styleId="1192" w:customStyle="1">
    <w:name w:val="正文文本缩进 字符"/>
    <w:uiPriority w:val="0"/>
    <w:qFormat/>
    <w:rPr>
      <w:sz w:val="24"/>
      <w:lang w:bidi="ar-SA"/>
    </w:rPr>
  </w:style>
  <w:style w:type="character" w:styleId="1193" w:customStyle="1">
    <w:name w:val="表格 Char"/>
    <w:link w:val="1194"/>
    <w:uiPriority w:val="0"/>
    <w:qFormat/>
    <w:rPr>
      <w:rFonts w:ascii="等线" w:hAnsi="等线"/>
      <w:color w:val="000000"/>
      <w:szCs w:val="21"/>
      <w:lang w:val="en-US" w:eastAsia="zh-CN" w:bidi="ar-SA"/>
    </w:rPr>
  </w:style>
  <w:style w:type="paragraph" w:styleId="1194" w:customStyle="1">
    <w:name w:val="表格"/>
    <w:next w:val="974"/>
    <w:link w:val="1193"/>
    <w:uiPriority w:val="0"/>
    <w:qFormat/>
    <w:rPr>
      <w:rFonts w:ascii="等线" w:hAnsi="等线" w:eastAsia="宋体" w:cs="Times New Roman"/>
      <w:color w:val="000000"/>
      <w:szCs w:val="21"/>
      <w:lang w:val="en-US" w:eastAsia="zh-CN" w:bidi="ar-SA"/>
    </w:rPr>
  </w:style>
  <w:style w:type="character" w:styleId="1195" w:customStyle="1">
    <w:name w:val="a"/>
    <w:uiPriority w:val="0"/>
    <w:qFormat/>
  </w:style>
  <w:style w:type="character" w:styleId="1196" w:customStyle="1">
    <w:name w:val="一. 字符"/>
    <w:link w:val="1197"/>
    <w:uiPriority w:val="0"/>
    <w:qFormat/>
    <w:rPr>
      <w:b/>
      <w:bCs/>
      <w:sz w:val="28"/>
      <w:szCs w:val="28"/>
    </w:rPr>
  </w:style>
  <w:style w:type="paragraph" w:styleId="1197" w:customStyle="1">
    <w:name w:val="一."/>
    <w:basedOn w:val="974"/>
    <w:link w:val="1196"/>
    <w:uiPriority w:val="0"/>
    <w:qFormat/>
    <w:pPr>
      <w:jc w:val="left"/>
      <w:spacing w:line="360" w:lineRule="auto"/>
    </w:pPr>
    <w:rPr>
      <w:b/>
      <w:bCs/>
      <w:sz w:val="28"/>
      <w:szCs w:val="28"/>
    </w:rPr>
  </w:style>
  <w:style w:type="character" w:styleId="1198" w:customStyle="1">
    <w:name w:val="纯文本 Char Char"/>
    <w:link w:val="1199"/>
    <w:uiPriority w:val="0"/>
    <w:qFormat/>
    <w:rPr>
      <w:rFonts w:ascii="宋体" w:hAnsi="Courier New" w:eastAsia="方正楷体_GB2312"/>
      <w:sz w:val="26"/>
      <w:szCs w:val="24"/>
    </w:rPr>
  </w:style>
  <w:style w:type="paragraph" w:styleId="1199" w:customStyle="1">
    <w:name w:val="纯文本11"/>
    <w:basedOn w:val="974"/>
    <w:link w:val="1198"/>
    <w:uiPriority w:val="0"/>
    <w:qFormat/>
    <w:pPr>
      <w:jc w:val="left"/>
      <w:widowControl/>
    </w:pPr>
    <w:rPr>
      <w:rFonts w:ascii="宋体" w:hAnsi="Courier New" w:eastAsia="方正楷体_GB2312"/>
      <w:sz w:val="26"/>
      <w:szCs w:val="24"/>
    </w:rPr>
  </w:style>
  <w:style w:type="character" w:styleId="1200" w:customStyle="1">
    <w:name w:val="_正文段落 Char"/>
    <w:link w:val="1201"/>
    <w:uiPriority w:val="0"/>
    <w:qFormat/>
    <w:rPr>
      <w:rFonts w:ascii="宋体" w:hAnsi="宋体"/>
      <w:sz w:val="24"/>
      <w:szCs w:val="24"/>
    </w:rPr>
  </w:style>
  <w:style w:type="paragraph" w:styleId="1201" w:customStyle="1">
    <w:name w:val="_正文段落"/>
    <w:basedOn w:val="974"/>
    <w:link w:val="1200"/>
    <w:uiPriority w:val="0"/>
    <w:qFormat/>
    <w:pPr>
      <w:ind w:firstLine="480"/>
      <w:jc w:val="left"/>
      <w:spacing w:line="360" w:lineRule="auto"/>
      <w:widowControl/>
    </w:pPr>
    <w:rPr>
      <w:rFonts w:ascii="宋体" w:hAnsi="宋体"/>
      <w:sz w:val="24"/>
      <w:szCs w:val="24"/>
    </w:rPr>
  </w:style>
  <w:style w:type="character" w:styleId="1202" w:customStyle="1">
    <w:name w:val="纯文本 Char1"/>
    <w:uiPriority w:val="0"/>
    <w:qFormat/>
    <w:rPr>
      <w:rFonts w:ascii="宋体" w:hAnsi="Courier New" w:eastAsia="宋体"/>
      <w:sz w:val="21"/>
      <w:lang w:val="en-US" w:eastAsia="zh-CN" w:bidi="ar-SA"/>
    </w:rPr>
  </w:style>
  <w:style w:type="character" w:styleId="1203" w:customStyle="1">
    <w:name w:val="wen Char1"/>
    <w:link w:val="1204"/>
    <w:uiPriority w:val="0"/>
    <w:qFormat/>
    <w:rPr>
      <w:rFonts w:ascii="微软雅黑" w:hAnsi="微软雅黑" w:eastAsia="微软雅黑"/>
      <w:sz w:val="21"/>
      <w:szCs w:val="24"/>
    </w:rPr>
  </w:style>
  <w:style w:type="paragraph" w:styleId="1204" w:customStyle="1">
    <w:name w:val="wen"/>
    <w:basedOn w:val="974"/>
    <w:link w:val="1203"/>
    <w:uiPriority w:val="0"/>
    <w:qFormat/>
    <w:pPr>
      <w:ind w:firstLine="425"/>
      <w:spacing w:line="269" w:lineRule="auto"/>
    </w:pPr>
    <w:rPr>
      <w:rFonts w:ascii="微软雅黑" w:hAnsi="微软雅黑" w:eastAsia="微软雅黑"/>
      <w:szCs w:val="24"/>
    </w:rPr>
  </w:style>
  <w:style w:type="character" w:styleId="1205" w:customStyle="1">
    <w:name w:val="style181"/>
    <w:uiPriority w:val="0"/>
    <w:qFormat/>
    <w:rPr>
      <w:sz w:val="18"/>
      <w:szCs w:val="18"/>
    </w:rPr>
  </w:style>
  <w:style w:type="character" w:styleId="1206" w:customStyle="1">
    <w:name w:val="style4 style24"/>
    <w:uiPriority w:val="0"/>
    <w:qFormat/>
    <w:rPr>
      <w:rFonts w:ascii="Tahoma" w:hAnsi="Tahoma" w:eastAsia="宋体"/>
      <w:sz w:val="24"/>
      <w:szCs w:val="24"/>
      <w:lang w:val="en-US" w:eastAsia="zh-CN" w:bidi="ar-SA"/>
    </w:rPr>
  </w:style>
  <w:style w:type="character" w:styleId="1207" w:customStyle="1">
    <w:name w:val="样式11"/>
    <w:uiPriority w:val="0"/>
    <w:qFormat/>
    <w:rPr>
      <w:b/>
    </w:rPr>
  </w:style>
  <w:style w:type="character" w:styleId="1208" w:customStyle="1">
    <w:name w:val="01 章标 Char"/>
    <w:link w:val="1209"/>
    <w:uiPriority w:val="0"/>
    <w:qFormat/>
    <w:rPr>
      <w:b/>
      <w:sz w:val="44"/>
      <w:szCs w:val="44"/>
    </w:rPr>
  </w:style>
  <w:style w:type="paragraph" w:styleId="1209" w:customStyle="1">
    <w:name w:val="01 章标"/>
    <w:basedOn w:val="974"/>
    <w:link w:val="1208"/>
    <w:uiPriority w:val="0"/>
    <w:qFormat/>
    <w:pPr>
      <w:ind w:firstLine="883"/>
      <w:jc w:val="center"/>
      <w:outlineLvl w:val="0"/>
    </w:pPr>
    <w:rPr>
      <w:b/>
      <w:sz w:val="44"/>
      <w:szCs w:val="44"/>
    </w:rPr>
  </w:style>
  <w:style w:type="character" w:styleId="1210" w:customStyle="1">
    <w:name w:val="文档结构图 Char1"/>
    <w:uiPriority w:val="0"/>
    <w:qFormat/>
    <w:rPr>
      <w:rFonts w:ascii="宋体"/>
      <w:sz w:val="18"/>
      <w:szCs w:val="18"/>
    </w:rPr>
  </w:style>
  <w:style w:type="character" w:styleId="1211" w:customStyle="1">
    <w:name w:val="日期 Char1"/>
    <w:uiPriority w:val="0"/>
    <w:qFormat/>
    <w:rPr>
      <w:rFonts w:eastAsia="方正楷体_GB2312"/>
      <w:sz w:val="28"/>
    </w:rPr>
  </w:style>
  <w:style w:type="character" w:styleId="1212" w:customStyle="1">
    <w:name w:val="标题 9 字符"/>
    <w:uiPriority w:val="0"/>
    <w:qFormat/>
    <w:rPr>
      <w:rFonts w:ascii="Arial" w:hAnsi="Arial" w:eastAsia="黑体"/>
      <w:sz w:val="28"/>
      <w:szCs w:val="24"/>
      <w:lang w:val="en-US" w:eastAsia="zh-CN" w:bidi="ar-SA"/>
    </w:rPr>
  </w:style>
  <w:style w:type="character" w:styleId="1213" w:customStyle="1">
    <w:name w:val="批注主题 字符"/>
    <w:uiPriority w:val="0"/>
    <w:qFormat/>
    <w:rPr>
      <w:rFonts w:ascii="Tahoma" w:hAnsi="Tahoma" w:eastAsia="宋体"/>
      <w:b/>
      <w:bCs/>
      <w:sz w:val="21"/>
      <w:szCs w:val="24"/>
      <w:lang w:val="en-US" w:eastAsia="zh-CN" w:bidi="ar-SA"/>
    </w:rPr>
  </w:style>
  <w:style w:type="character" w:styleId="1214" w:customStyle="1">
    <w:name w:val="页脚 Char1"/>
    <w:uiPriority w:val="99"/>
    <w:semiHidden/>
    <w:qFormat/>
    <w:rPr>
      <w:rFonts w:eastAsia="方正楷体_GB2312"/>
      <w:sz w:val="18"/>
      <w:szCs w:val="18"/>
    </w:rPr>
  </w:style>
  <w:style w:type="character" w:styleId="1215" w:customStyle="1">
    <w:name w:val="Andy_正文 Char"/>
    <w:link w:val="1216"/>
    <w:uiPriority w:val="0"/>
    <w:qFormat/>
    <w:rPr>
      <w:rFonts w:ascii="Calibri" w:hAnsi="Calibri"/>
      <w:sz w:val="24"/>
      <w:szCs w:val="24"/>
    </w:rPr>
  </w:style>
  <w:style w:type="paragraph" w:styleId="1216" w:customStyle="1">
    <w:name w:val="Andy_正文"/>
    <w:basedOn w:val="974"/>
    <w:link w:val="1215"/>
    <w:uiPriority w:val="0"/>
    <w:qFormat/>
    <w:pPr>
      <w:ind w:firstLine="480"/>
      <w:spacing w:line="360" w:lineRule="auto"/>
    </w:pPr>
    <w:rPr>
      <w:rFonts w:ascii="Calibri" w:hAnsi="Calibri"/>
      <w:sz w:val="24"/>
      <w:szCs w:val="24"/>
    </w:rPr>
  </w:style>
  <w:style w:type="character" w:styleId="1217" w:customStyle="1">
    <w:name w:val="Char Char1"/>
    <w:uiPriority w:val="0"/>
    <w:qFormat/>
    <w:rPr>
      <w:rFonts w:ascii="宋体" w:hAnsi="宋体" w:eastAsia="方正楷体_GB2312"/>
      <w:sz w:val="24"/>
      <w:lang w:val="en-US" w:eastAsia="zh-CN" w:bidi="ar-SA"/>
    </w:rPr>
  </w:style>
  <w:style w:type="character" w:styleId="1218" w:customStyle="1">
    <w:name w:val="正文 首行缩进:  2 字符 Char Char Char"/>
    <w:link w:val="1219"/>
    <w:uiPriority w:val="0"/>
    <w:qFormat/>
    <w:rPr>
      <w:sz w:val="21"/>
    </w:rPr>
  </w:style>
  <w:style w:type="paragraph" w:styleId="1219" w:customStyle="1">
    <w:name w:val="正文 首行缩进:  2 字符 Char"/>
    <w:basedOn w:val="974"/>
    <w:link w:val="1218"/>
    <w:uiPriority w:val="0"/>
    <w:qFormat/>
    <w:pPr>
      <w:ind w:firstLine="480"/>
      <w:jc w:val="left"/>
      <w:spacing w:line="360" w:lineRule="auto"/>
    </w:pPr>
  </w:style>
  <w:style w:type="character" w:styleId="1220" w:customStyle="1">
    <w:name w:val="Plain Text Char Char"/>
    <w:link w:val="1221"/>
    <w:uiPriority w:val="0"/>
    <w:qFormat/>
    <w:rPr>
      <w:rFonts w:ascii="宋体" w:hAnsi="Courier New" w:eastAsia="方正楷体_GB2312"/>
      <w:sz w:val="26"/>
    </w:rPr>
  </w:style>
  <w:style w:type="paragraph" w:styleId="1221" w:customStyle="1">
    <w:name w:val="纯文本2"/>
    <w:basedOn w:val="974"/>
    <w:link w:val="1220"/>
    <w:uiPriority w:val="0"/>
    <w:qFormat/>
    <w:rPr>
      <w:rFonts w:ascii="宋体" w:hAnsi="Courier New" w:eastAsia="方正楷体_GB2312"/>
      <w:sz w:val="26"/>
    </w:rPr>
  </w:style>
  <w:style w:type="character" w:styleId="1222" w:customStyle="1">
    <w:name w:val="font51"/>
    <w:uiPriority w:val="0"/>
    <w:qFormat/>
    <w:rPr>
      <w:rFonts w:hint="eastAsia" w:ascii="微软雅黑" w:hAnsi="微软雅黑" w:eastAsia="微软雅黑" w:cs="微软雅黑"/>
      <w:color w:val="000000"/>
      <w:sz w:val="24"/>
      <w:szCs w:val="24"/>
      <w:u w:val="none"/>
    </w:rPr>
  </w:style>
  <w:style w:type="character" w:styleId="1223" w:customStyle="1">
    <w:name w:val="正文缩进1 Char1"/>
    <w:uiPriority w:val="0"/>
    <w:qFormat/>
    <w:rPr>
      <w:rFonts w:eastAsia="方正楷体_GB2312"/>
      <w:sz w:val="24"/>
      <w:lang w:val="en-US" w:eastAsia="zh-CN" w:bidi="ar-SA"/>
    </w:rPr>
  </w:style>
  <w:style w:type="character" w:styleId="1224" w:customStyle="1">
    <w:name w:val="Plain Text Char"/>
    <w:link w:val="1225"/>
    <w:uiPriority w:val="0"/>
    <w:qFormat/>
    <w:rPr>
      <w:rFonts w:ascii="宋体" w:hAnsi="Courier New" w:eastAsia="方正楷体_GB2312"/>
      <w:sz w:val="26"/>
    </w:rPr>
  </w:style>
  <w:style w:type="paragraph" w:styleId="1225" w:customStyle="1">
    <w:name w:val="纯文本5"/>
    <w:basedOn w:val="974"/>
    <w:link w:val="1224"/>
    <w:uiPriority w:val="0"/>
    <w:qFormat/>
    <w:rPr>
      <w:rFonts w:ascii="宋体" w:hAnsi="Courier New" w:eastAsia="方正楷体_GB2312"/>
      <w:sz w:val="26"/>
    </w:rPr>
  </w:style>
  <w:style w:type="character" w:styleId="1226" w:customStyle="1">
    <w:name w:val="正文文本 2 字符"/>
    <w:uiPriority w:val="0"/>
    <w:qFormat/>
    <w:rPr>
      <w:rFonts w:ascii="Tahoma" w:hAnsi="Tahoma" w:eastAsia="宋体"/>
      <w:color w:val="000000"/>
      <w:sz w:val="24"/>
      <w:szCs w:val="24"/>
      <w:lang w:val="en-US" w:eastAsia="zh-CN" w:bidi="ar-SA"/>
    </w:rPr>
  </w:style>
  <w:style w:type="character" w:styleId="1227" w:customStyle="1">
    <w:name w:val="页脚 字符"/>
    <w:uiPriority w:val="99"/>
    <w:qFormat/>
    <w:rPr>
      <w:sz w:val="18"/>
      <w:lang w:bidi="ar-SA"/>
    </w:rPr>
  </w:style>
  <w:style w:type="character" w:styleId="1228" w:customStyle="1">
    <w:name w:val="批注文字 字符"/>
    <w:uiPriority w:val="99"/>
    <w:qFormat/>
    <w:rPr>
      <w:rFonts w:ascii="Tahoma" w:hAnsi="Tahoma" w:eastAsia="宋体"/>
      <w:sz w:val="21"/>
      <w:szCs w:val="24"/>
      <w:lang w:val="en-US" w:eastAsia="zh-CN" w:bidi="ar-SA"/>
    </w:rPr>
  </w:style>
  <w:style w:type="character" w:styleId="1229" w:customStyle="1">
    <w:name w:val="标题 4 字符"/>
    <w:uiPriority w:val="0"/>
    <w:qFormat/>
    <w:rPr>
      <w:rFonts w:ascii="Times New Roman" w:hAnsi="Times New Roman" w:eastAsia="宋体" w:cs="Times New Roman"/>
      <w:b/>
      <w:bCs/>
      <w:sz w:val="28"/>
      <w:szCs w:val="28"/>
    </w:rPr>
  </w:style>
  <w:style w:type="character" w:styleId="1230" w:customStyle="1">
    <w:name w:val="页脚 字符1"/>
    <w:uiPriority w:val="99"/>
    <w:qFormat/>
    <w:rPr>
      <w:sz w:val="18"/>
      <w:szCs w:val="18"/>
    </w:rPr>
  </w:style>
  <w:style w:type="character" w:styleId="1231" w:customStyle="1">
    <w:name w:val="HTML 预设格式 Char2"/>
    <w:uiPriority w:val="99"/>
    <w:semiHidden/>
    <w:qFormat/>
    <w:rPr>
      <w:rFonts w:ascii="Courier New" w:hAnsi="Courier New" w:eastAsia="方正楷体_GB2312" w:cs="Courier New"/>
    </w:rPr>
  </w:style>
  <w:style w:type="character" w:styleId="1232" w:customStyle="1">
    <w:name w:val="font61"/>
    <w:uiPriority w:val="0"/>
    <w:qFormat/>
    <w:rPr>
      <w:rFonts w:hint="eastAsia" w:ascii="宋体" w:hAnsi="宋体" w:eastAsia="宋体" w:cs="宋体"/>
      <w:color w:val="000000"/>
      <w:sz w:val="20"/>
      <w:szCs w:val="20"/>
      <w:u w:val="none"/>
    </w:rPr>
  </w:style>
  <w:style w:type="character" w:styleId="1233" w:customStyle="1">
    <w:name w:val="font01"/>
    <w:uiPriority w:val="0"/>
    <w:qFormat/>
    <w:rPr>
      <w:rFonts w:hint="eastAsia" w:ascii="宋体" w:hAnsi="宋体" w:eastAsia="宋体" w:cs="宋体"/>
      <w:color w:val="000000"/>
      <w:sz w:val="24"/>
      <w:szCs w:val="24"/>
      <w:u w:val="none"/>
    </w:rPr>
  </w:style>
  <w:style w:type="character" w:styleId="1234" w:customStyle="1">
    <w:name w:val="正文缩进 字符1"/>
    <w:uiPriority w:val="0"/>
    <w:qFormat/>
    <w:rPr>
      <w:sz w:val="21"/>
    </w:rPr>
  </w:style>
  <w:style w:type="character" w:styleId="1235" w:customStyle="1">
    <w:name w:val="批注主题 Char1"/>
    <w:uiPriority w:val="99"/>
    <w:semiHidden/>
    <w:qFormat/>
    <w:rPr>
      <w:rFonts w:eastAsia="方正楷体_GB2312"/>
      <w:b/>
      <w:bCs/>
      <w:sz w:val="28"/>
    </w:rPr>
  </w:style>
  <w:style w:type="character" w:styleId="1236" w:customStyle="1">
    <w:name w:val="size31"/>
    <w:uiPriority w:val="0"/>
    <w:qFormat/>
    <w:rPr>
      <w:rFonts w:hint="default" w:ascii="Arial" w:hAnsi="Arial" w:eastAsia="宋体" w:cs="Arial"/>
      <w:b/>
      <w:bCs/>
      <w:color w:val="2d2d2d"/>
      <w:sz w:val="18"/>
      <w:szCs w:val="18"/>
      <w:lang w:val="en-US" w:eastAsia="en-US" w:bidi="ar-SA"/>
    </w:rPr>
  </w:style>
  <w:style w:type="character" w:styleId="1237" w:customStyle="1">
    <w:name w:val="标题 2 字符"/>
    <w:uiPriority w:val="9"/>
    <w:qFormat/>
    <w:rPr>
      <w:rFonts w:ascii="Arial" w:hAnsi="Arial"/>
      <w:b/>
      <w:bCs/>
      <w:sz w:val="28"/>
      <w:szCs w:val="32"/>
    </w:rPr>
  </w:style>
  <w:style w:type="character" w:styleId="1238" w:customStyle="1">
    <w:name w:val="正文缩进 字符2"/>
    <w:uiPriority w:val="0"/>
    <w:qFormat/>
    <w:rPr>
      <w:sz w:val="21"/>
    </w:rPr>
  </w:style>
  <w:style w:type="character" w:styleId="1239" w:customStyle="1">
    <w:name w:val="Char Char"/>
    <w:uiPriority w:val="0"/>
    <w:qFormat/>
    <w:rPr>
      <w:rFonts w:ascii="宋体" w:hAnsi="宋体" w:eastAsia="方正楷体_GB2312"/>
      <w:sz w:val="24"/>
      <w:lang w:val="en-US" w:eastAsia="zh-CN" w:bidi="ar-SA"/>
    </w:rPr>
  </w:style>
  <w:style w:type="character" w:styleId="1240" w:customStyle="1">
    <w:name w:val="Body Text Char"/>
    <w:uiPriority w:val="0"/>
    <w:qFormat/>
    <w:rPr>
      <w:rFonts w:ascii="方正楷体_GB2312" w:hAnsi="Arial" w:eastAsia="方正楷体_GB2312" w:cs="Times New Roman"/>
      <w:sz w:val="28"/>
      <w:szCs w:val="20"/>
    </w:rPr>
  </w:style>
  <w:style w:type="character" w:styleId="1241" w:customStyle="1">
    <w:name w:val="正文文本缩进 3 字符"/>
    <w:uiPriority w:val="0"/>
    <w:qFormat/>
    <w:rPr>
      <w:rFonts w:eastAsia="宋体"/>
      <w:sz w:val="16"/>
      <w:szCs w:val="16"/>
      <w:lang w:val="en-US" w:eastAsia="zh-CN" w:bidi="ar-SA"/>
    </w:rPr>
  </w:style>
  <w:style w:type="character" w:styleId="1242" w:customStyle="1">
    <w:name w:val="表格 Char Char"/>
    <w:uiPriority w:val="0"/>
    <w:qFormat/>
    <w:rPr>
      <w:rFonts w:ascii="方正仿宋_GB2312" w:hAnsi="宋体" w:eastAsia="方正仿宋_GB2312"/>
      <w:sz w:val="21"/>
      <w:szCs w:val="21"/>
    </w:rPr>
  </w:style>
  <w:style w:type="character" w:styleId="1243" w:customStyle="1">
    <w:name w:val="Char Char7"/>
    <w:uiPriority w:val="0"/>
    <w:qFormat/>
    <w:rPr>
      <w:rFonts w:ascii="Times New Roman" w:hAnsi="Times New Roman" w:eastAsia="宋体" w:cs="Times New Roman"/>
      <w:sz w:val="24"/>
      <w:szCs w:val="24"/>
    </w:rPr>
  </w:style>
  <w:style w:type="character" w:styleId="1244" w:customStyle="1">
    <w:name w:val="批注文字 Char1"/>
    <w:uiPriority w:val="99"/>
    <w:semiHidden/>
    <w:qFormat/>
    <w:rPr>
      <w:rFonts w:ascii="Times New Roman" w:hAnsi="Times New Roman" w:eastAsia="宋体" w:cs="Times New Roman"/>
      <w:szCs w:val="20"/>
    </w:rPr>
  </w:style>
  <w:style w:type="character" w:styleId="1245" w:customStyle="1">
    <w:name w:val="页眉 字符1"/>
    <w:uiPriority w:val="99"/>
    <w:qFormat/>
    <w:rPr>
      <w:sz w:val="18"/>
      <w:szCs w:val="18"/>
    </w:rPr>
  </w:style>
  <w:style w:type="character" w:styleId="1246" w:customStyle="1">
    <w:name w:val="List Paragraph Char"/>
    <w:uiPriority w:val="0"/>
    <w:qFormat/>
  </w:style>
  <w:style w:type="character" w:styleId="1247" w:customStyle="1">
    <w:name w:val="font122"/>
    <w:uiPriority w:val="0"/>
    <w:qFormat/>
    <w:rPr>
      <w:rFonts w:ascii="Calibri" w:hAnsi="Calibri" w:cs="Calibri"/>
      <w:color w:val="000000"/>
      <w:sz w:val="20"/>
      <w:szCs w:val="20"/>
      <w:u w:val="none"/>
    </w:rPr>
  </w:style>
  <w:style w:type="paragraph" w:styleId="1248" w:customStyle="1">
    <w:name w:val="xl239"/>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242"/>
    <w:basedOn w:val="97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50" w:customStyle="1">
    <w:name w:val="表格内文"/>
    <w:basedOn w:val="974"/>
    <w:uiPriority w:val="0"/>
    <w:qFormat/>
    <w:pPr>
      <w:spacing w:line="360" w:lineRule="auto"/>
    </w:pPr>
    <w:rPr>
      <w:rFonts w:ascii="宋体" w:hAnsi="宋体"/>
      <w:color w:val="000000"/>
      <w:sz w:val="20"/>
    </w:rPr>
  </w:style>
  <w:style w:type="paragraph" w:styleId="1251" w:customStyle="1">
    <w:name w:val="xl128"/>
    <w:basedOn w:val="97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52" w:customStyle="1">
    <w:name w:val="xl41313"/>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3" w:customStyle="1">
    <w:name w:val="列出段落11"/>
    <w:basedOn w:val="974"/>
    <w:uiPriority w:val="34"/>
    <w:qFormat/>
    <w:pPr>
      <w:ind w:firstLine="420"/>
      <w:jc w:val="left"/>
      <w:spacing w:line="360" w:lineRule="atLeast"/>
    </w:pPr>
    <w:rPr>
      <w:rFonts w:ascii="Arial" w:hAnsi="Arial" w:cs="Arial"/>
      <w:sz w:val="24"/>
    </w:rPr>
  </w:style>
  <w:style w:type="paragraph" w:styleId="1254" w:customStyle="1">
    <w:name w:val="xl24253"/>
    <w:basedOn w:val="9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55" w:customStyle="1">
    <w:name w:val="+正文"/>
    <w:basedOn w:val="974"/>
    <w:uiPriority w:val="0"/>
    <w:qFormat/>
    <w:pPr>
      <w:ind w:firstLine="200"/>
      <w:spacing w:line="360" w:lineRule="auto"/>
    </w:pPr>
    <w:rPr>
      <w:sz w:val="24"/>
      <w:szCs w:val="28"/>
    </w:rPr>
  </w:style>
  <w:style w:type="paragraph" w:styleId="1256" w:customStyle="1">
    <w:name w:val="xl24270"/>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57" w:customStyle="1">
    <w:name w:val="xl67"/>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8"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259" w:customStyle="1">
    <w:name w:val="xl102"/>
    <w:basedOn w:val="974"/>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60" w:customStyle="1">
    <w:name w:val="xl254"/>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l18"/>
    <w:basedOn w:val="974"/>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62" w:customStyle="1">
    <w:name w:val="reader-word-layer"/>
    <w:basedOn w:val="974"/>
    <w:uiPriority w:val="0"/>
    <w:qFormat/>
    <w:pPr>
      <w:jc w:val="left"/>
      <w:spacing w:before="100" w:beforeAutospacing="1" w:after="100" w:afterAutospacing="1"/>
      <w:widowControl/>
    </w:pPr>
    <w:rPr>
      <w:rFonts w:ascii="宋体" w:hAnsi="宋体" w:cs="宋体"/>
      <w:sz w:val="24"/>
      <w:szCs w:val="24"/>
    </w:rPr>
  </w:style>
  <w:style w:type="paragraph" w:styleId="1263" w:customStyle="1">
    <w:name w:val="Char2"/>
    <w:basedOn w:val="974"/>
    <w:uiPriority w:val="0"/>
    <w:qFormat/>
    <w:pPr>
      <w:ind w:left="432" w:hanging="432"/>
    </w:pPr>
    <w:rPr>
      <w:sz w:val="24"/>
      <w:szCs w:val="24"/>
    </w:rPr>
  </w:style>
  <w:style w:type="paragraph" w:styleId="1264" w:customStyle="1">
    <w:name w:val="Char Char Char Char"/>
    <w:basedOn w:val="974"/>
    <w:uiPriority w:val="0"/>
    <w:qFormat/>
    <w:pPr>
      <w:spacing w:line="360" w:lineRule="atLeast"/>
    </w:pPr>
    <w:rPr>
      <w:sz w:val="20"/>
    </w:rPr>
  </w:style>
  <w:style w:type="paragraph" w:styleId="1265" w:customStyle="1">
    <w:name w:val="xl130"/>
    <w:basedOn w:val="97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66" w:customStyle="1">
    <w:name w:val="xl41317"/>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7" w:customStyle="1">
    <w:name w:val="xl41295"/>
    <w:basedOn w:val="974"/>
    <w:uiPriority w:val="0"/>
    <w:qFormat/>
    <w:pPr>
      <w:jc w:val="left"/>
      <w:spacing w:before="100" w:beforeAutospacing="1" w:after="100" w:afterAutospacing="1"/>
      <w:widowControl/>
    </w:pPr>
    <w:rPr>
      <w:rFonts w:ascii="宋体" w:hAnsi="宋体" w:cs="宋体"/>
      <w:b/>
      <w:bCs/>
      <w:sz w:val="24"/>
      <w:szCs w:val="24"/>
    </w:rPr>
  </w:style>
  <w:style w:type="paragraph" w:styleId="1268" w:customStyle="1">
    <w:name w:val="p15"/>
    <w:basedOn w:val="974"/>
    <w:uiPriority w:val="0"/>
    <w:qFormat/>
    <w:pPr>
      <w:ind w:firstLine="420"/>
      <w:widowControl/>
    </w:pPr>
    <w:rPr>
      <w:rFonts w:ascii="Calibri" w:hAnsi="Calibri" w:cs="宋体"/>
      <w:sz w:val="20"/>
      <w:szCs w:val="21"/>
    </w:rPr>
  </w:style>
  <w:style w:type="paragraph" w:styleId="1269" w:customStyle="1">
    <w:name w:val="xl24235"/>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24247"/>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1" w:customStyle="1">
    <w:name w:val="纯文本4"/>
    <w:basedOn w:val="974"/>
    <w:uiPriority w:val="0"/>
    <w:qFormat/>
    <w:rPr>
      <w:rFonts w:ascii="宋体" w:hAnsi="Courier New" w:eastAsia="方正楷体_GB2312"/>
      <w:sz w:val="26"/>
    </w:rPr>
  </w:style>
  <w:style w:type="paragraph" w:styleId="1272" w:customStyle="1">
    <w:name w:val="Char Char Char Char Char Char Char Char Char1 Char"/>
    <w:basedOn w:val="996"/>
    <w:uiPriority w:val="0"/>
    <w:qFormat/>
    <w:pPr>
      <w:spacing w:line="360" w:lineRule="auto"/>
    </w:pPr>
    <w:rPr>
      <w:rFonts w:ascii="Tahoma" w:hAnsi="Tahoma"/>
      <w:sz w:val="24"/>
      <w:szCs w:val="24"/>
    </w:rPr>
  </w:style>
  <w:style w:type="paragraph" w:styleId="1273" w:customStyle="1">
    <w:name w:val="xl24243"/>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74" w:customStyle="1">
    <w:name w:val="Char Char Char Char Char Char Char Char Char Char"/>
    <w:basedOn w:val="974"/>
    <w:uiPriority w:val="0"/>
    <w:qFormat/>
    <w:pPr>
      <w:ind w:left="360" w:hanging="360"/>
      <w:tabs>
        <w:tab w:val="left" w:pos="360" w:leader="none"/>
      </w:tabs>
    </w:pPr>
    <w:rPr>
      <w:sz w:val="24"/>
      <w:szCs w:val="24"/>
    </w:rPr>
  </w:style>
  <w:style w:type="paragraph" w:styleId="1275" w:customStyle="1">
    <w:name w:val="msolistparagraph"/>
    <w:basedOn w:val="974"/>
    <w:uiPriority w:val="0"/>
    <w:qFormat/>
    <w:pPr>
      <w:ind w:firstLine="420"/>
    </w:pPr>
    <w:rPr>
      <w:rFonts w:ascii="Calibri" w:hAnsi="Calibri"/>
      <w:szCs w:val="22"/>
    </w:rPr>
  </w:style>
  <w:style w:type="paragraph" w:styleId="1276" w:customStyle="1">
    <w:name w:val="xl41328"/>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77" w:customStyle="1">
    <w:name w:val="xl24244"/>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78" w:customStyle="1">
    <w:name w:val="xl263"/>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9" w:customStyle="1">
    <w:name w:val="xl41331"/>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0" w:customStyle="1">
    <w:name w:val="Plain Text1"/>
    <w:basedOn w:val="974"/>
    <w:uiPriority w:val="0"/>
    <w:qFormat/>
    <w:rPr>
      <w:rFonts w:ascii="宋体" w:hAnsi="Courier New" w:eastAsia="方正楷体_GB2312"/>
      <w:sz w:val="28"/>
    </w:rPr>
  </w:style>
  <w:style w:type="paragraph" w:styleId="1281" w:customStyle="1">
    <w:name w:val="font5"/>
    <w:basedOn w:val="974"/>
    <w:uiPriority w:val="0"/>
    <w:qFormat/>
    <w:pPr>
      <w:jc w:val="left"/>
      <w:spacing w:before="100" w:beforeAutospacing="1" w:after="100" w:afterAutospacing="1"/>
      <w:widowControl/>
    </w:pPr>
    <w:rPr>
      <w:rFonts w:ascii="宋体" w:hAnsi="宋体" w:cs="宋体"/>
      <w:sz w:val="18"/>
      <w:szCs w:val="18"/>
    </w:rPr>
  </w:style>
  <w:style w:type="paragraph" w:styleId="1282" w:customStyle="1">
    <w:name w:val="列出段落2"/>
    <w:basedOn w:val="974"/>
    <w:uiPriority w:val="34"/>
    <w:qFormat/>
    <w:pPr>
      <w:ind w:firstLine="420"/>
    </w:pPr>
    <w:rPr>
      <w:rFonts w:ascii="Calibri" w:hAnsi="Calibri"/>
      <w:sz w:val="28"/>
      <w:szCs w:val="22"/>
    </w:rPr>
  </w:style>
  <w:style w:type="paragraph" w:styleId="1283" w:customStyle="1">
    <w:name w:val="Char Char Char Char Char Char Char Char Char Char Char Char Char Char Char Char"/>
    <w:basedOn w:val="974"/>
    <w:uiPriority w:val="0"/>
    <w:qFormat/>
    <w:pPr>
      <w:tabs>
        <w:tab w:val="left" w:pos="360" w:leader="none"/>
      </w:tabs>
    </w:pPr>
    <w:rPr>
      <w:sz w:val="24"/>
      <w:szCs w:val="24"/>
    </w:rPr>
  </w:style>
  <w:style w:type="paragraph" w:styleId="1284" w:customStyle="1">
    <w:name w:val="xl100"/>
    <w:basedOn w:val="9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85" w:customStyle="1">
    <w:name w:val="Char1 Char Char Char"/>
    <w:basedOn w:val="974"/>
    <w:uiPriority w:val="0"/>
    <w:qFormat/>
    <w:rPr>
      <w:rFonts w:ascii="Tahoma" w:hAnsi="Tahoma"/>
      <w:sz w:val="24"/>
    </w:rPr>
  </w:style>
  <w:style w:type="paragraph" w:styleId="1286" w:customStyle="1">
    <w:name w:val="xl68"/>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7"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288" w:customStyle="1">
    <w:name w:val="xl214"/>
    <w:basedOn w:val="9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9" w:customStyle="1">
    <w:name w:val="wfxRecipient"/>
    <w:basedOn w:val="974"/>
    <w:uiPriority w:val="0"/>
    <w:qFormat/>
    <w:pPr>
      <w:jc w:val="left"/>
      <w:widowControl/>
    </w:pPr>
    <w:rPr>
      <w:sz w:val="20"/>
      <w:lang w:eastAsia="en-US"/>
    </w:rPr>
  </w:style>
  <w:style w:type="paragraph" w:styleId="1290" w:customStyle="1">
    <w:name w:val="xl24236"/>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91" w:customStyle="1">
    <w:name w:val="pa-14"/>
    <w:basedOn w:val="974"/>
    <w:uiPriority w:val="0"/>
    <w:qFormat/>
    <w:pPr>
      <w:jc w:val="left"/>
      <w:spacing w:before="100" w:beforeAutospacing="1" w:after="100" w:afterAutospacing="1"/>
      <w:widowControl/>
    </w:pPr>
    <w:rPr>
      <w:rFonts w:ascii="宋体" w:hAnsi="宋体" w:cs="宋体"/>
      <w:sz w:val="24"/>
      <w:szCs w:val="24"/>
    </w:rPr>
  </w:style>
  <w:style w:type="paragraph" w:styleId="1292" w:customStyle="1">
    <w:name w:val="xl24227"/>
    <w:basedOn w:val="974"/>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3" w:customStyle="1">
    <w:name w:val="xl115"/>
    <w:basedOn w:val="974"/>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94" w:customStyle="1">
    <w:name w:val="xl270"/>
    <w:basedOn w:val="974"/>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95" w:customStyle="1">
    <w:name w:val="xl117"/>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96" w:customStyle="1">
    <w:name w:val="Char Char Char Char Char Char Char Char Char1 Char1"/>
    <w:basedOn w:val="996"/>
    <w:uiPriority w:val="0"/>
    <w:qFormat/>
    <w:pPr>
      <w:spacing w:line="360" w:lineRule="auto"/>
    </w:pPr>
    <w:rPr>
      <w:rFonts w:ascii="Tahoma" w:hAnsi="Tahoma"/>
      <w:sz w:val="24"/>
      <w:szCs w:val="24"/>
    </w:rPr>
  </w:style>
  <w:style w:type="paragraph" w:styleId="1297" w:customStyle="1">
    <w:name w:val="List Paragraph1"/>
    <w:basedOn w:val="974"/>
    <w:uiPriority w:val="0"/>
    <w:qFormat/>
    <w:pPr>
      <w:ind w:firstLine="420"/>
    </w:pPr>
    <w:rPr>
      <w:rFonts w:hint="eastAsia" w:eastAsia="方正楷体_GB2312"/>
      <w:sz w:val="26"/>
    </w:rPr>
  </w:style>
  <w:style w:type="paragraph" w:styleId="1298" w:customStyle="1">
    <w:name w:val="xl274"/>
    <w:basedOn w:val="97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99"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300" w:customStyle="1">
    <w:name w:val="xl86"/>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1" w:customStyle="1">
    <w:name w:val="xl41299"/>
    <w:basedOn w:val="974"/>
    <w:uiPriority w:val="0"/>
    <w:qFormat/>
    <w:pPr>
      <w:jc w:val="left"/>
      <w:spacing w:before="100" w:beforeAutospacing="1" w:after="100" w:afterAutospacing="1"/>
      <w:widowControl/>
    </w:pPr>
    <w:rPr>
      <w:rFonts w:ascii="宋体" w:hAnsi="宋体" w:cs="宋体"/>
      <w:b/>
      <w:bCs/>
      <w:sz w:val="24"/>
      <w:szCs w:val="24"/>
    </w:rPr>
  </w:style>
  <w:style w:type="paragraph" w:styleId="1302" w:customStyle="1">
    <w:name w:val="xl114"/>
    <w:basedOn w:val="9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03" w:customStyle="1">
    <w:name w:val="xl80"/>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04" w:customStyle="1">
    <w:name w:val="标书标准正文"/>
    <w:basedOn w:val="974"/>
    <w:uiPriority w:val="0"/>
    <w:qFormat/>
    <w:pPr>
      <w:ind w:firstLine="540"/>
      <w:spacing w:line="360" w:lineRule="auto"/>
    </w:pPr>
    <w:rPr>
      <w:sz w:val="24"/>
      <w:szCs w:val="24"/>
    </w:rPr>
  </w:style>
  <w:style w:type="paragraph" w:styleId="1305" w:customStyle="1">
    <w:name w:val="xl282"/>
    <w:basedOn w:val="974"/>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306" w:customStyle="1">
    <w:name w:val="xl77"/>
    <w:basedOn w:val="974"/>
    <w:uiPriority w:val="0"/>
    <w:qFormat/>
    <w:pPr>
      <w:jc w:val="left"/>
      <w:spacing w:before="100" w:beforeAutospacing="1" w:after="100" w:afterAutospacing="1"/>
      <w:widowControl/>
    </w:pPr>
    <w:rPr>
      <w:rFonts w:ascii="宋体" w:hAnsi="宋体" w:cs="宋体"/>
      <w:b/>
      <w:bCs/>
      <w:sz w:val="24"/>
      <w:szCs w:val="24"/>
    </w:rPr>
  </w:style>
  <w:style w:type="paragraph" w:styleId="1307" w:customStyle="1">
    <w:name w:val="列表段落1"/>
    <w:basedOn w:val="974"/>
    <w:uiPriority w:val="34"/>
    <w:qFormat/>
    <w:pPr>
      <w:ind w:firstLine="420"/>
    </w:pPr>
    <w:rPr>
      <w:szCs w:val="24"/>
    </w:rPr>
  </w:style>
  <w:style w:type="paragraph" w:styleId="1308" w:customStyle="1">
    <w:name w:val="xl41318"/>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9" w:customStyle="1">
    <w:name w:val="xl24"/>
    <w:basedOn w:val="974"/>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310" w:customStyle="1">
    <w:name w:val="xl41305"/>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xl125"/>
    <w:basedOn w:val="974"/>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12" w:customStyle="1">
    <w:name w:val="xl41338"/>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3" w:customStyle="1">
    <w:name w:val="Char Char1 Char Char Char Char Char Char Char Char"/>
    <w:basedOn w:val="974"/>
    <w:uiPriority w:val="0"/>
    <w:qFormat/>
    <w:pPr>
      <w:jc w:val="left"/>
      <w:spacing w:after="160" w:line="240" w:lineRule="exact"/>
      <w:widowControl/>
    </w:pPr>
    <w:rPr>
      <w:rFonts w:ascii="Verdana" w:hAnsi="Verdana"/>
      <w:sz w:val="20"/>
      <w:lang w:eastAsia="en-US"/>
    </w:rPr>
  </w:style>
  <w:style w:type="paragraph" w:styleId="1314" w:customStyle="1">
    <w:name w:val="Char Char Char1 Char Char Char Char"/>
    <w:basedOn w:val="974"/>
    <w:uiPriority w:val="0"/>
    <w:qFormat/>
    <w:pPr>
      <w:jc w:val="left"/>
      <w:spacing w:after="160" w:line="240" w:lineRule="exact"/>
      <w:widowControl/>
    </w:pPr>
    <w:rPr>
      <w:sz w:val="24"/>
      <w:szCs w:val="24"/>
    </w:rPr>
  </w:style>
  <w:style w:type="paragraph" w:styleId="1315" w:customStyle="1">
    <w:name w:val="xl134"/>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16" w:customStyle="1">
    <w:name w:val="xl228"/>
    <w:basedOn w:val="974"/>
    <w:uiPriority w:val="0"/>
    <w:qFormat/>
    <w:pPr>
      <w:jc w:val="left"/>
      <w:spacing w:before="100" w:beforeAutospacing="1" w:after="100" w:afterAutospacing="1"/>
      <w:widowControl/>
    </w:pPr>
    <w:rPr>
      <w:rFonts w:ascii="宋体" w:hAnsi="宋体" w:cs="宋体"/>
      <w:sz w:val="24"/>
      <w:szCs w:val="24"/>
    </w:rPr>
  </w:style>
  <w:style w:type="paragraph" w:styleId="1317" w:customStyle="1">
    <w:name w:val="xl24259"/>
    <w:basedOn w:val="974"/>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318" w:customStyle="1">
    <w:name w:val="Javis"/>
    <w:basedOn w:val="974"/>
    <w:uiPriority w:val="0"/>
    <w:qFormat/>
    <w:pPr>
      <w:ind w:right="210"/>
      <w:spacing w:line="360" w:lineRule="auto"/>
    </w:pPr>
    <w:rPr>
      <w:rFonts w:cs="宋体"/>
      <w:sz w:val="24"/>
    </w:rPr>
  </w:style>
  <w:style w:type="paragraph" w:styleId="1319" w:customStyle="1">
    <w:name w:val="xl124"/>
    <w:basedOn w:val="974"/>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20" w:customStyle="1">
    <w:name w:val="text12"/>
    <w:basedOn w:val="974"/>
    <w:uiPriority w:val="0"/>
    <w:qFormat/>
    <w:pPr>
      <w:ind w:firstLine="480"/>
      <w:jc w:val="left"/>
      <w:spacing w:before="100" w:beforeAutospacing="1" w:after="100" w:afterAutospacing="1"/>
      <w:widowControl/>
    </w:pPr>
    <w:rPr>
      <w:rFonts w:ascii="Wonder Arial" w:hAnsi="Wonder Arial"/>
      <w:sz w:val="24"/>
      <w:szCs w:val="24"/>
    </w:rPr>
  </w:style>
  <w:style w:type="paragraph" w:styleId="1321" w:customStyle="1">
    <w:name w:val="xl84"/>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22" w:customStyle="1">
    <w:name w:val="pic-info"/>
    <w:basedOn w:val="974"/>
    <w:uiPriority w:val="0"/>
    <w:qFormat/>
    <w:pPr>
      <w:jc w:val="left"/>
      <w:spacing w:before="100" w:beforeAutospacing="1" w:after="100" w:afterAutospacing="1"/>
      <w:widowControl/>
    </w:pPr>
    <w:rPr>
      <w:rFonts w:ascii="宋体" w:hAnsi="宋体" w:cs="宋体"/>
      <w:sz w:val="24"/>
      <w:szCs w:val="24"/>
    </w:rPr>
  </w:style>
  <w:style w:type="paragraph" w:styleId="1323" w:customStyle="1">
    <w:name w:val="xl119"/>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24" w:customStyle="1">
    <w:name w:val="xl221"/>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41309"/>
    <w:basedOn w:val="974"/>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26" w:customStyle="1">
    <w:name w:val="xl24238"/>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27" w:customStyle="1">
    <w:name w:val="xl24248"/>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28" w:customStyle="1">
    <w:name w:val="xl87"/>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29" w:customStyle="1">
    <w:name w:val="正文符号1"/>
    <w:basedOn w:val="1124"/>
    <w:uiPriority w:val="0"/>
    <w:qFormat/>
    <w:pPr>
      <w:ind w:left="975" w:hanging="340"/>
      <w:tabs>
        <w:tab w:val="left" w:pos="840" w:leader="none"/>
        <w:tab w:val="left" w:pos="975" w:leader="none"/>
        <w:tab w:val="left" w:pos="1080" w:leader="none"/>
      </w:tabs>
    </w:pPr>
  </w:style>
  <w:style w:type="paragraph" w:styleId="1330" w:customStyle="1">
    <w:name w:val="xl24252"/>
    <w:basedOn w:val="9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31" w:customStyle="1">
    <w:name w:val="xl90"/>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2" w:customStyle="1">
    <w:name w:val="xl24271"/>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226"/>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4" w:customStyle="1">
    <w:name w:val="xl24269"/>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35" w:customStyle="1">
    <w:name w:val="样式4"/>
    <w:basedOn w:val="1034"/>
    <w:uiPriority w:val="0"/>
    <w:qFormat/>
    <w:pPr>
      <w:spacing w:line="480" w:lineRule="auto"/>
      <w:tabs>
        <w:tab w:val="right" w:pos="8494" w:leader="dot"/>
      </w:tabs>
    </w:pPr>
    <w:rPr>
      <w:rFonts w:ascii="Arial" w:hAnsi="Arial" w:eastAsia="黑体" w:cs="Arial"/>
      <w:b w:val="0"/>
      <w:bCs w:val="0"/>
    </w:rPr>
  </w:style>
  <w:style w:type="paragraph" w:styleId="1336" w:customStyle="1">
    <w:name w:val="Char2 Char Char Char Char Char Char Char Char Char"/>
    <w:basedOn w:val="974"/>
    <w:uiPriority w:val="0"/>
    <w:qFormat/>
    <w:pPr>
      <w:ind w:firstLine="200"/>
      <w:spacing w:line="360" w:lineRule="auto"/>
    </w:pPr>
    <w:rPr>
      <w:rFonts w:eastAsia="方正楷体_GB2312"/>
      <w:sz w:val="28"/>
    </w:rPr>
  </w:style>
  <w:style w:type="paragraph" w:styleId="1337" w:customStyle="1">
    <w:name w:val="xl261"/>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8" w:customStyle="1">
    <w:name w:val="xl109"/>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39" w:customStyle="1">
    <w:name w:val="xl129"/>
    <w:basedOn w:val="97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40" w:customStyle="1">
    <w:name w:val="xl24249"/>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41" w:customStyle="1">
    <w:name w:val="font8"/>
    <w:basedOn w:val="974"/>
    <w:uiPriority w:val="0"/>
    <w:qFormat/>
    <w:pPr>
      <w:jc w:val="left"/>
      <w:spacing w:before="100" w:beforeAutospacing="1" w:after="100" w:afterAutospacing="1"/>
      <w:widowControl/>
    </w:pPr>
    <w:rPr>
      <w:sz w:val="22"/>
      <w:szCs w:val="22"/>
    </w:rPr>
  </w:style>
  <w:style w:type="paragraph" w:styleId="1342" w:customStyle="1">
    <w:name w:val="xl247"/>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3" w:customStyle="1">
    <w:name w:val="xl222"/>
    <w:basedOn w:val="9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4" w:customStyle="1">
    <w:name w:val="Definition List"/>
    <w:basedOn w:val="974"/>
    <w:next w:val="974"/>
    <w:uiPriority w:val="0"/>
    <w:qFormat/>
    <w:pPr>
      <w:ind w:left="360"/>
      <w:jc w:val="left"/>
    </w:pPr>
    <w:rPr>
      <w:sz w:val="24"/>
    </w:rPr>
  </w:style>
  <w:style w:type="paragraph" w:styleId="1345" w:customStyle="1">
    <w:name w:val="Char Char3"/>
    <w:basedOn w:val="974"/>
    <w:uiPriority w:val="0"/>
    <w:qFormat/>
    <w:rPr>
      <w:rFonts w:ascii="Tahoma" w:hAnsi="Tahoma"/>
      <w:sz w:val="24"/>
    </w:rPr>
  </w:style>
  <w:style w:type="paragraph" w:styleId="1346" w:customStyle="1">
    <w:name w:val="xl232"/>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xl94"/>
    <w:basedOn w:val="974"/>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48" w:customStyle="1">
    <w:name w:val="Char1"/>
    <w:basedOn w:val="996"/>
    <w:uiPriority w:val="0"/>
    <w:qFormat/>
    <w:pPr>
      <w:ind w:left="357"/>
      <w:jc w:val="left"/>
      <w:spacing w:line="436" w:lineRule="exact"/>
      <w:outlineLvl w:val="3"/>
    </w:pPr>
    <w:rPr>
      <w:rFonts w:ascii="Tahoma" w:hAnsi="Tahoma"/>
      <w:b/>
      <w:sz w:val="24"/>
      <w:szCs w:val="24"/>
    </w:rPr>
  </w:style>
  <w:style w:type="paragraph" w:styleId="1349" w:customStyle="1">
    <w:name w:val="xl91"/>
    <w:basedOn w:val="974"/>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50" w:customStyle="1">
    <w:name w:val="xl244"/>
    <w:basedOn w:val="97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51" w:customStyle="1">
    <w:name w:val="xl41312"/>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2" w:customStyle="1">
    <w:name w:val="纯文本3"/>
    <w:basedOn w:val="974"/>
    <w:uiPriority w:val="0"/>
    <w:qFormat/>
    <w:rPr>
      <w:rFonts w:ascii="宋体" w:hAnsi="Courier New" w:eastAsia="方正楷体_GB2312"/>
      <w:sz w:val="26"/>
    </w:rPr>
  </w:style>
  <w:style w:type="paragraph" w:styleId="1353" w:customStyle="1">
    <w:name w:val="xl122"/>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54" w:customStyle="1">
    <w:name w:val="xl73"/>
    <w:basedOn w:val="974"/>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55" w:customStyle="1">
    <w:name w:val="Char Char Char Char Char Char1 Char"/>
    <w:basedOn w:val="974"/>
    <w:uiPriority w:val="0"/>
    <w:qFormat/>
    <w:rPr>
      <w:rFonts w:ascii="Tahoma" w:hAnsi="Tahoma"/>
      <w:sz w:val="24"/>
    </w:rPr>
  </w:style>
  <w:style w:type="paragraph" w:styleId="1356" w:customStyle="1">
    <w:name w:val="xl71"/>
    <w:basedOn w:val="974"/>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57" w:customStyle="1">
    <w:name w:val="表头"/>
    <w:basedOn w:val="993"/>
    <w:uiPriority w:val="0"/>
    <w:qFormat/>
    <w:pPr>
      <w:jc w:val="center"/>
      <w:keepLines/>
      <w:keepNext/>
      <w:spacing w:before="120" w:after="120" w:line="300" w:lineRule="auto"/>
      <w:widowControl/>
    </w:pPr>
    <w:rPr>
      <w:sz w:val="21"/>
    </w:rPr>
  </w:style>
  <w:style w:type="paragraph" w:styleId="1358" w:customStyle="1">
    <w:name w:val="xl76"/>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9" w:customStyle="1">
    <w:name w:val="xl41327"/>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60" w:customStyle="1">
    <w:name w:val="a1"/>
    <w:basedOn w:val="974"/>
    <w:uiPriority w:val="0"/>
    <w:qFormat/>
    <w:pPr>
      <w:jc w:val="left"/>
      <w:spacing w:before="100" w:beforeAutospacing="1" w:after="100" w:afterAutospacing="1"/>
      <w:widowControl/>
    </w:pPr>
    <w:rPr>
      <w:rFonts w:ascii="宋体" w:hAnsi="宋体" w:cs="宋体"/>
      <w:sz w:val="24"/>
      <w:szCs w:val="24"/>
    </w:rPr>
  </w:style>
  <w:style w:type="paragraph" w:styleId="1361" w:customStyle="1">
    <w:name w:val="xl231"/>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2" w:customStyle="1">
    <w:name w:val="xl255"/>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63" w:customStyle="1">
    <w:name w:val="列出段落3"/>
    <w:basedOn w:val="974"/>
    <w:uiPriority w:val="99"/>
    <w:qFormat/>
    <w:pPr>
      <w:ind w:firstLine="420"/>
    </w:pPr>
    <w:rPr>
      <w:szCs w:val="24"/>
    </w:rPr>
  </w:style>
  <w:style w:type="paragraph" w:styleId="1364" w:customStyle="1">
    <w:name w:val="表格形式1"/>
    <w:basedOn w:val="974"/>
    <w:uiPriority w:val="0"/>
    <w:qFormat/>
    <w:pPr>
      <w:jc w:val="left"/>
      <w:spacing w:line="360" w:lineRule="atLeast"/>
    </w:pPr>
    <w:rPr>
      <w:rFonts w:ascii="宋体" w:eastAsia="方正仿宋_GB2312"/>
      <w:sz w:val="24"/>
      <w:szCs w:val="24"/>
    </w:rPr>
  </w:style>
  <w:style w:type="paragraph" w:styleId="1365" w:customStyle="1">
    <w:name w:val="xl280"/>
    <w:basedOn w:val="974"/>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66" w:customStyle="1">
    <w:name w:val="xl24242"/>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67" w:customStyle="1">
    <w:name w:val="xl41332"/>
    <w:basedOn w:val="9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68" w:customStyle="1">
    <w:name w:val="xl121"/>
    <w:basedOn w:val="974"/>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69" w:customStyle="1">
    <w:name w:val="IBM 正文"/>
    <w:basedOn w:val="974"/>
    <w:uiPriority w:val="0"/>
    <w:qFormat/>
    <w:pPr>
      <w:spacing w:line="400" w:lineRule="exact"/>
    </w:pPr>
    <w:rPr>
      <w:spacing w:val="20"/>
      <w:sz w:val="24"/>
    </w:rPr>
  </w:style>
  <w:style w:type="paragraph" w:styleId="1370" w:customStyle="1">
    <w:name w:val="xl41326"/>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1" w:customStyle="1">
    <w:name w:val="xl267"/>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2" w:customStyle="1">
    <w:name w:val="xl225"/>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3" w:customStyle="1">
    <w:name w:val="xl41307"/>
    <w:basedOn w:val="974"/>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74"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375" w:customStyle="1">
    <w:name w:val="xl41302"/>
    <w:basedOn w:val="974"/>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6" w:customStyle="1">
    <w:name w:val="absatz4"/>
    <w:basedOn w:val="974"/>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77" w:customStyle="1">
    <w:name w:val="Char Char Char Char Char Char Char"/>
    <w:basedOn w:val="974"/>
    <w:uiPriority w:val="0"/>
    <w:qFormat/>
    <w:rPr>
      <w:rFonts w:ascii="方正仿宋_GB2312" w:eastAsia="方正仿宋_GB2312"/>
      <w:b/>
      <w:sz w:val="32"/>
      <w:szCs w:val="32"/>
    </w:rPr>
  </w:style>
  <w:style w:type="paragraph" w:styleId="1378" w:customStyle="1">
    <w:name w:val="_Style 101"/>
    <w:basedOn w:val="974"/>
    <w:next w:val="1182"/>
    <w:uiPriority w:val="34"/>
    <w:qFormat/>
    <w:pPr>
      <w:ind w:firstLine="420"/>
      <w:spacing w:line="360" w:lineRule="auto"/>
    </w:pPr>
    <w:rPr>
      <w:rFonts w:ascii="Calibri" w:hAnsi="Calibri"/>
      <w:lang w:val="zh-CN"/>
    </w:rPr>
  </w:style>
  <w:style w:type="paragraph" w:styleId="1379" w:customStyle="1">
    <w:name w:val="小四 段落 宋体 Char Char"/>
    <w:basedOn w:val="974"/>
    <w:uiPriority w:val="0"/>
    <w:qFormat/>
    <w:pPr>
      <w:ind w:firstLine="480"/>
      <w:spacing w:line="360" w:lineRule="auto"/>
    </w:pPr>
    <w:rPr>
      <w:rFonts w:ascii="宋体" w:hAnsi="宋体"/>
      <w:sz w:val="24"/>
      <w:szCs w:val="24"/>
    </w:rPr>
  </w:style>
  <w:style w:type="paragraph" w:styleId="1380" w:customStyle="1">
    <w:name w:val="5级方案标题"/>
    <w:basedOn w:val="978"/>
    <w:uiPriority w:val="0"/>
    <w:qFormat/>
    <w:pPr>
      <w:keepLines/>
      <w:spacing w:line="377" w:lineRule="auto"/>
      <w:outlineLvl w:val="4"/>
    </w:pPr>
    <w:rPr>
      <w:rFonts w:ascii="宋体" w:hAnsi="宋体"/>
      <w:sz w:val="24"/>
      <w:szCs w:val="28"/>
      <w:lang w:val="zh-CN"/>
    </w:rPr>
  </w:style>
  <w:style w:type="paragraph" w:styleId="1381" w:customStyle="1">
    <w:name w:val="xl216"/>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82" w:customStyle="1">
    <w:name w:val="xl108"/>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83" w:customStyle="1">
    <w:name w:val="xl24233"/>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4" w:customStyle="1">
    <w:name w:val="xl24261"/>
    <w:basedOn w:val="974"/>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85" w:customStyle="1">
    <w:name w:val="xl24256"/>
    <w:basedOn w:val="9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86" w:customStyle="1">
    <w:name w:val="xl24268"/>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87" w:customStyle="1">
    <w:name w:val="xl120"/>
    <w:basedOn w:val="9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88" w:customStyle="1">
    <w:name w:val="_Style 4"/>
    <w:basedOn w:val="974"/>
    <w:uiPriority w:val="34"/>
    <w:qFormat/>
    <w:pPr>
      <w:ind w:firstLine="420"/>
    </w:pPr>
    <w:rPr>
      <w:rFonts w:ascii="Calibri" w:hAnsi="Calibri"/>
      <w:szCs w:val="22"/>
    </w:rPr>
  </w:style>
  <w:style w:type="paragraph" w:styleId="1389" w:customStyle="1">
    <w:name w:val="xl41324"/>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0" w:customStyle="1">
    <w:name w:val="xl271"/>
    <w:basedOn w:val="974"/>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91" w:customStyle="1">
    <w:name w:val="xl101"/>
    <w:basedOn w:val="974"/>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2" w:customStyle="1">
    <w:name w:val="xl230"/>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3" w:customStyle="1">
    <w:name w:val="font10"/>
    <w:basedOn w:val="974"/>
    <w:uiPriority w:val="0"/>
    <w:qFormat/>
    <w:pPr>
      <w:jc w:val="left"/>
      <w:spacing w:before="100" w:beforeAutospacing="1" w:after="100" w:afterAutospacing="1"/>
      <w:widowControl/>
    </w:pPr>
    <w:rPr>
      <w:rFonts w:ascii="宋体" w:hAnsi="宋体" w:cs="宋体"/>
      <w:sz w:val="18"/>
      <w:szCs w:val="18"/>
    </w:rPr>
  </w:style>
  <w:style w:type="paragraph" w:styleId="1394" w:customStyle="1">
    <w:name w:val="xl279"/>
    <w:basedOn w:val="97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95" w:customStyle="1">
    <w:name w:val="xl79"/>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xl118"/>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97" w:customStyle="1">
    <w:name w:val="xl24225"/>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正文 A"/>
    <w:uiPriority w:val="0"/>
    <w:qFormat/>
    <w:pPr>
      <w:jc w:val="both"/>
      <w:widowControl w:val="off"/>
    </w:pPr>
    <w:rPr>
      <w:rFonts w:ascii="Times New Roman" w:hAnsi="Wonder Arial" w:eastAsia="Wonder Arial" w:cs="Wonder Arial"/>
      <w:color w:val="000000"/>
      <w:sz w:val="21"/>
      <w:szCs w:val="21"/>
      <w:lang w:val="en-US" w:eastAsia="zh-CN" w:bidi="ar-SA"/>
    </w:rPr>
  </w:style>
  <w:style w:type="paragraph" w:styleId="1399" w:customStyle="1">
    <w:name w:val="xl69"/>
    <w:basedOn w:val="9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0" w:customStyle="1">
    <w:name w:val="xl132"/>
    <w:basedOn w:val="97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01" w:customStyle="1">
    <w:name w:val="xl41333"/>
    <w:basedOn w:val="974"/>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402" w:customStyle="1">
    <w:name w:val="xl245"/>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3"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404" w:customStyle="1">
    <w:name w:val="正文文本 21"/>
    <w:basedOn w:val="974"/>
    <w:uiPriority w:val="0"/>
    <w:qFormat/>
    <w:pPr>
      <w:ind w:left="720" w:hanging="720"/>
      <w:widowControl/>
    </w:pPr>
    <w:rPr>
      <w:sz w:val="24"/>
      <w:lang w:val="en-GB"/>
    </w:rPr>
  </w:style>
  <w:style w:type="paragraph" w:styleId="1405" w:customStyle="1">
    <w:name w:val="普通正文"/>
    <w:basedOn w:val="974"/>
    <w:uiPriority w:val="0"/>
    <w:qFormat/>
    <w:pPr>
      <w:ind w:firstLine="425"/>
      <w:jc w:val="left"/>
    </w:pPr>
    <w:rPr>
      <w:rFonts w:ascii="宋体" w:hAnsi="宋体"/>
      <w:color w:val="000000"/>
      <w:sz w:val="24"/>
    </w:rPr>
  </w:style>
  <w:style w:type="paragraph" w:styleId="1406" w:customStyle="1">
    <w:name w:val="xl224"/>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2级方案标题"/>
    <w:basedOn w:val="976"/>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408" w:customStyle="1">
    <w:name w:val="xl24230"/>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正文alt+z"/>
    <w:basedOn w:val="974"/>
    <w:uiPriority w:val="0"/>
    <w:qFormat/>
    <w:pPr>
      <w:ind w:firstLine="200"/>
      <w:spacing w:line="360" w:lineRule="auto"/>
    </w:pPr>
    <w:rPr>
      <w:rFonts w:ascii="Schadow Std Roman" w:hAnsi="Schadow Std Roman"/>
      <w:sz w:val="24"/>
      <w:szCs w:val="24"/>
    </w:rPr>
  </w:style>
  <w:style w:type="paragraph" w:styleId="1410" w:customStyle="1">
    <w:name w:val="正文－恩普"/>
    <w:basedOn w:val="992"/>
    <w:uiPriority w:val="0"/>
    <w:qFormat/>
    <w:pPr>
      <w:ind w:firstLine="200"/>
      <w:spacing w:line="360" w:lineRule="auto"/>
    </w:pPr>
    <w:rPr>
      <w:rFonts w:eastAsia="方正楷体_GB2312"/>
      <w:sz w:val="24"/>
    </w:rPr>
  </w:style>
  <w:style w:type="paragraph" w:styleId="1411" w:customStyle="1">
    <w:name w:val="Char Char Char Char Char Char Char Char Char"/>
    <w:basedOn w:val="974"/>
    <w:uiPriority w:val="0"/>
    <w:qFormat/>
    <w:pPr>
      <w:jc w:val="left"/>
      <w:spacing w:after="160" w:line="240" w:lineRule="exact"/>
      <w:widowControl/>
    </w:pPr>
    <w:rPr>
      <w:sz w:val="24"/>
      <w:szCs w:val="24"/>
    </w:rPr>
  </w:style>
  <w:style w:type="paragraph" w:styleId="1412" w:customStyle="1">
    <w:name w:val="font6"/>
    <w:basedOn w:val="974"/>
    <w:uiPriority w:val="0"/>
    <w:qFormat/>
    <w:pPr>
      <w:jc w:val="left"/>
      <w:spacing w:before="100" w:beforeAutospacing="1" w:after="100" w:afterAutospacing="1"/>
      <w:widowControl/>
    </w:pPr>
    <w:rPr>
      <w:rFonts w:ascii="宋体" w:hAnsi="宋体" w:cs="宋体"/>
      <w:sz w:val="18"/>
      <w:szCs w:val="18"/>
    </w:rPr>
  </w:style>
  <w:style w:type="paragraph" w:styleId="1413" w:customStyle="1">
    <w:name w:val="xl99"/>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14" w:customStyle="1">
    <w:name w:val="xl24228"/>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5" w:customStyle="1">
    <w:name w:val="xl116"/>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16" w:customStyle="1">
    <w:name w:val="xl24232"/>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7" w:customStyle="1">
    <w:name w:val="xl103"/>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18" w:customStyle="1">
    <w:name w:val="xl215"/>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9" w:customStyle="1">
    <w:name w:val="正式行文"/>
    <w:basedOn w:val="974"/>
    <w:uiPriority w:val="0"/>
    <w:qFormat/>
    <w:pPr>
      <w:ind w:firstLine="200"/>
      <w:spacing w:line="360" w:lineRule="auto"/>
    </w:pPr>
    <w:rPr>
      <w:sz w:val="24"/>
      <w:szCs w:val="24"/>
    </w:rPr>
  </w:style>
  <w:style w:type="paragraph" w:styleId="1420" w:customStyle="1">
    <w:name w:val="xl24239"/>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21" w:customStyle="1">
    <w:name w:val="xl82"/>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2" w:customStyle="1">
    <w:name w:val="xl112"/>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23" w:customStyle="1">
    <w:name w:val="Char Char11"/>
    <w:basedOn w:val="974"/>
    <w:uiPriority w:val="0"/>
    <w:qFormat/>
    <w:pPr>
      <w:jc w:val="left"/>
      <w:spacing w:after="160" w:line="240" w:lineRule="exact"/>
      <w:widowControl/>
    </w:pPr>
    <w:rPr>
      <w:rFonts w:ascii="Verdana" w:hAnsi="Verdana"/>
      <w:sz w:val="20"/>
      <w:lang w:eastAsia="en-US"/>
    </w:rPr>
  </w:style>
  <w:style w:type="paragraph" w:styleId="1424" w:customStyle="1">
    <w:name w:val="xl217"/>
    <w:basedOn w:val="974"/>
    <w:uiPriority w:val="0"/>
    <w:qFormat/>
    <w:pPr>
      <w:jc w:val="center"/>
      <w:spacing w:before="100" w:beforeAutospacing="1" w:after="100" w:afterAutospacing="1"/>
      <w:widowControl/>
    </w:pPr>
    <w:rPr>
      <w:rFonts w:ascii="宋体" w:hAnsi="宋体" w:cs="宋体"/>
      <w:sz w:val="24"/>
      <w:szCs w:val="24"/>
    </w:rPr>
  </w:style>
  <w:style w:type="paragraph" w:styleId="1425" w:customStyle="1">
    <w:name w:val="xl81"/>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6" w:customStyle="1">
    <w:name w:val="xl24255"/>
    <w:basedOn w:val="97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427" w:customStyle="1">
    <w:name w:val="Char Char1 Char Char Char Char Char Char Char"/>
    <w:basedOn w:val="974"/>
    <w:uiPriority w:val="0"/>
    <w:qFormat/>
    <w:rPr>
      <w:rFonts w:eastAsia="方正楷体_GB2312"/>
      <w:sz w:val="26"/>
    </w:rPr>
  </w:style>
  <w:style w:type="paragraph" w:styleId="1428" w:customStyle="1">
    <w:name w:val="xl131"/>
    <w:basedOn w:val="974"/>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429" w:customStyle="1">
    <w:name w:val="Definition Term"/>
    <w:basedOn w:val="974"/>
    <w:next w:val="974"/>
    <w:uiPriority w:val="0"/>
    <w:qFormat/>
    <w:pPr>
      <w:jc w:val="left"/>
    </w:pPr>
    <w:rPr>
      <w:sz w:val="24"/>
    </w:rPr>
  </w:style>
  <w:style w:type="paragraph" w:styleId="1430" w:customStyle="1">
    <w:name w:val="xl92"/>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31" w:customStyle="1">
    <w:name w:val="分发表内容"/>
    <w:basedOn w:val="974"/>
    <w:uiPriority w:val="0"/>
    <w:qFormat/>
    <w:pPr>
      <w:jc w:val="center"/>
      <w:spacing w:before="120" w:after="120"/>
    </w:pPr>
    <w:rPr>
      <w:rFonts w:ascii="励字仿宋GB" w:eastAsia="励字仿宋GB"/>
      <w:sz w:val="20"/>
    </w:rPr>
  </w:style>
  <w:style w:type="paragraph" w:styleId="1432" w:customStyle="1">
    <w:name w:val="List Paragraph2"/>
    <w:basedOn w:val="974"/>
    <w:uiPriority w:val="34"/>
    <w:qFormat/>
    <w:pPr>
      <w:ind w:firstLine="420"/>
      <w:spacing w:line="360" w:lineRule="auto"/>
    </w:pPr>
    <w:rPr>
      <w:rFonts w:ascii="Calibri" w:hAnsi="Calibri"/>
      <w:sz w:val="24"/>
    </w:rPr>
  </w:style>
  <w:style w:type="paragraph" w:styleId="1433" w:customStyle="1">
    <w:name w:val="xl24240"/>
    <w:basedOn w:val="9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34" w:customStyle="1">
    <w:name w:val="普通(Web)9"/>
    <w:basedOn w:val="974"/>
    <w:uiPriority w:val="0"/>
    <w:qFormat/>
    <w:pPr>
      <w:jc w:val="left"/>
      <w:spacing w:before="100" w:beforeAutospacing="1" w:after="100" w:afterAutospacing="1"/>
      <w:widowControl/>
    </w:pPr>
    <w:rPr>
      <w:rFonts w:ascii="宋体" w:hAnsi="宋体" w:cs="宋体"/>
      <w:sz w:val="20"/>
      <w:szCs w:val="21"/>
    </w:rPr>
  </w:style>
  <w:style w:type="paragraph" w:styleId="1435" w:customStyle="1">
    <w:name w:val="Default Paragraph Font Para Char"/>
    <w:basedOn w:val="974"/>
    <w:uiPriority w:val="0"/>
    <w:qFormat/>
    <w:pPr>
      <w:jc w:val="left"/>
      <w:spacing w:after="160" w:line="240" w:lineRule="exact"/>
      <w:widowControl/>
    </w:pPr>
  </w:style>
  <w:style w:type="paragraph" w:styleId="1436" w:customStyle="1">
    <w:name w:val="1级方案标题"/>
    <w:basedOn w:val="974"/>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37" w:customStyle="1">
    <w:name w:val="_Style 447"/>
    <w:uiPriority w:val="99"/>
    <w:unhideWhenUsed/>
    <w:qFormat/>
    <w:rPr>
      <w:rFonts w:ascii="Times New Roman" w:hAnsi="Times New Roman" w:eastAsia="宋体" w:cs="Times New Roman"/>
      <w:sz w:val="21"/>
      <w:lang w:val="en-US" w:eastAsia="zh-CN" w:bidi="ar-SA"/>
    </w:rPr>
  </w:style>
  <w:style w:type="paragraph" w:styleId="1438" w:customStyle="1">
    <w:name w:val="p17"/>
    <w:basedOn w:val="974"/>
    <w:uiPriority w:val="0"/>
    <w:qFormat/>
    <w:pPr>
      <w:widowControl/>
    </w:pPr>
    <w:rPr>
      <w:szCs w:val="21"/>
    </w:rPr>
  </w:style>
  <w:style w:type="paragraph" w:styleId="1439" w:customStyle="1">
    <w:name w:val="xl41306"/>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0" w:customStyle="1">
    <w:name w:val="xl24231"/>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41" w:customStyle="1">
    <w:name w:val="xl41320"/>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2" w:customStyle="1">
    <w:name w:val="xl233"/>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43" w:customStyle="1">
    <w:name w:val="xl110"/>
    <w:basedOn w:val="9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44" w:customStyle="1">
    <w:name w:val="正文标准"/>
    <w:basedOn w:val="974"/>
    <w:uiPriority w:val="0"/>
    <w:qFormat/>
    <w:pPr>
      <w:ind w:firstLine="200"/>
      <w:spacing w:line="360" w:lineRule="auto"/>
    </w:pPr>
    <w:rPr>
      <w:rFonts w:eastAsia="MS Gothic"/>
      <w:sz w:val="24"/>
      <w:szCs w:val="21"/>
    </w:rPr>
  </w:style>
  <w:style w:type="paragraph" w:styleId="1445" w:customStyle="1">
    <w:name w:val="xl113"/>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6" w:customStyle="1">
    <w:name w:val="xl24257"/>
    <w:basedOn w:val="974"/>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47" w:customStyle="1">
    <w:name w:val="剑鱼三"/>
    <w:basedOn w:val="974"/>
    <w:next w:val="974"/>
    <w:uiPriority w:val="0"/>
    <w:qFormat/>
    <w:pPr>
      <w:ind w:left="840" w:hanging="420"/>
    </w:pPr>
    <w:rPr>
      <w:rFonts w:ascii="Arial" w:hAnsi="Arial"/>
      <w:b/>
      <w:sz w:val="20"/>
      <w:szCs w:val="21"/>
    </w:rPr>
  </w:style>
  <w:style w:type="paragraph" w:styleId="1448" w:customStyle="1">
    <w:name w:val="xl41316"/>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9" w:customStyle="1">
    <w:name w:val="xl24246"/>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50" w:customStyle="1">
    <w:name w:val="style23"/>
    <w:basedOn w:val="974"/>
    <w:uiPriority w:val="0"/>
    <w:qFormat/>
    <w:pPr>
      <w:jc w:val="left"/>
      <w:spacing w:before="100" w:beforeAutospacing="1" w:after="100" w:afterAutospacing="1"/>
      <w:widowControl/>
    </w:pPr>
    <w:rPr>
      <w:rFonts w:ascii="Wonder Arial" w:hAnsi="Wonder Arial" w:eastAsia="Wonder Arial" w:cs="Wonder Arial"/>
      <w:sz w:val="18"/>
      <w:szCs w:val="18"/>
    </w:rPr>
  </w:style>
  <w:style w:type="paragraph" w:styleId="1451" w:customStyle="1">
    <w:name w:val="Char"/>
    <w:basedOn w:val="974"/>
    <w:uiPriority w:val="0"/>
    <w:qFormat/>
    <w:pPr>
      <w:ind w:left="480" w:hanging="480"/>
      <w:tabs>
        <w:tab w:val="left" w:pos="480" w:leader="none"/>
      </w:tabs>
    </w:pPr>
    <w:rPr>
      <w:sz w:val="24"/>
      <w:szCs w:val="24"/>
    </w:rPr>
  </w:style>
  <w:style w:type="paragraph" w:styleId="1452" w:customStyle="1">
    <w:name w:val="xl272"/>
    <w:basedOn w:val="974"/>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53" w:customStyle="1">
    <w:name w:val="xl93"/>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54" w:customStyle="1">
    <w:name w:val="xl65"/>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5" w:customStyle="1">
    <w:name w:val="默认段落字体 Para Char Char Char Char Char Char Char"/>
    <w:basedOn w:val="996"/>
    <w:uiPriority w:val="0"/>
    <w:qFormat/>
    <w:pPr>
      <w:ind w:left="357"/>
      <w:jc w:val="left"/>
      <w:spacing w:line="436" w:lineRule="exact"/>
      <w:outlineLvl w:val="3"/>
    </w:pPr>
    <w:rPr>
      <w:rFonts w:ascii="Tahoma" w:hAnsi="Tahoma"/>
      <w:b/>
      <w:sz w:val="24"/>
      <w:szCs w:val="24"/>
    </w:rPr>
  </w:style>
  <w:style w:type="paragraph" w:styleId="1456" w:customStyle="1">
    <w:name w:val="Char Char Char Char Char Char Char Char Char Char1"/>
    <w:basedOn w:val="996"/>
    <w:uiPriority w:val="0"/>
    <w:qFormat/>
    <w:rPr>
      <w:rFonts w:ascii="Tahoma" w:hAnsi="Tahoma" w:cs="Tahoma"/>
      <w:sz w:val="24"/>
      <w:szCs w:val="24"/>
    </w:rPr>
  </w:style>
  <w:style w:type="paragraph" w:styleId="1457" w:customStyle="1">
    <w:name w:val="xl85"/>
    <w:basedOn w:val="974"/>
    <w:uiPriority w:val="0"/>
    <w:qFormat/>
    <w:pPr>
      <w:jc w:val="left"/>
      <w:spacing w:before="100" w:beforeAutospacing="1" w:after="100" w:afterAutospacing="1"/>
      <w:widowControl/>
    </w:pPr>
    <w:rPr>
      <w:rFonts w:ascii="宋体" w:hAnsi="宋体" w:cs="宋体"/>
      <w:sz w:val="24"/>
      <w:szCs w:val="24"/>
    </w:rPr>
  </w:style>
  <w:style w:type="paragraph" w:styleId="1458" w:customStyle="1">
    <w:name w:val="Char Char Char"/>
    <w:basedOn w:val="974"/>
    <w:uiPriority w:val="0"/>
    <w:qFormat/>
    <w:pPr>
      <w:ind w:left="375" w:hanging="375"/>
      <w:tabs>
        <w:tab w:val="left" w:pos="1545" w:leader="none"/>
      </w:tabs>
    </w:pPr>
  </w:style>
  <w:style w:type="paragraph" w:styleId="1459" w:customStyle="1">
    <w:name w:val="xl281"/>
    <w:basedOn w:val="974"/>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60" w:customStyle="1">
    <w:name w:val="_Style 30"/>
    <w:basedOn w:val="974"/>
    <w:next w:val="1007"/>
    <w:uiPriority w:val="0"/>
    <w:qFormat/>
    <w:rPr>
      <w:rFonts w:ascii="宋体" w:hAnsi="Courier New"/>
    </w:rPr>
  </w:style>
  <w:style w:type="paragraph" w:styleId="1461" w:customStyle="1">
    <w:name w:val="xl41339"/>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2" w:customStyle="1">
    <w:name w:val="xl41293"/>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63" w:customStyle="1">
    <w:name w:val="xl265"/>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4" w:customStyle="1">
    <w:name w:val="xl41325"/>
    <w:basedOn w:val="97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65" w:customStyle="1">
    <w:name w:val="xl41310"/>
    <w:basedOn w:val="9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66" w:customStyle="1">
    <w:name w:val="xl249"/>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7" w:customStyle="1">
    <w:name w:val="xl74"/>
    <w:basedOn w:val="974"/>
    <w:uiPriority w:val="0"/>
    <w:qFormat/>
    <w:pPr>
      <w:jc w:val="left"/>
      <w:spacing w:before="100" w:beforeAutospacing="1" w:after="100" w:afterAutospacing="1"/>
      <w:widowControl/>
    </w:pPr>
    <w:rPr>
      <w:rFonts w:ascii="宋体" w:hAnsi="宋体" w:cs="宋体"/>
      <w:sz w:val="24"/>
      <w:szCs w:val="24"/>
    </w:rPr>
  </w:style>
  <w:style w:type="paragraph" w:styleId="1468" w:customStyle="1">
    <w:name w:val="xl133"/>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69" w:customStyle="1">
    <w:name w:val="修订1"/>
    <w:uiPriority w:val="0"/>
    <w:semiHidden/>
    <w:qFormat/>
    <w:rPr>
      <w:rFonts w:ascii="Times New Roman" w:hAnsi="Times New Roman" w:eastAsia="方正楷体_GB2312" w:cs="Times New Roman"/>
      <w:sz w:val="28"/>
      <w:lang w:val="en-US" w:eastAsia="zh-CN" w:bidi="ar-SA"/>
    </w:rPr>
  </w:style>
  <w:style w:type="paragraph" w:styleId="1470" w:customStyle="1">
    <w:name w:val="xl259"/>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71" w:customStyle="1">
    <w:name w:val="xl127"/>
    <w:basedOn w:val="974"/>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72" w:customStyle="1">
    <w:name w:val="p0"/>
    <w:basedOn w:val="974"/>
    <w:uiPriority w:val="0"/>
    <w:qFormat/>
    <w:pPr>
      <w:widowControl/>
    </w:pPr>
    <w:rPr>
      <w:spacing w:val="16"/>
    </w:rPr>
  </w:style>
  <w:style w:type="paragraph" w:styleId="1473" w:customStyle="1">
    <w:name w:val="xl275"/>
    <w:basedOn w:val="974"/>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74" w:customStyle="1">
    <w:name w:val="xl41337"/>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75" w:customStyle="1">
    <w:name w:val="xl104"/>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76" w:customStyle="1">
    <w:name w:val="文档正文"/>
    <w:basedOn w:val="974"/>
    <w:uiPriority w:val="0"/>
    <w:qFormat/>
    <w:pPr>
      <w:ind w:firstLine="567"/>
      <w:spacing w:line="500" w:lineRule="exact"/>
    </w:pPr>
    <w:rPr>
      <w:rFonts w:ascii="方正仿宋_GB2312" w:eastAsia="方正仿宋_GB2312"/>
      <w:sz w:val="28"/>
    </w:rPr>
  </w:style>
  <w:style w:type="paragraph" w:styleId="1477" w:customStyle="1">
    <w:name w:val="Char11"/>
    <w:basedOn w:val="996"/>
    <w:uiPriority w:val="0"/>
    <w:qFormat/>
    <w:pPr>
      <w:ind w:left="357"/>
      <w:jc w:val="left"/>
      <w:spacing w:line="436" w:lineRule="exact"/>
      <w:outlineLvl w:val="3"/>
    </w:pPr>
    <w:rPr>
      <w:rFonts w:ascii="Tahoma" w:hAnsi="Tahoma"/>
      <w:b/>
      <w:sz w:val="24"/>
      <w:szCs w:val="24"/>
    </w:rPr>
  </w:style>
  <w:style w:type="paragraph" w:styleId="1478" w:customStyle="1">
    <w:name w:val="xl107"/>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9" w:customStyle="1">
    <w:name w:val="此正文"/>
    <w:basedOn w:val="974"/>
    <w:uiPriority w:val="0"/>
    <w:qFormat/>
    <w:pPr>
      <w:ind w:firstLine="200"/>
      <w:spacing w:line="360" w:lineRule="auto"/>
    </w:pPr>
    <w:rPr>
      <w:sz w:val="24"/>
      <w:szCs w:val="24"/>
    </w:rPr>
  </w:style>
  <w:style w:type="paragraph" w:styleId="1480" w:customStyle="1">
    <w:name w:val="xl24251"/>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81" w:customStyle="1">
    <w:name w:val="xl252"/>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82" w:customStyle="1">
    <w:name w:val="xl24264"/>
    <w:basedOn w:val="974"/>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83" w:customStyle="1">
    <w:name w:val="style1"/>
    <w:basedOn w:val="974"/>
    <w:uiPriority w:val="0"/>
    <w:qFormat/>
    <w:pPr>
      <w:jc w:val="left"/>
      <w:spacing w:before="100" w:beforeAutospacing="1" w:after="100" w:afterAutospacing="1"/>
      <w:widowControl/>
    </w:pPr>
    <w:rPr>
      <w:rFonts w:ascii="宋体" w:hAnsi="宋体" w:cs="宋体"/>
      <w:sz w:val="24"/>
      <w:szCs w:val="24"/>
    </w:rPr>
  </w:style>
  <w:style w:type="paragraph" w:styleId="1484" w:customStyle="1">
    <w:name w:val="xl236"/>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5" w:customStyle="1">
    <w:name w:val="正文文本缩进 21"/>
    <w:basedOn w:val="974"/>
    <w:uiPriority w:val="0"/>
    <w:qFormat/>
    <w:pPr>
      <w:ind w:left="-61" w:firstLine="458"/>
      <w:spacing w:line="360" w:lineRule="auto"/>
    </w:pPr>
    <w:rPr>
      <w:rFonts w:ascii="宋体" w:hAnsi="宋体"/>
      <w:sz w:val="20"/>
    </w:rPr>
  </w:style>
  <w:style w:type="paragraph" w:styleId="1486" w:customStyle="1">
    <w:name w:val="font9"/>
    <w:basedOn w:val="974"/>
    <w:uiPriority w:val="0"/>
    <w:qFormat/>
    <w:pPr>
      <w:jc w:val="left"/>
      <w:spacing w:before="100" w:beforeAutospacing="1" w:after="100" w:afterAutospacing="1"/>
      <w:widowControl/>
    </w:pPr>
    <w:rPr>
      <w:rFonts w:ascii="宋体" w:hAnsi="宋体" w:cs="宋体"/>
      <w:sz w:val="22"/>
      <w:szCs w:val="22"/>
    </w:rPr>
  </w:style>
  <w:style w:type="paragraph" w:styleId="1487" w:customStyle="1">
    <w:name w:val="多级符号2"/>
    <w:basedOn w:val="974"/>
    <w:uiPriority w:val="0"/>
    <w:qFormat/>
    <w:pPr>
      <w:ind w:left="420" w:hanging="420"/>
      <w:jc w:val="left"/>
      <w:spacing w:line="360" w:lineRule="auto"/>
    </w:pPr>
    <w:rPr>
      <w:rFonts w:eastAsia="方正仿宋_GB2312"/>
      <w:sz w:val="24"/>
      <w:szCs w:val="24"/>
    </w:rPr>
  </w:style>
  <w:style w:type="paragraph" w:styleId="1488" w:customStyle="1">
    <w:name w:val="xl126"/>
    <w:basedOn w:val="974"/>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89" w:customStyle="1">
    <w:name w:val="font7"/>
    <w:basedOn w:val="974"/>
    <w:uiPriority w:val="0"/>
    <w:qFormat/>
    <w:pPr>
      <w:jc w:val="left"/>
      <w:spacing w:before="100" w:beforeAutospacing="1" w:after="100" w:afterAutospacing="1"/>
      <w:widowControl/>
    </w:pPr>
    <w:rPr>
      <w:sz w:val="20"/>
    </w:rPr>
  </w:style>
  <w:style w:type="paragraph" w:styleId="1490" w:customStyle="1">
    <w:name w:val="xl41319"/>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xl24250"/>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92" w:customStyle="1">
    <w:name w:val="style2"/>
    <w:basedOn w:val="974"/>
    <w:uiPriority w:val="0"/>
    <w:qFormat/>
    <w:pPr>
      <w:jc w:val="left"/>
      <w:spacing w:before="100" w:beforeAutospacing="1" w:after="100" w:afterAutospacing="1"/>
      <w:widowControl/>
    </w:pPr>
    <w:rPr>
      <w:rFonts w:hint="eastAsia" w:ascii="宋体" w:hAnsi="宋体" w:cs="Wonder Arial"/>
      <w:sz w:val="18"/>
      <w:szCs w:val="18"/>
    </w:rPr>
  </w:style>
  <w:style w:type="paragraph" w:styleId="1493" w:customStyle="1">
    <w:name w:val="_Style 7"/>
    <w:basedOn w:val="974"/>
    <w:next w:val="974"/>
    <w:uiPriority w:val="0"/>
    <w:qFormat/>
    <w:pPr>
      <w:ind w:left="420" w:firstLine="420"/>
      <w:jc w:val="left"/>
      <w:spacing w:line="240" w:lineRule="atLeast"/>
    </w:pPr>
    <w:rPr>
      <w:sz w:val="20"/>
      <w:szCs w:val="21"/>
    </w:rPr>
  </w:style>
  <w:style w:type="paragraph" w:styleId="1494" w:customStyle="1">
    <w:name w:val="xl72"/>
    <w:basedOn w:val="974"/>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95" w:customStyle="1">
    <w:name w:val="xl868"/>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6" w:customStyle="1">
    <w:name w:val="纯文本111"/>
    <w:basedOn w:val="974"/>
    <w:uiPriority w:val="0"/>
    <w:qFormat/>
    <w:rPr>
      <w:rFonts w:hint="eastAsia" w:ascii="宋体" w:hAnsi="Courier New" w:eastAsia="方正楷体_GB2312"/>
      <w:sz w:val="28"/>
    </w:rPr>
  </w:style>
  <w:style w:type="paragraph" w:styleId="1497" w:customStyle="1">
    <w:name w:val="xl89"/>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8" w:customStyle="1">
    <w:name w:val="xl105"/>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99" w:customStyle="1">
    <w:name w:val="Char Char Char Char Char Char Char Char Char Char Char Char Char Char Char Char1"/>
    <w:basedOn w:val="974"/>
    <w:uiPriority w:val="0"/>
    <w:qFormat/>
    <w:rPr>
      <w:rFonts w:ascii="Tahoma" w:hAnsi="Tahoma"/>
      <w:sz w:val="24"/>
      <w:szCs w:val="24"/>
    </w:rPr>
  </w:style>
  <w:style w:type="paragraph" w:styleId="1500" w:customStyle="1">
    <w:name w:val="4级方案标题"/>
    <w:basedOn w:val="974"/>
    <w:uiPriority w:val="0"/>
    <w:qFormat/>
    <w:pPr>
      <w:spacing w:before="100" w:beforeAutospacing="1" w:after="100" w:afterAutospacing="1" w:line="360" w:lineRule="auto"/>
      <w:outlineLvl w:val="3"/>
    </w:pPr>
    <w:rPr>
      <w:rFonts w:ascii="等线" w:hAnsi="等线"/>
      <w:b/>
      <w:sz w:val="24"/>
      <w:szCs w:val="28"/>
    </w:rPr>
  </w:style>
  <w:style w:type="paragraph" w:styleId="1501" w:customStyle="1">
    <w:name w:val="xl24245"/>
    <w:basedOn w:val="97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502" w:customStyle="1">
    <w:name w:val="xl123"/>
    <w:basedOn w:val="974"/>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503" w:customStyle="1">
    <w:name w:val="TOC 标题1"/>
    <w:basedOn w:val="975"/>
    <w:next w:val="974"/>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504" w:customStyle="1">
    <w:name w:val="xl268"/>
    <w:basedOn w:val="9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505" w:customStyle="1">
    <w:name w:val="xl24237"/>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506" w:customStyle="1">
    <w:name w:val="列表内容"/>
    <w:basedOn w:val="974"/>
    <w:next w:val="974"/>
    <w:uiPriority w:val="0"/>
    <w:qFormat/>
    <w:pPr>
      <w:ind w:left="840" w:hanging="420"/>
      <w:jc w:val="left"/>
      <w:widowControl/>
      <w:tabs>
        <w:tab w:val="left" w:pos="840" w:leader="none"/>
      </w:tabs>
    </w:pPr>
    <w:rPr>
      <w:sz w:val="18"/>
      <w:szCs w:val="24"/>
    </w:rPr>
  </w:style>
  <w:style w:type="paragraph" w:styleId="1507" w:customStyle="1">
    <w:name w:val="xl223"/>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8" w:customStyle="1">
    <w:name w:val="xl273"/>
    <w:basedOn w:val="974"/>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509" w:customStyle="1">
    <w:name w:val="xl41323"/>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0" w:customStyle="1">
    <w:name w:val="xl41330"/>
    <w:basedOn w:val="97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11" w:customStyle="1">
    <w:name w:val="xl276"/>
    <w:basedOn w:val="974"/>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512" w:customStyle="1">
    <w:name w:val="标题3"/>
    <w:basedOn w:val="977"/>
    <w:uiPriority w:val="0"/>
    <w:qFormat/>
    <w:pPr>
      <w:jc w:val="both"/>
      <w:keepNext w:val="0"/>
      <w:spacing w:line="360" w:lineRule="auto"/>
    </w:pPr>
    <w:rPr>
      <w:rFonts w:ascii="Times New Roman" w:hAnsi="Times New Roman" w:eastAsia="方正仿宋_GB2312"/>
      <w:b/>
      <w:bCs/>
      <w:sz w:val="30"/>
      <w:szCs w:val="32"/>
    </w:rPr>
  </w:style>
  <w:style w:type="paragraph" w:styleId="1513" w:customStyle="1">
    <w:name w:val="xl95"/>
    <w:basedOn w:val="974"/>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514" w:customStyle="1">
    <w:name w:val="样式 正文缩进 + 首行缩进:  2 字符"/>
    <w:basedOn w:val="992"/>
    <w:uiPriority w:val="0"/>
    <w:qFormat/>
    <w:pPr>
      <w:ind w:firstLine="200"/>
      <w:jc w:val="left"/>
      <w:spacing w:line="360" w:lineRule="auto"/>
    </w:pPr>
    <w:rPr>
      <w:rFonts w:ascii="Calibri" w:hAnsi="Calibri" w:eastAsia="方正楷体_GB2312"/>
      <w:sz w:val="24"/>
      <w:szCs w:val="22"/>
    </w:rPr>
  </w:style>
  <w:style w:type="paragraph" w:styleId="1515" w:customStyle="1">
    <w:name w:val="xl220"/>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6" w:customStyle="1">
    <w:name w:val="xl96"/>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7" w:customStyle="1">
    <w:name w:val="xl251"/>
    <w:basedOn w:val="97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518" w:customStyle="1">
    <w:name w:val="样式2"/>
    <w:basedOn w:val="975"/>
    <w:uiPriority w:val="0"/>
    <w:qFormat/>
    <w:pPr>
      <w:jc w:val="both"/>
      <w:keepLines/>
      <w:spacing w:before="340" w:after="330" w:line="578" w:lineRule="atLeast"/>
      <w:tabs>
        <w:tab w:val="clear" w:pos="200" w:leader="none"/>
      </w:tabs>
    </w:pPr>
    <w:rPr>
      <w:bCs/>
      <w:sz w:val="44"/>
      <w:szCs w:val="44"/>
    </w:rPr>
  </w:style>
  <w:style w:type="paragraph" w:styleId="1519" w:customStyle="1">
    <w:name w:val="xl246"/>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0" w:customStyle="1">
    <w:name w:val="xl260"/>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21" w:customStyle="1">
    <w:name w:val="xl78"/>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2" w:customStyle="1">
    <w:name w:val="Pa3"/>
    <w:basedOn w:val="974"/>
    <w:next w:val="974"/>
    <w:uiPriority w:val="0"/>
    <w:qFormat/>
    <w:pPr>
      <w:jc w:val="left"/>
      <w:spacing w:line="181" w:lineRule="atLeast"/>
    </w:pPr>
    <w:rPr>
      <w:rFonts w:ascii="华文楷体" w:eastAsia="华文楷体"/>
      <w:sz w:val="24"/>
      <w:szCs w:val="24"/>
    </w:rPr>
  </w:style>
  <w:style w:type="paragraph" w:styleId="1523" w:customStyle="1">
    <w:name w:val="xl97"/>
    <w:basedOn w:val="9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524" w:customStyle="1">
    <w:name w:val="xl24241"/>
    <w:basedOn w:val="974"/>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25" w:customStyle="1">
    <w:name w:val="xl41297"/>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6" w:customStyle="1">
    <w:name w:val="样式5"/>
    <w:basedOn w:val="1034"/>
    <w:uiPriority w:val="0"/>
    <w:qFormat/>
    <w:rPr>
      <w:rFonts w:ascii="Arial" w:hAnsi="Arial" w:cs="Arial"/>
    </w:rPr>
  </w:style>
  <w:style w:type="paragraph" w:styleId="1527" w:customStyle="1">
    <w:name w:val="Char3"/>
    <w:basedOn w:val="974"/>
    <w:uiPriority w:val="0"/>
    <w:qFormat/>
    <w:rPr>
      <w:rFonts w:ascii="Tahoma" w:hAnsi="Tahoma"/>
      <w:sz w:val="24"/>
    </w:rPr>
  </w:style>
  <w:style w:type="paragraph" w:styleId="1528" w:customStyle="1">
    <w:name w:val="xl111"/>
    <w:basedOn w:val="974"/>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29" w:customStyle="1">
    <w:name w:val="xl269"/>
    <w:basedOn w:val="974"/>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30" w:customStyle="1">
    <w:name w:val="xl227"/>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1" w:customStyle="1">
    <w:name w:val="xl41335"/>
    <w:basedOn w:val="974"/>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32" w:customStyle="1">
    <w:name w:val="xl64"/>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3" w:customStyle="1">
    <w:name w:val="Plain Text2"/>
    <w:basedOn w:val="974"/>
    <w:uiPriority w:val="0"/>
    <w:qFormat/>
    <w:rPr>
      <w:rFonts w:ascii="宋体" w:hAnsi="Courier New" w:eastAsia="方正楷体_GB2312"/>
      <w:sz w:val="28"/>
    </w:rPr>
  </w:style>
  <w:style w:type="paragraph" w:styleId="1534" w:customStyle="1">
    <w:name w:val="段落正文 Char Char"/>
    <w:basedOn w:val="974"/>
    <w:uiPriority w:val="0"/>
    <w:qFormat/>
    <w:pPr>
      <w:ind w:firstLine="461"/>
      <w:spacing w:line="360" w:lineRule="auto"/>
    </w:pPr>
    <w:rPr>
      <w:rFonts w:ascii="宋体" w:hAnsi="宋体"/>
      <w:sz w:val="24"/>
      <w:szCs w:val="24"/>
    </w:rPr>
  </w:style>
  <w:style w:type="paragraph" w:styleId="1535" w:customStyle="1">
    <w:name w:val="南通方案正文"/>
    <w:basedOn w:val="974"/>
    <w:uiPriority w:val="0"/>
    <w:qFormat/>
    <w:pPr>
      <w:ind w:firstLine="480"/>
      <w:spacing w:line="360" w:lineRule="auto"/>
    </w:pPr>
    <w:rPr>
      <w:sz w:val="24"/>
    </w:rPr>
  </w:style>
  <w:style w:type="paragraph" w:styleId="1536" w:customStyle="1">
    <w:name w:val="xl135"/>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37" w:customStyle="1">
    <w:name w:val="Pa1"/>
    <w:basedOn w:val="974"/>
    <w:next w:val="974"/>
    <w:uiPriority w:val="0"/>
    <w:qFormat/>
    <w:pPr>
      <w:jc w:val="left"/>
      <w:spacing w:line="241" w:lineRule="atLeast"/>
    </w:pPr>
    <w:rPr>
      <w:rFonts w:ascii="华文细黑" w:eastAsia="华文细黑"/>
      <w:sz w:val="24"/>
      <w:szCs w:val="24"/>
    </w:rPr>
  </w:style>
  <w:style w:type="paragraph" w:styleId="1538" w:customStyle="1">
    <w:name w:val="xl24229"/>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9" w:customStyle="1">
    <w:name w:val="xl237"/>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0" w:customStyle="1">
    <w:name w:val="Char Char Char Char Char Char Char Char1 Char Char Char Char"/>
    <w:basedOn w:val="996"/>
    <w:uiPriority w:val="0"/>
    <w:qFormat/>
    <w:pPr>
      <w:spacing w:line="360" w:lineRule="auto"/>
    </w:pPr>
    <w:rPr>
      <w:rFonts w:eastAsia="方正楷体_GB2312"/>
      <w:sz w:val="28"/>
    </w:rPr>
  </w:style>
  <w:style w:type="paragraph" w:styleId="1541" w:customStyle="1">
    <w:name w:val="xl248"/>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2" w:customStyle="1">
    <w:name w:val="xl24267"/>
    <w:basedOn w:val="9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43" w:customStyle="1">
    <w:name w:val="xl234"/>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44" w:customStyle="1">
    <w:name w:val="xl278"/>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45" w:customStyle="1">
    <w:name w:val="正文序号 3"/>
    <w:basedOn w:val="974"/>
    <w:uiPriority w:val="0"/>
    <w:qFormat/>
    <w:pPr>
      <w:ind w:left="1259" w:hanging="420"/>
      <w:spacing w:before="60"/>
      <w:tabs>
        <w:tab w:val="left" w:pos="1259" w:leader="none"/>
      </w:tabs>
    </w:pPr>
    <w:rPr>
      <w:szCs w:val="24"/>
    </w:rPr>
  </w:style>
  <w:style w:type="paragraph" w:styleId="1546" w:customStyle="1">
    <w:name w:val="xl41329"/>
    <w:basedOn w:val="9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47" w:customStyle="1">
    <w:name w:val="xl213"/>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8" w:customStyle="1">
    <w:name w:val="xl24258"/>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49" w:customStyle="1">
    <w:name w:val="xl219"/>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0" w:customStyle="1">
    <w:name w:val="xl75"/>
    <w:basedOn w:val="974"/>
    <w:uiPriority w:val="0"/>
    <w:qFormat/>
    <w:pPr>
      <w:jc w:val="left"/>
      <w:spacing w:before="100" w:beforeAutospacing="1" w:after="100" w:afterAutospacing="1"/>
      <w:widowControl/>
    </w:pPr>
    <w:rPr>
      <w:rFonts w:ascii="宋体" w:hAnsi="宋体" w:cs="宋体"/>
      <w:sz w:val="24"/>
      <w:szCs w:val="24"/>
    </w:rPr>
  </w:style>
  <w:style w:type="paragraph" w:styleId="1551" w:customStyle="1">
    <w:name w:val="msonormal"/>
    <w:basedOn w:val="974"/>
    <w:uiPriority w:val="0"/>
    <w:qFormat/>
    <w:pPr>
      <w:jc w:val="left"/>
      <w:spacing w:before="100" w:beforeAutospacing="1" w:after="100" w:afterAutospacing="1"/>
      <w:widowControl/>
    </w:pPr>
    <w:rPr>
      <w:rFonts w:ascii="宋体" w:hAnsi="宋体" w:cs="宋体"/>
      <w:sz w:val="24"/>
      <w:szCs w:val="24"/>
    </w:rPr>
  </w:style>
  <w:style w:type="paragraph" w:styleId="1552" w:customStyle="1">
    <w:name w:val="xl41298"/>
    <w:basedOn w:val="974"/>
    <w:uiPriority w:val="0"/>
    <w:qFormat/>
    <w:pPr>
      <w:jc w:val="left"/>
      <w:spacing w:before="100" w:beforeAutospacing="1" w:after="100" w:afterAutospacing="1"/>
      <w:widowControl/>
    </w:pPr>
    <w:rPr>
      <w:rFonts w:ascii="宋体" w:hAnsi="宋体" w:cs="宋体"/>
      <w:b/>
      <w:bCs/>
      <w:sz w:val="24"/>
      <w:szCs w:val="24"/>
    </w:rPr>
  </w:style>
  <w:style w:type="paragraph" w:styleId="1553" w:customStyle="1">
    <w:name w:val="Char Char2 Char Char"/>
    <w:basedOn w:val="974"/>
    <w:uiPriority w:val="0"/>
    <w:qFormat/>
    <w:rPr>
      <w:rFonts w:ascii="Tahoma" w:hAnsi="Tahoma"/>
      <w:sz w:val="24"/>
    </w:rPr>
  </w:style>
  <w:style w:type="paragraph" w:styleId="1554" w:customStyle="1">
    <w:name w:val="xl41321"/>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5" w:customStyle="1">
    <w:name w:val="默认段落字体 Para Char Char Char Char"/>
    <w:basedOn w:val="974"/>
    <w:uiPriority w:val="0"/>
    <w:qFormat/>
    <w:rPr>
      <w:sz w:val="20"/>
      <w:szCs w:val="24"/>
    </w:rPr>
  </w:style>
  <w:style w:type="paragraph" w:styleId="1556" w:customStyle="1">
    <w:name w:val="xl41301"/>
    <w:basedOn w:val="974"/>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57" w:customStyle="1">
    <w:name w:val="纯文本21"/>
    <w:basedOn w:val="974"/>
    <w:uiPriority w:val="0"/>
    <w:qFormat/>
    <w:rPr>
      <w:rFonts w:ascii="宋体" w:hAnsi="Courier New" w:eastAsia="方正楷体_GB2312"/>
      <w:sz w:val="26"/>
    </w:rPr>
  </w:style>
  <w:style w:type="paragraph" w:styleId="1558" w:customStyle="1">
    <w:name w:val="Bullet"/>
    <w:basedOn w:val="974"/>
    <w:uiPriority w:val="0"/>
    <w:qFormat/>
    <w:pPr>
      <w:ind w:left="420" w:right="709" w:hanging="420"/>
      <w:spacing w:before="60" w:after="60"/>
      <w:tabs>
        <w:tab w:val="left" w:pos="420" w:leader="none"/>
        <w:tab w:val="left" w:pos="2552" w:leader="none"/>
      </w:tabs>
    </w:pPr>
    <w:rPr>
      <w:rFonts w:eastAsia="方正楷体_GB2312"/>
      <w:spacing w:val="2"/>
      <w:sz w:val="20"/>
      <w:lang w:eastAsia="zh-TW"/>
    </w:rPr>
  </w:style>
  <w:style w:type="paragraph" w:styleId="1559" w:customStyle="1">
    <w:name w:val="xl83"/>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60" w:customStyle="1">
    <w:name w:val="Char Char1 Char"/>
    <w:basedOn w:val="996"/>
    <w:uiPriority w:val="0"/>
    <w:qFormat/>
    <w:pPr>
      <w:spacing w:line="360" w:lineRule="auto"/>
    </w:pPr>
    <w:rPr>
      <w:rFonts w:ascii="Tahoma" w:hAnsi="Tahoma"/>
      <w:sz w:val="24"/>
      <w:szCs w:val="24"/>
    </w:rPr>
  </w:style>
  <w:style w:type="paragraph" w:styleId="1561" w:customStyle="1">
    <w:name w:val="xl41294"/>
    <w:basedOn w:val="974"/>
    <w:uiPriority w:val="0"/>
    <w:qFormat/>
    <w:pPr>
      <w:jc w:val="left"/>
      <w:spacing w:before="100" w:beforeAutospacing="1" w:after="100" w:afterAutospacing="1"/>
      <w:widowControl/>
    </w:pPr>
    <w:rPr>
      <w:rFonts w:ascii="宋体" w:hAnsi="宋体" w:cs="宋体"/>
      <w:b/>
      <w:bCs/>
      <w:sz w:val="24"/>
      <w:szCs w:val="24"/>
    </w:rPr>
  </w:style>
  <w:style w:type="paragraph" w:styleId="1562" w:customStyle="1">
    <w:name w:val="xl24226"/>
    <w:basedOn w:val="974"/>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3" w:customStyle="1">
    <w:name w:val="Char Char1 Char Char Char Char Char Char Char1"/>
    <w:basedOn w:val="974"/>
    <w:uiPriority w:val="0"/>
    <w:qFormat/>
    <w:rPr>
      <w:rFonts w:ascii="Tahoma" w:hAnsi="Tahoma"/>
      <w:sz w:val="24"/>
    </w:rPr>
  </w:style>
  <w:style w:type="paragraph" w:styleId="1564" w:customStyle="1">
    <w:name w:val="xl262"/>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65" w:customStyle="1">
    <w:name w:val="xl41315"/>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6" w:customStyle="1">
    <w:name w:val="xl24262"/>
    <w:basedOn w:val="974"/>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67" w:customStyle="1">
    <w:name w:val="xl218"/>
    <w:basedOn w:val="974"/>
    <w:uiPriority w:val="0"/>
    <w:qFormat/>
    <w:pPr>
      <w:jc w:val="left"/>
      <w:spacing w:before="100" w:beforeAutospacing="1" w:after="100" w:afterAutospacing="1"/>
      <w:widowControl/>
    </w:pPr>
    <w:rPr>
      <w:rFonts w:ascii="宋体" w:hAnsi="宋体" w:cs="宋体"/>
      <w:sz w:val="24"/>
      <w:szCs w:val="24"/>
    </w:rPr>
  </w:style>
  <w:style w:type="paragraph" w:styleId="1568" w:customStyle="1">
    <w:name w:val="xl106"/>
    <w:basedOn w:val="9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69" w:customStyle="1">
    <w:name w:val="xl24254"/>
    <w:basedOn w:val="9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70" w:customStyle="1">
    <w:name w:val="xl229"/>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1" w:customStyle="1">
    <w:name w:val="xl24266"/>
    <w:basedOn w:val="974"/>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72" w:customStyle="1">
    <w:name w:val="xl241"/>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3" w:customStyle="1">
    <w:name w:val="xl235"/>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4" w:customStyle="1">
    <w:name w:val="reader-word-layer reader-word-s7-11"/>
    <w:basedOn w:val="974"/>
    <w:uiPriority w:val="0"/>
    <w:qFormat/>
    <w:pPr>
      <w:jc w:val="left"/>
      <w:spacing w:before="100" w:beforeAutospacing="1" w:after="100" w:afterAutospacing="1"/>
      <w:widowControl/>
    </w:pPr>
    <w:rPr>
      <w:rFonts w:ascii="宋体" w:hAnsi="宋体" w:cs="宋体"/>
      <w:sz w:val="24"/>
      <w:szCs w:val="24"/>
    </w:rPr>
  </w:style>
  <w:style w:type="paragraph" w:styleId="1575" w:customStyle="1">
    <w:name w:val="xl41311"/>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6" w:customStyle="1">
    <w:name w:val="xl41300"/>
    <w:basedOn w:val="974"/>
    <w:uiPriority w:val="0"/>
    <w:qFormat/>
    <w:pPr>
      <w:jc w:val="center"/>
      <w:spacing w:before="100" w:beforeAutospacing="1" w:after="100" w:afterAutospacing="1"/>
      <w:widowControl/>
    </w:pPr>
    <w:rPr>
      <w:rFonts w:ascii="宋体" w:hAnsi="宋体" w:cs="宋体"/>
      <w:sz w:val="24"/>
      <w:szCs w:val="24"/>
    </w:rPr>
  </w:style>
  <w:style w:type="paragraph" w:styleId="1577" w:customStyle="1">
    <w:name w:val="Char Char Char1"/>
    <w:basedOn w:val="974"/>
    <w:uiPriority w:val="0"/>
    <w:qFormat/>
    <w:pPr>
      <w:ind w:left="375" w:hanging="375"/>
      <w:tabs>
        <w:tab w:val="left" w:pos="375" w:leader="none"/>
        <w:tab w:val="left" w:pos="1545" w:leader="none"/>
      </w:tabs>
    </w:pPr>
  </w:style>
  <w:style w:type="paragraph" w:styleId="1578" w:customStyle="1">
    <w:name w:val="Pa8"/>
    <w:basedOn w:val="974"/>
    <w:next w:val="974"/>
    <w:uiPriority w:val="0"/>
    <w:qFormat/>
    <w:pPr>
      <w:jc w:val="left"/>
      <w:spacing w:line="481" w:lineRule="atLeast"/>
    </w:pPr>
    <w:rPr>
      <w:rFonts w:ascii="华文楷体" w:eastAsia="华文楷体"/>
      <w:sz w:val="24"/>
      <w:szCs w:val="24"/>
    </w:rPr>
  </w:style>
  <w:style w:type="paragraph" w:styleId="1579" w:customStyle="1">
    <w:name w:val="Char Char Char Char1"/>
    <w:basedOn w:val="996"/>
    <w:uiPriority w:val="0"/>
    <w:qFormat/>
    <w:pPr>
      <w:spacing w:line="360" w:lineRule="auto"/>
    </w:pPr>
    <w:rPr>
      <w:rFonts w:ascii="Tahoma" w:hAnsi="Tahoma"/>
      <w:sz w:val="24"/>
      <w:szCs w:val="24"/>
    </w:rPr>
  </w:style>
  <w:style w:type="paragraph" w:styleId="1580" w:customStyle="1">
    <w:name w:val="xl88"/>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81" w:customStyle="1">
    <w:name w:val="_Style 12"/>
    <w:basedOn w:val="996"/>
    <w:uiPriority w:val="0"/>
    <w:qFormat/>
    <w:pPr>
      <w:jc w:val="left"/>
      <w:spacing w:line="360" w:lineRule="auto"/>
      <w:widowControl/>
    </w:pPr>
    <w:rPr>
      <w:sz w:val="24"/>
      <w:szCs w:val="24"/>
    </w:rPr>
  </w:style>
  <w:style w:type="paragraph" w:styleId="1582" w:customStyle="1">
    <w:name w:val="xl258"/>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3" w:customStyle="1">
    <w:name w:val="xl41336"/>
    <w:basedOn w:val="974"/>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84" w:customStyle="1">
    <w:name w:val="xl24263"/>
    <w:basedOn w:val="974"/>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85" w:customStyle="1">
    <w:name w:val="xl41334"/>
    <w:basedOn w:val="97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86" w:customStyle="1">
    <w:name w:val="xl24234"/>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7" w:customStyle="1">
    <w:name w:val="Table Text"/>
    <w:basedOn w:val="974"/>
    <w:uiPriority w:val="0"/>
    <w:qFormat/>
    <w:pPr>
      <w:jc w:val="left"/>
      <w:widowControl/>
      <w:tabs>
        <w:tab w:val="decimal" w:pos="0" w:leader="none"/>
      </w:tabs>
    </w:pPr>
    <w:rPr>
      <w:rFonts w:eastAsia="Times New Roman"/>
      <w:sz w:val="20"/>
      <w:lang w:eastAsia="en-US"/>
    </w:rPr>
  </w:style>
  <w:style w:type="paragraph" w:styleId="1588" w:customStyle="1">
    <w:name w:val="xl41308"/>
    <w:basedOn w:val="9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89" w:customStyle="1">
    <w:name w:val="xl41303"/>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90" w:customStyle="1">
    <w:name w:val="xl41296"/>
    <w:basedOn w:val="974"/>
    <w:uiPriority w:val="0"/>
    <w:qFormat/>
    <w:pPr>
      <w:jc w:val="center"/>
      <w:spacing w:before="100" w:beforeAutospacing="1" w:after="100" w:afterAutospacing="1"/>
      <w:widowControl/>
    </w:pPr>
    <w:rPr>
      <w:rFonts w:ascii="宋体" w:hAnsi="宋体" w:cs="宋体"/>
      <w:sz w:val="24"/>
      <w:szCs w:val="24"/>
    </w:rPr>
  </w:style>
  <w:style w:type="paragraph" w:styleId="1591" w:customStyle="1">
    <w:name w:val="xl256"/>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92" w:customStyle="1">
    <w:name w:val="正文序号 1"/>
    <w:basedOn w:val="974"/>
    <w:uiPriority w:val="0"/>
    <w:qFormat/>
    <w:pPr>
      <w:ind w:left="839" w:hanging="419"/>
      <w:spacing w:before="60"/>
      <w:tabs>
        <w:tab w:val="left" w:pos="839" w:leader="none"/>
      </w:tabs>
    </w:pPr>
    <w:rPr>
      <w:szCs w:val="24"/>
    </w:rPr>
  </w:style>
  <w:style w:type="paragraph" w:styleId="1593" w:customStyle="1">
    <w:name w:val="xl238"/>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4" w:customStyle="1">
    <w:name w:val="xl70"/>
    <w:basedOn w:val="97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95" w:customStyle="1">
    <w:name w:val="样式 样式 标题 2 + (中文) 宋体 小四 非加粗 段前: 0 磅 段后: 0 磅 行距: 单倍行距 + 行距: 固定值 2..."/>
    <w:basedOn w:val="974"/>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96" w:customStyle="1">
    <w:name w:val="样式 表格正文 + 两端对齐"/>
    <w:basedOn w:val="974"/>
    <w:uiPriority w:val="0"/>
    <w:qFormat/>
    <w:pPr>
      <w:spacing w:line="300" w:lineRule="auto"/>
    </w:pPr>
    <w:rPr>
      <w:sz w:val="24"/>
    </w:rPr>
  </w:style>
  <w:style w:type="paragraph" w:styleId="1597" w:customStyle="1">
    <w:name w:val="xl257"/>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8" w:customStyle="1">
    <w:name w:val="样式 标题 3 + 小四 非加粗 段前: 0 磅 段后: 0 磅 行距: 单倍行距"/>
    <w:basedOn w:val="977"/>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99" w:customStyle="1">
    <w:name w:val="_Style 610"/>
    <w:basedOn w:val="975"/>
    <w:next w:val="974"/>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600" w:customStyle="1">
    <w:name w:val="xl24260"/>
    <w:basedOn w:val="974"/>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601" w:customStyle="1">
    <w:name w:val="xl41314"/>
    <w:basedOn w:val="9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602" w:customStyle="1">
    <w:name w:val="Andy_一级"/>
    <w:basedOn w:val="1182"/>
    <w:uiPriority w:val="0"/>
    <w:qFormat/>
    <w:pPr>
      <w:ind w:left="360" w:hanging="360"/>
      <w:keepNext/>
      <w:tabs>
        <w:tab w:val="left" w:pos="360" w:leader="none"/>
      </w:tabs>
    </w:pPr>
    <w:rPr>
      <w:rFonts w:ascii="Times New Roman" w:hAnsi="Times New Roman"/>
      <w:b/>
      <w:szCs w:val="22"/>
    </w:rPr>
  </w:style>
  <w:style w:type="paragraph" w:styleId="1603" w:customStyle="1">
    <w:name w:val="xl253"/>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4" w:customStyle="1">
    <w:name w:val="正文序号 2"/>
    <w:basedOn w:val="974"/>
    <w:uiPriority w:val="0"/>
    <w:qFormat/>
    <w:pPr>
      <w:ind w:left="1049" w:hanging="420"/>
      <w:spacing w:before="60"/>
      <w:tabs>
        <w:tab w:val="left" w:pos="1049" w:leader="none"/>
      </w:tabs>
    </w:pPr>
    <w:rPr>
      <w:szCs w:val="24"/>
    </w:rPr>
  </w:style>
  <w:style w:type="paragraph" w:styleId="1605" w:customStyle="1">
    <w:name w:val="xl240"/>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6" w:customStyle="1">
    <w:name w:val="xl250"/>
    <w:basedOn w:val="9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7" w:customStyle="1">
    <w:name w:val="xl41322"/>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8" w:customStyle="1">
    <w:name w:val="xl66"/>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9" w:customStyle="1">
    <w:name w:val="样式1"/>
    <w:basedOn w:val="974"/>
    <w:uiPriority w:val="0"/>
    <w:qFormat/>
    <w:pPr>
      <w:ind w:left="709" w:hanging="709"/>
      <w:tabs>
        <w:tab w:val="left" w:pos="709" w:leader="none"/>
      </w:tabs>
    </w:pPr>
    <w:rPr>
      <w:rFonts w:ascii="宋体" w:hAnsi="宋体"/>
      <w:szCs w:val="21"/>
    </w:rPr>
  </w:style>
  <w:style w:type="paragraph" w:styleId="1610" w:customStyle="1">
    <w:name w:val="xl243"/>
    <w:basedOn w:val="97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1" w:customStyle="1">
    <w:name w:val="xl98"/>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12" w:customStyle="1">
    <w:name w:val="xl24265"/>
    <w:basedOn w:val="9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613" w:customStyle="1">
    <w:name w:val="正文首行缩进两字符"/>
    <w:basedOn w:val="974"/>
    <w:uiPriority w:val="0"/>
    <w:qFormat/>
    <w:pPr>
      <w:ind w:firstLine="200"/>
      <w:spacing w:line="360" w:lineRule="auto"/>
    </w:pPr>
    <w:rPr>
      <w:szCs w:val="24"/>
    </w:rPr>
  </w:style>
  <w:style w:type="paragraph" w:styleId="1614" w:customStyle="1">
    <w:name w:val="xl24272"/>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15" w:customStyle="1">
    <w:name w:val="正文 New New New New"/>
    <w:uiPriority w:val="0"/>
    <w:qFormat/>
    <w:pPr>
      <w:jc w:val="both"/>
      <w:widowControl w:val="off"/>
    </w:pPr>
    <w:rPr>
      <w:rFonts w:ascii="Times New Roman" w:hAnsi="Times New Roman" w:eastAsia="Wonder Arial" w:cs="Wonder Arial"/>
      <w:color w:val="000000"/>
      <w:lang w:val="en-US" w:eastAsia="zh-CN" w:bidi="ar-SA"/>
    </w:rPr>
  </w:style>
  <w:style w:type="paragraph" w:styleId="1616" w:customStyle="1">
    <w:name w:val="缩正文"/>
    <w:basedOn w:val="1037"/>
    <w:uiPriority w:val="0"/>
    <w:qFormat/>
    <w:pPr>
      <w:ind w:left="2268" w:firstLine="0"/>
    </w:pPr>
    <w:rPr>
      <w:szCs w:val="20"/>
    </w:rPr>
  </w:style>
  <w:style w:type="paragraph" w:styleId="1617" w:customStyle="1">
    <w:name w:val="xl266"/>
    <w:basedOn w:val="9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18" w:customStyle="1">
    <w:name w:val="tabletext"/>
    <w:basedOn w:val="974"/>
    <w:uiPriority w:val="0"/>
    <w:qFormat/>
    <w:pPr>
      <w:jc w:val="left"/>
      <w:spacing w:before="100" w:beforeAutospacing="1" w:after="100" w:afterAutospacing="1"/>
      <w:widowControl/>
    </w:pPr>
    <w:rPr>
      <w:rFonts w:ascii="宋体" w:hAnsi="宋体" w:cs="宋体"/>
      <w:sz w:val="24"/>
      <w:szCs w:val="24"/>
    </w:rPr>
  </w:style>
  <w:style w:type="paragraph" w:styleId="1619" w:customStyle="1">
    <w:name w:val="xl277"/>
    <w:basedOn w:val="974"/>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620" w:customStyle="1">
    <w:name w:val="xl264"/>
    <w:basedOn w:val="97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21" w:customStyle="1">
    <w:name w:val="xl41304"/>
    <w:basedOn w:val="9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622" w:customStyle="1">
    <w:name w:val="正文文本缩进 字符2"/>
    <w:uiPriority w:val="0"/>
    <w:qFormat/>
    <w:rPr>
      <w:rFonts w:ascii="宋体" w:eastAsia="宋体"/>
      <w:sz w:val="28"/>
      <w:lang w:val="en-US" w:eastAsia="zh-CN" w:bidi="ar-SA"/>
    </w:rPr>
  </w:style>
  <w:style w:type="character" w:styleId="1623" w:customStyle="1">
    <w:name w:val="正文缩进 Char2"/>
    <w:uiPriority w:val="0"/>
    <w:qFormat/>
    <w:rPr>
      <w:sz w:val="21"/>
    </w:rPr>
  </w:style>
  <w:style w:type="paragraph" w:styleId="1624" w:customStyle="1">
    <w:name w:val="纯文本6"/>
    <w:basedOn w:val="974"/>
    <w:uiPriority w:val="0"/>
    <w:qFormat/>
    <w:rPr>
      <w:rFonts w:hAnsi="Courier New" w:eastAsia="方正楷体_GB2312"/>
      <w:sz w:val="26"/>
    </w:rPr>
  </w:style>
  <w:style w:type="paragraph" w:styleId="1625" w:customStyle="1">
    <w:name w:val="Table Paragraph"/>
    <w:basedOn w:val="974"/>
    <w:uiPriority w:val="1"/>
    <w:qFormat/>
    <w:pPr>
      <w:jc w:val="left"/>
    </w:pPr>
    <w:rPr>
      <w:sz w:val="24"/>
      <w:szCs w:val="24"/>
    </w:rPr>
  </w:style>
  <w:style w:type="paragraph" w:styleId="1626" w:customStyle="1">
    <w:name w:val="正文 1.1"/>
    <w:basedOn w:val="974"/>
    <w:next w:val="974"/>
    <w:uiPriority w:val="0"/>
    <w:qFormat/>
    <w:pPr>
      <w:ind w:left="980" w:hanging="980"/>
      <w:spacing w:line="360" w:lineRule="auto"/>
      <w:outlineLvl w:val="1"/>
    </w:pPr>
    <w:rPr>
      <w:rFonts w:hint="eastAsia" w:ascii="仿宋" w:hAnsi="仿宋" w:eastAsia="仿宋"/>
      <w:b/>
      <w:sz w:val="28"/>
      <w:szCs w:val="21"/>
    </w:rPr>
  </w:style>
  <w:style w:type="character" w:styleId="1627" w:customStyle="1">
    <w:name w:val="hover"/>
    <w:uiPriority w:val="0"/>
    <w:rPr>
      <w:color w:val="5fb878"/>
    </w:rPr>
  </w:style>
  <w:style w:type="character" w:styleId="1628" w:customStyle="1">
    <w:name w:val="hover1"/>
    <w:uiPriority w:val="0"/>
    <w:rPr>
      <w:color w:val="ffffff"/>
    </w:rPr>
  </w:style>
  <w:style w:type="character" w:styleId="1629" w:customStyle="1">
    <w:name w:val="hover2"/>
    <w:uiPriority w:val="0"/>
    <w:rPr>
      <w:color w:val="5fb878"/>
    </w:rPr>
  </w:style>
  <w:style w:type="paragraph" w:styleId="1630" w:customStyle="1">
    <w:name w:val="表格12"/>
    <w:basedOn w:val="974"/>
    <w:uiPriority w:val="0"/>
    <w:qFormat/>
    <w:pPr>
      <w:jc w:val="center"/>
      <w:spacing w:line="360" w:lineRule="auto"/>
    </w:pPr>
    <w:rPr>
      <w:rFonts w:ascii="仿宋" w:hAnsi="仿宋" w:eastAsia="仿宋"/>
      <w:sz w:val="28"/>
      <w:szCs w:val="28"/>
    </w:rPr>
  </w:style>
  <w:style w:type="paragraph" w:styleId="1631" w:customStyle="1">
    <w:name w:val="中等深浅网格 1 - 强调文字颜色 21"/>
    <w:basedOn w:val="974"/>
    <w:uiPriority w:val="0"/>
    <w:qFormat/>
    <w:pPr>
      <w:ind w:firstLine="420"/>
      <w:jc w:val="left"/>
      <w:spacing w:line="360" w:lineRule="auto"/>
      <w:widowControl/>
    </w:pPr>
    <w:rPr>
      <w:rFonts w:ascii="Calibri" w:hAnsi="Calibri"/>
      <w:sz w:val="34"/>
    </w:rPr>
  </w:style>
  <w:style w:type="paragraph" w:styleId="1632" w:customStyle="1">
    <w:name w:val="表正文"/>
    <w:basedOn w:val="974"/>
    <w:next w:val="1000"/>
    <w:uiPriority w:val="0"/>
    <w:qFormat/>
    <w:pPr>
      <w:ind w:left="420"/>
      <w:spacing w:after="120"/>
    </w:pPr>
    <w:rPr>
      <w:szCs w:val="24"/>
    </w:rPr>
  </w:style>
  <w:style w:type="paragraph" w:styleId="1633" w:customStyle="1">
    <w:name w:val="纯文本7"/>
    <w:basedOn w:val="974"/>
    <w:uiPriority w:val="0"/>
    <w:qFormat/>
    <w:rPr>
      <w:rFonts w:ascii="宋体" w:hAnsi="Courier New" w:eastAsia="方正楷体_GB2312"/>
      <w:sz w:val="26"/>
    </w:rPr>
  </w:style>
  <w:style w:type="character" w:styleId="1634" w:customStyle="1">
    <w:name w:val="NormalCharacter"/>
    <w:uiPriority w:val="0"/>
    <w:qFormat/>
  </w:style>
  <w:style w:type="paragraph" w:styleId="1635" w:customStyle="1">
    <w:name w:val="Body text|2"/>
    <w:basedOn w:val="974"/>
    <w:uiPriority w:val="0"/>
    <w:qFormat/>
    <w:pPr>
      <w:ind w:firstLine="400"/>
      <w:spacing w:line="480" w:lineRule="auto"/>
    </w:pPr>
    <w:rPr>
      <w:rFonts w:ascii="宋体" w:hAnsi="宋体" w:cs="宋体"/>
      <w:sz w:val="22"/>
      <w:szCs w:val="22"/>
      <w:lang w:val="zh-TW" w:eastAsia="zh-TW" w:bidi="zh-TW"/>
    </w:rPr>
  </w:style>
  <w:style w:type="paragraph" w:styleId="1636" w:customStyle="1">
    <w:name w:val="正文文本1"/>
    <w:basedOn w:val="974"/>
    <w:uiPriority w:val="0"/>
    <w:qFormat/>
    <w:rPr>
      <w:rFonts w:ascii="方正楷体_GB2312" w:hAnsi="Arial" w:eastAsia="方正楷体_GB2312"/>
      <w:sz w:val="28"/>
    </w:rPr>
  </w:style>
  <w:style w:type="paragraph" w:styleId="1637" w:customStyle="1">
    <w:name w:val="正文1"/>
    <w:basedOn w:val="974"/>
    <w:next w:val="974"/>
    <w:uiPriority w:val="0"/>
    <w:qFormat/>
    <w:pPr>
      <w:ind w:firstLine="540"/>
    </w:pPr>
  </w:style>
  <w:style w:type="table" w:styleId="1638" w:customStyle="1">
    <w:name w:val="Table Normal"/>
    <w:uiPriority w:val="0"/>
    <w:unhideWhenUsed/>
    <w:qFormat/>
    <w:tblPr>
      <w:tblCellMar>
        <w:left w:w="0" w:type="dxa"/>
        <w:top w:w="0" w:type="dxa"/>
        <w:right w:w="0" w:type="dxa"/>
        <w:bottom w:w="0" w:type="dxa"/>
      </w:tblCellMar>
    </w:tblPr>
  </w:style>
  <w:style w:type="paragraph" w:styleId="163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640" w:customStyle="1">
    <w:name w:val="列表段落2"/>
    <w:basedOn w:val="974"/>
    <w:uiPriority w:val="0"/>
    <w:qFormat/>
    <w:pPr>
      <w:ind w:firstLine="420"/>
    </w:pPr>
    <w:rPr>
      <w:rFonts w:ascii="Calibri" w:hAnsi="Calibri"/>
      <w:szCs w:val="22"/>
    </w:rPr>
  </w:style>
  <w:style w:type="character" w:styleId="1641" w:customStyle="1">
    <w:name w:val="! 自定正文 Alt+C Char"/>
    <w:link w:val="1642"/>
    <w:uiPriority w:val="0"/>
    <w:qFormat/>
    <w:rPr>
      <w:rFonts w:eastAsia="仿宋_GB2312"/>
    </w:rPr>
  </w:style>
  <w:style w:type="paragraph" w:styleId="1642" w:customStyle="1">
    <w:name w:val="! 自定正文 Alt+C"/>
    <w:basedOn w:val="974"/>
    <w:link w:val="1641"/>
    <w:uiPriority w:val="0"/>
    <w:qFormat/>
    <w:pPr>
      <w:jc w:val="left"/>
      <w:spacing w:before="100" w:beforeAutospacing="1" w:after="80" w:line="160" w:lineRule="atLeast"/>
      <w:widowControl/>
    </w:pPr>
    <w:rPr>
      <w:rFonts w:eastAsia="仿宋_GB2312"/>
      <w:sz w:val="20"/>
    </w:rPr>
  </w:style>
  <w:style w:type="paragraph" w:styleId="1643" w:customStyle="1">
    <w:name w:val="_Style 60"/>
    <w:basedOn w:val="974"/>
    <w:next w:val="1182"/>
    <w:uiPriority w:val="34"/>
    <w:qFormat/>
    <w:pPr>
      <w:ind w:firstLine="420"/>
    </w:pPr>
    <w:rPr>
      <w:rFonts w:ascii="Calibri" w:hAnsi="Calibri"/>
      <w:szCs w:val="22"/>
    </w:rPr>
  </w:style>
  <w:style w:type="character" w:styleId="1644" w:customStyle="1">
    <w:name w:val="列表段落 字符1"/>
    <w:uiPriority w:val="34"/>
    <w:qFormat/>
    <w:rPr>
      <w:rFonts w:ascii="Times New Roman" w:hAnsi="Times New Roman" w:eastAsia="宋体"/>
      <w:sz w:val="24"/>
      <w:szCs w:val="22"/>
    </w:rPr>
  </w:style>
  <w:style w:type="paragraph" w:styleId="1645" w:customStyle="1">
    <w:name w:val="_Style 671"/>
    <w:hidden/>
    <w:uiPriority w:val="99"/>
    <w:unhideWhenUsed/>
    <w:rPr>
      <w:rFonts w:ascii="Times New Roman" w:hAnsi="Times New Roman" w:eastAsia="宋体" w:cs="Times New Roman"/>
      <w:sz w:val="21"/>
      <w:lang w:val="en-US" w:eastAsia="zh-CN" w:bidi="ar-SA"/>
    </w:rPr>
  </w:style>
  <w:style w:type="paragraph" w:styleId="1646" w:customStyle="1">
    <w:name w:val="正文new"/>
    <w:basedOn w:val="974"/>
    <w:uiPriority w:val="0"/>
    <w:qFormat/>
    <w:pPr>
      <w:ind w:firstLine="560"/>
      <w:spacing w:after="40" w:line="360" w:lineRule="auto"/>
      <w:tabs>
        <w:tab w:val="left" w:pos="0" w:leader="none"/>
        <w:tab w:val="left" w:pos="420" w:leader="none"/>
      </w:tabs>
    </w:pPr>
    <w:rPr>
      <w:rFonts w:hint="eastAsia" w:ascii="宋体" w:hAnsi="宋体" w:eastAsia="SimSong"/>
      <w:sz w:val="28"/>
      <w:szCs w:val="28"/>
    </w:rPr>
  </w:style>
  <w:style w:type="paragraph" w:styleId="1647" w:customStyle="1">
    <w:name w:val="标3"/>
    <w:basedOn w:val="974"/>
    <w:uiPriority w:val="0"/>
    <w:pPr>
      <w:numPr>
        <w:ilvl w:val="2"/>
        <w:numId w:val="1"/>
      </w:numPr>
      <w:spacing w:before="300" w:after="240" w:line="360" w:lineRule="auto"/>
      <w:outlineLvl w:val="2"/>
    </w:pPr>
    <w:rPr>
      <w:rFonts w:hint="eastAsia" w:ascii="宋体" w:hAnsi="宋体"/>
      <w:b/>
      <w:sz w:val="28"/>
      <w:szCs w:val="28"/>
    </w:rPr>
  </w:style>
  <w:style w:type="paragraph" w:styleId="1648" w:customStyle="1">
    <w:name w:val="标1"/>
    <w:basedOn w:val="974"/>
    <w:uiPriority w:val="0"/>
    <w:qFormat/>
    <w:pPr>
      <w:numPr>
        <w:ilvl w:val="0"/>
        <w:numId w:val="1"/>
      </w:numPr>
      <w:spacing w:before="200" w:after="240" w:line="360" w:lineRule="auto"/>
      <w:outlineLvl w:val="0"/>
    </w:pPr>
    <w:rPr>
      <w:rFonts w:hint="eastAsia" w:ascii="宋体" w:hAnsi="宋体"/>
      <w:b/>
      <w:sz w:val="32"/>
      <w:szCs w:val="32"/>
    </w:rPr>
  </w:style>
  <w:style w:type="paragraph" w:styleId="1649" w:customStyle="1">
    <w:name w:val="标题2new"/>
    <w:basedOn w:val="974"/>
    <w:uiPriority w:val="0"/>
    <w:pPr>
      <w:numPr>
        <w:ilvl w:val="1"/>
        <w:numId w:val="1"/>
      </w:numPr>
      <w:spacing w:before="300" w:after="120" w:line="360" w:lineRule="auto"/>
      <w:outlineLvl w:val="1"/>
    </w:pPr>
    <w:rPr>
      <w:rFonts w:hint="eastAsia" w:ascii="宋体" w:hAnsi="宋体"/>
      <w:b/>
      <w:sz w:val="30"/>
      <w:szCs w:val="30"/>
    </w:rPr>
  </w:style>
  <w:style w:type="paragraph" w:styleId="1650" w:customStyle="1">
    <w:name w:val="标4"/>
    <w:basedOn w:val="974"/>
    <w:uiPriority w:val="0"/>
    <w:qFormat/>
    <w:pPr>
      <w:numPr>
        <w:ilvl w:val="3"/>
        <w:numId w:val="1"/>
      </w:numPr>
      <w:spacing w:before="160" w:after="280" w:line="360" w:lineRule="auto"/>
      <w:outlineLvl w:val="3"/>
    </w:pPr>
    <w:rPr>
      <w:rFonts w:hint="eastAsia" w:ascii="宋体" w:hAnsi="宋体" w:eastAsia="SimSong"/>
      <w:b/>
      <w:bCs/>
      <w:sz w:val="28"/>
      <w:szCs w:val="28"/>
    </w:rPr>
  </w:style>
  <w:style w:type="paragraph" w:styleId="1651" w:customStyle="1">
    <w:name w:val="paragraph"/>
    <w:basedOn w:val="974"/>
    <w:uiPriority w:val="0"/>
    <w:semiHidden/>
    <w:qFormat/>
    <w:pPr>
      <w:jc w:val="left"/>
      <w:spacing w:before="100" w:beforeAutospacing="1" w:after="100" w:afterAutospacing="1"/>
      <w:widowControl/>
    </w:pPr>
    <w:rPr>
      <w:rFonts w:ascii="等线" w:hAnsi="等线" w:eastAsia="等线"/>
      <w:sz w:val="24"/>
      <w:szCs w:val="24"/>
    </w:rPr>
  </w:style>
  <w:style w:type="paragraph" w:styleId="1652" w:customStyle="1">
    <w:name w:val="修订2"/>
    <w:hidden/>
    <w:uiPriority w:val="99"/>
    <w:unhideWhenUsed/>
    <w:rPr>
      <w:rFonts w:ascii="Times New Roman" w:hAnsi="Times New Roman" w:eastAsia="宋体" w:cs="Times New Roman"/>
      <w:sz w:val="21"/>
      <w:lang w:val="en-US" w:eastAsia="zh-CN" w:bidi="ar-SA"/>
    </w:rPr>
  </w:style>
  <w:style w:type="paragraph" w:styleId="1653" w:customStyle="1">
    <w:name w:val="修订3"/>
    <w:hidden/>
    <w:uiPriority w:val="99"/>
    <w:unhideWhenUsed/>
    <w:rPr>
      <w:rFonts w:ascii="Times New Roman" w:hAnsi="Times New Roman" w:eastAsia="宋体" w:cs="Times New Roman"/>
      <w:sz w:val="21"/>
      <w:lang w:val="en-US" w:eastAsia="zh-CN" w:bidi="ar-SA"/>
    </w:rPr>
  </w:style>
  <w:style w:type="paragraph" w:styleId="1654" w:customStyle="1">
    <w:name w:val="修订4"/>
    <w:hidden/>
    <w:uiPriority w:val="99"/>
    <w:unhideWhenUsed/>
    <w:qFormat/>
    <w:rPr>
      <w:rFonts w:ascii="Times New Roman" w:hAnsi="Times New Roman" w:eastAsia="宋体" w:cs="Times New Roman"/>
      <w:sz w:val="21"/>
      <w:lang w:val="en-US" w:eastAsia="zh-CN" w:bidi="ar-SA"/>
    </w:rPr>
  </w:style>
  <w:style w:type="paragraph" w:styleId="1655" w:customStyle="1">
    <w:name w:val="无间隔2"/>
    <w:basedOn w:val="974"/>
    <w:uiPriority w:val="99"/>
    <w:qFormat/>
  </w:style>
  <w:style w:type="numbering" w:styleId="16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6E3AC0F-4113-4697-8F62-5031297884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user</dc:creator>
  <cp:lastModifiedBy>冯晔</cp:lastModifiedBy>
  <cp:revision>33</cp:revision>
  <dcterms:created xsi:type="dcterms:W3CDTF">2026-08-01T05:41:00Z</dcterms:created>
  <dcterms:modified xsi:type="dcterms:W3CDTF">2026-08-18T08:38:14Z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4CC84CACA34B444196528FC1B09A73DA_13</vt:lpwstr>
  </property>
  <property fmtid="{D5CDD505-2E9C-101B-9397-08002B2CF9AE}" pid="4" name="KSOTemplateDocerSaveRecord">
    <vt:lpwstr>eyJoZGlkIjoiYzk3Yzc4YzMwZTBlYzEzNmMwZDU4YWM5MjNiYTU1NjgiLCJ1c2VySWQiOiIxMzg4MDYzNTM4In0=</vt:lpwstr>
  </property>
</Properties>
</file>