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项目名称：2026年-2027年通启高速管理处、崇启大桥管理处物业服务采购项目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JSZC-320000-SCZX-G2026-0423</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lang w:val="zh-CN"/>
        </w:rPr>
      </w:pPr>
      <w:r>
        <w:rPr>
          <w:rFonts w:ascii="宋体" w:cs="宋体"/>
          <w:b/>
          <w:bCs/>
          <w:sz w:val="32"/>
          <w:szCs w:val="32"/>
          <w:lang w:val="zh-CN"/>
        </w:rPr>
        <w:t xml:space="preserve">202</w:t>
      </w:r>
      <w:r>
        <w:rPr>
          <w:rFonts w:hint="eastAsia" w:ascii="宋体" w:cs="宋体"/>
          <w:b/>
          <w:bCs/>
          <w:sz w:val="32"/>
          <w:szCs w:val="32"/>
          <w:lang w:val="zh-CN"/>
        </w:rPr>
        <w:t xml:space="preserve">6年9</w:t>
      </w:r>
      <w:r>
        <w:rPr>
          <w:rFonts w:ascii="宋体" w:cs="宋体"/>
          <w:b/>
          <w:bCs/>
          <w:sz w:val="32"/>
          <w:szCs w:val="32"/>
          <w:lang w:val="zh-CN"/>
        </w:rPr>
        <w:t xml:space="preserve">月</w:t>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61"/>
        <w:tabs>
          <w:tab w:val="right" w:pos="8296"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3383219" w:anchor="_Toc233383219" w:history="1">
        <w:r>
          <w:rPr>
            <w:rStyle w:val="886"/>
            <w:rFonts w:ascii="黑体" w:eastAsia="黑体"/>
            <w:bCs/>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_Toc233383219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61"/>
        <w:tabs>
          <w:tab w:val="right" w:pos="8296" w:leader="dot"/>
        </w:tabs>
        <w:rPr>
          <w:rFonts w:ascii="Arial" w:hAnsi="Arial" w:cs="Arial"/>
          <w:sz w:val="22"/>
          <w:szCs w:val="24"/>
        </w:rPr>
      </w:pPr>
      <w:r/>
      <w:hyperlink w:tooltip="#_Toc233383220" w:anchor="_Toc233383220" w:history="1">
        <w:r>
          <w:rPr>
            <w:rStyle w:val="886"/>
            <w:rFonts w:ascii="黑体" w:eastAsia="黑体"/>
            <w:bCs/>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_Toc233383220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2"/>
        <w:tabs>
          <w:tab w:val="right" w:pos="8296" w:leader="dot"/>
        </w:tabs>
        <w:rPr>
          <w:rFonts w:ascii="Arial" w:hAnsi="Arial" w:cs="Arial"/>
          <w:sz w:val="22"/>
          <w:szCs w:val="24"/>
        </w:rPr>
      </w:pPr>
      <w:r/>
      <w:hyperlink w:tooltip="#_Toc233383221" w:anchor="_Toc233383221" w:history="1">
        <w:r>
          <w:rPr>
            <w:rStyle w:val="886"/>
            <w:color w:val="auto"/>
          </w:rPr>
          <w:t xml:space="preserve">一、总则</w:t>
        </w:r>
        <w:r>
          <w:rPr>
            <w:rFonts w:hint="eastAsia"/>
          </w:rPr>
          <w:tab/>
        </w:r>
        <w:r>
          <w:rPr>
            <w:rFonts w:hint="eastAsia"/>
          </w:rPr>
          <w:fldChar w:fldCharType="begin"/>
        </w:r>
        <w:r>
          <w:rPr>
            <w:rFonts w:hint="eastAsia"/>
          </w:rPr>
          <w:instrText xml:space="preserve"> </w:instrText>
        </w:r>
        <w:r>
          <w:instrText xml:space="preserve">PAGEREF _Toc233383221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2"/>
        <w:tabs>
          <w:tab w:val="right" w:pos="8296" w:leader="dot"/>
        </w:tabs>
        <w:rPr>
          <w:rFonts w:ascii="Arial" w:hAnsi="Arial" w:cs="Arial"/>
          <w:sz w:val="22"/>
          <w:szCs w:val="24"/>
        </w:rPr>
      </w:pPr>
      <w:r/>
      <w:hyperlink w:tooltip="#_Toc233383222" w:anchor="_Toc233383222" w:history="1">
        <w:r>
          <w:rPr>
            <w:rStyle w:val="886"/>
            <w:color w:val="auto"/>
          </w:rPr>
          <w:t xml:space="preserve">二、招标文件</w:t>
        </w:r>
        <w:r>
          <w:rPr>
            <w:rFonts w:hint="eastAsia"/>
          </w:rPr>
          <w:tab/>
        </w:r>
        <w:r>
          <w:rPr>
            <w:rFonts w:hint="eastAsia"/>
          </w:rPr>
          <w:fldChar w:fldCharType="begin"/>
        </w:r>
        <w:r>
          <w:rPr>
            <w:rFonts w:hint="eastAsia"/>
          </w:rPr>
          <w:instrText xml:space="preserve"> </w:instrText>
        </w:r>
        <w:r>
          <w:instrText xml:space="preserve">PAGEREF _Toc233383222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2"/>
        <w:tabs>
          <w:tab w:val="right" w:pos="8296" w:leader="dot"/>
        </w:tabs>
        <w:rPr>
          <w:rFonts w:ascii="Arial" w:hAnsi="Arial" w:cs="Arial"/>
          <w:sz w:val="22"/>
          <w:szCs w:val="24"/>
        </w:rPr>
      </w:pPr>
      <w:r/>
      <w:hyperlink w:tooltip="#_Toc233383223" w:anchor="_Toc233383223" w:history="1">
        <w:r>
          <w:rPr>
            <w:rStyle w:val="886"/>
            <w:color w:val="auto"/>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_Toc233383223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52"/>
        <w:tabs>
          <w:tab w:val="right" w:pos="8296" w:leader="dot"/>
        </w:tabs>
        <w:rPr>
          <w:rFonts w:ascii="Arial" w:hAnsi="Arial" w:cs="Arial"/>
          <w:sz w:val="22"/>
          <w:szCs w:val="24"/>
        </w:rPr>
      </w:pPr>
      <w:r/>
      <w:hyperlink w:tooltip="#_Toc233383224" w:anchor="_Toc233383224" w:history="1">
        <w:r>
          <w:rPr>
            <w:rStyle w:val="886"/>
            <w:color w:val="auto"/>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_Toc233383224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52"/>
        <w:tabs>
          <w:tab w:val="right" w:pos="8296" w:leader="dot"/>
        </w:tabs>
        <w:rPr>
          <w:rFonts w:ascii="Arial" w:hAnsi="Arial" w:cs="Arial"/>
          <w:sz w:val="22"/>
          <w:szCs w:val="24"/>
        </w:rPr>
      </w:pPr>
      <w:r/>
      <w:hyperlink w:tooltip="#_Toc233383225" w:anchor="_Toc233383225" w:history="1">
        <w:r>
          <w:rPr>
            <w:rStyle w:val="886"/>
            <w:color w:val="auto"/>
          </w:rPr>
          <w:t xml:space="preserve">五、开标与评标</w:t>
        </w:r>
        <w:r>
          <w:rPr>
            <w:rFonts w:hint="eastAsia"/>
          </w:rPr>
          <w:tab/>
        </w:r>
        <w:r>
          <w:rPr>
            <w:rFonts w:hint="eastAsia"/>
          </w:rPr>
          <w:fldChar w:fldCharType="begin"/>
        </w:r>
        <w:r>
          <w:rPr>
            <w:rFonts w:hint="eastAsia"/>
          </w:rPr>
          <w:instrText xml:space="preserve"> </w:instrText>
        </w:r>
        <w:r>
          <w:instrText xml:space="preserve">PAGEREF _Toc233383225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52"/>
        <w:tabs>
          <w:tab w:val="right" w:pos="8296" w:leader="dot"/>
        </w:tabs>
        <w:rPr>
          <w:rFonts w:ascii="Arial" w:hAnsi="Arial" w:cs="Arial"/>
          <w:sz w:val="22"/>
          <w:szCs w:val="24"/>
        </w:rPr>
      </w:pPr>
      <w:r/>
      <w:hyperlink w:tooltip="#_Toc233383226" w:anchor="_Toc233383226" w:history="1">
        <w:r>
          <w:rPr>
            <w:rStyle w:val="886"/>
            <w:color w:val="auto"/>
          </w:rPr>
          <w:t xml:space="preserve">六、定标</w:t>
        </w:r>
        <w:r>
          <w:rPr>
            <w:rFonts w:hint="eastAsia"/>
          </w:rPr>
          <w:tab/>
        </w:r>
        <w:r>
          <w:rPr>
            <w:rFonts w:hint="eastAsia"/>
          </w:rPr>
          <w:fldChar w:fldCharType="begin"/>
        </w:r>
        <w:r>
          <w:rPr>
            <w:rFonts w:hint="eastAsia"/>
          </w:rPr>
          <w:instrText xml:space="preserve"> </w:instrText>
        </w:r>
        <w:r>
          <w:instrText xml:space="preserve">PAGEREF _Toc233383226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52"/>
        <w:tabs>
          <w:tab w:val="right" w:pos="8296" w:leader="dot"/>
        </w:tabs>
        <w:rPr>
          <w:rFonts w:ascii="Arial" w:hAnsi="Arial" w:cs="Arial"/>
          <w:sz w:val="22"/>
          <w:szCs w:val="24"/>
        </w:rPr>
      </w:pPr>
      <w:r/>
      <w:hyperlink w:tooltip="#_Toc233383227" w:anchor="_Toc233383227" w:history="1">
        <w:r>
          <w:rPr>
            <w:rStyle w:val="886"/>
            <w:color w:val="auto"/>
          </w:rPr>
          <w:t xml:space="preserve">七、授予合同</w:t>
        </w:r>
        <w:r>
          <w:rPr>
            <w:rFonts w:hint="eastAsia"/>
          </w:rPr>
          <w:tab/>
        </w:r>
        <w:r>
          <w:rPr>
            <w:rFonts w:hint="eastAsia"/>
          </w:rPr>
          <w:fldChar w:fldCharType="begin"/>
        </w:r>
        <w:r>
          <w:rPr>
            <w:rFonts w:hint="eastAsia"/>
          </w:rPr>
          <w:instrText xml:space="preserve"> </w:instrText>
        </w:r>
        <w:r>
          <w:instrText xml:space="preserve">PAGEREF _Toc233383227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61"/>
        <w:tabs>
          <w:tab w:val="right" w:pos="8296" w:leader="dot"/>
        </w:tabs>
        <w:rPr>
          <w:rFonts w:ascii="Arial" w:hAnsi="Arial" w:cs="Arial"/>
          <w:sz w:val="22"/>
          <w:szCs w:val="24"/>
        </w:rPr>
      </w:pPr>
      <w:r/>
      <w:hyperlink w:tooltip="#_Toc233383228" w:anchor="_Toc233383228" w:history="1">
        <w:r>
          <w:rPr>
            <w:rStyle w:val="886"/>
            <w:rFonts w:ascii="黑体" w:eastAsia="黑体"/>
            <w:bCs/>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_Toc233383228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61"/>
        <w:tabs>
          <w:tab w:val="right" w:pos="8296" w:leader="dot"/>
        </w:tabs>
        <w:rPr>
          <w:rFonts w:ascii="Arial" w:hAnsi="Arial" w:cs="Arial"/>
          <w:sz w:val="22"/>
          <w:szCs w:val="24"/>
        </w:rPr>
      </w:pPr>
      <w:r/>
      <w:hyperlink w:tooltip="#_Toc233383229" w:anchor="_Toc233383229" w:history="1">
        <w:r>
          <w:rPr>
            <w:rStyle w:val="886"/>
            <w:rFonts w:ascii="黑体" w:eastAsia="黑体"/>
            <w:bCs/>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_Toc233383229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861"/>
        <w:tabs>
          <w:tab w:val="right" w:pos="8296" w:leader="dot"/>
        </w:tabs>
        <w:rPr>
          <w:rFonts w:ascii="Arial" w:hAnsi="Arial" w:cs="Arial"/>
          <w:sz w:val="22"/>
          <w:szCs w:val="24"/>
        </w:rPr>
      </w:pPr>
      <w:r/>
      <w:hyperlink w:tooltip="#_Toc233383230" w:anchor="_Toc233383230" w:history="1">
        <w:r>
          <w:rPr>
            <w:rStyle w:val="886"/>
            <w:rFonts w:ascii="黑体" w:eastAsia="黑体"/>
            <w:bCs/>
            <w:color w:val="auto"/>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_Toc233383230 \h</w:instrText>
        </w:r>
        <w:r>
          <w:rPr>
            <w:rFonts w:hint="eastAsia"/>
          </w:rPr>
          <w:instrText xml:space="preserve"> </w:instrText>
        </w:r>
        <w:r>
          <w:rPr>
            <w:rFonts w:hint="eastAsia"/>
          </w:rPr>
        </w:r>
        <w:r>
          <w:rPr>
            <w:rFonts w:hint="eastAsia"/>
          </w:rPr>
          <w:fldChar w:fldCharType="separate"/>
        </w:r>
        <w:r>
          <w:t xml:space="preserve">72</w:t>
        </w:r>
        <w:r>
          <w:rPr>
            <w:rFonts w:hint="eastAsia"/>
          </w:rPr>
          <w:fldChar w:fldCharType="end"/>
        </w:r>
      </w:hyperlink>
      <w:r/>
      <w:r/>
    </w:p>
    <w:p>
      <w:pPr>
        <w:pStyle w:val="861"/>
        <w:tabs>
          <w:tab w:val="right" w:pos="8296" w:leader="dot"/>
        </w:tabs>
        <w:rPr>
          <w:rFonts w:ascii="Arial" w:hAnsi="Arial" w:cs="Arial"/>
          <w:sz w:val="22"/>
          <w:szCs w:val="24"/>
        </w:rPr>
      </w:pPr>
      <w:r/>
      <w:hyperlink w:tooltip="#_Toc233383231" w:anchor="_Toc233383231" w:history="1">
        <w:r>
          <w:rPr>
            <w:rStyle w:val="886"/>
            <w:rFonts w:ascii="黑体" w:eastAsia="黑体"/>
            <w:bCs/>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_Toc233383231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lang w:val="zh-CN"/>
        </w:rPr>
      </w:pPr>
      <w:r>
        <w:rPr>
          <w:rFonts w:ascii="宋体" w:cs="宋体"/>
          <w:szCs w:val="21"/>
          <w:lang w:val="zh-CN"/>
        </w:rPr>
      </w:r>
      <w:r>
        <w:rPr>
          <w:rFonts w:ascii="宋体" w:cs="宋体"/>
          <w:szCs w:val="21"/>
          <w:lang w:val="zh-CN"/>
        </w:rPr>
      </w:r>
      <w:r/>
    </w:p>
    <w:p>
      <w:pPr>
        <w:rPr>
          <w:rFonts w:ascii="宋体" w:cs="宋体"/>
          <w:lang w:val="zh-CN"/>
        </w:rPr>
      </w:pPr>
      <w:r>
        <w:rPr>
          <w:rFonts w:ascii="宋体" w:cs="宋体"/>
          <w:szCs w:val="21"/>
          <w:lang w:val="zh-CN"/>
        </w:rPr>
      </w:r>
      <w:r/>
    </w:p>
    <w:p>
      <w:pPr>
        <w:jc w:val="center"/>
        <w:keepNext/>
        <w:rPr>
          <w:rFonts w:ascii="黑体" w:eastAsia="黑体"/>
          <w:bCs/>
          <w:sz w:val="44"/>
          <w:szCs w:val="28"/>
        </w:rPr>
        <w:outlineLvl w:val="0"/>
      </w:pPr>
      <w:r/>
      <w:bookmarkStart w:id="0" w:name="_Toc233383219"/>
      <w:r>
        <w:rPr>
          <w:rFonts w:hint="eastAsia" w:ascii="黑体" w:eastAsia="黑体"/>
          <w:bCs/>
          <w:sz w:val="44"/>
          <w:szCs w:val="28"/>
        </w:rPr>
        <w:t xml:space="preserve">第一章  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受江苏省高速公路经营管理中心的委托，江苏省政府采购中心就2026年-2027年通启高速管理处、崇启大桥管理处物业服务采购项目（</w:t>
      </w:r>
      <w:r>
        <w:rPr>
          <w:rFonts w:ascii="宋体" w:cs="宋体"/>
          <w:sz w:val="24"/>
          <w:szCs w:val="24"/>
          <w:lang w:val="zh-CN"/>
        </w:rPr>
        <w:t xml:space="preserve">JSZC-320000-SCZX-G2026-0423</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rPr>
          <w:rFonts w:ascii="宋体" w:cs="宋体"/>
          <w:sz w:val="24"/>
          <w:szCs w:val="24"/>
          <w:lang w:val="zh-CN"/>
        </w:rPr>
      </w:pPr>
      <w:r>
        <w:rPr>
          <w:rFonts w:hint="eastAsia" w:ascii="宋体" w:cs="宋体"/>
          <w:sz w:val="24"/>
          <w:szCs w:val="24"/>
          <w:lang w:val="zh-CN"/>
        </w:rPr>
        <w:t xml:space="preserve">2026年-2027年通启高速管理处、崇启大桥管理处物业服务采购项目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6年10</w:t>
      </w:r>
      <w:r>
        <w:rPr>
          <w:rFonts w:hint="eastAsia" w:ascii="宋体" w:cs="宋体"/>
          <w:sz w:val="24"/>
          <w:szCs w:val="24"/>
          <w:u w:val="single"/>
          <w:lang w:val="zh-CN"/>
        </w:rPr>
        <w:t xml:space="preserve">月15日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JSZC-320000-SCZX-G2026-0423</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项目名称：2026年-2027年通启高速管理处、崇启大桥管理处物业服务采购项目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ascii="宋体" w:hAnsi="宋体"/>
          <w:sz w:val="24"/>
          <w:szCs w:val="24"/>
        </w:rPr>
        <w:t xml:space="preserve"> 采购包1</w:t>
      </w:r>
      <w:r>
        <w:rPr>
          <w:rFonts w:hint="eastAsia" w:ascii="宋体" w:hAnsi="宋体"/>
          <w:sz w:val="24"/>
          <w:szCs w:val="24"/>
        </w:rPr>
        <w:t xml:space="preserve">： </w:t>
      </w:r>
      <w:r>
        <w:rPr>
          <w:rFonts w:ascii="宋体" w:hAnsi="宋体"/>
          <w:sz w:val="24"/>
          <w:szCs w:val="24"/>
        </w:rPr>
        <w:t xml:space="preserve">225 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w:t>
      </w:r>
      <w:r>
        <w:rPr>
          <w:rFonts w:ascii="宋体" w:hAnsi="宋体"/>
          <w:sz w:val="24"/>
          <w:szCs w:val="24"/>
        </w:rPr>
        <w:t xml:space="preserve">98.8 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ascii="宋体" w:hAnsi="宋体"/>
          <w:sz w:val="24"/>
          <w:szCs w:val="24"/>
        </w:rPr>
        <w:t xml:space="preserve">采购包1</w:t>
      </w:r>
      <w:r>
        <w:rPr>
          <w:rFonts w:hint="eastAsia" w:ascii="宋体" w:hAnsi="宋体"/>
          <w:sz w:val="24"/>
          <w:szCs w:val="24"/>
        </w:rPr>
        <w:t xml:space="preserve"> ：221.41</w:t>
      </w:r>
      <w:r>
        <w:rPr>
          <w:rFonts w:ascii="宋体" w:hAnsi="宋体"/>
          <w:sz w:val="24"/>
          <w:szCs w:val="24"/>
        </w:rPr>
        <w:t xml:space="preserve"> 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2：87.56</w:t>
      </w:r>
      <w:r>
        <w:rPr>
          <w:rFonts w:ascii="宋体" w:hAnsi="宋体"/>
          <w:sz w:val="24"/>
          <w:szCs w:val="24"/>
        </w:rPr>
        <w:t xml:space="preserve"> 万元</w:t>
      </w:r>
      <w:r>
        <w:rPr>
          <w:rFonts w:hint="eastAsia"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w:t>
      </w:r>
      <w:r/>
    </w:p>
    <w:p>
      <w:pPr>
        <w:ind w:firstLine="480"/>
        <w:spacing w:line="400" w:lineRule="atLeast"/>
        <w:rPr>
          <w:rFonts w:ascii="宋体" w:cs="宋体"/>
          <w:sz w:val="24"/>
          <w:szCs w:val="24"/>
          <w:lang w:val="zh-CN"/>
        </w:rPr>
      </w:pPr>
      <w:r>
        <w:rPr>
          <w:rFonts w:hint="eastAsia" w:ascii="宋体" w:cs="宋体"/>
          <w:sz w:val="24"/>
          <w:szCs w:val="24"/>
        </w:rPr>
        <w:t xml:space="preserve">采购包1是2026年-2027年通启高速管理处物业服务采购，物业服务范围主要包括通启高速管理处机关（含调度中心、小海收费站）、陈桥收费站、南通北收费站、兴仁收费站、先锋收费站、叠石桥收费站、海门收费站、悦来收费站、大生收费站、排障大队；采购包2是2026-2027年崇启大桥管理处物业服务采购，物业服务范围主要包括崇启大桥管理处机关及启东南收费站、启东北收费站。</w:t>
      </w:r>
      <w:r>
        <w:rPr>
          <w:rFonts w:hint="eastAsia" w:ascii="宋体" w:hAnsi="宋体"/>
          <w:sz w:val="24"/>
          <w:szCs w:val="24"/>
        </w:rPr>
        <w:t xml:space="preserve">（详见采购文件第四章）</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合同履行期限：采购包1</w:t>
      </w:r>
      <w:r>
        <w:rPr>
          <w:rFonts w:ascii="宋体" w:hAnsi="宋体"/>
          <w:sz w:val="24"/>
          <w:szCs w:val="24"/>
        </w:rPr>
        <w:t xml:space="preserve">合同实施期限为</w:t>
      </w:r>
      <w:r>
        <w:rPr>
          <w:rFonts w:ascii="宋体" w:hAnsi="宋体" w:cs="宋体"/>
          <w:sz w:val="24"/>
          <w:szCs w:val="24"/>
        </w:rPr>
        <w:t xml:space="preserve">2027年1月1日至2027年12月31日</w:t>
      </w:r>
      <w:r>
        <w:rPr>
          <w:rFonts w:hint="eastAsia" w:ascii="宋体" w:hAnsi="宋体"/>
          <w:sz w:val="24"/>
          <w:szCs w:val="24"/>
        </w:rPr>
        <w:t xml:space="preserve">。</w:t>
      </w:r>
      <w:r>
        <w:rPr>
          <w:rFonts w:hint="eastAsia" w:ascii="宋体" w:cs="宋体"/>
          <w:sz w:val="24"/>
          <w:szCs w:val="24"/>
          <w:lang w:val="zh-CN"/>
        </w:rPr>
        <w:t xml:space="preserve">采购包2</w:t>
      </w:r>
      <w:r>
        <w:rPr>
          <w:rFonts w:ascii="宋体" w:hAnsi="宋体"/>
          <w:sz w:val="24"/>
          <w:szCs w:val="24"/>
        </w:rPr>
        <w:t xml:space="preserve">合同实施期限为2026年11月1日至2027年10月31日</w:t>
      </w:r>
      <w:r>
        <w:rPr>
          <w:rFonts w:hint="eastAsia" w:ascii="宋体" w:hAnsi="宋体"/>
          <w:sz w:val="24"/>
          <w:szCs w:val="24"/>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无</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6年10月15</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98"/>
        <w:keepLines/>
        <w:keepNext/>
        <w:spacing w:before="145" w:after="145" w:line="400" w:lineRule="atLeast"/>
        <w:rPr>
          <w:rFonts w:ascii="宋体" w:cs="宋体"/>
          <w:sz w:val="24"/>
          <w:szCs w:val="24"/>
          <w:lang w:val="zh-CN"/>
        </w:rPr>
      </w:pPr>
      <w:r>
        <w:rPr>
          <w:rFonts w:hint="eastAsia" w:ascii="宋体" w:cs="宋体"/>
          <w:sz w:val="24"/>
          <w:szCs w:val="24"/>
        </w:rPr>
        <w:t xml:space="preserve">无</w:t>
      </w:r>
      <w:r>
        <w:rPr>
          <w:rFonts w:hint="eastAsia" w:ascii="宋体" w:cs="宋体"/>
          <w:sz w:val="24"/>
          <w:szCs w:val="24"/>
          <w:lang w:val="zh-CN"/>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江苏省高速公路经营管理中心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南京市鼓楼区江苏路60-1号</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w:t>
      </w:r>
      <w:r>
        <w:rPr>
          <w:rFonts w:ascii="宋体" w:cs="宋体"/>
          <w:sz w:val="24"/>
          <w:szCs w:val="24"/>
          <w:u w:val="single"/>
          <w:lang w:val="zh-CN"/>
        </w:rPr>
        <w:t xml:space="preserve">范慧琳</w:t>
      </w:r>
      <w:r>
        <w:rPr>
          <w:rFonts w:hint="eastAsia" w:ascii="宋体" w:cs="宋体"/>
          <w:sz w:val="24"/>
          <w:szCs w:val="24"/>
          <w:u w:val="single"/>
          <w:lang w:val="zh-CN"/>
        </w:rPr>
        <w:t xml:space="preserve"> </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rPr>
      </w:pPr>
      <w:r>
        <w:rPr>
          <w:rFonts w:hint="eastAsia" w:ascii="宋体" w:cs="宋体"/>
          <w:sz w:val="24"/>
          <w:szCs w:val="24"/>
          <w:lang w:val="zh-CN"/>
        </w:rPr>
        <w:t xml:space="preserve">联系方式： </w:t>
      </w:r>
      <w:r>
        <w:rPr>
          <w:rFonts w:hint="eastAsia" w:ascii="宋体" w:cs="宋体"/>
          <w:sz w:val="24"/>
          <w:szCs w:val="24"/>
        </w:rPr>
        <w:t xml:space="preserve">13912298623</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4"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5"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1" w:name="_Toc233383220"/>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1"/>
      <w:r/>
      <w:r/>
    </w:p>
    <w:p>
      <w:pPr>
        <w:pStyle w:val="1070"/>
        <w:ind w:firstLine="498"/>
        <w:spacing w:before="120" w:after="120" w:line="400" w:lineRule="exact"/>
      </w:pPr>
      <w:r/>
      <w:bookmarkStart w:id="2" w:name="_Toc120614214"/>
      <w:r/>
      <w:bookmarkStart w:id="3" w:name="_Toc16938519"/>
      <w:r/>
      <w:bookmarkStart w:id="4" w:name="_Toc233383221"/>
      <w:r/>
      <w:bookmarkStart w:id="5" w:name="_Toc513029203"/>
      <w:r/>
      <w:bookmarkStart w:id="6" w:name="_Toc20823275"/>
      <w:r>
        <w:rPr>
          <w:rFonts w:hint="eastAsia"/>
        </w:rPr>
        <w:t xml:space="preserve">一、总则</w:t>
      </w:r>
      <w:bookmarkEnd w:id="2"/>
      <w:r/>
      <w:bookmarkEnd w:id="3"/>
      <w:r/>
      <w:bookmarkEnd w:id="4"/>
      <w:r/>
      <w:bookmarkEnd w:id="5"/>
      <w:r/>
      <w:bookmarkEnd w:id="6"/>
      <w:r/>
      <w:r/>
    </w:p>
    <w:p>
      <w:pPr>
        <w:pStyle w:val="1074"/>
        <w:ind w:firstLine="420"/>
        <w:spacing w:before="0" w:after="0" w:line="400" w:lineRule="exact"/>
        <w:rPr>
          <w:b w:val="0"/>
          <w:bCs w:val="0"/>
        </w:rPr>
      </w:pPr>
      <w:r/>
      <w:bookmarkStart w:id="7" w:name="_Hlt16619475"/>
      <w:r/>
      <w:bookmarkStart w:id="8" w:name="_Toc458694821"/>
      <w:r/>
      <w:bookmarkStart w:id="9" w:name="_Toc16938520"/>
      <w:r/>
      <w:bookmarkStart w:id="10" w:name="_Toc513029204"/>
      <w:r/>
      <w:bookmarkStart w:id="11" w:name="_Toc20823276"/>
      <w:r/>
      <w:bookmarkEnd w:id="7"/>
      <w:r>
        <w:rPr>
          <w:rFonts w:hint="eastAsia"/>
          <w:b w:val="0"/>
          <w:bCs w:val="0"/>
        </w:rPr>
        <w:t xml:space="preserve">1</w:t>
      </w:r>
      <w:bookmarkEnd w:id="8"/>
      <w:r>
        <w:rPr>
          <w:rFonts w:hint="eastAsia"/>
          <w:b w:val="0"/>
          <w:bCs w:val="0"/>
        </w:rPr>
        <w:t xml:space="preserve">、招标方式</w:t>
      </w:r>
      <w:bookmarkEnd w:id="9"/>
      <w:r/>
      <w:bookmarkEnd w:id="10"/>
      <w:r/>
      <w:bookmarkEnd w:id="11"/>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74"/>
        <w:ind w:firstLine="420"/>
        <w:spacing w:before="0" w:after="0" w:line="400" w:lineRule="exact"/>
        <w:rPr>
          <w:b w:val="0"/>
          <w:bCs w:val="0"/>
        </w:rPr>
      </w:pPr>
      <w:r/>
      <w:bookmarkStart w:id="12" w:name="_Toc16938521"/>
      <w:r/>
      <w:bookmarkStart w:id="13" w:name="_Toc513029205"/>
      <w:r/>
      <w:bookmarkStart w:id="14" w:name="_Toc20823277"/>
      <w:r>
        <w:rPr>
          <w:rFonts w:hint="eastAsia"/>
          <w:b w:val="0"/>
          <w:bCs w:val="0"/>
        </w:rPr>
        <w:t xml:space="preserve">2</w:t>
      </w:r>
      <w:r>
        <w:rPr>
          <w:rFonts w:hint="eastAsia"/>
          <w:b w:val="0"/>
          <w:bCs w:val="0"/>
        </w:rPr>
        <w:t xml:space="preserve">、合格的投标人</w:t>
      </w:r>
      <w:bookmarkEnd w:id="12"/>
      <w:r/>
      <w:bookmarkEnd w:id="13"/>
      <w:r/>
      <w:bookmarkEnd w:id="14"/>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15" w:name="_Toc513029206"/>
      <w:r/>
      <w:bookmarkStart w:id="16" w:name="_Toc16938522"/>
      <w:r/>
      <w:bookmarkStart w:id="17" w:name="_Toc20823278"/>
      <w:r>
        <w:rPr>
          <w:rFonts w:hint="eastAsia" w:ascii="宋体" w:hAnsi="宋体"/>
          <w:bCs/>
          <w:sz w:val="24"/>
        </w:rPr>
        <w:t xml:space="preserve">3、适用法律</w:t>
      </w:r>
      <w:bookmarkEnd w:id="15"/>
      <w:r/>
      <w:bookmarkEnd w:id="16"/>
      <w:r/>
      <w:bookmarkEnd w:id="17"/>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18" w:name="_Toc20823279"/>
      <w:r/>
      <w:bookmarkStart w:id="19" w:name="_Toc513029207"/>
      <w:r/>
      <w:bookmarkStart w:id="20" w:name="_Toc16938523"/>
      <w:r/>
      <w:bookmarkStart w:id="21" w:name="_Toc462564067"/>
      <w:r>
        <w:rPr>
          <w:rFonts w:hint="eastAsia" w:ascii="宋体" w:hAnsi="宋体"/>
          <w:bCs/>
          <w:sz w:val="24"/>
        </w:rPr>
        <w:t xml:space="preserve">3.2 在本项目政府采购活动过程中，如果所执行的标准有更新的，按照最新标准执行。</w:t>
      </w:r>
      <w:r/>
    </w:p>
    <w:p>
      <w:pPr>
        <w:pStyle w:val="1074"/>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8"/>
      <w:r/>
      <w:bookmarkEnd w:id="19"/>
      <w:r/>
      <w:bookmarkEnd w:id="20"/>
      <w:r/>
      <w:bookmarkEnd w:id="21"/>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74"/>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70"/>
        <w:ind w:firstLine="321"/>
        <w:spacing w:before="120" w:after="120" w:line="400" w:lineRule="exact"/>
      </w:pPr>
      <w:r/>
      <w:bookmarkStart w:id="22" w:name="_Toc513029209"/>
      <w:r/>
      <w:bookmarkStart w:id="23" w:name="_Toc20823281"/>
      <w:r/>
      <w:bookmarkStart w:id="24" w:name="_Toc120614215"/>
      <w:r/>
      <w:bookmarkStart w:id="25" w:name="_Toc16938525"/>
      <w:r/>
      <w:bookmarkStart w:id="26" w:name="_Toc233383222"/>
      <w:r>
        <w:rPr>
          <w:rFonts w:hint="eastAsia"/>
        </w:rPr>
        <w:t xml:space="preserve">二、招标文件</w:t>
      </w:r>
      <w:bookmarkEnd w:id="22"/>
      <w:r/>
      <w:bookmarkEnd w:id="23"/>
      <w:r/>
      <w:bookmarkEnd w:id="24"/>
      <w:r/>
      <w:bookmarkEnd w:id="25"/>
      <w:r/>
      <w:bookmarkEnd w:id="26"/>
      <w:r/>
      <w:r/>
    </w:p>
    <w:p>
      <w:pPr>
        <w:pStyle w:val="1074"/>
        <w:ind w:firstLine="420"/>
        <w:spacing w:before="0" w:after="0" w:line="400" w:lineRule="exact"/>
        <w:rPr>
          <w:b w:val="0"/>
          <w:bCs w:val="0"/>
        </w:rPr>
      </w:pPr>
      <w:r/>
      <w:bookmarkStart w:id="27" w:name="_Toc20823282"/>
      <w:r/>
      <w:bookmarkStart w:id="28" w:name="_Toc16938526"/>
      <w:r/>
      <w:bookmarkStart w:id="29" w:name="_Toc513029210"/>
      <w:r>
        <w:rPr>
          <w:rFonts w:hint="eastAsia"/>
          <w:b w:val="0"/>
          <w:bCs w:val="0"/>
        </w:rPr>
        <w:t xml:space="preserve">6</w:t>
      </w:r>
      <w:r>
        <w:rPr>
          <w:rFonts w:hint="eastAsia"/>
          <w:b w:val="0"/>
          <w:bCs w:val="0"/>
        </w:rPr>
        <w:t xml:space="preserve">、招标文件构成</w:t>
      </w:r>
      <w:bookmarkEnd w:id="27"/>
      <w:r/>
      <w:bookmarkEnd w:id="28"/>
      <w:r/>
      <w:bookmarkEnd w:id="29"/>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4"/>
        <w:ind w:firstLine="560"/>
        <w:spacing w:before="0" w:after="0" w:line="400" w:lineRule="exact"/>
        <w:rPr>
          <w:b w:val="0"/>
          <w:bCs w:val="0"/>
        </w:rPr>
      </w:pPr>
      <w:r/>
      <w:bookmarkStart w:id="30" w:name="_Toc513029212"/>
      <w:r/>
      <w:bookmarkStart w:id="31" w:name="_Toc20823284"/>
      <w:r/>
      <w:bookmarkStart w:id="32" w:name="_Toc462564071"/>
      <w:r/>
      <w:bookmarkStart w:id="33" w:name="_Toc16938528"/>
      <w:r>
        <w:rPr>
          <w:b w:val="0"/>
          <w:bCs w:val="0"/>
        </w:rPr>
        <w:t xml:space="preserve">7</w:t>
      </w:r>
      <w:r>
        <w:rPr>
          <w:rFonts w:hint="eastAsia"/>
          <w:b w:val="0"/>
          <w:bCs w:val="0"/>
        </w:rPr>
        <w:t xml:space="preserve">、招标文件的修改</w:t>
      </w:r>
      <w:bookmarkEnd w:id="30"/>
      <w:r/>
      <w:bookmarkEnd w:id="31"/>
      <w:r/>
      <w:bookmarkEnd w:id="32"/>
      <w:r/>
      <w:bookmarkEnd w:id="33"/>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70"/>
        <w:ind w:firstLine="482"/>
        <w:spacing w:before="120" w:after="120" w:line="400" w:lineRule="exact"/>
      </w:pPr>
      <w:r/>
      <w:bookmarkStart w:id="34" w:name="_Toc16938529"/>
      <w:r/>
      <w:bookmarkStart w:id="35" w:name="_Toc513029213"/>
      <w:r/>
      <w:bookmarkStart w:id="36" w:name="_Toc120614216"/>
      <w:r/>
      <w:bookmarkStart w:id="37" w:name="_Toc233383223"/>
      <w:r/>
      <w:bookmarkStart w:id="38" w:name="_Toc462564072"/>
      <w:r/>
      <w:bookmarkStart w:id="39" w:name="_Toc20823285"/>
      <w:r>
        <w:rPr>
          <w:rFonts w:hint="eastAsia"/>
        </w:rPr>
        <w:t xml:space="preserve">三、投标文件的编制</w:t>
      </w:r>
      <w:bookmarkEnd w:id="34"/>
      <w:r/>
      <w:bookmarkEnd w:id="35"/>
      <w:r/>
      <w:bookmarkEnd w:id="36"/>
      <w:r/>
      <w:bookmarkEnd w:id="37"/>
      <w:r/>
      <w:bookmarkEnd w:id="38"/>
      <w:r/>
      <w:bookmarkEnd w:id="39"/>
      <w:r/>
      <w:r/>
    </w:p>
    <w:p>
      <w:pPr>
        <w:pStyle w:val="1074"/>
        <w:ind w:firstLine="560"/>
        <w:spacing w:before="0" w:after="0" w:line="400" w:lineRule="exact"/>
        <w:rPr>
          <w:bCs w:val="0"/>
        </w:rPr>
      </w:pPr>
      <w:r/>
      <w:bookmarkStart w:id="40" w:name="_Toc20823286"/>
      <w:r/>
      <w:bookmarkStart w:id="41" w:name="_Toc16938530"/>
      <w:r/>
      <w:bookmarkStart w:id="42" w:name="_Toc513029214"/>
      <w:r/>
      <w:bookmarkStart w:id="43" w:name="_Toc462564073"/>
      <w:r>
        <w:rPr>
          <w:b w:val="0"/>
          <w:bCs w:val="0"/>
        </w:rPr>
        <w:t xml:space="preserve">8</w:t>
      </w:r>
      <w:r>
        <w:rPr>
          <w:rFonts w:hint="eastAsia"/>
          <w:b w:val="0"/>
          <w:bCs w:val="0"/>
        </w:rPr>
        <w:t xml:space="preserve">、投标文件的语言及度量衡单位</w:t>
      </w:r>
      <w:bookmarkEnd w:id="40"/>
      <w:r/>
      <w:bookmarkEnd w:id="41"/>
      <w:r/>
      <w:bookmarkEnd w:id="42"/>
      <w:r/>
      <w:bookmarkEnd w:id="4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74"/>
        <w:ind w:firstLine="420"/>
        <w:spacing w:before="0" w:after="0" w:line="400" w:lineRule="exact"/>
        <w:rPr>
          <w:b w:val="0"/>
          <w:bCs w:val="0"/>
        </w:rPr>
      </w:pPr>
      <w:r/>
      <w:bookmarkStart w:id="44" w:name="_Toc20823287"/>
      <w:r/>
      <w:bookmarkStart w:id="45" w:name="_Toc16938531"/>
      <w:r/>
      <w:bookmarkStart w:id="46" w:name="_Toc513029215"/>
      <w:r/>
      <w:bookmarkStart w:id="47" w:name="_Toc462564074"/>
      <w:r>
        <w:rPr>
          <w:b w:val="0"/>
          <w:bCs w:val="0"/>
        </w:rPr>
        <w:t xml:space="preserve">9</w:t>
      </w:r>
      <w:r>
        <w:rPr>
          <w:rFonts w:hint="eastAsia"/>
          <w:b w:val="0"/>
          <w:bCs w:val="0"/>
        </w:rPr>
        <w:t xml:space="preserve">、投标文件构成</w:t>
      </w:r>
      <w:bookmarkEnd w:id="44"/>
      <w:r/>
      <w:bookmarkEnd w:id="45"/>
      <w:r/>
      <w:bookmarkEnd w:id="46"/>
      <w:r/>
      <w:bookmarkEnd w:id="4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74"/>
        <w:ind w:firstLine="420"/>
        <w:spacing w:before="0" w:after="0" w:line="400" w:lineRule="exact"/>
        <w:rPr>
          <w:b w:val="0"/>
          <w:bCs w:val="0"/>
        </w:rPr>
      </w:pPr>
      <w:r/>
      <w:bookmarkStart w:id="48" w:name="_Hlt26670360"/>
      <w:r/>
      <w:bookmarkStart w:id="49" w:name="_Hlt26668975"/>
      <w:r/>
      <w:bookmarkStart w:id="50" w:name="_Hlt26954838"/>
      <w:r/>
      <w:bookmarkStart w:id="51" w:name="_Toc14577357"/>
      <w:r/>
      <w:bookmarkStart w:id="52" w:name="_Toc49090509"/>
      <w:r/>
      <w:bookmarkStart w:id="53" w:name="_Toc513029219"/>
      <w:r/>
      <w:bookmarkStart w:id="54" w:name="_Toc14577354"/>
      <w:r/>
      <w:bookmarkStart w:id="55" w:name="_Toc49090507"/>
      <w:r/>
      <w:bookmarkStart w:id="56" w:name="_Toc513029216"/>
      <w:r/>
      <w:bookmarkEnd w:id="48"/>
      <w:r/>
      <w:bookmarkEnd w:id="49"/>
      <w:r/>
      <w:bookmarkEnd w:id="5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1"/>
      <w:r/>
      <w:bookmarkEnd w:id="52"/>
      <w:r/>
      <w:bookmarkEnd w:id="53"/>
      <w:r/>
      <w:r/>
    </w:p>
    <w:p>
      <w:pPr>
        <w:spacing w:line="400" w:lineRule="exact"/>
        <w:rPr>
          <w:rFonts w:hint="eastAsia" w:ascii="宋体" w:hAnsi="宋体"/>
          <w:sz w:val="24"/>
          <w:szCs w:val="24"/>
        </w:rPr>
      </w:pPr>
      <w:r/>
      <w:bookmarkStart w:id="57" w:name="_Toc14577355"/>
      <w:r/>
      <w:bookmarkStart w:id="58" w:name="_Toc49090508"/>
      <w:r/>
      <w:bookmarkEnd w:id="54"/>
      <w:r/>
      <w:bookmarkEnd w:id="55"/>
      <w:r/>
      <w:bookmarkEnd w:id="5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74"/>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59" w:name="_Hlt26670373"/>
      <w:r/>
      <w:bookmarkEnd w:id="57"/>
      <w:r/>
      <w:bookmarkEnd w:id="59"/>
      <w:r>
        <w:rPr>
          <w:rFonts w:hint="eastAsia"/>
          <w:b w:val="0"/>
          <w:bCs w:val="0"/>
        </w:rPr>
        <w:t xml:space="preserve">表</w:t>
      </w:r>
      <w:bookmarkEnd w:id="5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0" w:name="_Hlt26954840"/>
      <w:r/>
      <w:bookmarkEnd w:id="60"/>
      <w:r>
        <w:rPr>
          <w:rFonts w:hint="eastAsia" w:ascii="宋体" w:hAnsi="宋体"/>
          <w:sz w:val="24"/>
        </w:rPr>
        <w:t xml:space="preserve">标人按照招标文件规定格式填报投标分项报价表</w:t>
      </w:r>
      <w:bookmarkStart w:id="61" w:name="_Hlt26670399"/>
      <w:r/>
      <w:bookmarkEnd w:id="6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74"/>
        <w:ind w:firstLine="420"/>
        <w:spacing w:before="0" w:after="0" w:line="400" w:lineRule="exact"/>
        <w:rPr>
          <w:b w:val="0"/>
          <w:bCs w:val="0"/>
        </w:rPr>
      </w:pPr>
      <w:r/>
      <w:bookmarkStart w:id="62" w:name="_Hlt26954846"/>
      <w:r/>
      <w:bookmarkStart w:id="63" w:name="_Hlt26670482"/>
      <w:r/>
      <w:bookmarkStart w:id="64" w:name="_Hlt26670425"/>
      <w:r/>
      <w:bookmarkStart w:id="65" w:name="_Hlt26954844"/>
      <w:r/>
      <w:bookmarkStart w:id="66" w:name="_Hlt26670486"/>
      <w:r/>
      <w:bookmarkStart w:id="67" w:name="_Hlt26954842"/>
      <w:r/>
      <w:bookmarkStart w:id="68" w:name="_Hlt26954848"/>
      <w:r/>
      <w:bookmarkStart w:id="69" w:name="_Hlt26670403"/>
      <w:r/>
      <w:bookmarkStart w:id="70" w:name="_Hlt26668983"/>
      <w:r/>
      <w:bookmarkStart w:id="71" w:name="_Hlt26954731"/>
      <w:r/>
      <w:bookmarkEnd w:id="62"/>
      <w:r/>
      <w:bookmarkEnd w:id="63"/>
      <w:r/>
      <w:bookmarkEnd w:id="64"/>
      <w:r/>
      <w:bookmarkEnd w:id="65"/>
      <w:r/>
      <w:bookmarkEnd w:id="66"/>
      <w:r/>
      <w:bookmarkEnd w:id="67"/>
      <w:r/>
      <w:bookmarkEnd w:id="68"/>
      <w:r/>
      <w:bookmarkEnd w:id="69"/>
      <w:r/>
      <w:bookmarkEnd w:id="70"/>
      <w:r/>
      <w:bookmarkEnd w:id="7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72" w:name="_Toc49090510"/>
      <w:r/>
      <w:bookmarkStart w:id="73"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74"/>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74"/>
        <w:ind w:firstLine="420"/>
        <w:spacing w:before="0" w:after="0" w:line="400" w:lineRule="exact"/>
        <w:rPr>
          <w:b w:val="0"/>
          <w:bCs w:val="0"/>
        </w:rPr>
      </w:pPr>
      <w:r/>
      <w:bookmarkStart w:id="74" w:name="_Hlt26670489"/>
      <w:r/>
      <w:bookmarkStart w:id="75" w:name="_Hlt26954734"/>
      <w:r/>
      <w:bookmarkStart w:id="76" w:name="_Hlt26954850"/>
      <w:r/>
      <w:bookmarkStart w:id="77" w:name="_Toc49090511"/>
      <w:r/>
      <w:bookmarkStart w:id="78" w:name="_Toc14577360"/>
      <w:r/>
      <w:bookmarkEnd w:id="72"/>
      <w:r/>
      <w:bookmarkEnd w:id="73"/>
      <w:r/>
      <w:bookmarkEnd w:id="74"/>
      <w:r/>
      <w:bookmarkEnd w:id="75"/>
      <w:r/>
      <w:bookmarkEnd w:id="76"/>
      <w:r>
        <w:rPr>
          <w:rFonts w:hint="eastAsia"/>
          <w:b w:val="0"/>
          <w:bCs w:val="0"/>
        </w:rPr>
        <w:t xml:space="preserve">1</w:t>
      </w:r>
      <w:r>
        <w:rPr>
          <w:b w:val="0"/>
          <w:bCs w:val="0"/>
        </w:rPr>
        <w:t xml:space="preserve">4</w:t>
      </w:r>
      <w:r>
        <w:rPr>
          <w:rFonts w:hint="eastAsia"/>
          <w:b w:val="0"/>
          <w:bCs w:val="0"/>
        </w:rPr>
        <w:t xml:space="preserve">、投标有效期</w:t>
      </w:r>
      <w:bookmarkEnd w:id="77"/>
      <w:r/>
      <w:bookmarkEnd w:id="7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w:t>
      </w:r>
      <w:r>
        <w:rPr>
          <w:rFonts w:hint="eastAsia" w:ascii="宋体" w:hAnsi="宋体"/>
          <w:bCs/>
          <w:sz w:val="24"/>
        </w:rPr>
        <w:t xml:space="preserve">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74"/>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70"/>
        <w:ind w:firstLine="482"/>
        <w:spacing w:before="120" w:after="120" w:line="400" w:lineRule="exact"/>
      </w:pPr>
      <w:r/>
      <w:bookmarkStart w:id="79" w:name="_Hlt26954852"/>
      <w:r/>
      <w:bookmarkStart w:id="80" w:name="_Hlt26954739"/>
      <w:r/>
      <w:bookmarkStart w:id="81" w:name="_Toc513029224"/>
      <w:r/>
      <w:bookmarkStart w:id="82" w:name="_Toc120614217"/>
      <w:r/>
      <w:bookmarkStart w:id="83" w:name="_Toc16938540"/>
      <w:r/>
      <w:bookmarkStart w:id="84" w:name="_Toc233383224"/>
      <w:r/>
      <w:bookmarkStart w:id="85" w:name="_Toc20823296"/>
      <w:r/>
      <w:bookmarkEnd w:id="79"/>
      <w:r/>
      <w:bookmarkEnd w:id="80"/>
      <w:r>
        <w:rPr>
          <w:rFonts w:hint="eastAsia"/>
        </w:rPr>
        <w:t xml:space="preserve">四、投标文件的递交</w:t>
      </w:r>
      <w:bookmarkEnd w:id="81"/>
      <w:r/>
      <w:bookmarkEnd w:id="82"/>
      <w:r/>
      <w:bookmarkEnd w:id="83"/>
      <w:r/>
      <w:bookmarkEnd w:id="84"/>
      <w:r/>
      <w:bookmarkEnd w:id="85"/>
      <w:r/>
      <w:r/>
    </w:p>
    <w:p>
      <w:pPr>
        <w:pStyle w:val="1074"/>
        <w:ind w:firstLine="560"/>
        <w:spacing w:before="0" w:after="0" w:line="400" w:lineRule="exact"/>
        <w:rPr>
          <w:rFonts w:ascii="黑体"/>
          <w:b w:val="0"/>
          <w:bCs w:val="0"/>
        </w:rPr>
      </w:pPr>
      <w:r/>
      <w:bookmarkStart w:id="86" w:name="_Toc513029225"/>
      <w:r/>
      <w:bookmarkStart w:id="87" w:name="_Toc20823297"/>
      <w:r/>
      <w:bookmarkStart w:id="88" w:name="_Toc16938541"/>
      <w:r/>
      <w:bookmarkStart w:id="89"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6"/>
      <w:r/>
      <w:bookmarkEnd w:id="87"/>
      <w:r/>
      <w:bookmarkEnd w:id="88"/>
      <w:r/>
      <w:bookmarkEnd w:id="89"/>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8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0" w:name="_Toc513029226"/>
      <w:r/>
      <w:bookmarkStart w:id="91" w:name="_Toc16938542"/>
      <w:r/>
      <w:bookmarkStart w:id="92" w:name="_Toc20823298"/>
      <w:r/>
      <w:r/>
    </w:p>
    <w:p>
      <w:pPr>
        <w:pStyle w:val="1074"/>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0"/>
      <w:r/>
      <w:bookmarkEnd w:id="91"/>
      <w:r/>
      <w:bookmarkEnd w:id="92"/>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74"/>
        <w:ind w:firstLine="420"/>
        <w:spacing w:before="0" w:after="0" w:line="400" w:lineRule="exact"/>
        <w:rPr>
          <w:b w:val="0"/>
          <w:bCs w:val="0"/>
        </w:rPr>
      </w:pPr>
      <w:r/>
      <w:bookmarkStart w:id="93" w:name="_Toc513029227"/>
      <w:r/>
      <w:bookmarkStart w:id="94" w:name="_Toc16938543"/>
      <w:r/>
      <w:bookmarkStart w:id="95" w:name="_Toc20823299"/>
      <w:r>
        <w:rPr>
          <w:rFonts w:hint="eastAsia"/>
          <w:b w:val="0"/>
          <w:bCs w:val="0"/>
        </w:rPr>
        <w:t xml:space="preserve">1</w:t>
      </w:r>
      <w:r>
        <w:rPr>
          <w:b w:val="0"/>
          <w:bCs w:val="0"/>
        </w:rPr>
        <w:t xml:space="preserve">8</w:t>
      </w:r>
      <w:r>
        <w:rPr>
          <w:rFonts w:hint="eastAsia"/>
          <w:b w:val="0"/>
          <w:bCs w:val="0"/>
        </w:rPr>
        <w:t xml:space="preserve">、投标文件</w:t>
      </w:r>
      <w:bookmarkEnd w:id="93"/>
      <w:r/>
      <w:bookmarkEnd w:id="94"/>
      <w:r/>
      <w:bookmarkEnd w:id="95"/>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74"/>
        <w:ind w:firstLine="420"/>
        <w:spacing w:before="0" w:after="0" w:line="400" w:lineRule="exact"/>
        <w:rPr>
          <w:b w:val="0"/>
          <w:bCs w:val="0"/>
        </w:rPr>
      </w:pPr>
      <w:r/>
      <w:bookmarkStart w:id="96" w:name="_Toc513029228"/>
      <w:r/>
      <w:bookmarkStart w:id="97" w:name="_Toc20823300"/>
      <w:r/>
      <w:bookmarkStart w:id="98" w:name="_Toc16938544"/>
      <w:r>
        <w:rPr>
          <w:b w:val="0"/>
          <w:bCs w:val="0"/>
        </w:rPr>
        <w:t xml:space="preserve">19</w:t>
      </w:r>
      <w:r>
        <w:rPr>
          <w:rFonts w:hint="eastAsia"/>
          <w:b w:val="0"/>
          <w:bCs w:val="0"/>
        </w:rPr>
        <w:t xml:space="preserve">、投标文件的撤回和修改</w:t>
      </w:r>
      <w:bookmarkEnd w:id="96"/>
      <w:r/>
      <w:bookmarkEnd w:id="97"/>
      <w:r/>
      <w:bookmarkEnd w:id="98"/>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70"/>
        <w:ind w:firstLine="482"/>
        <w:spacing w:before="120" w:after="120" w:line="400" w:lineRule="exact"/>
      </w:pPr>
      <w:r/>
      <w:bookmarkStart w:id="99" w:name="_Toc20823301"/>
      <w:r/>
      <w:bookmarkStart w:id="100" w:name="_Toc513029229"/>
      <w:r/>
      <w:bookmarkStart w:id="101" w:name="_Toc233383225"/>
      <w:r/>
      <w:bookmarkStart w:id="102" w:name="_Toc120614218"/>
      <w:r/>
      <w:bookmarkStart w:id="103" w:name="_Toc16938545"/>
      <w:r>
        <w:rPr>
          <w:rFonts w:hint="eastAsia"/>
        </w:rPr>
        <w:t xml:space="preserve">五、开标与评标</w:t>
      </w:r>
      <w:bookmarkEnd w:id="99"/>
      <w:r/>
      <w:bookmarkEnd w:id="100"/>
      <w:r/>
      <w:bookmarkEnd w:id="101"/>
      <w:r/>
      <w:bookmarkEnd w:id="102"/>
      <w:r/>
      <w:bookmarkEnd w:id="103"/>
      <w:r/>
      <w:r/>
    </w:p>
    <w:p>
      <w:pPr>
        <w:pStyle w:val="1074"/>
        <w:ind w:firstLine="420"/>
        <w:spacing w:before="0" w:after="0" w:line="400" w:lineRule="exact"/>
        <w:rPr>
          <w:b w:val="0"/>
          <w:bCs w:val="0"/>
        </w:rPr>
      </w:pPr>
      <w:r/>
      <w:bookmarkStart w:id="104" w:name="_Toc20823302"/>
      <w:r/>
      <w:bookmarkStart w:id="105" w:name="_Toc513029230"/>
      <w:r/>
      <w:bookmarkStart w:id="106" w:name="_Toc16938546"/>
      <w:r>
        <w:rPr>
          <w:rFonts w:hint="eastAsia"/>
          <w:b w:val="0"/>
          <w:bCs w:val="0"/>
        </w:rPr>
        <w:t xml:space="preserve">2</w:t>
      </w:r>
      <w:r>
        <w:rPr>
          <w:b w:val="0"/>
          <w:bCs w:val="0"/>
        </w:rPr>
        <w:t xml:space="preserve">0</w:t>
      </w:r>
      <w:r>
        <w:rPr>
          <w:rFonts w:hint="eastAsia"/>
          <w:b w:val="0"/>
          <w:bCs w:val="0"/>
        </w:rPr>
        <w:t xml:space="preserve">、开标</w:t>
      </w:r>
      <w:bookmarkEnd w:id="104"/>
      <w:r/>
      <w:bookmarkEnd w:id="105"/>
      <w:r/>
      <w:bookmarkEnd w:id="106"/>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w:t>
      </w:r>
      <w:r>
        <w:rPr>
          <w:rFonts w:hint="eastAsia" w:ascii="宋体" w:hAnsi="宋体"/>
          <w:sz w:val="24"/>
          <w:szCs w:val="24"/>
        </w:rPr>
        <w:t xml:space="preserve">《操作手册》规定，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1074"/>
        <w:ind w:firstLine="420"/>
        <w:spacing w:before="0" w:after="0" w:line="400" w:lineRule="exact"/>
        <w:rPr>
          <w:b w:val="0"/>
          <w:bCs w:val="0"/>
        </w:rPr>
      </w:pPr>
      <w:r/>
      <w:bookmarkStart w:id="107" w:name="_Toc513029231"/>
      <w:r/>
      <w:bookmarkStart w:id="108" w:name="_Toc16938547"/>
      <w:r/>
      <w:bookmarkStart w:id="109"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1074"/>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7"/>
      <w:r/>
      <w:bookmarkEnd w:id="108"/>
      <w:r/>
      <w:bookmarkEnd w:id="109"/>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74"/>
        <w:ind w:firstLine="420"/>
        <w:spacing w:before="0" w:after="0" w:line="400" w:lineRule="exact"/>
        <w:rPr>
          <w:b w:val="0"/>
          <w:bCs w:val="0"/>
        </w:rPr>
      </w:pPr>
      <w:r/>
      <w:bookmarkStart w:id="110" w:name="_Toc16938548"/>
      <w:r/>
      <w:bookmarkStart w:id="111" w:name="_Toc20823304"/>
      <w:r/>
      <w:bookmarkStart w:id="112" w:name="_Toc513029232"/>
      <w:r>
        <w:rPr>
          <w:rFonts w:hint="eastAsia"/>
          <w:b w:val="0"/>
          <w:bCs w:val="0"/>
        </w:rPr>
        <w:t xml:space="preserve">2</w:t>
      </w:r>
      <w:r>
        <w:rPr>
          <w:b w:val="0"/>
          <w:bCs w:val="0"/>
        </w:rPr>
        <w:t xml:space="preserve">3</w:t>
      </w:r>
      <w:r>
        <w:rPr>
          <w:rFonts w:hint="eastAsia"/>
          <w:b w:val="0"/>
          <w:bCs w:val="0"/>
        </w:rPr>
        <w:t xml:space="preserve">、投标文件的澄清</w:t>
      </w:r>
      <w:bookmarkEnd w:id="110"/>
      <w:r/>
      <w:bookmarkEnd w:id="111"/>
      <w:r/>
      <w:bookmarkEnd w:id="112"/>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74"/>
        <w:ind w:firstLine="420"/>
        <w:spacing w:before="0" w:after="0" w:line="400" w:lineRule="exact"/>
        <w:rPr>
          <w:b w:val="0"/>
          <w:bCs w:val="0"/>
        </w:rPr>
      </w:pPr>
      <w:r/>
      <w:bookmarkStart w:id="113" w:name="_Toc513029233"/>
      <w:r/>
      <w:bookmarkStart w:id="114" w:name="_Toc16938549"/>
      <w:r/>
      <w:bookmarkStart w:id="115"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13"/>
      <w:r/>
      <w:bookmarkEnd w:id="114"/>
      <w:r/>
      <w:bookmarkEnd w:id="115"/>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16" w:name="_Toc16938550"/>
      <w:r/>
      <w:bookmarkStart w:id="117" w:name="_Toc513029234"/>
      <w:r/>
      <w:bookmarkStart w:id="118"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4"/>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6"/>
      <w:r/>
      <w:bookmarkEnd w:id="117"/>
      <w:r/>
      <w:bookmarkEnd w:id="118"/>
      <w:r>
        <w:rPr>
          <w:rFonts w:hint="eastAsia"/>
          <w:b w:val="0"/>
          <w:bCs w:val="0"/>
        </w:rPr>
        <w:t xml:space="preserve">无效投标条款和废标条款</w:t>
      </w:r>
      <w:r/>
    </w:p>
    <w:p>
      <w:pPr>
        <w:ind w:left="479"/>
        <w:spacing w:line="400" w:lineRule="exact"/>
        <w:rPr>
          <w:rFonts w:hint="eastAsia" w:ascii="宋体" w:hAnsi="宋体"/>
          <w:bCs/>
          <w:sz w:val="24"/>
        </w:rPr>
      </w:pPr>
      <w:r/>
      <w:bookmarkStart w:id="119" w:name="_Toc20823307"/>
      <w:r/>
      <w:bookmarkStart w:id="120" w:name="_Toc16938551"/>
      <w:r/>
      <w:bookmarkStart w:id="121"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w:t>
      </w:r>
      <w:r>
        <w:rPr>
          <w:rFonts w:hint="eastAsia" w:ascii="宋体" w:hAnsi="宋体"/>
          <w:bCs/>
          <w:sz w:val="24"/>
        </w:rPr>
        <w:t xml:space="preserve">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70"/>
        <w:ind w:firstLine="482"/>
        <w:spacing w:before="120" w:after="120" w:line="400" w:lineRule="exact"/>
      </w:pPr>
      <w:r/>
      <w:bookmarkStart w:id="122" w:name="_Toc233383226"/>
      <w:r/>
      <w:bookmarkStart w:id="123" w:name="_Toc120614219"/>
      <w:r>
        <w:rPr>
          <w:rFonts w:hint="eastAsia"/>
        </w:rPr>
        <w:t xml:space="preserve">六、</w:t>
      </w:r>
      <w:bookmarkEnd w:id="119"/>
      <w:r/>
      <w:bookmarkEnd w:id="120"/>
      <w:r/>
      <w:bookmarkEnd w:id="121"/>
      <w:r>
        <w:rPr>
          <w:rFonts w:hint="eastAsia"/>
        </w:rPr>
        <w:t xml:space="preserve">定标</w:t>
      </w:r>
      <w:bookmarkEnd w:id="122"/>
      <w:r/>
      <w:bookmarkEnd w:id="123"/>
      <w:r/>
      <w:r/>
    </w:p>
    <w:p>
      <w:pPr>
        <w:pStyle w:val="1074"/>
        <w:ind w:firstLine="600"/>
        <w:spacing w:before="0" w:after="0" w:line="400" w:lineRule="exact"/>
        <w:rPr>
          <w:rFonts w:hint="eastAsia" w:ascii="黑体" w:hAnsi="宋体" w:cs="Times New Roman"/>
          <w:b w:val="0"/>
          <w:sz w:val="30"/>
          <w:szCs w:val="30"/>
        </w:rPr>
      </w:pPr>
      <w:r/>
      <w:bookmarkStart w:id="124" w:name="_Toc513029238"/>
      <w:r/>
      <w:bookmarkStart w:id="125" w:name="_Toc16938554"/>
      <w:r/>
      <w:bookmarkStart w:id="126"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4"/>
      <w:r>
        <w:rPr>
          <w:rFonts w:hint="eastAsia" w:ascii="黑体" w:hAnsi="宋体" w:cs="Times New Roman"/>
          <w:b w:val="0"/>
          <w:sz w:val="30"/>
          <w:szCs w:val="30"/>
        </w:rPr>
        <w:t xml:space="preserve">确定</w:t>
      </w:r>
      <w:bookmarkEnd w:id="125"/>
      <w:r/>
      <w:bookmarkEnd w:id="126"/>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w:t>
      </w:r>
      <w:r>
        <w:rPr>
          <w:rFonts w:hint="eastAsia" w:ascii="宋体" w:hAnsi="宋体"/>
          <w:sz w:val="24"/>
          <w:szCs w:val="24"/>
        </w:rPr>
        <w:t xml:space="preserve">，中标供应商出现下列情况之一的，一经查实，将被取消中标资格：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27"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7"/>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w:t>
      </w:r>
      <w:r>
        <w:rPr>
          <w:rFonts w:hint="eastAsia" w:ascii="宋体" w:hAnsi="宋体"/>
          <w:sz w:val="24"/>
          <w:szCs w:val="24"/>
        </w:rPr>
        <w:t xml:space="preserve">、有据，不得捏造事实、提供虚假材料进行恶</w:t>
      </w:r>
      <w:r>
        <w:rPr>
          <w:rFonts w:hint="eastAsia" w:ascii="宋体" w:hAnsi="宋体"/>
          <w:sz w:val="24"/>
          <w:szCs w:val="24"/>
        </w:rPr>
        <w:t xml:space="preserve">意质疑。否则，一经查实，采购中心有权依据政府采购的有关规定，报请政府采购监管部门对该供应商进行相应的行政处罚和记录该供应商的失信信息。</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70"/>
        <w:spacing w:before="120" w:after="120" w:line="400" w:lineRule="exact"/>
      </w:pPr>
      <w:r/>
      <w:bookmarkStart w:id="128" w:name="_Toc233383227"/>
      <w:r/>
      <w:bookmarkStart w:id="129" w:name="_Toc120614220"/>
      <w:r/>
      <w:bookmarkStart w:id="130" w:name="_Toc20823308"/>
      <w:r/>
      <w:bookmarkStart w:id="131" w:name="_Toc16938552"/>
      <w:r/>
      <w:bookmarkStart w:id="132" w:name="_Toc513029236"/>
      <w:r>
        <w:rPr>
          <w:rFonts w:hint="eastAsia"/>
        </w:rPr>
        <w:t xml:space="preserve">七、授予合同</w:t>
      </w:r>
      <w:bookmarkEnd w:id="128"/>
      <w:r/>
      <w:bookmarkEnd w:id="129"/>
      <w:r/>
      <w:r/>
    </w:p>
    <w:p>
      <w:pPr>
        <w:pStyle w:val="1074"/>
        <w:ind w:firstLine="600"/>
        <w:spacing w:before="0" w:after="0" w:line="400" w:lineRule="exact"/>
        <w:rPr>
          <w:rFonts w:hint="eastAsia" w:ascii="黑体" w:hAnsi="宋体" w:cs="Times New Roman"/>
          <w:b w:val="0"/>
          <w:sz w:val="30"/>
          <w:szCs w:val="30"/>
        </w:rPr>
      </w:pPr>
      <w:r/>
      <w:bookmarkStart w:id="133" w:name="_Toc20823309"/>
      <w:r/>
      <w:bookmarkStart w:id="134" w:name="_Toc513029237"/>
      <w:r/>
      <w:bookmarkStart w:id="135" w:name="_Toc16938553"/>
      <w:r/>
      <w:bookmarkEnd w:id="130"/>
      <w:r/>
      <w:bookmarkEnd w:id="131"/>
      <w:r/>
      <w:bookmarkEnd w:id="132"/>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3"/>
      <w:r/>
      <w:bookmarkEnd w:id="134"/>
      <w:r/>
      <w:bookmarkEnd w:id="135"/>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7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6" w:name="_Toc233383228"/>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6"/>
      <w:r/>
      <w:r/>
    </w:p>
    <w:p>
      <w:pPr>
        <w:ind w:firstLine="480"/>
        <w:spacing w:line="360" w:lineRule="auto"/>
        <w:rPr>
          <w:rFonts w:ascii="宋体" w:cs="宋体"/>
          <w:sz w:val="24"/>
          <w:szCs w:val="24"/>
          <w:lang w:val="zh-CN"/>
        </w:rPr>
      </w:pPr>
      <w:r>
        <w:rPr>
          <w:rFonts w:ascii="宋体" w:cs="宋体"/>
          <w:sz w:val="24"/>
          <w:szCs w:val="24"/>
          <w:lang w:val="zh-CN"/>
        </w:rPr>
      </w:r>
      <w:r/>
    </w:p>
    <w:p>
      <w:pPr>
        <w:pStyle w:val="853"/>
        <w:spacing w:before="120" w:after="120"/>
        <w:rPr>
          <w:rFonts w:hint="eastAsia" w:ascii="仿宋_GB2312" w:hAnsi="宋体" w:eastAsia="仿宋_GB2312"/>
          <w:sz w:val="28"/>
          <w:szCs w:val="28"/>
        </w:rPr>
      </w:pPr>
      <w:r/>
      <w:bookmarkStart w:id="137" w:name="_Toc229586893"/>
      <w:r/>
      <w:bookmarkStart w:id="138" w:name="_Toc237360859"/>
      <w:r/>
      <w:r/>
    </w:p>
    <w:p>
      <w:pPr>
        <w:pStyle w:val="853"/>
        <w:spacing w:before="120" w:after="120"/>
        <w:rPr>
          <w:rFonts w:hint="eastAsia" w:ascii="仿宋_GB2312" w:hAnsi="宋体" w:eastAsia="仿宋_GB2312"/>
          <w:sz w:val="28"/>
          <w:szCs w:val="28"/>
        </w:rPr>
      </w:pPr>
      <w:r>
        <w:rPr>
          <w:rFonts w:hint="eastAsia" w:ascii="仿宋_GB2312" w:hAnsi="宋体" w:eastAsia="仿宋_GB2312"/>
          <w:sz w:val="28"/>
          <w:szCs w:val="28"/>
        </w:rPr>
      </w:r>
      <w:r/>
    </w:p>
    <w:p>
      <w:pPr>
        <w:pStyle w:val="853"/>
        <w:ind w:right="1680"/>
        <w:jc w:val="right"/>
        <w:spacing w:before="120" w:after="120"/>
        <w:rPr>
          <w:rFonts w:hint="eastAsia" w:ascii="仿宋_GB2312" w:hAnsi="宋体" w:eastAsia="仿宋_GB2312"/>
        </w:rPr>
      </w:pPr>
      <w:r>
        <w:rPr>
          <w:rFonts w:hint="eastAsia" w:ascii="仿宋_GB2312" w:hAnsi="宋体" w:eastAsia="仿宋_GB2312"/>
        </w:rPr>
        <w:t xml:space="preserve">合同编号：</w:t>
      </w:r>
      <w:r/>
    </w:p>
    <w:p>
      <w:pPr>
        <w:pStyle w:val="853"/>
        <w:ind w:right="1680"/>
        <w:jc w:val="right"/>
        <w:spacing w:before="120" w:after="120"/>
        <w:rPr>
          <w:rFonts w:hint="eastAsia" w:ascii="仿宋_GB2312" w:hAnsi="宋体" w:eastAsia="仿宋_GB2312"/>
        </w:rPr>
      </w:pPr>
      <w:r>
        <w:rPr>
          <w:rFonts w:hint="eastAsia" w:ascii="仿宋_GB2312" w:hAnsi="宋体" w:eastAsia="仿宋_GB2312"/>
        </w:rPr>
        <w:t xml:space="preserve">签订时间：</w:t>
      </w:r>
      <w:r/>
    </w:p>
    <w:p>
      <w:pPr>
        <w:pStyle w:val="853"/>
        <w:ind w:right="1120"/>
        <w:jc w:val="center"/>
        <w:spacing w:before="120" w:after="120"/>
        <w:rPr>
          <w:rFonts w:hint="eastAsia" w:ascii="仿宋_GB2312" w:hAnsi="宋体" w:eastAsia="仿宋_GB2312"/>
        </w:rPr>
      </w:pPr>
      <w:r>
        <w:rPr>
          <w:rFonts w:hint="eastAsia" w:ascii="仿宋_GB2312" w:hAnsi="宋体" w:eastAsia="仿宋_GB2312"/>
        </w:rPr>
        <w:t xml:space="preserve">                                                       签订地点：</w:t>
      </w:r>
      <w:r/>
    </w:p>
    <w:p>
      <w:pPr>
        <w:pStyle w:val="853"/>
        <w:spacing w:before="120" w:after="120"/>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甲方：</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地址：</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统一社会信用代码：</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乙方：</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地址：</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统一社会信用代码：</w:t>
      </w:r>
      <w:r/>
    </w:p>
    <w:p>
      <w:pPr>
        <w:pStyle w:val="853"/>
        <w:spacing w:before="120" w:after="120" w:line="58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8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甲、乙双方根据江苏省政府采购中心 2026-2027年通启高速公路管理处、崇启大桥管理处物业管理服务采购项目（项目编码：）-采购包（1或2） 公开招标的结果，签署本合同。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一、合同内容</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 标的名称：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1.2标的质量：                           （详见招标文件）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1.3 标的数量（规模）：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 履行时间（期限）：本合同期限自      年     月     日起至     年     月     日止。</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 履行地点：  </w:t>
      </w:r>
      <w:r>
        <w:rPr>
          <w:rFonts w:hint="eastAsia" w:hAnsi="宋体" w:cs="Times New Roman"/>
          <w:sz w:val="24"/>
          <w:szCs w:val="24"/>
        </w:rPr>
        <w:t xml:space="preserve">甲方指定地点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 履行方式：乙方按照招标文件及合同约定，配备物业服务人员，在约定的服务期限内至甲方指定地点，提供符合要求及标准的物业服务。</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二、合同金额</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2.1 本合同金额为人民币（大写）：             圆</w:t>
      </w:r>
      <w:r>
        <w:rPr>
          <w:rFonts w:hint="eastAsia" w:hAnsi="宋体" w:cs="Times New Roman"/>
          <w:sz w:val="24"/>
          <w:szCs w:val="24"/>
        </w:rPr>
        <w:t xml:space="preserve">（</w:t>
      </w:r>
      <w:r>
        <w:rPr>
          <w:rFonts w:hAnsi="宋体" w:cs="Times New Roman"/>
          <w:sz w:val="24"/>
          <w:szCs w:val="24"/>
        </w:rPr>
        <w:t xml:space="preserve"> </w:t>
      </w:r>
      <w:r>
        <w:rPr>
          <w:rFonts w:hAnsi="宋体" w:cs="Times New Roman"/>
          <w:sz w:val="24"/>
          <w:szCs w:val="24"/>
        </w:rPr>
        <w:t xml:space="preserve">¥</w:t>
      </w:r>
      <w:r>
        <w:rPr>
          <w:rFonts w:hint="eastAsia" w:hAnsi="宋体" w:cs="Times New Roman"/>
          <w:sz w:val="24"/>
          <w:szCs w:val="24"/>
        </w:rPr>
        <w:t xml:space="preserve">     元）。（详见附件4《物业服务费清单》）</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2.2 本合同价包含员工人工成本、管理费、税费等以及乙方为履行本合同所需的一切费用。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三、技术资料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3.1乙方应按招标文件规定的时间向甲方提供服务（包含与服务相关的货物）的有关技术资料。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四、知识产权</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五、产权担保</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5.1 乙方保证所交付的服务（包含与服务相关的货物）的所有权完全属于乙方且无任何抵押、查封等产权瑕疵。</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六、履约保证金</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无。</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七、合同转包或分包</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7.1乙方不得将合同标的转包给他人履行。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7.2乙方不得将合同标的分包给他人履行。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7.3乙方如有转包或未经甲方同意的分包行为，甲方有权解除合同。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八、合同款项支付</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8.1乙方按照投标时的报价作为本合同的最终价，乙方应充分考虑到合同期内政府政策调整（职工最低工资及社保缴费基数、节假日加班费标准调整、员工合同终止补偿金等）带来的风险，甲方不再进行任何调整。</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8.2合同款项的支付方式及进度安排</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8.2.1 本合同按季付款。乙方根据当季每月实际提供的物业服务人员及采购人对乙方物业服务的考核结果，提出支付申请，并附当季物业服务人员费用清单，采购人审核确认后，乙方开具增值税普通发票，采购人收到发票和清单之日起15个工作日内付清上季度物业服务费（遇节假日顺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8.2.2最后一季度物业费支付时间：在合同期最后一个月度考核结束，乙方根据当季每月实际考核结果及经采购人审核的支付申请开具增值税普通发票，经甲方确认已提交完整过程资料并无遗留问题地完成与新服务商的所有工作交接、撤场后1个月内付款。</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8.3 乙方派遣物业服务人员在甲方食堂就餐的伙食费（标准为400元/人/月）按月支付，当月发生的伙食费于次月10日前根据甲方提供的伙食费明细，转账至甲方账户。</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九、税费</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9.1本合同执行中相关的一切税费均由乙方负担。</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十、考核及验收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10.1甲方授权物业服务使用单位</w:t>
      </w:r>
      <w:r>
        <w:rPr>
          <w:rFonts w:hint="eastAsia" w:hAnsi="宋体" w:cs="Times New Roman"/>
          <w:sz w:val="24"/>
          <w:szCs w:val="24"/>
        </w:rPr>
        <w:t xml:space="preserve">（ </w:t>
      </w:r>
      <w:r>
        <w:rPr>
          <w:rFonts w:hint="eastAsia" w:hAnsi="宋体" w:cs="Times New Roman"/>
          <w:sz w:val="24"/>
          <w:szCs w:val="24"/>
        </w:rPr>
        <w:t xml:space="preserve">                    ）对乙方提供的物业管理服务进行现场监督管理，并按合同约定开展履约考核。</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10.2甲方的评价评定作为物业服务费支付的重要依据。甲方每月组织对乙方的管理服务进行考核（详见附件1），并按约定扣分比例支付物业费用，基本考核规则</w:t>
      </w:r>
      <w:r>
        <w:rPr>
          <w:rFonts w:hint="eastAsia" w:hAnsi="宋体" w:cs="Times New Roman"/>
          <w:sz w:val="24"/>
          <w:szCs w:val="24"/>
        </w:rPr>
        <w:t xml:space="preserve">如下:</w:t>
      </w:r>
      <w:r>
        <w:rPr>
          <w:rFonts w:hint="eastAsia" w:hAnsi="宋体" w:cs="Times New Roman"/>
          <w:sz w:val="24"/>
          <w:szCs w:val="24"/>
        </w:rPr>
        <w:t xml:space="preserve">月度考核分90分（含90）以上，按合同约定全额支付当月物业费；月度考核分80-89分（含80分），当月物业服务费按合同约定金额的80%支付；月度考核分低于80分，当月物业服务费按合同约定金额的50%支付；合同期内两次月度考核分低于80分，或因乙方原因发生重大安全责任事故的，甲方有权立即解除合同，不承担其他任何费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10.3甲方依法组织履约验收工作。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10.4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10.5 对于实际使用人和甲方分离的项目，甲方邀请实际使用人参与验收。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10.6 如有必要，甲方邀请参加本项目的其他供应商或第三方专业机构及专家参与验收，相关意见将作为验收书的参考资料。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10.7 甲方成立验收小组，按照采购合同的约定对乙方的履约情况进行验收。验收</w:t>
      </w:r>
      <w:r>
        <w:rPr>
          <w:rFonts w:hint="eastAsia" w:hAnsi="宋体" w:cs="Times New Roman"/>
          <w:sz w:val="24"/>
          <w:szCs w:val="24"/>
        </w:rPr>
        <w:t xml:space="preserve">时,</w:t>
      </w:r>
      <w:r>
        <w:rPr>
          <w:rFonts w:hint="eastAsia" w:hAnsi="宋体" w:cs="Times New Roman"/>
          <w:sz w:val="24"/>
          <w:szCs w:val="24"/>
        </w:rPr>
        <w:t xml:space="preserve">甲方按照采购合同的约定对每一项技术、服务、安全标准的履约情况进行确认。验收结束</w:t>
      </w:r>
      <w:r>
        <w:rPr>
          <w:rFonts w:hint="eastAsia" w:hAnsi="宋体" w:cs="Times New Roman"/>
          <w:sz w:val="24"/>
          <w:szCs w:val="24"/>
        </w:rPr>
        <w:t xml:space="preserve">后,</w:t>
      </w:r>
      <w:r>
        <w:rPr>
          <w:rFonts w:hint="eastAsia" w:hAnsi="宋体" w:cs="Times New Roman"/>
          <w:sz w:val="24"/>
          <w:szCs w:val="24"/>
        </w:rPr>
        <w:t xml:space="preserve">验收小组出具验收</w:t>
      </w:r>
      <w:r>
        <w:rPr>
          <w:rFonts w:hint="eastAsia" w:hAnsi="宋体" w:cs="Times New Roman"/>
          <w:sz w:val="24"/>
          <w:szCs w:val="24"/>
        </w:rPr>
        <w:t xml:space="preserve">书,</w:t>
      </w:r>
      <w:r>
        <w:rPr>
          <w:rFonts w:hint="eastAsia" w:hAnsi="宋体" w:cs="Times New Roman"/>
          <w:sz w:val="24"/>
          <w:szCs w:val="24"/>
        </w:rPr>
        <w:t xml:space="preserve">列明各项标准的验收情况及项目总体</w:t>
      </w:r>
      <w:r>
        <w:rPr>
          <w:rFonts w:hint="eastAsia" w:hAnsi="宋体" w:cs="Times New Roman"/>
          <w:sz w:val="24"/>
          <w:szCs w:val="24"/>
        </w:rPr>
        <w:t xml:space="preserve">评价,</w:t>
      </w:r>
      <w:r>
        <w:rPr>
          <w:rFonts w:hint="eastAsia" w:hAnsi="宋体" w:cs="Times New Roman"/>
          <w:sz w:val="24"/>
          <w:szCs w:val="24"/>
        </w:rPr>
        <w:t xml:space="preserve">由验收双方共同签署。验收结果与采购合同约定的资金支付条件挂钩。履约验收的各项资料存档备查。</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10.8 验收合格的</w:t>
      </w:r>
      <w:r>
        <w:rPr>
          <w:rFonts w:hint="eastAsia" w:hAnsi="宋体" w:cs="Times New Roman"/>
          <w:sz w:val="24"/>
          <w:szCs w:val="24"/>
        </w:rPr>
        <w:t xml:space="preserve">项目,</w:t>
      </w:r>
      <w:r>
        <w:rPr>
          <w:rFonts w:hint="eastAsia" w:hAnsi="宋体" w:cs="Times New Roman"/>
          <w:sz w:val="24"/>
          <w:szCs w:val="24"/>
        </w:rPr>
        <w:t xml:space="preserve">甲方根据采购合同的约定及时向乙方支付合同款项。验收不合格的项目，甲方依法及时处理。采购合同的履行、违约责任和解决争议的方式等适用</w:t>
      </w:r>
      <w:r>
        <w:rPr>
          <w:rFonts w:hint="eastAsia" w:hAnsi="宋体" w:cs="Times New Roman"/>
          <w:sz w:val="24"/>
          <w:szCs w:val="24"/>
        </w:rPr>
        <w:t xml:space="preserve">《民法典》。乙方在履约过程中有政府采购法律法规规定的违法违规情形</w:t>
      </w:r>
      <w:r>
        <w:rPr>
          <w:rFonts w:hint="eastAsia" w:hAnsi="宋体" w:cs="Times New Roman"/>
          <w:sz w:val="24"/>
          <w:szCs w:val="24"/>
        </w:rPr>
        <w:t xml:space="preserve">的,</w:t>
      </w:r>
      <w:r>
        <w:rPr>
          <w:rFonts w:hint="eastAsia" w:hAnsi="宋体" w:cs="Times New Roman"/>
          <w:sz w:val="24"/>
          <w:szCs w:val="24"/>
        </w:rPr>
        <w:t xml:space="preserve">甲方将及时报告本级财政部门。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10.9</w:t>
      </w:r>
      <w:r>
        <w:rPr>
          <w:rFonts w:hint="eastAsia" w:hAnsi="宋体"/>
          <w:sz w:val="24"/>
          <w:szCs w:val="24"/>
        </w:rPr>
        <w:t xml:space="preserve">乙方对于甲方验收结果如有异议，应于2日内提出并提供书面证据，逾期未提出或虽提出但未提供书面有效证据视为乙方确认甲方的验收结果。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十一、甲方权利与义务</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11.1甲方为乙方提供其拥有的必要场地、设施、设备及基础能源，供乙方在合同期内履行物业服务时使用。乙方需负责所使用资源的日常维护保养，并在合同期满时完好移交。</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11.2依据服务合同，对乙方服务质量进行例行检查和定期（每月）考核。每月按照考核标准进行考核，另行组织不定期检查，查出的问题按考核标准扣分。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11.3监督乙方用工的合法性和规范性，保持主要服务人员的相对稳定。</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11.4依据服务合同和考核结果，按时支付给乙方物业服务经费。</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11.5审议乙方服务项目的年度计划、工作安排和保障措施。</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11.6监督乙方收集、整理、上交服务管理资料。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11.7有权要求乙方保证服务质量，若乙方服务违反本合同约定的，有权要求乙方整改，两次考核不满80分有权解除合同。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11.8对不符合质量标准的管理服务，甲方有权要求供应商整改落实，乙方应无条件服从并按要求整改到位；如整改不到位，视情扣除当月考核分5-10分；如本项目工作人员年龄、体能、技能、形象、服务质量等不能满足甲方要求，甲方有权要求更换人员，乙方应无条件服从并在甲方要求的时间段内更换到位；如乙方在3个月内连续出现3人被采购人要求替换，扣除当月考核分10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十二、乙方权利与义务</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12.1在国家法律、法规规范下，执行物业管理相关规定，按招、投标文件中的要求与承诺制定相应的规章制度以及服务质量标准，以优质、高效、专业的管理方式，实行全方位管理，实现物业管理目标。</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12.2乙方应根据甲方提出的人员配备要求（包括但不限于人数、年龄、专业资质、工作经验、技能要求等），向甲方派驻符合条件的人员。具体派驻人员的岗位、数量及任职标准以甲方采购需求为准。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12.3乙方应在中标后7个工作日内向甲方提供候选人员的简历、资格证书、工作经验证明等材料，供甲方审核。如甲方认为乙方推荐的人员不符合要求，乙方应在7个日内更换合适人选。乙方承诺派驻人员相对稳定，未经甲方书面同意，合同期内不得更换项目派驻人员。确需更换的，继任者的资质和能力不得低于被更换者，且须提前15日书面通知甲方并征得甲方同意。</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12.4乙方应充分考虑采购方工作需要，安排好双休日及法定假日加班人员，编制各岗位排班表报甲方备案后执行，所涉及的费用，由乙方计入此次报价中，甲方不再另外支付费用。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12.5自觉遵守甲方的规章制度，接受甲方的监督管理。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12.6乙方工作人员在工作中违反操作规程，致甲方设备及设施损坏造成的损失，经评估后乙方应予以赔偿。</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12.7建立物业服务档案并负责及时记载有关变更情况，每季度向甲方提供与托管物业有关的管理资料。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12.8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动纠纷及劳动中发生人身安全事故等一切问题，均由乙方承担责任，甲方不承担责任，如因此给甲方造成损失的，甲方有权向乙方追偿。</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12.9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12.10科学设置管理机构和人员、切实加强对物业服务人员的考核（职业道德教育、安全保密）培训（岗前、技能）和使用管理。员工应具有较强的服务、责任、保密意识以及稳定性，按照投标文件的承诺，各岗位人员配备到岗。</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12.11依据招标文件规定的服务范围、内容和标准，制定年度计划和保障措施，制定规则制度和工作规范，并报甲方批准备案后组织实施，提高服务质量。</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12.12依据物业服务规范、规程、规章，高标准、高质量实施管理、抓好服务，实现管理目标，提高服务满意度。</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12.13自觉服从甲方的管理监督和检查考核，及时整改物业服务中的问题。</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12.14乙方各项管理工作、物耗，应严格按投标书内容配置，保证工作需要，把提高工作质量放在首位。严格遵守甲方管理规定，爱护公共设施和场所，未经甲方同意，不得擅自改变其功能。</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12.15乙方应为员工提供统一工作服，并在合同履行期间按月向采购人支付全员就餐费：400元/人/月，就餐费需于次月10号前汇到甲方指定账户。</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12.16 乙方必须为物业服务人员购买赔付额不低于壹佰万的人身意外伤害险，保单单据复印件须向甲方备案。</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十三、甲方责任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13.1乙方按合同履约，甲方按期付款。</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十四、乙方责任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14.1乙方未按合同规定的质量要求提供服务，甲方有权终止合同，由此造成乙方的直接损失和间接损失甲方不给予补偿，造成甲方损失时，甲方有权要求乙方赔偿，赔偿款可从物业费余款中直接扣除，不足部分向乙方追索。</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14.2发生下列情况之一的，甲方有权终止合同：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14.2.1.合同期内两次月度考核分低于80分，或因乙方原因发生重大安全责任事故的。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14.2.2.乙方工作人员殴打甲方员工，或在甲方所属单位内从事其他违反《治安管理处罚法》和《刑法》等违法行为的。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14.2.3.乙方擅自分包项目的。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14.2.4.乙方擅自更换管理主任或擅自减少服务人员的。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14.2.5.乙方未按投标文件配备人员及到岗的，经甲方督促仍未履行的。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14.2.6.被省、市相关部门通报的或引起社会重大舆情的。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14.2.7.由于乙方管理不善或重大失误，造成甲方或第三方重大财产损失或人身伤害的，乙方应承担一切责任的。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十五、违约责任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15.1 除本合同另有约定外，甲方无正当理由拒绝接受乙方提供服务的，</w:t>
      </w:r>
      <w:r>
        <w:rPr>
          <w:rFonts w:hint="eastAsia" w:hAnsi="宋体" w:cs="Times New Roman"/>
          <w:sz w:val="24"/>
          <w:szCs w:val="24"/>
        </w:rPr>
        <w:t xml:space="preserve">甲方向乙方偿付拒绝接受服务对应合同价款总值</w:t>
      </w:r>
      <w:r>
        <w:rPr>
          <w:rFonts w:hint="eastAsia" w:hAnsi="宋体" w:cs="Times New Roman"/>
          <w:sz w:val="24"/>
          <w:szCs w:val="24"/>
          <w:u w:val="single"/>
        </w:rPr>
        <w:t xml:space="preserve">  1%  </w:t>
      </w:r>
      <w:r>
        <w:rPr>
          <w:rFonts w:hint="eastAsia" w:hAnsi="宋体" w:cs="Times New Roman"/>
          <w:sz w:val="24"/>
          <w:szCs w:val="24"/>
        </w:rPr>
        <w:t xml:space="preserve">的违约金</w:t>
      </w:r>
      <w:r>
        <w:rPr>
          <w:rFonts w:hint="eastAsia" w:hAnsi="宋体" w:cs="Times New Roman"/>
          <w:sz w:val="24"/>
          <w:szCs w:val="24"/>
        </w:rPr>
        <w:t xml:space="preserve">。甲方依据本合同约定行使权利而拒绝接受服务（包括但不限于因乙方考核不合格、违约、解除合同等行为所致），不视为“无正当理由拒绝”，无需承担违约责任。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15.2 甲方无故逾期验收和办理合同款项支付手续</w:t>
      </w:r>
      <w:r>
        <w:rPr>
          <w:rFonts w:hint="eastAsia" w:hAnsi="宋体" w:cs="Times New Roman"/>
          <w:sz w:val="24"/>
          <w:szCs w:val="24"/>
        </w:rPr>
        <w:t xml:space="preserve">的,</w:t>
      </w:r>
      <w:r>
        <w:rPr>
          <w:rFonts w:hint="eastAsia" w:hAnsi="宋体" w:cs="Times New Roman"/>
          <w:sz w:val="24"/>
          <w:szCs w:val="24"/>
        </w:rPr>
        <w:t xml:space="preserve">经乙方催告后催告期满仍未验收或支付的，甲方应以逾期付款总额为基数，按中国人民银行同期贷款市场报价利率</w:t>
      </w:r>
      <w:r>
        <w:rPr>
          <w:rFonts w:hint="eastAsia" w:hAnsi="宋体" w:cs="Times New Roman"/>
          <w:sz w:val="24"/>
          <w:szCs w:val="24"/>
        </w:rPr>
        <w:t xml:space="preserve">(LPR)</w:t>
      </w:r>
      <w:r>
        <w:rPr>
          <w:rFonts w:hint="eastAsia" w:hAnsi="宋体" w:cs="Times New Roman"/>
          <w:sz w:val="24"/>
          <w:szCs w:val="24"/>
        </w:rPr>
        <w:t xml:space="preserve">标准向乙方支付违约金。</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15.3 乙方逾期提供服务的，乙方应按逾期提供服务合同总额每日千分之一向甲方支付违约金，由甲方从待付合同款项中扣除。逾期超过约定日期</w:t>
      </w:r>
      <w:r>
        <w:rPr>
          <w:rFonts w:hint="eastAsia" w:hAnsi="宋体" w:cs="Times New Roman"/>
          <w:sz w:val="24"/>
          <w:szCs w:val="24"/>
          <w:u w:val="single"/>
        </w:rPr>
        <w:t xml:space="preserve">10</w:t>
      </w:r>
      <w:r>
        <w:rPr>
          <w:rFonts w:hint="eastAsia" w:hAnsi="宋体" w:cs="Times New Roman"/>
          <w:sz w:val="24"/>
          <w:szCs w:val="24"/>
        </w:rPr>
        <w:t xml:space="preserve">个工作日不能提供服务的，甲方可解除本合同。乙方因逾期提供服务或因其他违约行为导致甲方解除合同的，乙方应向甲方支付合同价款总额</w:t>
      </w:r>
      <w:r>
        <w:rPr>
          <w:rFonts w:hint="eastAsia" w:hAnsi="宋体" w:cs="Times New Roman"/>
          <w:sz w:val="24"/>
          <w:szCs w:val="24"/>
          <w:u w:val="single"/>
        </w:rPr>
        <w:t xml:space="preserve"> 10% </w:t>
      </w:r>
      <w:r>
        <w:rPr>
          <w:rFonts w:hint="eastAsia" w:hAnsi="宋体" w:cs="Times New Roman"/>
          <w:sz w:val="24"/>
          <w:szCs w:val="24"/>
        </w:rPr>
        <w:t xml:space="preserve">的违约金，如造成甲方损失超过违约金的，超出部分由乙方继续承担赔偿责任。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15.4 乙方所提供服务的标准不符合合同规定及招标文件规定标准的，甲方有权拒绝接受服务，并可单方面解除合同。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15.5 合同期满日止，乙方未能按采购人要求移交完毕或未能按期退出，引起的一切后果由乙方负责，并且乙方需按每逾期一天2000元的标准向甲方支付违约金，违约金由甲方从乙方剩余合同款中扣除。必要时甲方保留追究相关法律责任的权力。</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15.6如一方违约，违约方应承担守约方因维护自身权益而产生的合理费用（包括但不限于律师费、诉讼费、保全费、保函费、差旅费等）。</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十六、不可抗力事件处理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16.1 在合同有效期内，任何一方因不可抗力事件导致不能履行合同，则合同履行期可延长，其延长期与不可抗力影响 期相同。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16.2 不可抗力事件发生后，应立即通知对方，并寄送有关权威机构出具的证明。</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16.3 不可抗力事件延续120天以上，双方应通过友好协商，确定是否继续履行合同。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十七、解决争议的方法</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17.1双方在签订、履行合同中所发生的一切争议，应通过友好协商解决。如协商不成，由</w:t>
      </w:r>
      <w:r>
        <w:rPr>
          <w:rFonts w:hint="eastAsia" w:hAnsi="宋体" w:cs="Times New Roman"/>
          <w:sz w:val="24"/>
          <w:szCs w:val="24"/>
          <w:u w:val="single"/>
        </w:rPr>
        <w:t xml:space="preserve">物业服务使用单位</w:t>
      </w:r>
      <w:r>
        <w:rPr>
          <w:rFonts w:hint="eastAsia" w:hAnsi="宋体" w:cs="Times New Roman"/>
          <w:sz w:val="24"/>
          <w:szCs w:val="24"/>
        </w:rPr>
        <w:t xml:space="preserve">所在地人民法院管辖。</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十八、合同生效及其它</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18.1 合同经双方法定代表人或授权委托代表人签字并加盖单位公章或合同专用章后生效。</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18.2 附件2安全管理合同和附件3廉政合同作为本合同附件，经双方在物业服务合同签署后一并生效。</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18.3本合同未尽事宜，遵照中华人民共和国现行法律法规有关条文执行。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18.4 本合同正本一式捌份，具有同等法律效力，甲方、乙方各执肆份。</w:t>
      </w:r>
      <w:r/>
    </w:p>
    <w:p>
      <w:pPr>
        <w:pStyle w:val="853"/>
        <w:ind w:left="480" w:firstLine="480"/>
        <w:spacing w:before="120" w:after="120"/>
        <w:rPr>
          <w:rFonts w:hint="eastAsia" w:hAnsi="宋体" w:cs="Times New Roman"/>
          <w:sz w:val="24"/>
          <w:szCs w:val="24"/>
        </w:rPr>
      </w:pPr>
      <w:r>
        <w:rPr>
          <w:rFonts w:hint="eastAsia" w:hAnsi="宋体" w:cs="Times New Roman"/>
          <w:sz w:val="24"/>
          <w:szCs w:val="24"/>
        </w:rPr>
        <w:t xml:space="preserve"> </w:t>
      </w:r>
      <w:r/>
    </w:p>
    <w:p>
      <w:pPr>
        <w:pStyle w:val="1346"/>
        <w:spacing w:before="120" w:after="120"/>
        <w:rPr>
          <w:rFonts w:hint="eastAsia" w:hAnsi="宋体" w:cs="Times New Roman"/>
          <w:sz w:val="24"/>
          <w:szCs w:val="24"/>
        </w:rPr>
      </w:pPr>
      <w:r>
        <w:rPr>
          <w:rFonts w:hint="eastAsia" w:hAnsi="宋体" w:cs="Times New Roman"/>
          <w:sz w:val="24"/>
          <w:szCs w:val="24"/>
        </w:rPr>
        <w:t xml:space="preserve">（合同签署页）</w:t>
      </w:r>
      <w:r/>
    </w:p>
    <w:p>
      <w:pPr>
        <w:pStyle w:val="1346"/>
        <w:spacing w:before="120" w:after="120"/>
        <w:rPr>
          <w:rFonts w:hint="eastAsia" w:hAnsi="宋体" w:cs="Times New Roman"/>
          <w:sz w:val="24"/>
          <w:szCs w:val="24"/>
        </w:rPr>
      </w:pPr>
      <w:r>
        <w:rPr>
          <w:rFonts w:hint="eastAsia" w:hAnsi="宋体" w:cs="Times New Roman"/>
          <w:sz w:val="24"/>
          <w:szCs w:val="24"/>
        </w:rPr>
      </w:r>
      <w:r/>
    </w:p>
    <w:p>
      <w:pPr>
        <w:pStyle w:val="1346"/>
        <w:spacing w:before="120" w:after="120"/>
        <w:rPr>
          <w:rFonts w:hint="eastAsia" w:hAnsi="宋体" w:cs="Times New Roman"/>
          <w:sz w:val="24"/>
          <w:szCs w:val="24"/>
        </w:rPr>
      </w:pPr>
      <w:r>
        <w:rPr>
          <w:rFonts w:hint="eastAsia" w:hAnsi="宋体" w:cs="Times New Roman"/>
          <w:sz w:val="24"/>
          <w:szCs w:val="24"/>
        </w:rPr>
        <w:t xml:space="preserve">甲方（盖章）：     </w:t>
      </w:r>
      <w:r/>
    </w:p>
    <w:p>
      <w:pPr>
        <w:pStyle w:val="1346"/>
        <w:spacing w:before="120" w:after="120"/>
        <w:rPr>
          <w:rFonts w:hint="eastAsia" w:hAnsi="宋体" w:cs="Times New Roman"/>
          <w:sz w:val="24"/>
          <w:szCs w:val="24"/>
        </w:rPr>
      </w:pPr>
      <w:r>
        <w:rPr>
          <w:rFonts w:hint="eastAsia" w:hAnsi="宋体" w:cs="Times New Roman"/>
          <w:sz w:val="24"/>
          <w:szCs w:val="24"/>
        </w:rPr>
        <w:t xml:space="preserve">地址：</w:t>
      </w:r>
      <w:r/>
    </w:p>
    <w:p>
      <w:pPr>
        <w:pStyle w:val="1346"/>
        <w:spacing w:before="120" w:after="120"/>
        <w:rPr>
          <w:rFonts w:hint="eastAsia" w:hAnsi="宋体" w:cs="Times New Roman"/>
          <w:sz w:val="24"/>
          <w:szCs w:val="24"/>
        </w:rPr>
      </w:pPr>
      <w:r>
        <w:rPr>
          <w:rFonts w:hint="eastAsia" w:hAnsi="宋体" w:cs="Times New Roman"/>
          <w:sz w:val="24"/>
          <w:szCs w:val="24"/>
        </w:rPr>
        <w:t xml:space="preserve">法定代表人或授权代表（签字）：</w:t>
      </w:r>
      <w:r/>
    </w:p>
    <w:p>
      <w:pPr>
        <w:pStyle w:val="1346"/>
        <w:spacing w:before="120" w:after="120"/>
        <w:rPr>
          <w:rFonts w:hint="eastAsia" w:hAnsi="宋体" w:cs="Times New Roman"/>
          <w:sz w:val="24"/>
          <w:szCs w:val="24"/>
        </w:rPr>
      </w:pPr>
      <w:r>
        <w:rPr>
          <w:rFonts w:hint="eastAsia" w:hAnsi="宋体" w:cs="Times New Roman"/>
          <w:sz w:val="24"/>
          <w:szCs w:val="24"/>
        </w:rPr>
        <w:t xml:space="preserve">联系电话：                        </w:t>
      </w:r>
      <w:r/>
    </w:p>
    <w:p>
      <w:pPr>
        <w:pStyle w:val="1346"/>
        <w:spacing w:before="120" w:after="120"/>
        <w:rPr>
          <w:rFonts w:hint="eastAsia" w:hAnsi="宋体" w:cs="Times New Roman"/>
          <w:sz w:val="24"/>
          <w:szCs w:val="24"/>
        </w:rPr>
      </w:pPr>
      <w:r>
        <w:rPr>
          <w:rFonts w:hint="eastAsia" w:hAnsi="宋体" w:cs="Times New Roman"/>
          <w:sz w:val="24"/>
          <w:szCs w:val="24"/>
        </w:rPr>
        <w:t xml:space="preserve">统一社会信用代码：                 </w:t>
      </w:r>
      <w:r/>
    </w:p>
    <w:p>
      <w:pPr>
        <w:pStyle w:val="1346"/>
        <w:ind w:firstLine="4320"/>
        <w:spacing w:before="120" w:after="120"/>
        <w:rPr>
          <w:rFonts w:hint="eastAsia" w:hAnsi="宋体" w:cs="Times New Roman"/>
          <w:sz w:val="24"/>
          <w:szCs w:val="24"/>
        </w:rPr>
      </w:pPr>
      <w:r>
        <w:rPr>
          <w:rFonts w:hint="eastAsia" w:hAnsi="宋体" w:cs="Times New Roman"/>
          <w:sz w:val="24"/>
          <w:szCs w:val="24"/>
        </w:rPr>
        <w:t xml:space="preserve">   </w:t>
      </w:r>
      <w:r/>
    </w:p>
    <w:p>
      <w:pPr>
        <w:pStyle w:val="1346"/>
        <w:jc w:val="center"/>
        <w:spacing w:before="120" w:after="120"/>
        <w:rPr>
          <w:rFonts w:hint="eastAsia" w:hAnsi="宋体" w:cs="Times New Roman"/>
          <w:sz w:val="24"/>
          <w:szCs w:val="24"/>
        </w:rPr>
      </w:pPr>
      <w:r>
        <w:rPr>
          <w:rFonts w:hAnsi="宋体" w:cs="Times New Roman"/>
          <w:sz w:val="24"/>
          <w:szCs w:val="24"/>
        </w:rPr>
        <w:t xml:space="preserve">                                         </w:t>
      </w:r>
      <w:r/>
    </w:p>
    <w:p>
      <w:pPr>
        <w:pStyle w:val="1346"/>
        <w:jc w:val="right"/>
        <w:spacing w:before="120" w:after="120"/>
        <w:rPr>
          <w:rFonts w:hint="eastAsia" w:hAnsi="宋体" w:cs="Times New Roman"/>
          <w:sz w:val="24"/>
          <w:szCs w:val="24"/>
        </w:rPr>
      </w:pPr>
      <w:r>
        <w:rPr>
          <w:rFonts w:hAnsi="宋体" w:cs="Times New Roman"/>
          <w:sz w:val="24"/>
          <w:szCs w:val="24"/>
        </w:rPr>
        <w:t xml:space="preserve"> </w:t>
      </w:r>
      <w:r/>
    </w:p>
    <w:p>
      <w:pPr>
        <w:pStyle w:val="1346"/>
        <w:ind w:left="5040" w:hanging="5040"/>
        <w:spacing w:before="120" w:after="120"/>
        <w:rPr>
          <w:rFonts w:hint="eastAsia" w:hAnsi="宋体" w:cs="Times New Roman"/>
          <w:sz w:val="24"/>
          <w:szCs w:val="24"/>
        </w:rPr>
      </w:pPr>
      <w:r>
        <w:rPr>
          <w:rFonts w:hint="eastAsia" w:hAnsi="宋体" w:cs="Times New Roman"/>
          <w:sz w:val="24"/>
          <w:szCs w:val="24"/>
        </w:rPr>
        <w:t xml:space="preserve">乙方（盖章）： </w:t>
      </w:r>
      <w:r/>
    </w:p>
    <w:p>
      <w:pPr>
        <w:pStyle w:val="1346"/>
        <w:spacing w:before="120" w:after="120"/>
        <w:rPr>
          <w:rFonts w:hint="eastAsia" w:hAnsi="宋体" w:cs="Times New Roman"/>
          <w:sz w:val="24"/>
          <w:szCs w:val="24"/>
        </w:rPr>
      </w:pPr>
      <w:r>
        <w:rPr>
          <w:rFonts w:hint="eastAsia" w:hAnsi="宋体" w:cs="Times New Roman"/>
          <w:sz w:val="24"/>
          <w:szCs w:val="24"/>
        </w:rPr>
        <w:t xml:space="preserve">地址： </w:t>
      </w:r>
      <w:r/>
    </w:p>
    <w:p>
      <w:pPr>
        <w:pStyle w:val="1346"/>
        <w:ind w:left="5040" w:hanging="5040"/>
        <w:spacing w:before="120" w:after="120"/>
        <w:rPr>
          <w:rFonts w:hint="eastAsia" w:hAnsi="宋体" w:cs="Times New Roman"/>
          <w:sz w:val="24"/>
          <w:szCs w:val="24"/>
        </w:rPr>
      </w:pPr>
      <w:r>
        <w:rPr>
          <w:rFonts w:hint="eastAsia" w:hAnsi="宋体" w:cs="Times New Roman"/>
          <w:sz w:val="24"/>
          <w:szCs w:val="24"/>
        </w:rPr>
        <w:t xml:space="preserve">法定代表人或授权代表（签字）：  </w:t>
      </w:r>
      <w:r/>
    </w:p>
    <w:p>
      <w:pPr>
        <w:pStyle w:val="1346"/>
        <w:spacing w:before="120" w:after="120"/>
        <w:rPr>
          <w:rFonts w:hint="eastAsia" w:hAnsi="宋体" w:cs="Times New Roman"/>
          <w:sz w:val="24"/>
          <w:szCs w:val="24"/>
        </w:rPr>
      </w:pPr>
      <w:r>
        <w:rPr>
          <w:rFonts w:hint="eastAsia" w:hAnsi="宋体" w:cs="Times New Roman"/>
          <w:sz w:val="24"/>
          <w:szCs w:val="24"/>
        </w:rPr>
        <w:t xml:space="preserve">联系电话：</w:t>
      </w:r>
      <w:r/>
    </w:p>
    <w:p>
      <w:pPr>
        <w:pStyle w:val="1346"/>
        <w:spacing w:before="120" w:after="120"/>
        <w:rPr>
          <w:rFonts w:hint="eastAsia" w:hAnsi="宋体" w:cs="Times New Roman"/>
          <w:sz w:val="24"/>
          <w:szCs w:val="24"/>
        </w:rPr>
      </w:pPr>
      <w:r>
        <w:rPr>
          <w:rFonts w:hint="eastAsia" w:hAnsi="宋体" w:cs="Times New Roman"/>
          <w:sz w:val="24"/>
          <w:szCs w:val="24"/>
        </w:rPr>
        <w:t xml:space="preserve">统一社会信用代码：</w:t>
      </w:r>
      <w:r/>
    </w:p>
    <w:p>
      <w:pPr>
        <w:pStyle w:val="1346"/>
        <w:spacing w:before="120" w:after="120"/>
        <w:rPr>
          <w:rFonts w:hint="eastAsia" w:hAnsi="宋体" w:cs="Times New Roman"/>
          <w:sz w:val="24"/>
          <w:szCs w:val="24"/>
        </w:rPr>
      </w:pPr>
      <w:r>
        <w:rPr>
          <w:rFonts w:hint="eastAsia" w:hAnsi="宋体" w:cs="Times New Roman"/>
          <w:sz w:val="24"/>
          <w:szCs w:val="24"/>
        </w:rPr>
        <w:t xml:space="preserve">开户银行：</w:t>
      </w:r>
      <w:r/>
    </w:p>
    <w:p>
      <w:pPr>
        <w:pStyle w:val="1346"/>
        <w:spacing w:before="120" w:after="120"/>
        <w:rPr>
          <w:rFonts w:hint="eastAsia" w:hAnsi="宋体" w:cs="Times New Roman"/>
          <w:sz w:val="24"/>
          <w:szCs w:val="24"/>
        </w:rPr>
      </w:pPr>
      <w:r>
        <w:rPr>
          <w:rFonts w:hint="eastAsia" w:hAnsi="宋体" w:cs="Times New Roman"/>
          <w:sz w:val="24"/>
          <w:szCs w:val="24"/>
        </w:rPr>
        <w:t xml:space="preserve">银行账号：</w:t>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附件1：</w:t>
      </w:r>
      <w:r/>
    </w:p>
    <w:p>
      <w:pPr>
        <w:jc w:val="center"/>
        <w:spacing w:line="580" w:lineRule="exact"/>
        <w:rPr>
          <w:rFonts w:hint="eastAsia" w:ascii="微软雅黑" w:hAnsi="宋体" w:eastAsia="微软雅黑" w:cs="宋体"/>
          <w:bCs/>
          <w:sz w:val="32"/>
          <w:szCs w:val="32"/>
        </w:rPr>
      </w:pPr>
      <w:r>
        <w:rPr>
          <w:rFonts w:hint="eastAsia" w:ascii="微软雅黑" w:hAnsi="宋体" w:eastAsia="微软雅黑" w:cs="宋体"/>
          <w:bCs/>
          <w:sz w:val="32"/>
          <w:szCs w:val="32"/>
        </w:rPr>
        <w:t xml:space="preserve">物业服务考核细则</w:t>
      </w:r>
      <w:r/>
    </w:p>
    <w:tbl>
      <w:tblPr>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952"/>
        <w:gridCol w:w="3405"/>
        <w:gridCol w:w="3596"/>
        <w:gridCol w:w="734"/>
      </w:tblGrid>
      <w:tr>
        <w:trPr>
          <w:jc w:val="center"/>
          <w:trHeight w:val="340"/>
          <w:tblHeader/>
        </w:trPr>
        <w:tc>
          <w:tcPr>
            <w:tcW w:w="971"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类别</w:t>
            </w:r>
            <w:r/>
          </w:p>
        </w:tc>
        <w:tc>
          <w:tcPr>
            <w:tcW w:w="952" w:type="dxa"/>
            <w:vAlign w:val="center"/>
            <w:textDirection w:val="lrTb"/>
            <w:noWrap/>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项目</w:t>
            </w:r>
            <w:r/>
          </w:p>
        </w:tc>
        <w:tc>
          <w:tcPr>
            <w:tcW w:w="3405" w:type="dxa"/>
            <w:vAlign w:val="center"/>
            <w:textDirection w:val="lrTb"/>
            <w:noWrap/>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考核内容及评分标准</w:t>
            </w:r>
            <w:r/>
          </w:p>
        </w:tc>
        <w:tc>
          <w:tcPr>
            <w:tcW w:w="3596"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评分标准</w:t>
            </w:r>
            <w:r/>
          </w:p>
        </w:tc>
        <w:tc>
          <w:tcPr>
            <w:tcW w:w="734"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扣分情况</w:t>
            </w:r>
            <w:r/>
          </w:p>
        </w:tc>
      </w:tr>
      <w:tr>
        <w:trPr>
          <w:jc w:val="center"/>
          <w:trHeight w:val="521"/>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（15分）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配备</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按照招标文件要求配备人员。</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81"/>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仪容</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仪表</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1、后勤工作人员按要求穿戴工作服及防护用具；2、工作服干净整洁；3、工作人员精神饱满，服务态度主动热情。</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716"/>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劳动</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纪律</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1、工作人员按时到岗到位；2、有内部劳动纪律考核制度及记录。</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00"/>
        </w:trPr>
        <w:tc>
          <w:tcPr>
            <w:tcW w:w="971" w:type="dxa"/>
            <w:vAlign w:val="center"/>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服务</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质量</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（35分）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服务</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按照招标文件的相关要求，考核安护、保洁、驾驶、餐饮等服务质量、数量完成情况。</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1.具体考核条款标准详见附表。</w:t>
            </w:r>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2.被管理处考核发现不符合合同要求的，一次扣2分；被高管中心检查反馈，一次扣5分；被控股公司检查反馈，一次扣10分，单项分（35分）扣完为止。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340"/>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耗材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工具摆放有序，清洁及时，能够按照规范要求使用（2分）。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工具摆放无序扣1分，不及时清洁扣1分，不按规范要求使用扣1分，单项分（2分）扣完为止。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869"/>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仓库</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1、库房干净整洁，货物排列有序（2分）；2、出入库台帐、盘点台帐规范健全（2分）；3、记录规范，帐实相符（2分）。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每小项欠缺或不全酌情扣0.5-2分。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56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耗材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本着节约、俭省的原则规范领用、使用耗材（2分）。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有领用不合理等现象酌情扣0.5-2分。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788"/>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现场</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按照招标文件要求配备项目现场负责人，现场管理指挥得当，认真负责，管理到位（5分）。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现场管理混乱，有工作推诿、不负责等现象酌情扣1-5分。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34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台帐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工作台帐规范健全，记录及时规范（10分）。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每发现一次台帐记录不及时、不规范扣1分，单项分（10分）扣完为止。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81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应急</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预案</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1、有重大安全事故等应急预案（3分）；2、定期组织开展相关预案演练，有详细的演练记录（2分）。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无应急预案或预案不全酌情扣1-3分；无预案演练扣2分。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71"/>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其他</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任务完成情况</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能够保质保量完成各项合理工作任务（5分）。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不能完成合理工作任务酌情扣1-5分。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90"/>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投诉</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处理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接到投诉要有记录、整改并回访；回访的结果要有记录或后续（5分）。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投诉处理结果为撤诉的，不扣分；不完全责任性投诉酌情扣1-3分；责任性投诉扣5分，单项分（5分）扣完为止。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92"/>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内部</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1、内部考核制度规范健全（3分）；2、按照要求定期考核，考核记录规范、详细（2分）。</w:t>
            </w:r>
            <w:r/>
          </w:p>
        </w:tc>
        <w:tc>
          <w:tcPr>
            <w:tcW w:w="3596" w:type="dxa"/>
            <w:vAlign w:val="center"/>
            <w:textDirection w:val="lrTb"/>
            <w:noWrap w:val="false"/>
          </w:tcPr>
          <w:p>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无制度扣3分，制度不完善扣0.5-1分，考核记录不规范扣0.5-2分。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63"/>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其他</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物业团队和谐团结，无不良影响事件发生（5分）。</w:t>
            </w:r>
            <w:r/>
          </w:p>
        </w:tc>
        <w:tc>
          <w:tcPr>
            <w:tcW w:w="3596" w:type="dxa"/>
            <w:vAlign w:val="center"/>
            <w:textDirection w:val="lrTb"/>
            <w:noWrap w:val="false"/>
          </w:tcPr>
          <w:p>
            <w:pPr>
              <w:numPr>
                <w:ilvl w:val="255"/>
                <w:numId w:val="0"/>
              </w:num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1.发生一次不良影响事件扣2-5分，单项分（5分）扣完为止。</w:t>
            </w:r>
            <w:r/>
          </w:p>
          <w:p>
            <w:pPr>
              <w:numPr>
                <w:ilvl w:val="255"/>
                <w:numId w:val="0"/>
              </w:num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2.内部管理混乱，劳务外包人员向采购人投诉反馈一次扣1-2分。单项分（5分）扣完为止。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593"/>
        </w:trPr>
        <w:tc>
          <w:tcPr>
            <w:gridSpan w:val="2"/>
            <w:tcW w:w="1923"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月度得分</w:t>
            </w:r>
            <w:r/>
          </w:p>
        </w:tc>
        <w:tc>
          <w:tcPr>
            <w:gridSpan w:val="3"/>
            <w:tcW w:w="7735"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bl>
    <w:p>
      <w:pPr>
        <w:spacing w:line="580" w:lineRule="exact"/>
        <w:rPr>
          <w:rFonts w:hint="eastAsia" w:ascii="黑体" w:hAnsi="黑体" w:eastAsia="黑体" w:cs="宋体"/>
          <w:bCs/>
          <w:sz w:val="28"/>
          <w:szCs w:val="28"/>
        </w:rPr>
      </w:pPr>
      <w:r>
        <w:rPr>
          <w:rFonts w:hint="eastAsia" w:ascii="黑体" w:hAnsi="黑体" w:eastAsia="黑体" w:cs="宋体"/>
          <w:bCs/>
          <w:sz w:val="28"/>
          <w:szCs w:val="28"/>
        </w:rPr>
      </w:r>
      <w:r/>
    </w:p>
    <w:p>
      <w:pPr>
        <w:spacing w:line="580" w:lineRule="exact"/>
        <w:rPr>
          <w:rFonts w:hint="eastAsia" w:ascii="黑体" w:hAnsi="黑体" w:eastAsia="黑体" w:cs="宋体"/>
          <w:bCs/>
          <w:sz w:val="28"/>
          <w:szCs w:val="28"/>
        </w:rPr>
      </w:pPr>
      <w:r>
        <w:rPr>
          <w:rFonts w:hint="eastAsia" w:ascii="黑体" w:hAnsi="黑体" w:eastAsia="黑体" w:cs="宋体"/>
          <w:bCs/>
          <w:sz w:val="28"/>
          <w:szCs w:val="28"/>
        </w:rPr>
        <w:t xml:space="preserve">附表</w:t>
      </w:r>
      <w:r/>
    </w:p>
    <w:p>
      <w:pPr>
        <w:pStyle w:val="1397"/>
        <w:ind w:firstLine="0"/>
        <w:jc w:val="center"/>
        <w:spacing w:line="580" w:lineRule="exact"/>
        <w:rPr>
          <w:rFonts w:hint="eastAsia" w:ascii="仿宋_GB2312" w:hAnsi="仿宋_GB2312" w:eastAsia="仿宋_GB2312" w:cs="仿宋_GB2312"/>
          <w:b/>
          <w:sz w:val="28"/>
          <w:szCs w:val="28"/>
        </w:rPr>
      </w:pPr>
      <w:r>
        <w:rPr>
          <w:rFonts w:hint="eastAsia" w:ascii="方正小标宋简体" w:hAnsi="宋体" w:eastAsia="方正小标宋简体" w:cs="宋体"/>
          <w:sz w:val="32"/>
          <w:szCs w:val="32"/>
        </w:rPr>
        <w:t xml:space="preserve">物业服务考核条款及标准</w:t>
      </w:r>
      <w:r/>
    </w:p>
    <w:tbl>
      <w:tblPr>
        <w:tblpPr w:horzAnchor="text" w:tblpXSpec="center" w:vertAnchor="text" w:tblpY="1" w:leftFromText="180" w:topFromText="0" w:rightFromText="180" w:bottomFromText="0"/>
        <w:tblW w:w="54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92"/>
        <w:gridCol w:w="809"/>
        <w:gridCol w:w="974"/>
        <w:gridCol w:w="5995"/>
        <w:gridCol w:w="1052"/>
      </w:tblGrid>
      <w:tr>
        <w:trPr>
          <w:jc w:val="center"/>
          <w:trHeight w:val="567"/>
          <w:tblHeader/>
        </w:trPr>
        <w:tc>
          <w:tcPr>
            <w:tcW w:w="550" w:type="pct"/>
            <w:vAlign w:val="center"/>
            <w:textDirection w:val="lrTb"/>
            <w:noWrap w:val="false"/>
          </w:tcPr>
          <w:p>
            <w:pPr>
              <w:jc w:val="center"/>
              <w:rPr>
                <w:rFonts w:hint="eastAsia" w:ascii="仿宋_GB2312" w:hAnsi="仿宋_GB2312" w:eastAsia="仿宋_GB2312" w:cs="仿宋_GB2312"/>
                <w:b/>
                <w:szCs w:val="21"/>
                <w:lang w:val="zh-CN" w:bidi="zh-CN"/>
              </w:rPr>
            </w:pPr>
            <w:r>
              <w:rPr>
                <w:rFonts w:hint="eastAsia" w:ascii="仿宋_GB2312" w:hAnsi="仿宋_GB2312" w:eastAsia="仿宋_GB2312" w:cs="仿宋_GB2312"/>
                <w:b/>
                <w:szCs w:val="21"/>
                <w:lang w:val="zh-CN" w:bidi="zh-CN"/>
              </w:rPr>
              <w:t xml:space="preserve">序号</w:t>
            </w:r>
            <w:r/>
          </w:p>
        </w:tc>
        <w:tc>
          <w:tcPr>
            <w:tcW w:w="407"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bidi="zh-CN"/>
              </w:rPr>
              <w:t xml:space="preserve">类别</w:t>
            </w:r>
            <w:r/>
          </w:p>
        </w:tc>
        <w:tc>
          <w:tcPr>
            <w:tcW w:w="491" w:type="pct"/>
            <w:vAlign w:val="center"/>
            <w:textDirection w:val="lrTb"/>
            <w:noWrap w:val="false"/>
          </w:tcPr>
          <w:p>
            <w:pPr>
              <w:jc w:val="center"/>
              <w:rPr>
                <w:rFonts w:hint="eastAsia" w:ascii="仿宋_GB2312" w:hAnsi="仿宋_GB2312" w:eastAsia="仿宋_GB2312" w:cs="仿宋_GB2312"/>
                <w:b/>
                <w:szCs w:val="21"/>
                <w:lang w:bidi="zh-CN"/>
              </w:rPr>
            </w:pPr>
            <w:r>
              <w:rPr>
                <w:rFonts w:hint="eastAsia" w:ascii="仿宋_GB2312" w:hAnsi="仿宋_GB2312" w:eastAsia="仿宋_GB2312" w:cs="仿宋_GB2312"/>
                <w:b/>
                <w:szCs w:val="21"/>
                <w:lang w:bidi="zh-CN"/>
              </w:rPr>
              <w:t xml:space="preserve">项目</w:t>
            </w:r>
            <w:r/>
          </w:p>
        </w:tc>
        <w:tc>
          <w:tcPr>
            <w:tcW w:w="3019"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val="zh-CN" w:bidi="zh-CN"/>
              </w:rPr>
              <w:t xml:space="preserve">考核</w:t>
            </w:r>
            <w:r>
              <w:rPr>
                <w:rFonts w:hint="eastAsia" w:ascii="仿宋_GB2312" w:hAnsi="仿宋_GB2312" w:eastAsia="仿宋_GB2312" w:cs="仿宋_GB2312"/>
                <w:b/>
                <w:szCs w:val="21"/>
                <w:lang w:val="zh-CN" w:eastAsia="en-US" w:bidi="zh-CN"/>
              </w:rPr>
              <w:t xml:space="preserve">标准</w:t>
            </w:r>
            <w:r/>
          </w:p>
        </w:tc>
        <w:tc>
          <w:tcPr>
            <w:tcW w:w="530"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eastAsia="en-US" w:bidi="zh-CN"/>
              </w:rPr>
              <w:t xml:space="preserve">备注</w:t>
            </w:r>
            <w:r/>
          </w:p>
        </w:tc>
      </w:tr>
      <w:tr>
        <w:trPr>
          <w:jc w:val="center"/>
          <w:trHeight w:val="480"/>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w:t>
            </w:r>
            <w:r/>
          </w:p>
        </w:tc>
        <w:tc>
          <w:tcPr>
            <w:tcW w:w="407" w:type="pct"/>
            <w:vAlign w:val="center"/>
            <w:vMerge w:val="restart"/>
            <w:textDirection w:val="tbRlV"/>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人员管理</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人员</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配备</w:t>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未按合同要求足额配备人员，少1人扣5分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Borders>
              <w:top w:val="none" w:color="000000" w:sz="4" w:space="0"/>
            </w:tcBorders>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2</w:t>
            </w:r>
            <w:r/>
          </w:p>
        </w:tc>
        <w:tc>
          <w:tcPr>
            <w:tcW w:w="407" w:type="pct"/>
            <w:vAlign w:val="center"/>
            <w:vMerge w:val="continue"/>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新进员工未经培训合格后上岗</w:t>
            </w:r>
            <w:r>
              <w:rPr>
                <w:rFonts w:hint="eastAsia" w:ascii="仿宋_GB2312" w:hAnsi="仿宋_GB2312" w:eastAsia="仿宋_GB2312" w:cs="仿宋_GB2312"/>
                <w:szCs w:val="21"/>
              </w:rPr>
              <w:t xml:space="preserve">，发现一次扣2分；未按时安排员工安全教育培训的或未</w:t>
            </w:r>
            <w:r>
              <w:rPr>
                <w:rFonts w:hint="eastAsia" w:ascii="仿宋_GB2312" w:hAnsi="仿宋_GB2312" w:eastAsia="仿宋_GB2312" w:cs="仿宋_GB2312"/>
                <w:szCs w:val="21"/>
              </w:rPr>
              <w:t xml:space="preserve">按计划要求组织各类安全预案及演练</w:t>
            </w:r>
            <w:r>
              <w:rPr>
                <w:rFonts w:hint="eastAsia" w:ascii="仿宋_GB2312" w:hAnsi="仿宋_GB2312" w:eastAsia="仿宋_GB2312" w:cs="仿宋_GB2312"/>
                <w:szCs w:val="21"/>
              </w:rPr>
              <w:t xml:space="preserve">，发现一次扣5分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06"/>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员工上岗前未购买足额的意外险</w:t>
            </w:r>
            <w:r>
              <w:rPr>
                <w:rFonts w:hint="eastAsia" w:ascii="仿宋_GB2312" w:hAnsi="仿宋_GB2312" w:eastAsia="仿宋_GB2312" w:cs="仿宋_GB2312"/>
                <w:szCs w:val="21"/>
              </w:rPr>
              <w:t xml:space="preserve">，发现一次扣10分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10"/>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仪容</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仪表</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未按合同要求配备工作服的，发现一次扣2分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未按规定统一着装、佩戴工号牌等，仪容仪表不整洁，发现一次扣1分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回答问题不热情、不讲文明礼貌用语、不说普通话，发现一次扣1分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劳动</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纪律</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上班迟到、早退，未做好交接班工作，发现一次扣1分 </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人员出勤率未达95%以上的，</w:t>
            </w:r>
            <w:r>
              <w:rPr>
                <w:rFonts w:hint="eastAsia" w:ascii="仿宋_GB2312" w:hAnsi="仿宋_GB2312" w:eastAsia="仿宋_GB2312" w:cs="仿宋_GB2312"/>
                <w:szCs w:val="21"/>
              </w:rPr>
              <w:t xml:space="preserve">发生</w:t>
            </w:r>
            <w:r>
              <w:rPr>
                <w:rFonts w:hint="eastAsia" w:ascii="仿宋_GB2312" w:hAnsi="仿宋_GB2312" w:eastAsia="仿宋_GB2312" w:cs="仿宋_GB2312"/>
                <w:szCs w:val="21"/>
              </w:rPr>
              <w:t xml:space="preserve">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人员离岗率超过10%</w:t>
            </w:r>
            <w:r>
              <w:rPr>
                <w:rFonts w:hint="eastAsia" w:ascii="仿宋_GB2312" w:hAnsi="仿宋_GB2312" w:eastAsia="仿宋_GB2312" w:cs="仿宋_GB2312"/>
                <w:szCs w:val="21"/>
              </w:rPr>
              <w:t xml:space="preserve">，发生一次扣2分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员工离职未及时上报，</w:t>
            </w:r>
            <w:r>
              <w:rPr>
                <w:rFonts w:hint="eastAsia" w:ascii="仿宋_GB2312" w:hAnsi="仿宋_GB2312" w:eastAsia="仿宋_GB2312" w:cs="仿宋_GB2312"/>
                <w:szCs w:val="21"/>
              </w:rPr>
              <w:t xml:space="preserve">发现一次扣2分 </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人员无故缺勤，发现一次扣3分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当班时聚众聊天，睡岗，串岗，脱岗，发现一次扣2分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员工有盗窃、失密等违法乱纪行为，当事员工应解除合同，情节严重按相关法规处理。</w:t>
            </w:r>
            <w:r>
              <w:rPr>
                <w:rFonts w:hint="eastAsia" w:ascii="仿宋_GB2312" w:hAnsi="仿宋_GB2312" w:eastAsia="仿宋_GB2312" w:cs="仿宋_GB2312"/>
                <w:szCs w:val="21"/>
              </w:rPr>
              <w:t xml:space="preserve">未及时处理的，发现一次扣5分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不服从管理人员指挥的，发现一次扣1分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4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饲养小动物的，发现一次扣2分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w:t>
            </w:r>
            <w:r>
              <w:rPr>
                <w:rFonts w:hint="eastAsia" w:ascii="仿宋_GB2312" w:hAnsi="仿宋_GB2312" w:eastAsia="仿宋_GB2312" w:cs="仿宋_GB2312"/>
                <w:szCs w:val="21"/>
                <w:lang w:bidi="zh-CN"/>
              </w:rPr>
              <w:t xml:space="preserve">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发生责任性投诉，发现一次扣10分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17</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保洁</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保洁区域每天打扫不及时的；保洁区域有杂物、有异味，发现一次扣1分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蚊蝇、蛛网未及时清理；地面有积水、脚印、污迹，烟头、纸屑等杂物；墙面、柱面、墙角、门窗有灰尘；洗手池、台面、镜面有污垢、有水迹，发现一次扣1分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19</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保洁</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大、小便器有积便、污垢和水锈，洗手间门及门套、坐便器、窗台、镜子玻璃、纸巾架、开关等有手印、有灰尘、有水渍，发现一次扣1分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垃圾房及垃圾桶每天未定时清洁，有异味；垃圾桶未套垃圾袋或垃圾超过三分之二，发现一次扣1分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清洁工具摆放随意，发现一次扣1分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设施和设备有灰尘，有破损；发现损坏未及时报修（管理员），发现一次扣1分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卫生包干区内草坪落叶未及时清理，草坪内有白色垃圾等，发现一次扣1分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如地面潮湿，门厅、台阶等视情况未及时放置“小心地滑”指示牌，发现一次扣1分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在收费站道口保洁时，未着反光背心，未遵守“一停、二看、三通过”和“四不通过”规定，发现一次扣5分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水电</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安保</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上岗期间未携带电工证或电工证不在有效期内，发现一次扣5分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掌握电气安全知识掌握熟练度不够，未严格遵守各项规章制度和操作规程，发现一次扣2分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严禁将闲杂人员带入配电房等带电场所，未按规定进行治安保卫巡逻，做好防火、防盗、防破坏、防事故工作，发现一次扣2分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未认真履行交接手续，未按规定填写交接和当班记录，交接班未做到“五清三交接”，即：五清：看清、讲清、问清、查清、点清，三交接：图板交接、现场交接、实物交接，发现一次扣1分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发生电气突发事件时，未及时进行应急处置，发现一次扣2分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每月末对消防设施设备未进行检查，未能熟悉掌握基本消防器械的使用方法，发现一次扣2分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各类消防器材及各类设施、设备未定期巡检维保，发现损坏未及时上报，发现一次扣2分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各排水设施堵塞；其他设施设备损坏维修响应不及时；日常维修记录不清晰，发现一处扣2分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未履行岗位责任制，不熟悉区域环境，未按要求规定文明巡查的，发现一次扣1分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不熟练操作监控及消防设备，对管理区域内的安全情况不熟悉，未定期检查；发生报警后，未在5分钟之内达到现场并上报，发现一次扣5分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未按要求严格检查进出的货物，发现一次扣1分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晚班人员在工作时间内出现睡觉、玩手机等做与工作无关的事，发现一次扣1分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39</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水电</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安保</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未对各种车辆进行有序管理安排，无专人指挥、未及时疏导，有堵塞交通，影响行人通行，发现一次扣1分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未按规定开、关照明设施、边门、侧门、正门等，发现一次扣1分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未按规定对进出车辆或者人员进行登记的，发现一次扣1分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按规定进行定时巡查，发现可疑情况及人员或不安全因素，严密监视并及时上报，发现一次扣2分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严禁在值班室、设备房（间）等禁烟场所吸烟，发现一次扣2分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驾驶</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酒后驾驶车辆，</w:t>
            </w:r>
            <w:r>
              <w:rPr>
                <w:rFonts w:hint="eastAsia" w:ascii="仿宋_GB2312" w:hAnsi="仿宋_GB2312" w:eastAsia="仿宋_GB2312" w:cs="仿宋_GB2312"/>
                <w:szCs w:val="21"/>
              </w:rPr>
              <w:t xml:space="preserve">发现一次扣35分，相关责任人</w:t>
            </w:r>
            <w:r>
              <w:rPr>
                <w:rFonts w:hint="eastAsia" w:ascii="仿宋_GB2312" w:hAnsi="仿宋_GB2312" w:eastAsia="仿宋_GB2312" w:cs="仿宋_GB2312"/>
                <w:szCs w:val="21"/>
              </w:rPr>
              <w:t xml:space="preserve">立即清理出本合同服务名册</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机动车驾驶证不在有效期内，或上岗期间未携带驾驶证，发现一次扣3分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无故不参加安全学习，发现一次扣2分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不按照规定在指定地点停车过夜，发现一次扣3分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未履行审批手续私自用车，擅自动用车辆，发现一次扣5分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发生交通事故负责任（主责），发现一次扣10分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安全警示牌不完整或不在车上、随车灭火器失效或无灭火器，发现一次扣2分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驾驶机动车出现违规，违章行为，接收到处罚的，发现一次扣1分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车辆外观有明显遮挡、车牌照不清晰、影响单位形象的，发现一次扣1分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餐饮</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严禁食物中毒事件发生，发现一次扣35分，相关责任人</w:t>
            </w:r>
            <w:r>
              <w:rPr>
                <w:rFonts w:hint="eastAsia" w:ascii="仿宋_GB2312" w:hAnsi="仿宋_GB2312" w:eastAsia="仿宋_GB2312" w:cs="仿宋_GB2312"/>
                <w:szCs w:val="21"/>
              </w:rPr>
              <w:t xml:space="preserve">立即清理出本合同服务名册</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食堂工作人员未持有效食品从业人员健康证上岗，发现一次扣5分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出现食品原料不符合食品卫生标准，有毒有害、过期及腐烂变质的情况，发现一次扣5分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接收无合格证明的肉类及无卫生许可证的经营者供应的食品，未实行索证制度，无货物清单，无供货方与收货方签字，发现一次扣3分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食品未分类储存，生熟未分开，食品加工后，各种设备未及时清洗、消毒，乱堆乱放的，发现一次扣3分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58</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餐饮</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食品未实行留样制度，未用专柜专盒存放，留样食品少于48小时，发现一次扣2分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厨房间地面、水池、灶台、桌面不及时清洗，脏乱有污垢的，排污排水未定期清洁，有污渍、有异味，发现一次扣1分。刀具、砧板生熟未分开的，发现一次扣1分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厨房间内有霉斑、鼠迹、苍蝇、蟑螂等不及时处理的，发现一次扣2分；无防疫措施的，发现一次扣1分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在厨房间内存放有毒有害物品的；发现一次扣5分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在厨房间存放个人生活用品的；发现一次扣2分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食品加工、清洗、消毒区域未分开，且无明显标识的，发现一次扣2分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杀虫剂、消杀的物品、清洗剂、消毒剂等有毒有害物品未单独入柜存放的，发现一次扣2分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食堂工作人员未按照规范操作设备，造成火灾等安全事故的，发现一次扣10分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每周开展食堂安全隐患排查，排查治理食堂电气设备、消防器材、食品卫生等安全隐患，未按时进行排查的，发现一次扣5分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未按时为员工提供饭菜，扣5分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饭菜花色品种单一，未能根据员工口味进行调整，成品浪费，情节严重的，发现一次扣5分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安全</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管理</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严格遵守安全生产相关法律法规以及采购人安全管理相关制度，未遵守的，发现一次扣5分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不得和来访人员（同事）闹无原则纠纷，发现一次扣5分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未履行岗位安全职责，发现一次扣5分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严禁乱接、乱拉电源，使用电水壶、电磁炉、电饭锅、电热毯、煤气罐等不安全设施设备，发现一次扣5分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其他影响安全生产的行为（发现一次扣2-10分）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bl>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left="480" w:hanging="480"/>
        <w:spacing w:before="120" w:after="120" w:line="580" w:lineRule="exact"/>
        <w:rPr>
          <w:rFonts w:hint="eastAsia" w:ascii="黑体" w:hAnsi="黑体" w:eastAsia="黑体" w:cs="方正黑体_GBK"/>
          <w:sz w:val="32"/>
          <w:szCs w:val="32"/>
        </w:rPr>
      </w:pPr>
      <w:r>
        <w:rPr>
          <w:rFonts w:hint="eastAsia" w:ascii="黑体" w:hAnsi="黑体" w:eastAsia="黑体" w:cs="方正黑体_GBK"/>
          <w:sz w:val="32"/>
          <w:szCs w:val="32"/>
        </w:rPr>
      </w:r>
      <w:r/>
    </w:p>
    <w:p>
      <w:pPr>
        <w:ind w:left="480" w:hanging="480"/>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附件2</w:t>
      </w:r>
      <w:r/>
    </w:p>
    <w:p>
      <w:pPr>
        <w:jc w:val="center"/>
        <w:spacing w:line="580" w:lineRule="exact"/>
        <w:rPr>
          <w:rFonts w:hint="eastAsia" w:ascii="微软雅黑" w:hAnsi="宋体" w:eastAsia="微软雅黑"/>
          <w:bCs/>
          <w:sz w:val="44"/>
          <w:szCs w:val="44"/>
        </w:rPr>
      </w:pPr>
      <w:r>
        <w:rPr>
          <w:rFonts w:hint="eastAsia" w:ascii="微软雅黑" w:hAnsi="宋体" w:eastAsia="微软雅黑"/>
          <w:bCs/>
          <w:sz w:val="32"/>
          <w:szCs w:val="32"/>
        </w:rPr>
        <w:t xml:space="preserve">安全管理合同</w:t>
      </w:r>
      <w:r/>
    </w:p>
    <w:p>
      <w:pPr>
        <w:pStyle w:val="853"/>
        <w:ind w:firstLine="480"/>
        <w:spacing w:before="120" w:after="120"/>
        <w:rPr>
          <w:rFonts w:hint="eastAsia" w:hAnsi="宋体"/>
          <w:sz w:val="24"/>
          <w:szCs w:val="24"/>
        </w:rPr>
      </w:pPr>
      <w:r>
        <w:rPr>
          <w:rFonts w:hint="eastAsia" w:hAnsi="宋体" w:cs="Times New Roman"/>
          <w:sz w:val="24"/>
          <w:szCs w:val="24"/>
        </w:rPr>
        <w:t xml:space="preserve">甲方：                   （以下简称甲方）</w:t>
      </w:r>
      <w:r/>
    </w:p>
    <w:p>
      <w:pPr>
        <w:pStyle w:val="853"/>
        <w:ind w:firstLine="480"/>
        <w:spacing w:before="120" w:after="120"/>
        <w:rPr>
          <w:rFonts w:hint="eastAsia" w:hAnsi="宋体"/>
          <w:sz w:val="24"/>
          <w:szCs w:val="24"/>
        </w:rPr>
      </w:pPr>
      <w:r>
        <w:rPr>
          <w:rFonts w:hint="eastAsia" w:hAnsi="宋体" w:cs="Times New Roman"/>
          <w:sz w:val="24"/>
          <w:szCs w:val="24"/>
        </w:rPr>
        <w:t xml:space="preserve">乙方：                   （以下简称乙方）</w:t>
      </w:r>
      <w:r/>
    </w:p>
    <w:p>
      <w:pPr>
        <w:pStyle w:val="853"/>
        <w:ind w:firstLine="480"/>
        <w:spacing w:before="120" w:after="120"/>
        <w:rPr>
          <w:rFonts w:hint="eastAsia" w:hAnsi="宋体"/>
          <w:sz w:val="24"/>
          <w:szCs w:val="24"/>
        </w:rPr>
      </w:pPr>
      <w:r>
        <w:rPr>
          <w:rFonts w:hint="eastAsia" w:hAnsi="宋体" w:cs="Times New Roman"/>
          <w:sz w:val="24"/>
          <w:szCs w:val="24"/>
        </w:rPr>
        <w:t xml:space="preserve">为贯彻“安全第一，预防为主，综合治理”的方针，确保运作安全，明确双方的安全责任，根据国家有关法规，经双方协商达成如下协议：</w:t>
      </w:r>
      <w:r/>
    </w:p>
    <w:p>
      <w:pPr>
        <w:pStyle w:val="853"/>
        <w:ind w:firstLine="480"/>
        <w:spacing w:before="120" w:after="120"/>
        <w:rPr>
          <w:rFonts w:hint="eastAsia" w:hAnsi="宋体"/>
          <w:sz w:val="24"/>
          <w:szCs w:val="24"/>
        </w:rPr>
      </w:pPr>
      <w:r>
        <w:rPr>
          <w:rFonts w:hint="eastAsia" w:hAnsi="宋体" w:cs="Times New Roman"/>
          <w:sz w:val="24"/>
          <w:szCs w:val="24"/>
        </w:rPr>
        <w:t xml:space="preserve">1.合同实施前，乙方加强本单位的安全管理，在人员上岗前及工作过程中，均应向相关作业人员进行安全交底，告知安全风险，督促员工严格遵守安全操作规程及安全管理方面的制度和要求。</w:t>
      </w:r>
      <w:r/>
    </w:p>
    <w:p>
      <w:pPr>
        <w:pStyle w:val="853"/>
        <w:ind w:firstLine="480"/>
        <w:spacing w:before="120" w:after="120"/>
        <w:rPr>
          <w:rFonts w:hint="eastAsia" w:hAnsi="宋体"/>
          <w:sz w:val="24"/>
          <w:szCs w:val="24"/>
        </w:rPr>
      </w:pPr>
      <w:r>
        <w:rPr>
          <w:rFonts w:hint="eastAsia" w:hAnsi="宋体" w:cs="Times New Roman"/>
          <w:sz w:val="24"/>
          <w:szCs w:val="24"/>
        </w:rPr>
        <w:t xml:space="preserve">2.乙方参与合同执行的所有员工在甲方工作场所内，应遵守甲方有关安全生产的规章制度，服从甲方的安全管理，按照要求做好必要的劳动保护工作。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3.乙方自行负责其员工上下班及食宿，并确保其工作人员的安全；乙方人员工作期间非因甲方原因造成自己或其他人员人身财产损失、人员伤亡的，由乙方全面负责，甲方不承担任何责任。</w:t>
      </w:r>
      <w:r/>
    </w:p>
    <w:p>
      <w:pPr>
        <w:pStyle w:val="853"/>
        <w:ind w:firstLine="480"/>
        <w:spacing w:before="120" w:after="120"/>
        <w:rPr>
          <w:rFonts w:hint="eastAsia" w:hAnsi="宋体"/>
          <w:sz w:val="24"/>
          <w:szCs w:val="24"/>
        </w:rPr>
      </w:pPr>
      <w:r>
        <w:rPr>
          <w:rFonts w:hint="eastAsia" w:hAnsi="宋体" w:cs="Times New Roman"/>
          <w:sz w:val="24"/>
          <w:szCs w:val="24"/>
        </w:rPr>
        <w:t xml:space="preserve">4.因乙方原因导致甲方财产或第三人人身受到损失的，由此产生的一切损失均由乙方承担。</w:t>
      </w:r>
      <w:r/>
    </w:p>
    <w:p>
      <w:pPr>
        <w:pStyle w:val="853"/>
        <w:ind w:firstLine="480"/>
        <w:spacing w:before="120" w:after="120"/>
        <w:rPr>
          <w:rFonts w:hint="eastAsia" w:hAnsi="宋体"/>
          <w:sz w:val="24"/>
          <w:szCs w:val="24"/>
        </w:rPr>
      </w:pPr>
      <w:r>
        <w:rPr>
          <w:rFonts w:hint="eastAsia" w:hAnsi="宋体" w:cs="Times New Roman"/>
          <w:sz w:val="24"/>
          <w:szCs w:val="24"/>
        </w:rPr>
        <w:t xml:space="preserve">5.按照“谁主管谁负责”的原则，乙方履行合约期间，因乙方人员导致的安全事故，造成甲方财产或第三人人身受到损失的，均由乙方承担，甲方不承担任何连带责任。如给甲方造成损失的，须按实际损失进行赔偿。</w:t>
      </w:r>
      <w:r/>
    </w:p>
    <w:p>
      <w:pPr>
        <w:pStyle w:val="853"/>
        <w:ind w:firstLine="480"/>
        <w:spacing w:before="120" w:after="120"/>
        <w:rPr>
          <w:sz w:val="24"/>
          <w:szCs w:val="24"/>
        </w:rPr>
      </w:pPr>
      <w:r>
        <w:rPr>
          <w:rFonts w:hint="eastAsia" w:hAnsi="宋体" w:cs="Times New Roman"/>
          <w:sz w:val="24"/>
          <w:szCs w:val="24"/>
        </w:rPr>
        <w:t xml:space="preserve">6.乙方参加物业服务的实施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pStyle w:val="853"/>
        <w:ind w:firstLine="480"/>
        <w:spacing w:before="120" w:after="120"/>
        <w:rPr>
          <w:sz w:val="24"/>
          <w:szCs w:val="24"/>
        </w:rPr>
      </w:pPr>
      <w:r>
        <w:rPr>
          <w:rFonts w:hint="eastAsia" w:hAnsi="宋体" w:cs="Times New Roman"/>
          <w:sz w:val="24"/>
          <w:szCs w:val="24"/>
        </w:rPr>
        <w:t xml:space="preserve">7.本合同作为《***********》的附件，与该合同具有同等的法律效力，经双方在合同签署后一并生效。</w:t>
      </w:r>
      <w:r/>
    </w:p>
    <w:p>
      <w:pPr>
        <w:pStyle w:val="853"/>
        <w:ind w:firstLine="480"/>
        <w:jc w:val="left"/>
        <w:spacing w:before="120" w:after="120"/>
        <w:rPr>
          <w:rFonts w:hint="eastAsia" w:hAnsi="宋体" w:cs="Times New Roman"/>
          <w:sz w:val="24"/>
          <w:szCs w:val="24"/>
        </w:rPr>
      </w:pPr>
      <w:r>
        <w:rPr>
          <w:rFonts w:hint="eastAsia" w:hAnsi="宋体" w:cs="Times New Roman"/>
          <w:sz w:val="24"/>
          <w:szCs w:val="24"/>
        </w:rPr>
      </w:r>
      <w:r/>
    </w:p>
    <w:p>
      <w:pPr>
        <w:spacing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br w:type="page" w:clear="all"/>
      </w:r>
      <w:r/>
    </w:p>
    <w:p>
      <w:pPr>
        <w:ind w:left="480" w:hanging="480"/>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附件3</w:t>
      </w:r>
      <w:r/>
    </w:p>
    <w:p>
      <w:pPr>
        <w:jc w:val="center"/>
        <w:spacing w:line="580" w:lineRule="exact"/>
        <w:rPr>
          <w:rFonts w:ascii="微软雅黑" w:eastAsia="微软雅黑"/>
          <w:sz w:val="32"/>
          <w:szCs w:val="32"/>
        </w:rPr>
      </w:pPr>
      <w:r>
        <w:rPr>
          <w:rFonts w:hint="eastAsia" w:ascii="微软雅黑" w:eastAsia="微软雅黑"/>
          <w:sz w:val="32"/>
          <w:szCs w:val="32"/>
        </w:rPr>
        <w:t xml:space="preserve">廉 政 合 同</w:t>
      </w:r>
      <w:r/>
    </w:p>
    <w:p>
      <w:pPr>
        <w:jc w:val="center"/>
        <w:spacing w:line="580" w:lineRule="exact"/>
        <w:rPr>
          <w:rFonts w:ascii="仿宋_GB2312" w:eastAsia="仿宋_GB2312"/>
          <w:b/>
          <w:sz w:val="28"/>
          <w:szCs w:val="28"/>
        </w:rPr>
      </w:pPr>
      <w:r>
        <w:rPr>
          <w:rFonts w:ascii="仿宋_GB2312" w:eastAsia="仿宋_GB2312"/>
          <w:b/>
          <w:sz w:val="28"/>
          <w:szCs w:val="28"/>
        </w:rPr>
      </w:r>
      <w:r/>
    </w:p>
    <w:p>
      <w:pPr>
        <w:ind w:firstLine="480"/>
        <w:rPr>
          <w:rFonts w:hint="eastAsia" w:ascii="宋体" w:hAnsi="宋体"/>
          <w:sz w:val="24"/>
          <w:szCs w:val="24"/>
        </w:rPr>
      </w:pPr>
      <w:r>
        <w:rPr>
          <w:rFonts w:hint="eastAsia" w:ascii="宋体" w:hAnsi="宋体"/>
          <w:sz w:val="24"/>
          <w:szCs w:val="24"/>
        </w:rPr>
        <w:t xml:space="preserve">根据高管中心廉政建设相关规定，为做好物业服务项目中的党风廉政建设，保证物业服务采购高效优质以及采购资金的安全和有效使用，经友好协商，**********（以下简称“甲方”）和************* （以下简称“乙方”）就委托实施*************项目，订立如下合同：</w:t>
      </w:r>
      <w:r/>
    </w:p>
    <w:p>
      <w:pPr>
        <w:ind w:firstLine="482"/>
        <w:rPr>
          <w:rFonts w:hint="eastAsia" w:ascii="宋体" w:hAnsi="宋体"/>
          <w:sz w:val="24"/>
          <w:szCs w:val="24"/>
        </w:rPr>
      </w:pPr>
      <w:r>
        <w:rPr>
          <w:rFonts w:hint="eastAsia" w:ascii="宋体" w:hAnsi="宋体"/>
          <w:sz w:val="24"/>
          <w:szCs w:val="24"/>
        </w:rPr>
        <w:t xml:space="preserve">一、甲乙双方的权利和义务</w:t>
      </w:r>
      <w:r/>
    </w:p>
    <w:p>
      <w:pPr>
        <w:ind w:firstLine="480"/>
        <w:rPr>
          <w:rFonts w:hint="eastAsia" w:ascii="宋体" w:hAnsi="宋体"/>
          <w:sz w:val="24"/>
          <w:szCs w:val="24"/>
        </w:rPr>
      </w:pPr>
      <w:r>
        <w:rPr>
          <w:rFonts w:hint="eastAsia" w:ascii="宋体" w:hAnsi="宋体"/>
          <w:sz w:val="24"/>
          <w:szCs w:val="24"/>
        </w:rPr>
        <w:t xml:space="preserve">1、严格遵守党的政策规定和国家有关法律法规。</w:t>
      </w:r>
      <w:r/>
    </w:p>
    <w:p>
      <w:pPr>
        <w:ind w:firstLine="480"/>
        <w:rPr>
          <w:rFonts w:hint="eastAsia" w:ascii="宋体" w:hAnsi="宋体"/>
          <w:sz w:val="24"/>
          <w:szCs w:val="24"/>
        </w:rPr>
      </w:pPr>
      <w:r>
        <w:rPr>
          <w:rFonts w:hint="eastAsia" w:ascii="宋体" w:hAnsi="宋体"/>
          <w:sz w:val="24"/>
          <w:szCs w:val="24"/>
        </w:rPr>
        <w:t xml:space="preserve">2、严格执行合同文件，自觉按合同办事。</w:t>
      </w:r>
      <w:r/>
    </w:p>
    <w:p>
      <w:pPr>
        <w:ind w:firstLine="480"/>
        <w:rPr>
          <w:rFonts w:hint="eastAsia" w:ascii="宋体" w:hAnsi="宋体"/>
          <w:sz w:val="24"/>
          <w:szCs w:val="24"/>
        </w:rPr>
      </w:pPr>
      <w:r>
        <w:rPr>
          <w:rFonts w:hint="eastAsia" w:ascii="宋体" w:hAnsi="宋体"/>
          <w:sz w:val="24"/>
          <w:szCs w:val="24"/>
        </w:rPr>
        <w:t xml:space="preserve">3、双方的业务活动坚持公开、公正、诚信、透明的原则（法律认定的商业秘密和合同文件另有规定除外），不得损害国家和集体利益，违反货物采购管理规章制度。</w:t>
      </w:r>
      <w:r/>
    </w:p>
    <w:p>
      <w:pPr>
        <w:ind w:firstLine="480"/>
        <w:rPr>
          <w:rFonts w:hint="eastAsia" w:ascii="宋体" w:hAnsi="宋体"/>
          <w:sz w:val="24"/>
          <w:szCs w:val="24"/>
        </w:rPr>
      </w:pPr>
      <w:r>
        <w:rPr>
          <w:rFonts w:hint="eastAsia" w:ascii="宋体" w:hAnsi="宋体"/>
          <w:sz w:val="24"/>
          <w:szCs w:val="24"/>
        </w:rPr>
        <w:t xml:space="preserve">4、建立健全廉政制度，开展廉政教育，公布举报电话，监督并认真查处违法违纪行为。</w:t>
      </w:r>
      <w:r/>
    </w:p>
    <w:p>
      <w:pPr>
        <w:ind w:firstLine="480"/>
        <w:rPr>
          <w:rFonts w:hint="eastAsia" w:ascii="宋体" w:hAnsi="宋体"/>
          <w:sz w:val="24"/>
          <w:szCs w:val="24"/>
        </w:rPr>
      </w:pPr>
      <w:r>
        <w:rPr>
          <w:rFonts w:hint="eastAsia" w:ascii="宋体" w:hAnsi="宋体"/>
          <w:sz w:val="24"/>
          <w:szCs w:val="24"/>
        </w:rPr>
        <w:t xml:space="preserve">5、发现对方在业务活动中有违反廉政规定的行为，有及时提醒对方纠正的权利和义务。</w:t>
      </w:r>
      <w:r/>
    </w:p>
    <w:p>
      <w:pPr>
        <w:ind w:firstLine="480"/>
        <w:rPr>
          <w:rFonts w:hint="eastAsia" w:ascii="宋体" w:hAnsi="宋体"/>
          <w:sz w:val="24"/>
          <w:szCs w:val="24"/>
        </w:rPr>
      </w:pPr>
      <w:r>
        <w:rPr>
          <w:rFonts w:hint="eastAsia" w:ascii="宋体" w:hAnsi="宋体"/>
          <w:sz w:val="24"/>
          <w:szCs w:val="24"/>
        </w:rPr>
        <w:t xml:space="preserve">6、发现对方严重违反合同义务条款的行为，有向其上级有关部门举报、建议给予处理并要求告知处理结果的权利。</w:t>
      </w:r>
      <w:r/>
    </w:p>
    <w:p>
      <w:pPr>
        <w:ind w:firstLine="482"/>
        <w:rPr>
          <w:rFonts w:hint="eastAsia" w:ascii="宋体" w:hAnsi="宋体"/>
          <w:sz w:val="24"/>
          <w:szCs w:val="24"/>
        </w:rPr>
      </w:pPr>
      <w:r>
        <w:rPr>
          <w:rFonts w:hint="eastAsia" w:ascii="宋体" w:hAnsi="宋体"/>
          <w:sz w:val="24"/>
          <w:szCs w:val="24"/>
        </w:rPr>
        <w:t xml:space="preserve">二、甲方义务</w:t>
      </w:r>
      <w:r/>
    </w:p>
    <w:p>
      <w:pPr>
        <w:ind w:firstLine="480"/>
        <w:rPr>
          <w:rFonts w:hint="eastAsia" w:ascii="宋体" w:hAnsi="宋体"/>
          <w:sz w:val="24"/>
          <w:szCs w:val="24"/>
        </w:rPr>
      </w:pPr>
      <w:r>
        <w:rPr>
          <w:rFonts w:hint="eastAsia" w:ascii="宋体" w:hAnsi="宋体"/>
          <w:sz w:val="24"/>
          <w:szCs w:val="24"/>
        </w:rPr>
        <w:t xml:space="preserve">1、甲方及其工作人员不得索要或接受乙方的礼金、有价证券和贵重物品，不得在乙方报销任何应由甲方或甲方工作人员个人支付的费用等。</w:t>
      </w:r>
      <w:r/>
    </w:p>
    <w:p>
      <w:pPr>
        <w:ind w:firstLine="480"/>
        <w:rPr>
          <w:rFonts w:hint="eastAsia" w:ascii="宋体" w:hAnsi="宋体"/>
          <w:sz w:val="24"/>
          <w:szCs w:val="24"/>
        </w:rPr>
      </w:pPr>
      <w:r>
        <w:rPr>
          <w:rFonts w:hint="eastAsia" w:ascii="宋体" w:hAnsi="宋体"/>
          <w:sz w:val="24"/>
          <w:szCs w:val="24"/>
        </w:rPr>
        <w:t xml:space="preserve">2、甲方工作人员不得参加乙方安排的超标准宴请和娱乐活动；不得接受乙方提供的通讯工具、交通工具和高档办公用品等。</w:t>
      </w:r>
      <w:r/>
    </w:p>
    <w:p>
      <w:pPr>
        <w:ind w:firstLine="480"/>
        <w:rPr>
          <w:rFonts w:hint="eastAsia" w:ascii="宋体" w:hAnsi="宋体"/>
          <w:sz w:val="24"/>
          <w:szCs w:val="24"/>
        </w:rPr>
      </w:pPr>
      <w:r>
        <w:rPr>
          <w:rFonts w:hint="eastAsia" w:ascii="宋体" w:hAnsi="宋体"/>
          <w:sz w:val="24"/>
          <w:szCs w:val="24"/>
        </w:rPr>
        <w:t xml:space="preserve">3、甲方及其工作人员不得要求或者接受乙方为其住房装修、婚丧嫁娶活动、配偶子女的工作安排以及出国出境、旅游等提供方便等。</w:t>
      </w:r>
      <w:r/>
    </w:p>
    <w:p>
      <w:pPr>
        <w:ind w:firstLine="480"/>
        <w:rPr>
          <w:rFonts w:hint="eastAsia" w:ascii="宋体" w:hAnsi="宋体"/>
          <w:sz w:val="24"/>
          <w:szCs w:val="24"/>
        </w:rPr>
      </w:pPr>
      <w:r>
        <w:rPr>
          <w:rFonts w:hint="eastAsia" w:ascii="宋体" w:hAnsi="宋体"/>
          <w:sz w:val="24"/>
          <w:szCs w:val="24"/>
        </w:rPr>
        <w:t xml:space="preserve">4、甲方工作人员及其配偶、子女不得从事与甲方采购项目有关的材料设备供应、工程分包、劳务等经济活动等。</w:t>
      </w:r>
      <w:r/>
    </w:p>
    <w:p>
      <w:pPr>
        <w:ind w:firstLine="480"/>
        <w:rPr>
          <w:rFonts w:hint="eastAsia" w:ascii="宋体" w:hAnsi="宋体"/>
          <w:sz w:val="24"/>
          <w:szCs w:val="24"/>
        </w:rPr>
      </w:pPr>
      <w:r>
        <w:rPr>
          <w:rFonts w:hint="eastAsia" w:ascii="宋体" w:hAnsi="宋体"/>
          <w:sz w:val="24"/>
          <w:szCs w:val="24"/>
        </w:rPr>
        <w:t xml:space="preserve">5、甲方及其工作人员不得以任何理由向乙方推荐分包单位或推销材料，不得要求乙方购买合同规定外的材料和设备。</w:t>
      </w:r>
      <w:r/>
    </w:p>
    <w:p>
      <w:pPr>
        <w:ind w:firstLine="480"/>
        <w:rPr>
          <w:rFonts w:hint="eastAsia" w:ascii="宋体" w:hAnsi="宋体"/>
          <w:sz w:val="24"/>
          <w:szCs w:val="24"/>
        </w:rPr>
      </w:pPr>
      <w:r>
        <w:rPr>
          <w:rFonts w:hint="eastAsia" w:ascii="宋体" w:hAnsi="宋体"/>
          <w:sz w:val="24"/>
          <w:szCs w:val="24"/>
        </w:rPr>
        <w:t xml:space="preserve">6、甲方工作人员要秉公办事，不准营私舞弊，不准利用职权从事各种个人有偿中介活动和安排个人施工队伍。</w:t>
      </w:r>
      <w:r/>
    </w:p>
    <w:p>
      <w:pPr>
        <w:ind w:firstLine="482"/>
        <w:rPr>
          <w:rFonts w:hint="eastAsia" w:ascii="宋体" w:hAnsi="宋体"/>
          <w:sz w:val="24"/>
          <w:szCs w:val="24"/>
        </w:rPr>
      </w:pPr>
      <w:r>
        <w:rPr>
          <w:rFonts w:hint="eastAsia" w:ascii="宋体" w:hAnsi="宋体"/>
          <w:sz w:val="24"/>
          <w:szCs w:val="24"/>
        </w:rPr>
        <w:t xml:space="preserve">三、乙方义务</w:t>
      </w:r>
      <w:r/>
    </w:p>
    <w:p>
      <w:pPr>
        <w:ind w:firstLine="480"/>
        <w:rPr>
          <w:rFonts w:hint="eastAsia" w:ascii="宋体" w:hAnsi="宋体"/>
          <w:sz w:val="24"/>
          <w:szCs w:val="24"/>
        </w:rPr>
      </w:pPr>
      <w:r>
        <w:rPr>
          <w:rFonts w:hint="eastAsia" w:ascii="宋体" w:hAnsi="宋体"/>
          <w:sz w:val="24"/>
          <w:szCs w:val="24"/>
        </w:rPr>
        <w:t xml:space="preserve">1、乙方不得以任何理由向甲方及其工作人员行贿或馈赠礼金、有价证券、贵重礼品。</w:t>
      </w:r>
      <w:r/>
    </w:p>
    <w:p>
      <w:pPr>
        <w:ind w:firstLine="480"/>
        <w:rPr>
          <w:rFonts w:hint="eastAsia" w:ascii="宋体" w:hAnsi="宋体"/>
          <w:sz w:val="24"/>
          <w:szCs w:val="24"/>
        </w:rPr>
      </w:pPr>
      <w:r>
        <w:rPr>
          <w:rFonts w:hint="eastAsia" w:ascii="宋体" w:hAnsi="宋体"/>
          <w:sz w:val="24"/>
          <w:szCs w:val="24"/>
        </w:rPr>
        <w:t xml:space="preserve">2、乙方不得以任何名义为甲方及其工作人员报销应由甲方单位或个人支付的任何费用。</w:t>
      </w:r>
      <w:r/>
    </w:p>
    <w:p>
      <w:pPr>
        <w:ind w:firstLine="480"/>
        <w:rPr>
          <w:rFonts w:hint="eastAsia" w:ascii="宋体" w:hAnsi="宋体"/>
          <w:sz w:val="24"/>
          <w:szCs w:val="24"/>
        </w:rPr>
      </w:pPr>
      <w:r>
        <w:rPr>
          <w:rFonts w:hint="eastAsia" w:ascii="宋体" w:hAnsi="宋体"/>
          <w:sz w:val="24"/>
          <w:szCs w:val="24"/>
        </w:rPr>
        <w:t xml:space="preserve">3、乙方不得以任何理由安排甲方工作人员参加超标准宴请及娱乐活动。</w:t>
      </w:r>
      <w:r/>
    </w:p>
    <w:p>
      <w:pPr>
        <w:ind w:firstLine="480"/>
        <w:rPr>
          <w:rFonts w:hint="eastAsia" w:ascii="宋体" w:hAnsi="宋体"/>
          <w:sz w:val="24"/>
          <w:szCs w:val="24"/>
        </w:rPr>
      </w:pPr>
      <w:r>
        <w:rPr>
          <w:rFonts w:hint="eastAsia" w:ascii="宋体" w:hAnsi="宋体"/>
          <w:sz w:val="24"/>
          <w:szCs w:val="24"/>
        </w:rPr>
        <w:t xml:space="preserve">4、乙方不得为甲方单位和个人购置或提供通讯工具、交通工具和高档办公用品等。</w:t>
      </w:r>
      <w:r/>
    </w:p>
    <w:p>
      <w:pPr>
        <w:ind w:firstLine="482"/>
        <w:rPr>
          <w:rFonts w:hint="eastAsia" w:ascii="宋体" w:hAnsi="宋体"/>
          <w:sz w:val="24"/>
          <w:szCs w:val="24"/>
        </w:rPr>
      </w:pPr>
      <w:r>
        <w:rPr>
          <w:rFonts w:hint="eastAsia" w:ascii="宋体" w:hAnsi="宋体"/>
          <w:sz w:val="24"/>
          <w:szCs w:val="24"/>
        </w:rPr>
        <w:t xml:space="preserve">四、违约责任</w:t>
      </w:r>
      <w:r/>
    </w:p>
    <w:p>
      <w:pPr>
        <w:ind w:firstLine="480"/>
        <w:rPr>
          <w:rFonts w:hint="eastAsia" w:ascii="宋体" w:hAnsi="宋体"/>
          <w:sz w:val="24"/>
          <w:szCs w:val="24"/>
        </w:rPr>
      </w:pPr>
      <w:r>
        <w:rPr>
          <w:rFonts w:hint="eastAsia" w:ascii="宋体" w:hAnsi="宋体"/>
          <w:sz w:val="24"/>
          <w:szCs w:val="24"/>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rPr>
          <w:rFonts w:hint="eastAsia" w:ascii="宋体" w:hAnsi="宋体"/>
          <w:sz w:val="24"/>
          <w:szCs w:val="24"/>
        </w:rPr>
      </w:pPr>
      <w:r>
        <w:rPr>
          <w:rFonts w:hint="eastAsia" w:ascii="宋体" w:hAnsi="宋体"/>
          <w:sz w:val="24"/>
          <w:szCs w:val="24"/>
        </w:rPr>
        <w:t xml:space="preserve">2、乙方及其工作人员违反本合同第一、三条，按管理权限，依据有关规定给予党</w:t>
      </w:r>
      <w:r>
        <w:rPr>
          <w:rFonts w:hint="eastAsia" w:ascii="宋体" w:hAnsi="宋体"/>
          <w:sz w:val="24"/>
          <w:szCs w:val="24"/>
        </w:rPr>
        <w:t xml:space="preserve">纪、政纪组织处理；给甲方单位造成经济损失的，应予以赔偿。</w:t>
      </w:r>
      <w:r/>
    </w:p>
    <w:p>
      <w:pPr>
        <w:ind w:firstLine="480"/>
        <w:rPr>
          <w:rFonts w:hint="eastAsia" w:ascii="宋体" w:hAnsi="宋体"/>
          <w:sz w:val="24"/>
          <w:szCs w:val="24"/>
        </w:rPr>
      </w:pPr>
      <w:r>
        <w:rPr>
          <w:rFonts w:hint="eastAsia" w:ascii="宋体" w:hAnsi="宋体"/>
          <w:sz w:val="24"/>
          <w:szCs w:val="24"/>
        </w:rPr>
        <w:t xml:space="preserve">3、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rPr>
          <w:rFonts w:hint="eastAsia" w:ascii="宋体" w:hAnsi="宋体"/>
          <w:sz w:val="24"/>
          <w:szCs w:val="24"/>
        </w:rPr>
      </w:pPr>
      <w:r>
        <w:rPr>
          <w:rFonts w:hint="eastAsia" w:ascii="宋体" w:hAnsi="宋体"/>
          <w:sz w:val="24"/>
          <w:szCs w:val="24"/>
        </w:rPr>
        <w:t xml:space="preserve">4、本合同作为《*************》的附件，与该合同具有同等的法律效力，经双方在物业服务合同签署后一并生效。</w:t>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jc w:val="center"/>
        <w:keepNext/>
        <w:rPr>
          <w:rFonts w:ascii="黑体" w:eastAsia="黑体"/>
          <w:bCs/>
          <w:sz w:val="44"/>
          <w:szCs w:val="28"/>
        </w:rPr>
        <w:outlineLvl w:val="0"/>
      </w:pPr>
      <w:r/>
      <w:bookmarkStart w:id="139" w:name="_Toc233383229"/>
      <w:r/>
      <w:bookmarkEnd w:id="137"/>
      <w:r/>
      <w:bookmarkEnd w:id="138"/>
      <w:r>
        <w:rPr>
          <w:rFonts w:hint="eastAsia" w:ascii="黑体" w:eastAsia="黑体"/>
          <w:bCs/>
          <w:sz w:val="44"/>
          <w:szCs w:val="28"/>
        </w:rPr>
        <w:t xml:space="preserve">第四章  采购需求</w:t>
      </w:r>
      <w:bookmarkEnd w:id="139"/>
      <w:r/>
      <w:r/>
    </w:p>
    <w:p>
      <w:pPr>
        <w:jc w:val="left"/>
        <w:keepNext/>
        <w:rPr>
          <w:rFonts w:ascii="黑体" w:eastAsia="黑体"/>
          <w:bCs/>
          <w:sz w:val="32"/>
          <w:szCs w:val="32"/>
        </w:rPr>
        <w:outlineLvl w:val="0"/>
      </w:pPr>
      <w:r>
        <w:rPr>
          <w:rFonts w:hint="eastAsia" w:ascii="黑体" w:eastAsia="黑体"/>
          <w:bCs/>
          <w:sz w:val="32"/>
          <w:szCs w:val="32"/>
        </w:rPr>
        <w:t xml:space="preserve">采购包1：</w:t>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2026年-2027年通启高速管理处物业服务采购</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eastAsia="en-US"/>
              </w:rPr>
            </w:pPr>
            <w:r>
              <w:rPr>
                <w:rFonts w:hint="eastAsia" w:ascii="宋体" w:cs="宋体"/>
                <w:sz w:val="24"/>
                <w:szCs w:val="24"/>
                <w:lang w:val="zh-CN" w:eastAsia="en-US"/>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属性:</w:t>
      </w:r>
      <w:r>
        <w:rPr>
          <w:rFonts w:hint="eastAsia" w:ascii="宋体" w:hAnsi="宋体"/>
          <w:sz w:val="24"/>
          <w:szCs w:val="24"/>
        </w:rPr>
        <w:t xml:space="preserve">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sz w:val="24"/>
          <w:szCs w:val="24"/>
        </w:rPr>
      </w:pPr>
      <w:r>
        <w:rPr>
          <w:rFonts w:hint="eastAsia" w:ascii="宋体" w:hAnsi="宋体"/>
          <w:b/>
          <w:sz w:val="24"/>
          <w:szCs w:val="24"/>
        </w:rPr>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ind w:firstLine="482"/>
        <w:spacing w:line="400" w:lineRule="exact"/>
        <w:rPr>
          <w:rFonts w:hint="eastAsia" w:ascii="宋体" w:hAnsi="宋体" w:cs="宋体"/>
          <w:b/>
          <w:bCs/>
          <w:sz w:val="24"/>
          <w:szCs w:val="24"/>
        </w:rPr>
      </w:pPr>
      <w:r/>
      <w:bookmarkStart w:id="140" w:name="_Toc120614281"/>
      <w:r/>
      <w:bookmarkStart w:id="141" w:name="_Toc26554093"/>
      <w:r/>
      <w:bookmarkStart w:id="142" w:name="_Toc49090575"/>
      <w:r/>
      <w:bookmarkStart w:id="143" w:name="_Toc462564139"/>
      <w:r/>
      <w:bookmarkStart w:id="144" w:name="_Toc479757211"/>
      <w:r>
        <w:rPr>
          <w:rFonts w:hint="eastAsia" w:ascii="宋体" w:hAnsi="宋体" w:cs="宋体"/>
          <w:b/>
          <w:bCs/>
          <w:sz w:val="24"/>
          <w:szCs w:val="24"/>
        </w:rPr>
        <w:t xml:space="preserve">1.</w:t>
      </w:r>
      <w:r>
        <w:rPr>
          <w:rFonts w:ascii="宋体" w:hAnsi="宋体" w:cs="宋体"/>
          <w:b/>
          <w:bCs/>
          <w:sz w:val="24"/>
          <w:szCs w:val="24"/>
        </w:rPr>
        <w:t xml:space="preserve">项目基本情况</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1.1</w:t>
      </w:r>
      <w:r>
        <w:rPr>
          <w:rFonts w:ascii="宋体" w:hAnsi="宋体" w:cs="宋体"/>
          <w:b/>
          <w:bCs/>
          <w:sz w:val="24"/>
          <w:szCs w:val="24"/>
        </w:rPr>
        <w:t xml:space="preserve">物业情况</w:t>
      </w:r>
      <w:r/>
    </w:p>
    <w:tbl>
      <w:tblPr>
        <w:tblW w:w="4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12"/>
        <w:gridCol w:w="5556"/>
      </w:tblGrid>
      <w:tr>
        <w:trPr>
          <w:jc w:val="center"/>
          <w:trHeight w:val="567"/>
        </w:trPr>
        <w:tc>
          <w:tcPr>
            <w:tcW w:w="3410"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物业名称</w:t>
            </w:r>
            <w:r/>
          </w:p>
        </w:tc>
        <w:tc>
          <w:tcPr>
            <w:tcW w:w="5552"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物业地址</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通启处处机关</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南通市崇川区，</w:t>
            </w:r>
            <w:bookmarkStart w:id="145" w:name="OLE_LINK73"/>
            <w:r/>
            <w:bookmarkStart w:id="146" w:name="OLE_LINK77"/>
            <w:r/>
            <w:bookmarkStart w:id="147" w:name="OLE_LINK74"/>
            <w:r>
              <w:rPr>
                <w:rFonts w:ascii="宋体" w:hAnsi="宋体" w:cs="宋体"/>
                <w:sz w:val="24"/>
                <w:szCs w:val="24"/>
              </w:rPr>
              <w:t xml:space="preserve">G15沈海高速</w:t>
            </w:r>
            <w:bookmarkEnd w:id="145"/>
            <w:r/>
            <w:bookmarkEnd w:id="146"/>
            <w:r/>
            <w:bookmarkEnd w:id="147"/>
            <w:r>
              <w:rPr>
                <w:rFonts w:ascii="宋体" w:hAnsi="宋体" w:cs="宋体"/>
                <w:sz w:val="24"/>
                <w:szCs w:val="24"/>
              </w:rPr>
              <w:t xml:space="preserve">K1183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陈桥收费站</w:t>
            </w:r>
            <w:r/>
          </w:p>
        </w:tc>
        <w:tc>
          <w:tcPr>
            <w:tcW w:w="5552" w:type="dxa"/>
            <w:vAlign w:val="center"/>
            <w:textDirection w:val="lrTb"/>
            <w:noWrap w:val="false"/>
          </w:tcPr>
          <w:p>
            <w:pPr>
              <w:jc w:val="center"/>
              <w:rPr>
                <w:rFonts w:hint="eastAsia" w:ascii="宋体" w:hAnsi="宋体" w:cs="宋体"/>
                <w:sz w:val="24"/>
                <w:szCs w:val="24"/>
              </w:rPr>
            </w:pPr>
            <w:r/>
            <w:bookmarkStart w:id="148" w:name="OLE_LINK76"/>
            <w:r/>
            <w:bookmarkStart w:id="149" w:name="OLE_LINK75"/>
            <w:r>
              <w:rPr>
                <w:rFonts w:ascii="宋体" w:hAnsi="宋体" w:cs="宋体"/>
                <w:sz w:val="24"/>
                <w:szCs w:val="24"/>
              </w:rPr>
              <w:t xml:space="preserve">南通市崇川区</w:t>
            </w:r>
            <w:bookmarkEnd w:id="148"/>
            <w:r/>
            <w:bookmarkEnd w:id="149"/>
            <w:r>
              <w:rPr>
                <w:rFonts w:ascii="宋体" w:hAnsi="宋体" w:cs="宋体"/>
                <w:sz w:val="24"/>
                <w:szCs w:val="24"/>
              </w:rPr>
              <w:t xml:space="preserve">，</w:t>
            </w:r>
            <w:bookmarkStart w:id="150" w:name="OLE_LINK69"/>
            <w:r/>
            <w:bookmarkStart w:id="151" w:name="OLE_LINK70"/>
            <w:r>
              <w:rPr>
                <w:rFonts w:ascii="宋体" w:hAnsi="宋体" w:cs="宋体"/>
                <w:sz w:val="24"/>
                <w:szCs w:val="24"/>
              </w:rPr>
              <w:t xml:space="preserve">G40沪陕西高速K201</w:t>
            </w:r>
            <w:bookmarkEnd w:id="150"/>
            <w:r/>
            <w:bookmarkEnd w:id="151"/>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南通北收费站</w:t>
            </w:r>
            <w:r/>
          </w:p>
        </w:tc>
        <w:tc>
          <w:tcPr>
            <w:tcW w:w="5552" w:type="dxa"/>
            <w:vAlign w:val="center"/>
            <w:textDirection w:val="lrTb"/>
            <w:noWrap w:val="false"/>
          </w:tcPr>
          <w:p>
            <w:pPr>
              <w:jc w:val="center"/>
              <w:rPr>
                <w:rFonts w:hint="eastAsia" w:ascii="宋体" w:hAnsi="宋体" w:cs="宋体"/>
                <w:sz w:val="24"/>
                <w:szCs w:val="24"/>
              </w:rPr>
            </w:pPr>
            <w:r/>
            <w:bookmarkStart w:id="152" w:name="OLE_LINK68"/>
            <w:r>
              <w:rPr>
                <w:rFonts w:ascii="宋体" w:hAnsi="宋体" w:cs="宋体"/>
                <w:sz w:val="24"/>
                <w:szCs w:val="24"/>
              </w:rPr>
              <w:t xml:space="preserve">南通市通州区</w:t>
            </w:r>
            <w:bookmarkEnd w:id="152"/>
            <w:r>
              <w:rPr>
                <w:rFonts w:ascii="宋体" w:hAnsi="宋体" w:cs="宋体"/>
                <w:sz w:val="24"/>
                <w:szCs w:val="24"/>
              </w:rPr>
              <w:t xml:space="preserve">，G15沈海高速K1164</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兴仁收费站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南通市通州区，</w:t>
            </w:r>
            <w:bookmarkStart w:id="153" w:name="OLE_LINK78"/>
            <w:r/>
            <w:bookmarkStart w:id="154" w:name="OLE_LINK79"/>
            <w:r>
              <w:rPr>
                <w:rFonts w:ascii="宋体" w:hAnsi="宋体" w:cs="宋体"/>
                <w:sz w:val="24"/>
                <w:szCs w:val="24"/>
              </w:rPr>
              <w:t xml:space="preserve">G15沈海高速</w:t>
            </w:r>
            <w:bookmarkEnd w:id="153"/>
            <w:r/>
            <w:bookmarkEnd w:id="154"/>
            <w:r>
              <w:rPr>
                <w:rFonts w:ascii="宋体" w:hAnsi="宋体" w:cs="宋体"/>
                <w:sz w:val="24"/>
                <w:szCs w:val="24"/>
              </w:rPr>
              <w:t xml:space="preserve">K1172</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先锋收费站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南通市通州区，G15沈海高速K1180</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叠石桥收费站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南通市海门区，G40沪陕西高速K163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海门收费站</w:t>
            </w:r>
            <w:r/>
          </w:p>
        </w:tc>
        <w:tc>
          <w:tcPr>
            <w:tcW w:w="5552" w:type="dxa"/>
            <w:vAlign w:val="center"/>
            <w:textDirection w:val="lrTb"/>
            <w:noWrap w:val="false"/>
          </w:tcPr>
          <w:p>
            <w:pPr>
              <w:jc w:val="center"/>
              <w:rPr>
                <w:rFonts w:hint="eastAsia" w:ascii="宋体" w:hAnsi="宋体" w:cs="宋体"/>
                <w:sz w:val="24"/>
                <w:szCs w:val="24"/>
              </w:rPr>
            </w:pPr>
            <w:r/>
            <w:bookmarkStart w:id="155" w:name="OLE_LINK72"/>
            <w:r/>
            <w:bookmarkStart w:id="156" w:name="OLE_LINK71"/>
            <w:r>
              <w:rPr>
                <w:rFonts w:ascii="宋体" w:hAnsi="宋体" w:cs="宋体"/>
                <w:sz w:val="24"/>
                <w:szCs w:val="24"/>
              </w:rPr>
              <w:t xml:space="preserve">南通市海门区，G40沪陕西高速K155</w:t>
            </w:r>
            <w:bookmarkEnd w:id="155"/>
            <w:r/>
            <w:bookmarkEnd w:id="156"/>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悦来收费站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南通市海门区，G40沪陕西高速K133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大生收费站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南通启东市，G40沪陕西高速K118</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排障大队（悦来驻点）</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南通市海门区，G40沪陕西高速K133</w:t>
            </w:r>
            <w:r/>
          </w:p>
        </w:tc>
      </w:tr>
    </w:tbl>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1.2</w:t>
      </w:r>
      <w:r>
        <w:rPr>
          <w:rFonts w:ascii="宋体" w:hAnsi="宋体" w:cs="宋体"/>
          <w:b/>
          <w:bCs/>
          <w:sz w:val="24"/>
          <w:szCs w:val="24"/>
        </w:rPr>
        <w:t xml:space="preserve">采购人提供供应商使用的场地、设施、设备、材料等</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采购人可提供的物业管理服务设备：①厨房设备：炉灶、蒸箱、冰箱、冰柜、消毒柜、油烟净化设备、厨具（锅具、刀具）、餐具、食品加工操作台、储物柜、排风系统等；②保洁设备：除雪机、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采购人可提供厨房场所、就餐场地、调味料、粮油等。供应商配置人员的餐费由供应商自理；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采购人可提供的零星维修材料：水电工常用的备用灯具、开关、水管配件、工具耗材（螺丝、胶带等）维修材料。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采购人可提供的低值易耗品：清洁剂（地面清洁液、玻璃水、消毒液）、垃圾袋、抹布、扫帚、尘推等保洁耗材。</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采购人可提供的能源供应：工作场所的水、电、燃气供应。</w:t>
      </w:r>
      <w:r/>
    </w:p>
    <w:p>
      <w:pPr>
        <w:ind w:firstLine="480"/>
        <w:spacing w:line="400" w:lineRule="exact"/>
        <w:rPr>
          <w:rFonts w:hint="eastAsia" w:ascii="宋体" w:hAnsi="宋体" w:cs="宋体"/>
          <w:sz w:val="24"/>
          <w:szCs w:val="24"/>
        </w:rPr>
      </w:pPr>
      <w:r>
        <w:rPr>
          <w:rFonts w:ascii="宋体" w:hAnsi="宋体" w:cs="宋体"/>
          <w:sz w:val="24"/>
          <w:szCs w:val="24"/>
        </w:rPr>
        <w:t xml:space="preserve">供应商应当承担除以上所列场地、设施、设备、材料外，与物业管理服务有关的其他场地、设施、设备、材料等。</w:t>
      </w:r>
      <w:r/>
    </w:p>
    <w:p>
      <w:pPr>
        <w:ind w:firstLine="42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1.3</w:t>
      </w:r>
      <w:r>
        <w:rPr>
          <w:rFonts w:ascii="宋体" w:hAnsi="宋体" w:cs="宋体"/>
          <w:b/>
          <w:bCs/>
          <w:sz w:val="24"/>
          <w:szCs w:val="24"/>
        </w:rPr>
        <w:t xml:space="preserve">物业服务范围</w:t>
      </w:r>
      <w:r/>
    </w:p>
    <w:p>
      <w:pPr>
        <w:ind w:firstLine="482"/>
        <w:spacing w:line="400" w:lineRule="exact"/>
        <w:widowControl/>
        <w:rPr>
          <w:rFonts w:hint="eastAsia" w:ascii="宋体" w:hAnsi="宋体" w:cs="宋体"/>
          <w:b/>
          <w:sz w:val="24"/>
          <w:szCs w:val="24"/>
        </w:rPr>
        <w:outlineLvl w:val="2"/>
      </w:pPr>
      <w:r>
        <w:rPr>
          <w:rFonts w:hint="eastAsia" w:ascii="宋体" w:hAnsi="宋体" w:cs="宋体"/>
          <w:b/>
          <w:sz w:val="24"/>
          <w:szCs w:val="24"/>
        </w:rPr>
        <w:t xml:space="preserve">（1）</w:t>
      </w:r>
      <w:r>
        <w:rPr>
          <w:rFonts w:ascii="宋体" w:hAnsi="宋体" w:cs="宋体"/>
          <w:b/>
          <w:sz w:val="24"/>
          <w:szCs w:val="24"/>
        </w:rPr>
        <w:t xml:space="preserve">通启处处机关（含小海收费站、调度中心）</w:t>
      </w:r>
      <w:r/>
    </w:p>
    <w:p>
      <w:pPr>
        <w:ind w:firstLine="482"/>
        <w:spacing w:line="40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8"/>
        <w:gridCol w:w="3468"/>
        <w:gridCol w:w="3409"/>
      </w:tblGrid>
      <w:tr>
        <w:trPr>
          <w:jc w:val="center"/>
          <w:trHeight w:val="454"/>
        </w:trPr>
        <w:tc>
          <w:tcPr>
            <w:tcW w:w="213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322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3166"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14"/>
        </w:trPr>
        <w:tc>
          <w:tcPr>
            <w:tcW w:w="213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322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通启处处机关办公楼</w:t>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294"/>
        </w:trPr>
        <w:tc>
          <w:tcPr>
            <w:tcW w:w="213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3221" w:type="dxa"/>
            <w:vAlign w:val="center"/>
            <w:vMerge w:val="restart"/>
            <w:textDirection w:val="lrTb"/>
            <w:noWrap w:val="false"/>
          </w:tcPr>
          <w:p>
            <w:pPr>
              <w:jc w:val="center"/>
              <w:spacing w:line="440" w:lineRule="exact"/>
              <w:rPr>
                <w:rFonts w:hint="eastAsia" w:ascii="宋体" w:hAnsi="宋体" w:cs="宋体"/>
                <w:b/>
                <w:sz w:val="24"/>
                <w:szCs w:val="24"/>
              </w:rPr>
            </w:pPr>
            <w:r>
              <w:rPr>
                <w:rFonts w:ascii="宋体" w:hAnsi="宋体" w:cs="宋体"/>
                <w:sz w:val="24"/>
                <w:szCs w:val="24"/>
              </w:rPr>
              <w:t xml:space="preserve">6390㎡</w:t>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2.1.3会务</w:t>
            </w:r>
            <w:r>
              <w:rPr>
                <w:rFonts w:ascii="宋体" w:hAnsi="宋体" w:cs="宋体"/>
                <w:sz w:val="24"/>
                <w:szCs w:val="24"/>
              </w:rPr>
              <w:t xml:space="preserve">服务”</w:t>
            </w:r>
            <w:r/>
          </w:p>
        </w:tc>
      </w:tr>
      <w:tr>
        <w:trPr>
          <w:jc w:val="center"/>
          <w:trHeight w:val="33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27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27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2.1.5</w:t>
            </w:r>
            <w:r>
              <w:rPr>
                <w:rFonts w:ascii="宋体" w:hAnsi="宋体" w:cs="宋体"/>
                <w:sz w:val="24"/>
                <w:szCs w:val="24"/>
              </w:rPr>
              <w:t xml:space="preserve">驾驶员服务”</w:t>
            </w:r>
            <w:r/>
          </w:p>
        </w:tc>
      </w:tr>
      <w:tr>
        <w:trPr>
          <w:jc w:val="center"/>
          <w:trHeight w:val="274"/>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29"/>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06"/>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通启处处机关广场</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90"/>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8300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289"/>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widowControl/>
        <w:rPr>
          <w:rFonts w:hint="eastAsia" w:ascii="宋体" w:hAnsi="宋体" w:cs="宋体"/>
          <w:b/>
          <w:sz w:val="24"/>
          <w:szCs w:val="24"/>
        </w:rPr>
        <w:outlineLvl w:val="2"/>
      </w:pPr>
      <w:r>
        <w:rPr>
          <w:rFonts w:hint="eastAsia" w:ascii="宋体" w:hAnsi="宋体" w:cs="宋体"/>
          <w:b/>
          <w:sz w:val="24"/>
          <w:szCs w:val="24"/>
        </w:rPr>
        <w:t xml:space="preserve">（2）</w:t>
      </w:r>
      <w:r>
        <w:rPr>
          <w:rFonts w:ascii="宋体" w:hAnsi="宋体" w:cs="宋体"/>
          <w:b/>
          <w:sz w:val="24"/>
          <w:szCs w:val="24"/>
        </w:rPr>
        <w:t xml:space="preserve">陈桥收费站</w:t>
      </w:r>
      <w:r/>
    </w:p>
    <w:p>
      <w:pPr>
        <w:ind w:firstLine="482"/>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20"/>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07"/>
        </w:trPr>
        <w:tc>
          <w:tcPr>
            <w:tcW w:w="235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widowControl/>
              <w:rPr>
                <w:rFonts w:hint="eastAsia" w:ascii="宋体" w:hAnsi="宋体" w:cs="宋体"/>
                <w:b/>
                <w:sz w:val="24"/>
                <w:szCs w:val="24"/>
              </w:rPr>
              <w:outlineLvl w:val="2"/>
            </w:pPr>
            <w:r>
              <w:rPr>
                <w:rFonts w:ascii="宋体" w:hAnsi="宋体" w:cs="宋体"/>
                <w:b/>
                <w:sz w:val="24"/>
                <w:szCs w:val="24"/>
              </w:rPr>
              <w:t xml:space="preserve">陈桥收费站办公楼</w:t>
            </w:r>
            <w:r/>
          </w:p>
        </w:tc>
        <w:tc>
          <w:tcPr>
            <w:tcW w:w="27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850㎡</w:t>
            </w:r>
            <w:r/>
          </w:p>
        </w:tc>
        <w:tc>
          <w:tcPr>
            <w:tcW w:w="271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widowControl/>
        <w:rPr>
          <w:rFonts w:hint="eastAsia" w:ascii="宋体" w:hAnsi="宋体" w:cs="宋体"/>
          <w:b/>
          <w:sz w:val="24"/>
          <w:szCs w:val="24"/>
        </w:rPr>
        <w:outlineLvl w:val="2"/>
      </w:pPr>
      <w:r>
        <w:rPr>
          <w:rFonts w:hint="eastAsia" w:ascii="宋体" w:hAnsi="宋体" w:cs="宋体"/>
          <w:b/>
          <w:sz w:val="24"/>
          <w:szCs w:val="24"/>
        </w:rPr>
        <w:t xml:space="preserve">（3）</w:t>
      </w:r>
      <w:r>
        <w:rPr>
          <w:rFonts w:ascii="宋体" w:hAnsi="宋体" w:cs="宋体"/>
          <w:b/>
          <w:sz w:val="24"/>
          <w:szCs w:val="24"/>
        </w:rPr>
        <w:t xml:space="preserve">南通北收费站</w:t>
      </w:r>
      <w:r/>
    </w:p>
    <w:p>
      <w:pPr>
        <w:ind w:firstLine="482"/>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南通北收费站办公楼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2345㎡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54"/>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454"/>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2.1.5</w:t>
            </w:r>
            <w:r>
              <w:rPr>
                <w:rFonts w:ascii="宋体" w:hAnsi="宋体" w:cs="宋体"/>
                <w:sz w:val="24"/>
                <w:szCs w:val="24"/>
              </w:rPr>
              <w:t xml:space="preserve">驾驶员服务”</w:t>
            </w:r>
            <w:r/>
          </w:p>
        </w:tc>
      </w:tr>
    </w:tbl>
    <w:p>
      <w:pPr>
        <w:ind w:firstLine="482"/>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南通北收费站办公楼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6985㎡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（4）</w:t>
      </w:r>
      <w:r>
        <w:rPr>
          <w:rFonts w:ascii="宋体" w:hAnsi="宋体" w:cs="宋体"/>
          <w:b/>
          <w:sz w:val="24"/>
          <w:szCs w:val="24"/>
        </w:rPr>
        <w:t xml:space="preserve">兴仁收费站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建筑1名称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兴仁收费站办公楼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1240㎡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兴仁收费站办公楼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2467㎡</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（5）</w:t>
      </w:r>
      <w:r>
        <w:rPr>
          <w:rFonts w:ascii="宋体" w:hAnsi="宋体" w:cs="宋体"/>
          <w:b/>
          <w:sz w:val="24"/>
          <w:szCs w:val="24"/>
        </w:rPr>
        <w:t xml:space="preserve">先锋收费站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先锋收费站办公楼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1275㎡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（6）</w:t>
      </w:r>
      <w:r>
        <w:rPr>
          <w:rFonts w:ascii="宋体" w:hAnsi="宋体" w:cs="宋体"/>
          <w:b/>
          <w:sz w:val="24"/>
          <w:szCs w:val="24"/>
        </w:rPr>
        <w:t xml:space="preserve">叠石桥收费站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叠石桥收费站办公楼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79"/>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1346.2㎡</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（7）</w:t>
      </w:r>
      <w:r>
        <w:rPr>
          <w:rFonts w:ascii="宋体" w:hAnsi="宋体" w:cs="宋体"/>
          <w:b/>
          <w:sz w:val="24"/>
          <w:szCs w:val="24"/>
        </w:rPr>
        <w:t xml:space="preserve">海门收费站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01"/>
        <w:gridCol w:w="4224"/>
        <w:gridCol w:w="2650"/>
      </w:tblGrid>
      <w:tr>
        <w:trPr>
          <w:jc w:val="center"/>
          <w:trHeight w:val="454"/>
        </w:trPr>
        <w:tc>
          <w:tcPr>
            <w:tcW w:w="3613"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676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4186"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3613"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676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海门收费站办公楼</w:t>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99"/>
        </w:trPr>
        <w:tc>
          <w:tcPr>
            <w:tcW w:w="3613"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676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1358㎡</w:t>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09"/>
        </w:trPr>
        <w:tc>
          <w:tcPr>
            <w:tcW w:w="3613"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676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海门收费站办公楼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99"/>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1100㎡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09"/>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（8）</w:t>
      </w:r>
      <w:r>
        <w:rPr>
          <w:rFonts w:ascii="宋体" w:hAnsi="宋体" w:cs="宋体"/>
          <w:b/>
          <w:sz w:val="24"/>
          <w:szCs w:val="24"/>
        </w:rPr>
        <w:t xml:space="preserve">悦来收费站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298"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222"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649"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222"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悦来收费站办公楼</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624"/>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222"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2340㎡</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298"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222"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649"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369"/>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222"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悦来收费站办公楼</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638"/>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222"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1300㎡</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（9）</w:t>
      </w:r>
      <w:r>
        <w:rPr>
          <w:rFonts w:ascii="宋体" w:hAnsi="宋体" w:cs="宋体"/>
          <w:b/>
          <w:sz w:val="24"/>
          <w:szCs w:val="24"/>
        </w:rPr>
        <w:t xml:space="preserve">大生收费站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38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大生收费站办公楼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09"/>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1686㎡</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物业服务内容及要求</w:t>
      </w:r>
      <w:r/>
    </w:p>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物业服务内容</w:t>
      </w:r>
      <w:r/>
    </w:p>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2.1.1</w:t>
      </w:r>
      <w:r>
        <w:rPr>
          <w:rFonts w:ascii="宋体" w:hAnsi="宋体" w:cs="宋体"/>
          <w:b/>
          <w:bCs/>
          <w:sz w:val="24"/>
          <w:szCs w:val="24"/>
          <w:lang w:bidi="en-US"/>
        </w:rPr>
        <w:t xml:space="preserve">基本服务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4"/>
        <w:gridCol w:w="1766"/>
        <w:gridCol w:w="6659"/>
      </w:tblGrid>
      <w:tr>
        <w:trPr>
          <w:trHeight w:val="470"/>
        </w:trPr>
        <w:tc>
          <w:tcPr>
            <w:tcW w:w="744"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序号</w:t>
            </w:r>
            <w:r/>
          </w:p>
        </w:tc>
        <w:tc>
          <w:tcPr>
            <w:tcW w:w="1766"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服务内容</w:t>
            </w:r>
            <w:r/>
          </w:p>
        </w:tc>
        <w:tc>
          <w:tcPr>
            <w:tcW w:w="6659"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服务标准</w:t>
            </w:r>
            <w:r/>
          </w:p>
        </w:tc>
      </w:tr>
      <w:tr>
        <w:trPr/>
        <w:tc>
          <w:tcPr>
            <w:tcW w:w="744" w:type="dxa"/>
            <w:vAlign w:val="center"/>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1</w:t>
            </w:r>
            <w:r/>
          </w:p>
        </w:tc>
        <w:tc>
          <w:tcPr>
            <w:tcW w:w="1766" w:type="dxa"/>
            <w:vAlign w:val="center"/>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目标与责任</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结合采购人要求及物业服务实际情况，制定年度管理目标，明确责任分工，制定配套实施方案，并按照采购人要求定期开展监督检查。</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2</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服务人员要求</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根据采购人要求对服务人员进行从业资格审查，审查结果向采购人报备。</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服务人员到岗前应当经过必要的岗前培训以达到岗位能力要求，国家、行业规定应当取得职业资格证书或特种作业证书的，应当按规定持证上岗。</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各岗位工作人员着装分类统一，佩戴标识。仪容整洁、姿态端正、举止文明。用语文明礼貌，态度温和耐心。</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供应商需指定一名专人兼管本项目作为本项目的非驻场专职联系人。负责与采购人的日常工作对接和沟通，对各类投诉进行答复处理，对工作中的问题或不足之处及时进行有效整改，并按照采购人要求定期开展监督检查。项目专职联系人要求大专及以上学历，具有类似项目3年以上的物业管理实际工作经验。该专职联系人不在本项目人员配备要求范围内。该专职联系人履职所产生的一切成本（包括现场巡查、整改协调等）均不计入本项目任何报价中。非驻场专职联系人应接受采购方的定期工作考核，考核结果将作为评估合同履行情况的重要依据。</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3</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保密管理</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建立保密管理制度。制度内容应当包括但不限于：①明确重点要害岗位保密职责。②对涉密工作岗位的保密要求。</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档案管理</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建立物业信息，准确、及时地对文件资料和服务记录进行归档保存，并确保其物理安全。</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遵守采购人的信息、档案资料保密要求，未经许可，不得将建筑物平面图等资料转作其他用途或向其他单位、个人提供。</w:t>
            </w:r>
            <w:r/>
          </w:p>
        </w:tc>
      </w:tr>
      <w:tr>
        <w:trPr>
          <w:trHeight w:val="580"/>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履约结束后，相关资料交还采购人，采购人按政府采购相关规定存档。</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4</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管理制度及工作方案</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制定管理制度，主要包括：人员录用制度、岗位职责、档案管理制度、物业服务管理制度、人员考核制度等。</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制定项目实施方案，主要包括：承接查验方案、进场准备工作方案、合同到期交接方案、人员培训方案、突发事件处置方案等。</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制定物业服务方案，主要包括：综合管理服务方案、室内外卫生保洁服务方案、水电工兼安保服务方案、会务服务方案、餐饮服务方案等。</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2.1.2</w:t>
      </w:r>
      <w:r>
        <w:rPr>
          <w:rFonts w:ascii="宋体" w:hAnsi="宋体" w:cs="宋体"/>
          <w:b/>
          <w:bCs/>
          <w:sz w:val="24"/>
          <w:szCs w:val="24"/>
          <w:lang w:bidi="en-US"/>
        </w:rPr>
        <w:t xml:space="preserve">保洁服务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cente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收费站院内停车场、办公楼内外、周边等公共部位的所有地面、墙面、顶面、附属设施、设备、器具的保洁服务。包含但不限于以下内容：包括院内道路，停车位、绿化内垃圾，收费道口全域、阳光房、走廊、公共卫生间、茶水间、水箱、楼梯间、活动室、会议室、配电间、洗衣房、</w:t>
            </w:r>
            <w:r>
              <w:rPr>
                <w:rFonts w:ascii="宋体" w:hAnsi="宋体" w:cs="宋体"/>
                <w:szCs w:val="21"/>
              </w:rPr>
              <w:t xml:space="preserve">餐厅、厨房、备餐区、休息室，楼宇周界及所有公共场所的日常保洁。所有楼层、楼梯、卫生间、开水间、公共过道、安全通道、楼顶、平台、扶手、栏杆、空调风口、其他辅助设施及楼层玻璃；电器（空调、电开水器），楼层灯具及开关、排气扇、电源盒、消防器材、公告栏、指示牌、房间门及门牌、烟灰筒、地垫、洗手池、镜面、面盆、台面、隔板、水池、尿斗、厕位、垃圾桶（篓）等；定期消杀（每周对相关部位进行一次）消毒杀菌；及时按要求完成各项保洁工作，实施定时保洁项目，保洁期间并做好节水、节电工作。垃圾实行袋装化并及时清运，确保环境卫生整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负责本物业管理范围内的各类下水道、污水井管的通畅保障，“门前三包”和垃圾整理清运工作。所有公共区域不得堆放杂物，无废弃物、污渍，保持清洁，卫生间洁净无异味，应达到基本无虫蝇。</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bCs/>
                <w:szCs w:val="21"/>
              </w:rPr>
              <w:t xml:space="preserve">建立健全环境卫生保洁管理制度，负责常规项目保洁，实行规范化的清扫保洁标准，明确责任落实到人。</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负责定期完成保洁项目：地面清洁；天花板掸尘除渍每月一次；台布、窗帘、布套、被褥等织品洗涤根据发包人需求实施。</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区域内公共绿化的协助管理。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做好保洁服务工作记录，记录填写规范、保存完好。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作业时采取安全防护措施，防止对作业人员或他人造成伤害。相关耗材的环保、安全性等应当符合国家相关规定要求。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采购人交办的其他相关工作。</w:t>
            </w:r>
            <w:r/>
          </w:p>
        </w:tc>
      </w:tr>
      <w:tr>
        <w:trPr>
          <w:cantSplit/>
          <w:jc w:val="center"/>
          <w:trHeight w:val="76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办公用房区域保洁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上班前20分钟完成楼内主要公共区域及部分指定办公室的保洁工作，上班期间不间断巡查，做到及时清洁维护。</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部分指定办公室每天清洁一次，确保办公桌椅、办公设备、地面、内窗无尘无污渍，及时清洁茶几。</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公共区域大理石、地砖地面每日至少清洁一次，并采取循环保洁制，发现垃圾杂物及时清除；公共区域墙面、顶面每月除尘一次，确保无灰尘、无污迹、无蜘蛛网。</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门厅玻璃每日除尘擦洗，确保窗明几净，大厅墙面每日除尘去污。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楼梯扶手、栏杆、窗台、开关等每日擦拭，确保无尘无污渍；公共灯具每月除尘二次，确保天花板、灯盖、灯罩、灯座目视无灰尘、无污迹、无蜘蛛网，整洁明亮；镜子、金属门扶手随时保持光亮。</w:t>
            </w:r>
            <w:r/>
          </w:p>
        </w:tc>
      </w:tr>
      <w:tr>
        <w:trPr>
          <w:cantSplit/>
          <w:jc w:val="center"/>
          <w:trHeight w:val="1095"/>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天上午、下午人流量较低时对卫生间进行全面清洁工作；两次全面清洁间隙，需每隔一小时进行局部清洁工作，确保洗手间无异味、无水迹、尿迹；镜面清洁光亮；墙面、隔断无污迹、无灰尘；垃圾桶内外干净，垃圾袋内垃圾不超过2/3；及时补充更换洗手液、卷纸、垃圾袋等；厕位、水箱等设备损坏或发生故障及时报修处理。</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重要会议室/接待室每天清洁一次，部门内部会议室每周清洁一次，使用结束后做到及时清洁整理，确保会议室/接待室内地面、办公桌椅、办公设备干净整洁，桌椅摆放整齐，茶几及时清理，墙面、顶面无尘无蜘蛛网，地毯每周吸尘一次，确保地毯干净松软无污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健身房、浴室每日清洁一次，保持地面、健身器材干净无灰尘、无污迹；墙、顶面每月除尘一次。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对所有办公室的纱窗每半年至少彻底清洁一次。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每周清理绿植不少于1次，保持绿植叶片干净、无枯枝、无杂物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办公楼门前室外区域</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每日清扫地面、停车位等办公楼门前室外区域2次，保持干净、无杂物、无积水。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雪、冰冻等恶劣天气时及时清扫积水、积雪，并采取安全防护措施。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各种宣传条幅等保持干净。</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一楼大厅落地玻璃外立面清洁，保持干净、透亮、无污渍。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垃圾处理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每天早晚定时清理两次垃圾筒，确保垃圾袋内垃圾不超过2/3。</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垃圾桶桶身表面干净无污渍，每日开展至少1次清洁作业。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垃圾装袋，日产日清。</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3会务服务</w:t>
      </w:r>
      <w:r/>
    </w:p>
    <w:tbl>
      <w:tblPr>
        <w:tblW w:w="499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right"/>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负责采购人各类会务接待和相关服务保障工作。</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接受会议预订，记录会议需求。</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负责兼顾本项目物业服务工作的总体协调。</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负责安排管理处机关保洁工作。</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负责对所有物业人员开展日常考核和组织定期学习。</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采购人交办的其他相关工作。</w:t>
            </w:r>
            <w:r/>
          </w:p>
        </w:tc>
      </w:tr>
      <w:tr>
        <w:trPr>
          <w:jc w:val="right"/>
          <w:trHeight w:val="48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会前准备</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根据会议要求和参会人数布置会场，提前15分钟将会议室灯、门、空调、开水、音响、投影、视频（如需）等准备就绪，横幅、指示牌、席卡、桌椅、桌布、会议板夹、茶水等按要求摆放布置到位。</w:t>
            </w:r>
            <w:r/>
          </w:p>
        </w:tc>
      </w:tr>
      <w:tr>
        <w:trPr>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新宋体"/>
                <w:szCs w:val="21"/>
              </w:rPr>
              <w:t xml:space="preserve">会中服务</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按照会议对接人要求做好会场内会务服务（迎宾、沏茶、续水等）；注意观察会场环境，确保会场温度合适，音响效果正常。</w:t>
            </w:r>
            <w:r/>
          </w:p>
        </w:tc>
      </w:tr>
      <w:tr>
        <w:trPr>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会后整理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会议结束后，及时打开大门欢送客人，检查有无客人遗留物品，会议室内用品有无损坏，及时做好物品整理、卫生保洁工作，关闭会议室灯光、空调、会议设备及其他电器设备等。</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4餐饮服务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cente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厨房工作人员工作期间着装规范（必须佩戴口罩、帽子上岗）、精神饱满、服务及时、态度热情。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所有员工必须具备有效的健康证，每年体检一次。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按照采购人要求做好公务接待用餐及对内餐饮服务。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每月进行餐饮满意度调查，对采购人提出的意见及建议积极响应整改。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供应商要按照采购人的工作要求认真做好食堂工作人员的管理和安全教育工作，定期开展安全教育及检查，积极参加业主单位的各类会议和活动。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宋体" w:hAnsi="宋体" w:cs="宋体"/>
                <w:szCs w:val="21"/>
              </w:rPr>
              <w:t xml:space="preserve">采购人交办的其他相关工作。</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日常员工餐食供应</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保障员工日常就餐（全年每日早中晚三餐）。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早、中、晚开餐前做好相关准备工作，做好员工就餐期间的服务工作。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及时对购入的食材进行验收，确保食材新鲜、安全；菜肴制作清爽可口、搭配合理、营养均衡、色质可观。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不定期进行菜肴创新，每半月左右推出特色菜肴。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食堂卫生清洁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就餐完毕对餐厅进行整理、清扫，确保桌椅摆放有序、环境整洁。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食堂卫生实行责任制，每日进行打扫，每周进行大扫除，项目责任人不定期对日常卫生进行检查；非就餐期间，确保桌椅摆放整齐、地面无杂物，餐具柜、用品柜内物品摆放有序、整齐干净。餐具清洗干净，按规定进行消毒。下班前检查自己岗位的水闸、电闸、电器、照明、空调，关好门窗。</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5驾驶服务</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1"/>
        <w:gridCol w:w="2464"/>
        <w:gridCol w:w="5873"/>
      </w:tblGrid>
      <w:tr>
        <w:trPr>
          <w:jc w:val="center"/>
          <w:trHeight w:val="80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586"/>
        </w:trPr>
        <w:tc>
          <w:tcPr>
            <w:tcBorders>
              <w:top w:val="single" w:color="000000" w:sz="4" w:space="0"/>
              <w:left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负责采购人公用车辆的驾驶工作。</w:t>
            </w:r>
            <w:r/>
          </w:p>
        </w:tc>
      </w:tr>
      <w:tr>
        <w:trPr>
          <w:cantSplit/>
          <w:jc w:val="center"/>
          <w:trHeight w:val="586"/>
        </w:trPr>
        <w:tc>
          <w:tcPr>
            <w:tcBorders>
              <w:left w:val="single" w:color="000000" w:sz="4" w:space="0"/>
              <w:right w:val="single" w:color="000000" w:sz="4" w:space="0"/>
            </w:tcBorders>
            <w:tcW w:w="831" w:type="dxa"/>
            <w:vAlign w:val="center"/>
            <w:vMerge w:val="continue"/>
            <w:textDirection w:val="lrTb"/>
            <w:noWrap w:val="false"/>
          </w:tcPr>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2462" w:type="dxa"/>
            <w:vAlign w:val="center"/>
            <w:vMerge w:val="continue"/>
            <w:textDirection w:val="lrTb"/>
            <w:noWrap w:val="false"/>
          </w:tcPr>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bCs/>
                <w:szCs w:val="21"/>
              </w:rPr>
              <w:t xml:space="preserve">按照采购人要求认真做好加油、行车、维修等台账记录工作。车辆发生事故或者发生非正常损坏，应及时上报采购人处理。车辆需要保养或者维修，应按照采购人要求事先报批，经审核同意后进行定点维修，不可私自维修。</w:t>
            </w:r>
            <w:r/>
          </w:p>
        </w:tc>
      </w:tr>
      <w:tr>
        <w:trPr>
          <w:cantSplit/>
          <w:jc w:val="center"/>
          <w:trHeight w:val="558"/>
        </w:trPr>
        <w:tc>
          <w:tcPr>
            <w:tcBorders>
              <w:left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40" w:lineRule="exact"/>
              <w:widowControl/>
              <w:rPr>
                <w:rFonts w:hint="eastAsia" w:ascii="宋体" w:hAnsi="宋体" w:cs="宋体"/>
                <w:szCs w:val="21"/>
              </w:rPr>
              <w:outlineLvl w:val="2"/>
            </w:pPr>
            <w:r>
              <w:rPr>
                <w:rFonts w:ascii="宋体" w:hAnsi="宋体" w:cs="宋体"/>
                <w:szCs w:val="21"/>
              </w:rPr>
              <w:t xml:space="preserve">按指定的任务、路线驾驶车辆，确保行车安全、准点。</w:t>
            </w:r>
            <w:r>
              <w:rPr>
                <w:rFonts w:ascii="宋体" w:hAnsi="宋体" w:cs="宋体"/>
                <w:bCs/>
                <w:szCs w:val="21"/>
              </w:rPr>
              <w:t xml:space="preserve">按照采购人要求定点停放车辆。</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值班期间，在未接到公务出车任务情况下，值班人员必须24小时驻守在采购人指定区域，并保持通讯畅通，不可擅自脱岗。</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bCs/>
                <w:szCs w:val="21"/>
              </w:rPr>
              <w:t xml:space="preserve">服从采购人关于工作地点、时间以及内容的安排。</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完成采购人交办的其他相关工作。</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车辆日常检查与保养</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爱护车辆，定期检查、维修、保养，确保车辆始终处于良好、安全状态；保持车辆内外整洁，</w:t>
            </w:r>
            <w:r>
              <w:rPr>
                <w:rFonts w:ascii="宋体" w:hAnsi="宋体" w:cs="宋体"/>
                <w:bCs/>
                <w:szCs w:val="21"/>
              </w:rPr>
              <w:t xml:space="preserve">车内物品保持完好。</w:t>
            </w:r>
            <w:r/>
          </w:p>
        </w:tc>
      </w:tr>
      <w:tr>
        <w:trPr>
          <w:cantSplit/>
          <w:jc w:val="center"/>
          <w:trHeight w:val="544"/>
        </w:trPr>
        <w:tc>
          <w:tcPr>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安全与合规管理</w:t>
            </w:r>
            <w:r/>
          </w:p>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严格遵守道路交通安全法律法规和采购人车辆管理规定，严格执行派车制度，服从调度，不得擅自出车。</w:t>
            </w:r>
            <w:r/>
          </w:p>
        </w:tc>
      </w:tr>
      <w:tr>
        <w:trPr>
          <w:cantSplit/>
          <w:jc w:val="center"/>
          <w:trHeight w:val="541"/>
        </w:trPr>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遵守交通规则和道路交通安全法律法规，确保行车安全，杜绝疲劳驾驶、酒后驾驶等行为。</w:t>
            </w:r>
            <w:r>
              <w:rPr>
                <w:rFonts w:ascii="宋体" w:hAnsi="宋体" w:cs="宋体"/>
                <w:bCs/>
                <w:szCs w:val="21"/>
              </w:rPr>
              <w:t xml:space="preserve">上班期间严禁喝酒，每天做好酒驾测试，并做好相关记录。</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6水电工兼安保服务</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18"/>
        <w:gridCol w:w="6219"/>
      </w:tblGrid>
      <w:tr>
        <w:trPr>
          <w:jc w:val="center"/>
          <w:trHeight w:val="403"/>
          <w:tblHeader/>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严格执行采购人方的相关规章制度、作息时间、上班流程及门卫岗位职责，严禁脱岗、睡岗、酒后上岗、岗上喝酒、私自使用大功率电器现象。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持证上岗，能正确使用各类消防、物防、技防器械和设备。</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熟悉区域内环境，熟知治安管理有关法律法规，熟悉各类刑事、治安案件和各类灾害事故的应急预案。</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按时上下班，认真履行交接班手续，并做好交接班记录。当班期间必须在岗在位，不得出现缺岗、脱岗、串岗现象。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维护办公楼内的安全和秩序，做好“防火、防盗、防爆、防破坏”的“四防”等工作。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定期向采购人汇报安全工作情况，及时反映问题，整改落实，遇有重大情况立即通报。</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负责物业管理服务区域内的水电、门窗、家具等设施设备及其他房屋附属设施设备的一般维修、养护等。</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在岗时精神饱满，动作规范，语言表达清晰。</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做好值班室、设备房（含附近包干区）及设备的卫生工作，做好设备间防水、防火、放小动物进入设备间，进出设备间及时关闭。严禁在值班室、设备抽烟、烧水。</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供应商要按照采购人的工作要求认真做好相关人员的管理和安全教育工作，定期开展安全教育及检查，积极参加业主单位的各类会议和活动。</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服从采购人关于工作地点、时间以及内容的安排。</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完成采购人交办的其他相关工作。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出入管理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办公区域进出口的治安管理和来访接待登记工作（24小时值勤服务）。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办公大楼门前区域及内部机动车辆、非机动车辆的秩序维护工作。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监督配合外单位维修，必须经过同意后并填写《来访人员登记表》方可进入维修，维修时实时掌握维修人员动态，防止人员乱窜。维修结束后复检维修结果并做好相应记录，及时向相关领导汇报。</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协助快递人员做好信函、快递收发工作。</w:t>
            </w:r>
            <w:r/>
          </w:p>
        </w:tc>
      </w:tr>
      <w:tr>
        <w:trPr>
          <w:jc w:val="center"/>
          <w:trHeight w:val="400"/>
        </w:trPr>
        <w:tc>
          <w:tcPr>
            <w:tcBorders>
              <w:top w:val="single" w:color="000000" w:sz="4" w:space="0"/>
              <w:left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值班巡查</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负责公共区域、办公区域、生活区域等地的公共设施设备、消防设施设备的安全巡查，做好办公楼水电管理，保障各类设施设备正常运行。</w:t>
            </w:r>
            <w:r/>
          </w:p>
        </w:tc>
      </w:tr>
      <w:tr>
        <w:trPr>
          <w:jc w:val="center"/>
          <w:trHeight w:val="40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2117"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bCs/>
                <w:szCs w:val="21"/>
              </w:rPr>
            </w:pPr>
            <w:r>
              <w:rPr>
                <w:rFonts w:ascii="宋体" w:hAnsi="宋体" w:cs="宋体"/>
                <w:bCs/>
                <w:szCs w:val="21"/>
              </w:rPr>
              <w:t xml:space="preserve">负责水、电、综合设备设施的维修保养工作，确保设备设施始终处于良好的状态。熟知办公楼内水、电、综合专业系统主要设备、设施的数量、使用、安装位置及服务范围，并做好相应的巡检工作，及时填写巡检记录。</w:t>
            </w:r>
            <w:r/>
          </w:p>
        </w:tc>
      </w:tr>
      <w:tr>
        <w:trPr>
          <w:jc w:val="center"/>
          <w:trHeight w:val="40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2117"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严格履行巡查制度，每隔2小时巡查一次。按规定时间、线路巡查，不得漏查，巡查过程中发现问题应立即按规定处理、制止各种违法犯罪行为、消除各种安全隐患，维护服务域内的正常治安秩序。</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监控值守</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全天24小时不间断对物业服务区域内安全巡视（监控），按规定路线定时巡查并做好记录，夜间巡查不少于两次，发现问题及时处理。</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每天两次对办公楼公共部位、门窗、墙面、各类消防、电气等进行巡视，发现损坏及时报告；对危险隐患部位设置安全防范警示标识进行检查；对办公区域水电设备巡检，确保无漏水、积水、堵塞现象；对照明系统巡视检查，确保楼道灯、指示灯等完好100%。</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消防安全管理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定期检查维护安全消防设施，落实消防责任制，及时消除火险隐患。</w:t>
            </w:r>
            <w:r>
              <w:rPr>
                <w:rFonts w:ascii="宋体" w:hAnsi="宋体" w:cs="宋体"/>
                <w:bCs/>
                <w:szCs w:val="21"/>
              </w:rPr>
              <w:t xml:space="preserve">发生火警时，及时按火警预案处理程序工作，尽量将损失和影响控制在最小范围。</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给排水系统：每天巡视一次辖区内主供水管上闸阀以及雨水通道，每日对区域内系统进行一次巡查，发现有漏堵现象及时清理，确保排水通畅，无积水、异味。</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突发事件处理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在岗时接报维修任务后需及时到场处理，对急需解决的故障应及时调整或修复，具备应急处理能力，满意率98%以上。</w:t>
            </w:r>
            <w:r/>
          </w:p>
        </w:tc>
      </w:tr>
    </w:tbl>
    <w:p>
      <w:pPr>
        <w:numPr>
          <w:ilvl w:val="255"/>
          <w:numId w:val="0"/>
        </w:numPr>
        <w:ind w:firstLine="482"/>
        <w:keepLines/>
        <w:keepNext/>
        <w:spacing w:line="360" w:lineRule="exact"/>
        <w:rPr>
          <w:rFonts w:hint="eastAsia" w:ascii="宋体" w:hAnsi="宋体" w:cs="宋体"/>
          <w:b/>
          <w:bCs/>
          <w:sz w:val="24"/>
          <w:szCs w:val="24"/>
        </w:rPr>
        <w:outlineLvl w:val="1"/>
      </w:pPr>
      <w:r/>
      <w:bookmarkStart w:id="157" w:name="_Toc27983"/>
      <w:r/>
      <w:bookmarkStart w:id="158" w:name="_Toc12052"/>
      <w:r/>
      <w:bookmarkStart w:id="159" w:name="_Toc26417"/>
      <w:r>
        <w:rPr>
          <w:rFonts w:hint="eastAsia" w:ascii="宋体" w:hAnsi="宋体" w:cs="宋体"/>
          <w:b/>
          <w:bCs/>
          <w:sz w:val="24"/>
          <w:szCs w:val="24"/>
        </w:rPr>
        <w:t xml:space="preserve">2.1.7</w:t>
      </w:r>
      <w:r>
        <w:rPr>
          <w:rFonts w:ascii="宋体" w:hAnsi="宋体" w:cs="宋体"/>
          <w:b/>
          <w:bCs/>
          <w:sz w:val="24"/>
          <w:szCs w:val="24"/>
        </w:rPr>
        <w:t xml:space="preserve">垃圾清运服务</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18"/>
        <w:gridCol w:w="6218"/>
      </w:tblGrid>
      <w:tr>
        <w:trPr>
          <w:jc w:val="center"/>
          <w:trHeight w:val="403"/>
          <w:tblHeader/>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214"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400"/>
        </w:trPr>
        <w:tc>
          <w:tcPr>
            <w:tcBorders>
              <w:top w:val="single" w:color="000000" w:sz="4" w:space="0"/>
              <w:left w:val="single" w:color="000000" w:sz="4" w:space="0"/>
              <w:bottom w:val="single" w:color="auto" w:sz="4" w:space="0"/>
              <w:right w:val="single" w:color="000000" w:sz="4" w:space="0"/>
            </w:tcBorders>
            <w:tcW w:w="831"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auto" w:sz="4" w:space="0"/>
              <w:right w:val="single" w:color="000000" w:sz="4" w:space="0"/>
            </w:tcBorders>
            <w:tcW w:w="6214"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通启处机关（含小海收费站、调度中心）、陈桥收费站、南通北收费站、兴仁收费站、先锋收费站、叠石桥收费站、海门收费站、悦来收费站、大生收费站、排障大队的办公、生活及餐厨等垃圾的处理、清运工作，及时清除垃圾并送至指定的转运站或处置场，服务质量须符合《城市环境卫生质量标准》。供应商委派的垃圾清运、处理服务商须具备垃圾清运相关资质，清运频次原则上一天一次。</w:t>
            </w:r>
            <w:r/>
          </w:p>
        </w:tc>
      </w:tr>
      <w:tr>
        <w:trPr>
          <w:cantSplit/>
          <w:jc w:val="center"/>
          <w:trHeight w:val="400"/>
        </w:trPr>
        <w:tc>
          <w:tcPr>
            <w:tcBorders>
              <w:top w:val="single" w:color="auto"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安全管理</w:t>
            </w:r>
            <w:r/>
          </w:p>
        </w:tc>
        <w:tc>
          <w:tcPr>
            <w:tcBorders>
              <w:top w:val="single" w:color="auto" w:sz="4" w:space="0"/>
              <w:left w:val="single" w:color="000000" w:sz="4" w:space="0"/>
              <w:bottom w:val="single" w:color="000000" w:sz="4" w:space="0"/>
              <w:right w:val="single" w:color="000000" w:sz="4" w:space="0"/>
            </w:tcBorders>
            <w:tcW w:w="6214"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供应商委派的垃圾清运、处理服务商作业期间任何的安全事故责任均由供应商负责。</w:t>
            </w:r>
            <w:r/>
          </w:p>
        </w:tc>
      </w:tr>
    </w:tbl>
    <w:p>
      <w:pPr>
        <w:rPr>
          <w:szCs w:val="21"/>
        </w:rPr>
      </w:pPr>
      <w:r>
        <w:rPr>
          <w:szCs w:val="21"/>
        </w:rPr>
      </w:r>
      <w:r/>
    </w:p>
    <w:p>
      <w:pPr>
        <w:numPr>
          <w:ilvl w:val="255"/>
          <w:numId w:val="0"/>
        </w:numPr>
        <w:ind w:firstLine="482"/>
        <w:keepLines/>
        <w:keepNext/>
        <w:spacing w:line="360" w:lineRule="exact"/>
        <w:rPr>
          <w:rFonts w:hint="eastAsia" w:ascii="宋体" w:hAnsi="宋体" w:cs="宋体"/>
          <w:b/>
          <w:bCs/>
          <w:sz w:val="24"/>
          <w:szCs w:val="24"/>
        </w:rPr>
        <w:outlineLvl w:val="1"/>
      </w:pPr>
      <w:r>
        <w:rPr>
          <w:rFonts w:hint="eastAsia" w:ascii="宋体" w:hAnsi="宋体" w:cs="宋体"/>
          <w:b/>
          <w:bCs/>
          <w:sz w:val="24"/>
          <w:szCs w:val="24"/>
        </w:rPr>
        <w:t xml:space="preserve">2.2</w:t>
      </w:r>
      <w:r>
        <w:rPr>
          <w:rFonts w:ascii="宋体" w:hAnsi="宋体" w:cs="宋体"/>
          <w:b/>
          <w:bCs/>
          <w:sz w:val="24"/>
          <w:szCs w:val="24"/>
        </w:rPr>
        <w:t xml:space="preserve">物业服务要求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2.2.</w:t>
      </w:r>
      <w:r>
        <w:rPr>
          <w:rFonts w:ascii="宋体" w:hAnsi="宋体" w:cs="宋体"/>
          <w:b/>
          <w:bCs/>
          <w:sz w:val="24"/>
          <w:szCs w:val="24"/>
        </w:rPr>
        <w:t xml:space="preserve">1总体服务要求：</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①</w:t>
      </w:r>
      <w:r>
        <w:rPr>
          <w:rFonts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②</w:t>
      </w:r>
      <w:r>
        <w:rPr>
          <w:rFonts w:ascii="宋体" w:hAnsi="宋体" w:cs="宋体"/>
          <w:sz w:val="24"/>
          <w:szCs w:val="24"/>
        </w:rPr>
        <w:t xml:space="preserve">通过系统的培训，强化员工对物业管理服务的认识和服务技能，建立健全各项管理制度、岗位工作流程标准，并设立24小时服务电话，接受采购人方对物业服务的问询、建议及投诉，及时处理反馈，有回访记录。</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③</w:t>
      </w:r>
      <w:r>
        <w:rPr>
          <w:rFonts w:ascii="宋体" w:hAnsi="宋体" w:cs="宋体"/>
          <w:sz w:val="24"/>
          <w:szCs w:val="24"/>
        </w:rPr>
        <w:t xml:space="preserve">不断提升服务质量、完善管理制度和体系，通过优质的物业管理帮助采购人方树立优良形象，共同打造品牌声誉。</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④</w:t>
      </w:r>
      <w:r>
        <w:rPr>
          <w:rFonts w:ascii="宋体" w:hAnsi="宋体" w:cs="宋体"/>
          <w:sz w:val="24"/>
          <w:szCs w:val="24"/>
        </w:rPr>
        <w:t xml:space="preserve">协助采购人做好物业管理区域内各项节能管理工作，对工作人员进行节能培训，加大节能管理力度。</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⑤</w:t>
      </w:r>
      <w:r>
        <w:rPr>
          <w:rFonts w:ascii="宋体" w:hAnsi="宋体" w:cs="宋体"/>
          <w:sz w:val="24"/>
          <w:szCs w:val="24"/>
        </w:rPr>
        <w:t xml:space="preserve">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2进场要求：</w:t>
      </w:r>
      <w:r>
        <w:rPr>
          <w:rFonts w:ascii="宋体" w:hAnsi="宋体" w:cs="宋体"/>
          <w:sz w:val="24"/>
          <w:szCs w:val="24"/>
        </w:rPr>
        <w:t xml:space="preserve">供应商所配置的物业服务人员应在采购人指定日期内进场，并做好与招标前服务单位对接、交接事宜。</w:t>
      </w:r>
      <w:r/>
    </w:p>
    <w:p>
      <w:pPr>
        <w:ind w:firstLine="480"/>
        <w:spacing w:line="400" w:lineRule="exact"/>
        <w:rPr>
          <w:rFonts w:hint="eastAsia" w:ascii="宋体" w:hAnsi="宋体" w:cs="宋体"/>
          <w:sz w:val="24"/>
          <w:szCs w:val="24"/>
        </w:rPr>
      </w:pPr>
      <w:r>
        <w:rPr>
          <w:rFonts w:ascii="宋体" w:hAnsi="宋体" w:cs="宋体"/>
          <w:sz w:val="24"/>
          <w:szCs w:val="24"/>
        </w:rPr>
        <w:t xml:space="preserve">中标人未按要求逾期进场履行的，中标人应按逾期合同总额每日千分之</w:t>
      </w:r>
      <w:r>
        <w:rPr>
          <w:rFonts w:hint="eastAsia" w:ascii="宋体" w:hAnsi="宋体" w:cs="宋体"/>
          <w:sz w:val="24"/>
          <w:szCs w:val="24"/>
        </w:rPr>
        <w:t xml:space="preserve">一</w:t>
      </w:r>
      <w:r>
        <w:rPr>
          <w:rFonts w:ascii="宋体" w:hAnsi="宋体" w:cs="宋体"/>
          <w:sz w:val="24"/>
          <w:szCs w:val="24"/>
        </w:rPr>
        <w:t xml:space="preserve">向采购人支付违约金，由采购人从待付合同款中扣除。逾期超过约定日期10个工作日后不能履</w:t>
      </w:r>
      <w:r>
        <w:rPr>
          <w:rFonts w:ascii="宋体" w:hAnsi="宋体" w:cs="宋体"/>
          <w:sz w:val="24"/>
          <w:szCs w:val="24"/>
        </w:rPr>
        <w:t xml:space="preserve">约的，采购人可解除本合同。中标人因逾期履约或因其他违约行为导致采购人解除合同的，中标人应向采购人支付合同总额10%的违约金，如造成采购人损失超过违约金的，超出部分由中标人继续承担赔偿责任。 </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3退场要求：</w:t>
      </w:r>
      <w:r>
        <w:rPr>
          <w:rFonts w:ascii="宋体" w:hAnsi="宋体" w:cs="宋体"/>
          <w:sz w:val="24"/>
          <w:szCs w:val="24"/>
        </w:rPr>
        <w:t xml:space="preserve">供应商应在合同期满前提前一周完成合同范围内设施设备的自查、维修、整改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中扣除。必要时采购人保留追究相关法律责任的权力。</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4项目验收要求：</w:t>
      </w:r>
      <w:r>
        <w:rPr>
          <w:rFonts w:ascii="宋体" w:hAnsi="宋体"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w:t>
      </w:r>
      <w:r>
        <w:rPr>
          <w:rFonts w:ascii="宋体" w:hAnsi="宋体" w:cs="宋体"/>
          <w:sz w:val="24"/>
          <w:szCs w:val="24"/>
        </w:rPr>
        <w:t xml:space="preserve">后,</w:t>
      </w:r>
      <w:r>
        <w:rPr>
          <w:rFonts w:ascii="宋体" w:hAnsi="宋体" w:cs="宋体"/>
          <w:sz w:val="24"/>
          <w:szCs w:val="24"/>
        </w:rPr>
        <w:t xml:space="preserve">验收小组出具验收</w:t>
      </w:r>
      <w:r>
        <w:rPr>
          <w:rFonts w:ascii="宋体" w:hAnsi="宋体" w:cs="宋体"/>
          <w:sz w:val="24"/>
          <w:szCs w:val="24"/>
        </w:rPr>
        <w:t xml:space="preserve">书,</w:t>
      </w:r>
      <w:r>
        <w:rPr>
          <w:rFonts w:ascii="宋体" w:hAnsi="宋体" w:cs="宋体"/>
          <w:sz w:val="24"/>
          <w:szCs w:val="24"/>
        </w:rPr>
        <w:t xml:space="preserve">列明各项标准的验收情况及项目总体</w:t>
      </w:r>
      <w:r>
        <w:rPr>
          <w:rFonts w:ascii="宋体" w:hAnsi="宋体" w:cs="宋体"/>
          <w:sz w:val="24"/>
          <w:szCs w:val="24"/>
        </w:rPr>
        <w:t xml:space="preserve">评价,</w:t>
      </w:r>
      <w:r>
        <w:rPr>
          <w:rFonts w:ascii="宋体" w:hAnsi="宋体" w:cs="宋体"/>
          <w:sz w:val="24"/>
          <w:szCs w:val="24"/>
        </w:rPr>
        <w:t xml:space="preserve">由验收双方共同签署。验收结果与采购合同约定的资金支付挂钩。履约验收的各项资料存档备查。验收合格的</w:t>
      </w:r>
      <w:r>
        <w:rPr>
          <w:rFonts w:ascii="宋体" w:hAnsi="宋体" w:cs="宋体"/>
          <w:sz w:val="24"/>
          <w:szCs w:val="24"/>
        </w:rPr>
        <w:t xml:space="preserve">项目,</w:t>
      </w:r>
      <w:r>
        <w:rPr>
          <w:rFonts w:ascii="宋体" w:hAnsi="宋体" w:cs="宋体"/>
          <w:sz w:val="24"/>
          <w:szCs w:val="24"/>
        </w:rPr>
        <w:t xml:space="preserve">采购人根据采购合同的约定及时向供应商支付合同款项。验收不合格的项目，供应商需在采购人规定的时间内整改至合格。</w:t>
      </w:r>
      <w:r/>
    </w:p>
    <w:p>
      <w:pPr>
        <w:ind w:firstLine="482"/>
        <w:spacing w:line="400" w:lineRule="exact"/>
        <w:rPr>
          <w:szCs w:val="21"/>
        </w:rPr>
      </w:pPr>
      <w:r>
        <w:rPr>
          <w:rFonts w:hint="eastAsia" w:ascii="宋体" w:hAnsi="宋体" w:cs="宋体"/>
          <w:b/>
          <w:bCs/>
          <w:sz w:val="24"/>
          <w:szCs w:val="24"/>
        </w:rPr>
        <w:t xml:space="preserve">2.2.</w:t>
      </w:r>
      <w:r>
        <w:rPr>
          <w:rFonts w:ascii="宋体" w:hAnsi="宋体" w:cs="宋体"/>
          <w:b/>
          <w:bCs/>
          <w:sz w:val="24"/>
          <w:szCs w:val="24"/>
        </w:rPr>
        <w:t xml:space="preserve">5保密要求：</w:t>
      </w:r>
      <w:r>
        <w:rPr>
          <w:rFonts w:ascii="宋体" w:hAnsi="宋体" w:cs="宋体"/>
          <w:sz w:val="24"/>
          <w:szCs w:val="24"/>
        </w:rPr>
        <w:t xml:space="preserve">本项目有明确的保密要求，供应商要承诺制定保密工作的方案和措施，所有人员遵守采购人保密规定。</w:t>
      </w:r>
      <w:r/>
    </w:p>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3.</w:t>
      </w:r>
      <w:r>
        <w:rPr>
          <w:rFonts w:ascii="宋体" w:hAnsi="宋体" w:cs="宋体"/>
          <w:b/>
          <w:bCs/>
          <w:sz w:val="24"/>
          <w:szCs w:val="24"/>
        </w:rPr>
        <w:t xml:space="preserve">物业服务人员配备需求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3.1</w:t>
      </w:r>
      <w:r>
        <w:rPr>
          <w:rFonts w:ascii="宋体" w:hAnsi="宋体" w:cs="宋体"/>
          <w:b/>
          <w:bCs/>
          <w:sz w:val="24"/>
          <w:szCs w:val="24"/>
        </w:rPr>
        <w:t xml:space="preserve">人员需求</w:t>
      </w:r>
      <w:r/>
    </w:p>
    <w:tbl>
      <w:tblPr>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4"/>
        <w:gridCol w:w="1256"/>
        <w:gridCol w:w="6433"/>
      </w:tblGrid>
      <w:tr>
        <w:trPr>
          <w:jc w:val="center"/>
          <w:trHeight w:val="691"/>
        </w:trPr>
        <w:tc>
          <w:tcPr>
            <w:tcW w:w="1353" w:type="dxa"/>
            <w:vAlign w:val="center"/>
            <w:textDirection w:val="lrTb"/>
            <w:noWrap w:val="false"/>
          </w:tcPr>
          <w:p>
            <w:pPr>
              <w:jc w:val="center"/>
              <w:spacing w:line="360" w:lineRule="exact"/>
              <w:widowControl/>
              <w:rPr>
                <w:b/>
                <w:sz w:val="24"/>
                <w:szCs w:val="24"/>
              </w:rPr>
            </w:pPr>
            <w:r>
              <w:rPr>
                <w:b/>
                <w:sz w:val="24"/>
                <w:szCs w:val="24"/>
              </w:rPr>
              <w:t xml:space="preserve">岗位</w:t>
            </w:r>
            <w:r/>
          </w:p>
        </w:tc>
        <w:tc>
          <w:tcPr>
            <w:tcW w:w="1255" w:type="dxa"/>
            <w:vAlign w:val="center"/>
            <w:textDirection w:val="lrTb"/>
            <w:noWrap w:val="false"/>
          </w:tcPr>
          <w:p>
            <w:pPr>
              <w:jc w:val="center"/>
              <w:spacing w:line="360" w:lineRule="exact"/>
              <w:widowControl/>
              <w:rPr>
                <w:b/>
                <w:sz w:val="24"/>
                <w:szCs w:val="24"/>
              </w:rPr>
            </w:pPr>
            <w:r>
              <w:rPr>
                <w:b/>
                <w:sz w:val="24"/>
                <w:szCs w:val="24"/>
              </w:rPr>
              <w:t xml:space="preserve">岗位人数</w:t>
            </w:r>
            <w:r/>
          </w:p>
        </w:tc>
        <w:tc>
          <w:tcPr>
            <w:tcW w:w="6429" w:type="dxa"/>
            <w:vAlign w:val="center"/>
            <w:textDirection w:val="lrTb"/>
            <w:noWrap w:val="false"/>
          </w:tcPr>
          <w:p>
            <w:pPr>
              <w:jc w:val="center"/>
              <w:spacing w:line="360" w:lineRule="exact"/>
              <w:widowControl/>
              <w:rPr>
                <w:b/>
                <w:sz w:val="24"/>
                <w:szCs w:val="24"/>
              </w:rPr>
            </w:pPr>
            <w:r>
              <w:rPr>
                <w:b/>
                <w:sz w:val="24"/>
                <w:szCs w:val="24"/>
              </w:rPr>
              <w:t xml:space="preserve">备注（岗位所需服务时长或时段、需具备的上岗资格证、人员学历、工作经验等要求）</w:t>
            </w:r>
            <w:r/>
          </w:p>
        </w:tc>
      </w:tr>
      <w:tr>
        <w:trPr>
          <w:jc w:val="center"/>
          <w:trHeight w:val="105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会务</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1</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iCs/>
                <w:sz w:val="24"/>
                <w:szCs w:val="24"/>
              </w:rPr>
              <w:t xml:space="preserve">具有大专及以上学历，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iCs/>
                <w:sz w:val="24"/>
                <w:szCs w:val="24"/>
              </w:rPr>
              <w:t xml:space="preserve">，身体健康，形象佳，具有两年以上同岗位工作经验。每周工作5天，每天8小时，休息日遇到特殊情况，能及时到场处理。具有物业运营、协调或管理经验的优先考虑。</w:t>
            </w:r>
            <w:r/>
          </w:p>
        </w:tc>
      </w:tr>
      <w:tr>
        <w:trPr>
          <w:jc w:val="center"/>
          <w:trHeight w:val="127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厨师</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1</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bookmarkStart w:id="160" w:name="OLE_LINK66"/>
            <w:r/>
            <w:bookmarkStart w:id="161" w:name="OLE_LINK65"/>
            <w:r/>
            <w:bookmarkStart w:id="162" w:name="OLE_LINK67"/>
            <w:r>
              <w:rPr>
                <w:rFonts w:ascii="宋体" w:hAnsi="宋体" w:cs="宋体"/>
                <w:iCs/>
                <w:sz w:val="24"/>
                <w:szCs w:val="24"/>
              </w:rPr>
              <w:t xml:space="preserve">初中及以上学历，</w:t>
            </w:r>
            <w:bookmarkEnd w:id="160"/>
            <w:r/>
            <w:bookmarkEnd w:id="161"/>
            <w:r/>
            <w:bookmarkEnd w:id="162"/>
            <w:r>
              <w:rPr>
                <w:rStyle w:val="1370"/>
                <w:rFonts w:hint="default" w:ascii="Times New Roman" w:hAnsi="Times New Roman"/>
                <w:color w:val="auto"/>
                <w:sz w:val="24"/>
                <w:szCs w:val="24"/>
                <w:lang w:bidi="ar"/>
              </w:rPr>
              <w:t xml:space="preserve">国家法定退休年龄以下（须提供至少一个月社保缴纳证明）</w:t>
            </w:r>
            <w:r>
              <w:rPr>
                <w:rFonts w:hint="eastAsia" w:ascii="宋体" w:hAnsi="宋体" w:cs="宋体"/>
                <w:b/>
                <w:bCs/>
                <w:sz w:val="24"/>
                <w:szCs w:val="24"/>
              </w:rPr>
              <w:t xml:space="preserve">，</w:t>
            </w:r>
            <w:r>
              <w:rPr>
                <w:rFonts w:ascii="宋体" w:hAnsi="宋体" w:cs="宋体"/>
                <w:bCs/>
                <w:sz w:val="24"/>
                <w:szCs w:val="32"/>
              </w:rPr>
              <w:t xml:space="preserve">具有与本项目类似的2年（含）及以上厨师工作经验</w:t>
            </w:r>
            <w:r>
              <w:rPr>
                <w:rFonts w:ascii="宋体" w:hAnsi="宋体" w:cs="宋体"/>
                <w:iCs/>
                <w:sz w:val="24"/>
                <w:szCs w:val="24"/>
              </w:rPr>
              <w:t xml:space="preserve">，</w:t>
            </w:r>
            <w:r>
              <w:rPr>
                <w:rFonts w:ascii="宋体" w:hAnsi="宋体" w:cs="宋体"/>
                <w:b/>
                <w:bCs/>
                <w:sz w:val="24"/>
                <w:szCs w:val="24"/>
              </w:rPr>
              <w:t xml:space="preserve">持有中式烹调师初级证书（职业技能等级五级）</w:t>
            </w:r>
            <w:r>
              <w:rPr>
                <w:rFonts w:ascii="宋体" w:hAnsi="宋体" w:cs="宋体"/>
                <w:b/>
                <w:bCs/>
                <w:i/>
                <w:sz w:val="24"/>
                <w:szCs w:val="24"/>
                <w:u w:val="single"/>
              </w:rPr>
              <w:t xml:space="preserve">及卫生部门发放的有效健康证</w:t>
            </w:r>
            <w:r>
              <w:rPr>
                <w:rFonts w:ascii="宋体" w:hAnsi="宋体" w:cs="宋体"/>
                <w:iCs/>
                <w:sz w:val="24"/>
                <w:szCs w:val="24"/>
              </w:rPr>
              <w:t xml:space="preserve">。每周工作时间不超过40小时。</w:t>
            </w:r>
            <w:r/>
          </w:p>
        </w:tc>
      </w:tr>
      <w:tr>
        <w:trPr>
          <w:jc w:val="center"/>
          <w:trHeight w:val="105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厨工</w:t>
            </w:r>
            <w:r/>
          </w:p>
        </w:tc>
        <w:tc>
          <w:tcPr>
            <w:tcW w:w="1255" w:type="dxa"/>
            <w:vAlign w:val="center"/>
            <w:textDirection w:val="lrTb"/>
            <w:noWrap w:val="false"/>
          </w:tcPr>
          <w:p>
            <w:pPr>
              <w:ind w:firstLine="480"/>
              <w:spacing w:line="300" w:lineRule="exact"/>
              <w:widowControl/>
              <w:rPr>
                <w:rFonts w:hint="eastAsia" w:ascii="宋体" w:hAnsi="宋体" w:cs="宋体"/>
                <w:iCs/>
                <w:sz w:val="24"/>
                <w:szCs w:val="24"/>
              </w:rPr>
            </w:pPr>
            <w:r>
              <w:rPr>
                <w:rFonts w:ascii="宋体" w:hAnsi="宋体" w:cs="宋体"/>
                <w:iCs/>
                <w:sz w:val="24"/>
                <w:szCs w:val="24"/>
              </w:rPr>
              <w:t xml:space="preserve">10</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iCs/>
                <w:sz w:val="24"/>
                <w:szCs w:val="24"/>
              </w:rPr>
              <w:t xml:space="preserve">，</w:t>
            </w:r>
            <w:r>
              <w:rPr>
                <w:rFonts w:ascii="宋体" w:hAnsi="宋体" w:cs="宋体"/>
                <w:sz w:val="24"/>
                <w:szCs w:val="32"/>
              </w:rPr>
              <w:t xml:space="preserve">具有与本项目类似的2年（含）以上单位食堂工作经验</w:t>
            </w:r>
            <w:r>
              <w:rPr>
                <w:rFonts w:ascii="宋体" w:hAnsi="宋体" w:cs="宋体"/>
                <w:sz w:val="24"/>
                <w:szCs w:val="24"/>
              </w:rPr>
              <w:t xml:space="preserve">，</w:t>
            </w:r>
            <w:r>
              <w:rPr>
                <w:rFonts w:ascii="宋体" w:hAnsi="宋体" w:cs="宋体"/>
                <w:b/>
                <w:bCs/>
                <w:i/>
                <w:sz w:val="24"/>
                <w:szCs w:val="24"/>
                <w:u w:val="single"/>
              </w:rPr>
              <w:t xml:space="preserve">持有卫生部门发放的有效健康证，</w:t>
            </w:r>
            <w:r>
              <w:rPr>
                <w:rFonts w:ascii="宋体" w:hAnsi="宋体" w:cs="宋体"/>
                <w:iCs/>
                <w:sz w:val="24"/>
                <w:szCs w:val="24"/>
              </w:rPr>
              <w:t xml:space="preserve">有一定的掌厨经验，能够协助厨师做好餐食供应，并做好原材料的粗加工，持有中式烹调师初级及以上技能等级证书的优先考虑。每周工作时间不超过40小时。</w:t>
            </w:r>
            <w:r/>
          </w:p>
        </w:tc>
      </w:tr>
      <w:tr>
        <w:trPr>
          <w:jc w:val="center"/>
          <w:trHeight w:val="997"/>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保洁</w:t>
            </w:r>
            <w:r/>
          </w:p>
        </w:tc>
        <w:tc>
          <w:tcPr>
            <w:tcW w:w="1255"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iCs/>
                <w:sz w:val="24"/>
                <w:szCs w:val="24"/>
              </w:rPr>
              <w:t xml:space="preserve">    5</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女性，初中及以上学历</w:t>
            </w:r>
            <w:r>
              <w:rPr>
                <w:rFonts w:ascii="宋体" w:hAnsi="宋体" w:cs="宋体"/>
                <w:sz w:val="24"/>
                <w:szCs w:val="24"/>
              </w:rPr>
              <w:t xml:space="preserve">，</w:t>
            </w:r>
            <w:r>
              <w:rPr>
                <w:rFonts w:ascii="宋体" w:hAnsi="宋体" w:cs="宋体"/>
                <w:iCs/>
                <w:sz w:val="24"/>
                <w:szCs w:val="24"/>
              </w:rPr>
              <w:t xml:space="preserve">具有办公楼宇保洁2年以上工作经验，能独立开展工作。每周工作时间不超过40小时。</w:t>
            </w:r>
            <w:r/>
          </w:p>
        </w:tc>
      </w:tr>
      <w:tr>
        <w:trPr>
          <w:jc w:val="center"/>
          <w:trHeight w:val="311"/>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驾驶员</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ascii="宋体" w:hAnsi="宋体" w:cs="宋体"/>
                <w:iCs/>
                <w:sz w:val="24"/>
                <w:szCs w:val="24"/>
              </w:rPr>
              <w:t xml:space="preserve">5</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男性</w:t>
            </w:r>
            <w:r>
              <w:rPr>
                <w:rFonts w:ascii="宋体" w:hAnsi="宋体" w:cs="宋体"/>
                <w:i/>
                <w:sz w:val="24"/>
                <w:szCs w:val="24"/>
              </w:rPr>
              <w:t xml:space="preserve">，</w:t>
            </w:r>
            <w:r>
              <w:rPr>
                <w:rFonts w:ascii="宋体" w:hAnsi="宋体" w:cs="宋体"/>
                <w:iCs/>
                <w:sz w:val="24"/>
                <w:szCs w:val="24"/>
              </w:rPr>
              <w:t xml:space="preserve">初中及以上学历，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b/>
                <w:bCs/>
                <w:sz w:val="24"/>
                <w:szCs w:val="24"/>
              </w:rPr>
              <w:t xml:space="preserve">，</w:t>
            </w:r>
            <w:r>
              <w:rPr>
                <w:rFonts w:hint="eastAsia" w:ascii="宋体" w:hAnsi="宋体" w:cs="宋体"/>
                <w:b/>
                <w:bCs/>
                <w:i/>
                <w:sz w:val="24"/>
                <w:szCs w:val="24"/>
                <w:u w:val="single"/>
              </w:rPr>
              <w:t xml:space="preserve">持B1以上（含B1）级驾驶证3年以上</w:t>
            </w:r>
            <w:r>
              <w:rPr>
                <w:rFonts w:ascii="宋体" w:hAnsi="宋体" w:cs="宋体"/>
                <w:iCs/>
                <w:sz w:val="24"/>
                <w:szCs w:val="24"/>
              </w:rPr>
              <w:t xml:space="preserve">，具有良好的政治、业务素质和较强的责任心，近2年均</w:t>
            </w:r>
            <w:r>
              <w:rPr>
                <w:rFonts w:ascii="宋体" w:hAnsi="宋体" w:cs="宋体"/>
                <w:bCs/>
                <w:sz w:val="24"/>
                <w:szCs w:val="24"/>
              </w:rPr>
              <w:t xml:space="preserve">无满分学习记录。</w:t>
            </w:r>
            <w:r>
              <w:rPr>
                <w:rFonts w:ascii="宋体" w:hAnsi="宋体" w:cs="宋体"/>
                <w:b/>
                <w:bCs/>
                <w:i/>
                <w:sz w:val="24"/>
                <w:szCs w:val="24"/>
                <w:u w:val="single"/>
              </w:rPr>
              <w:t xml:space="preserve">3年内无负主要责任的重大交通事故记录，且无色弱、色盲等视力问题以及可能危及行车安全的疾病病史。</w:t>
            </w:r>
            <w:r>
              <w:rPr>
                <w:rFonts w:ascii="宋体" w:hAnsi="宋体" w:cs="宋体"/>
                <w:iCs/>
                <w:sz w:val="24"/>
                <w:szCs w:val="24"/>
              </w:rPr>
              <w:t xml:space="preserve">每周工作时间不超过40小时。</w:t>
            </w:r>
            <w:r/>
          </w:p>
        </w:tc>
      </w:tr>
      <w:tr>
        <w:trPr>
          <w:jc w:val="center"/>
          <w:trHeight w:val="127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水电工兼安保</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4</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男性</w:t>
            </w:r>
            <w:r>
              <w:rPr>
                <w:rFonts w:ascii="宋体" w:hAnsi="宋体" w:cs="宋体"/>
                <w:iCs/>
                <w:sz w:val="24"/>
                <w:szCs w:val="24"/>
              </w:rPr>
              <w:t xml:space="preserve">，初中及以上学历，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b/>
                <w:bCs/>
                <w:sz w:val="24"/>
                <w:szCs w:val="24"/>
              </w:rPr>
              <w:t xml:space="preserve">，</w:t>
            </w:r>
            <w:r>
              <w:rPr>
                <w:rFonts w:ascii="宋体" w:hAnsi="宋体" w:cs="宋体"/>
                <w:iCs/>
                <w:sz w:val="24"/>
                <w:szCs w:val="24"/>
              </w:rPr>
              <w:t xml:space="preserve">具有3年及以上物业工程维修和水电维修相关工作经验，</w:t>
            </w:r>
            <w:r>
              <w:rPr>
                <w:rFonts w:hint="eastAsia" w:ascii="宋体" w:hAnsi="宋体" w:cs="宋体"/>
                <w:iCs/>
                <w:sz w:val="24"/>
                <w:szCs w:val="24"/>
              </w:rPr>
              <w:t xml:space="preserve">持有低压电工作业的特种作业操作证或</w:t>
            </w:r>
            <w:r>
              <w:rPr>
                <w:rFonts w:ascii="宋体" w:hAnsi="宋体" w:cs="宋体"/>
                <w:iCs/>
                <w:sz w:val="24"/>
                <w:szCs w:val="24"/>
              </w:rPr>
              <w:t xml:space="preserve">高压电工作业的特种作业操作证，具备基本的安全防范知识和应急处理能力，能独立解决办公楼宇的水电、工程维修问题。</w:t>
            </w:r>
            <w:r/>
          </w:p>
        </w:tc>
      </w:tr>
    </w:tbl>
    <w:p>
      <w:pPr>
        <w:ind w:firstLine="480"/>
        <w:jc w:val="left"/>
        <w:spacing w:line="300" w:lineRule="exact"/>
        <w:widowControl/>
        <w:rPr>
          <w:rFonts w:hint="eastAsia" w:ascii="楷体" w:hAnsi="楷体" w:eastAsia="楷体" w:cs="楷体"/>
          <w:b/>
          <w:bCs/>
          <w:i/>
          <w:iCs/>
          <w:szCs w:val="21"/>
          <w:u w:val="single"/>
        </w:rPr>
      </w:pPr>
      <w:r>
        <w:rPr>
          <w:rFonts w:ascii="楷体" w:hAnsi="楷体" w:eastAsia="楷体" w:cs="楷体"/>
          <w:szCs w:val="21"/>
        </w:rPr>
        <w:t xml:space="preserve">注：1.</w:t>
      </w:r>
      <w:r>
        <w:rPr>
          <w:rFonts w:ascii="楷体" w:hAnsi="楷体" w:eastAsia="楷体" w:cs="楷体"/>
          <w:b/>
          <w:bCs/>
          <w:i/>
          <w:iCs/>
          <w:szCs w:val="21"/>
          <w:u w:val="single"/>
        </w:rPr>
        <w:t xml:space="preserve">配备的人员，要求无犯罪记录，身体健康，具有相应专业技术能力和经验。（提供承诺书，同时提供人员岗位配置表，加盖单位公章，中标结果发布后签订合同前中标供应商应向采购人提供符合招标文件要求的人员信息和无犯罪记录证明）。</w:t>
      </w:r>
      <w:r/>
    </w:p>
    <w:p>
      <w:pPr>
        <w:ind w:left="420" w:firstLine="422"/>
        <w:spacing w:after="120" w:line="300" w:lineRule="exact"/>
        <w:rPr>
          <w:szCs w:val="21"/>
        </w:rPr>
      </w:pPr>
      <w:r>
        <w:rPr>
          <w:rFonts w:ascii="楷体" w:hAnsi="楷体" w:eastAsia="楷体" w:cs="楷体"/>
          <w:b/>
          <w:i/>
          <w:iCs/>
          <w:szCs w:val="21"/>
          <w:u w:val="single"/>
        </w:rPr>
        <w:t xml:space="preserve">2.</w:t>
      </w:r>
      <w:r>
        <w:rPr>
          <w:rFonts w:hint="eastAsia" w:ascii="楷体" w:hAnsi="楷体" w:eastAsia="楷体" w:cs="楷体"/>
          <w:b/>
          <w:szCs w:val="21"/>
        </w:rPr>
        <w:t xml:space="preserve">投标人所配置的物业服务人员总计不得少于26人，各岗位人员数量不得少于要求，其中1人（水电工兼安保），进场时间为2027年6月1日，其余25人，进场时间均为2027年1月1日。</w:t>
      </w:r>
      <w:r>
        <w:rPr>
          <w:rFonts w:ascii="楷体" w:hAnsi="楷体" w:eastAsia="楷体" w:cs="楷体"/>
          <w:szCs w:val="21"/>
        </w:rPr>
        <w:t xml:space="preserve">采购人因服务区域调整、服务内容优化等客观合理事由，需对相关岗位人员数量进行增减的，在不实质性降低采购文件约定的服务质量标准的前提下，与供应商友好协商后，可适当增减相关岗位人员数量。</w:t>
      </w:r>
      <w:r/>
    </w:p>
    <w:p>
      <w:pPr>
        <w:ind w:firstLine="422"/>
        <w:jc w:val="left"/>
        <w:spacing w:line="300" w:lineRule="exact"/>
        <w:widowControl/>
        <w:rPr>
          <w:rFonts w:hint="eastAsia" w:ascii="楷体" w:hAnsi="楷体" w:eastAsia="楷体" w:cs="楷体"/>
          <w:b/>
          <w:i/>
          <w:iCs/>
          <w:szCs w:val="21"/>
          <w:u w:val="single"/>
        </w:rPr>
      </w:pPr>
      <w:r>
        <w:rPr>
          <w:rFonts w:ascii="楷体" w:hAnsi="楷体" w:eastAsia="楷体" w:cs="楷体"/>
          <w:b/>
          <w:i/>
          <w:iCs/>
          <w:szCs w:val="21"/>
          <w:u w:val="single"/>
        </w:rPr>
        <w:t xml:space="preserve">3.采购方有权根据项目实际需要及客观情况，安排、调整派驻物业服务人员的工作地点，物业服务人员应无条件服从，物业服务人员不服从安排或调整的，供应商应对相关人员进行更换。</w:t>
      </w:r>
      <w:r/>
    </w:p>
    <w:p>
      <w:pPr>
        <w:ind w:firstLine="420"/>
        <w:jc w:val="left"/>
        <w:spacing w:line="300" w:lineRule="exact"/>
        <w:widowControl/>
        <w:rPr>
          <w:rFonts w:hint="eastAsia" w:ascii="楷体" w:hAnsi="楷体" w:eastAsia="楷体" w:cs="楷体"/>
          <w:bCs/>
          <w:szCs w:val="21"/>
        </w:rPr>
      </w:pPr>
      <w:r>
        <w:rPr>
          <w:rFonts w:hint="eastAsia" w:ascii="楷体" w:hAnsi="楷体" w:eastAsia="楷体" w:cs="楷体"/>
          <w:bCs/>
          <w:szCs w:val="21"/>
        </w:rPr>
        <w:t xml:space="preserve">4.供应商应按劳动法规定规范用工，与劳动者签订劳动合同，按规定时间、标准支付劳动报酬和缴纳社会保障金等，维护和保障员工的合法权益，承担未正确执行劳动用工规定所产生的法律责任。</w:t>
      </w:r>
      <w:r/>
    </w:p>
    <w:p>
      <w:pPr>
        <w:ind w:firstLine="482"/>
        <w:jc w:val="left"/>
        <w:spacing w:line="400" w:lineRule="exact"/>
        <w:widowControl/>
        <w:rPr>
          <w:rFonts w:hint="eastAsia" w:ascii="宋体" w:hAnsi="宋体" w:cs="楷体"/>
          <w:b/>
          <w:iCs/>
          <w:sz w:val="24"/>
          <w:szCs w:val="24"/>
        </w:rPr>
      </w:pPr>
      <w:r/>
      <w:bookmarkStart w:id="163" w:name="_Toc21574"/>
      <w:r/>
      <w:bookmarkStart w:id="164" w:name="_Toc20385"/>
      <w:r/>
      <w:bookmarkStart w:id="165" w:name="_Toc1962"/>
      <w:r/>
      <w:bookmarkEnd w:id="157"/>
      <w:r/>
      <w:bookmarkEnd w:id="158"/>
      <w:r/>
      <w:bookmarkEnd w:id="159"/>
      <w:r>
        <w:rPr>
          <w:rFonts w:hint="eastAsia" w:ascii="宋体" w:hAnsi="宋体" w:cs="楷体"/>
          <w:b/>
          <w:iCs/>
          <w:sz w:val="24"/>
          <w:szCs w:val="24"/>
        </w:rPr>
        <w:t xml:space="preserve">3.2</w:t>
      </w:r>
      <w:r>
        <w:rPr>
          <w:rFonts w:ascii="宋体" w:hAnsi="宋体" w:cs="楷体"/>
          <w:b/>
          <w:iCs/>
          <w:sz w:val="24"/>
          <w:szCs w:val="24"/>
        </w:rPr>
        <w:t xml:space="preserve">人员分布站点清单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9"/>
        <w:gridCol w:w="3544"/>
        <w:gridCol w:w="1559"/>
        <w:gridCol w:w="943"/>
      </w:tblGrid>
      <w:tr>
        <w:trPr>
          <w:jc w:val="center"/>
          <w:trHeight w:val="728"/>
        </w:trPr>
        <w:tc>
          <w:tcPr>
            <w:tcW w:w="2209"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岗位</w:t>
            </w:r>
            <w:r/>
          </w:p>
        </w:tc>
        <w:tc>
          <w:tcPr>
            <w:tcW w:w="3544"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单位（部门）名称</w:t>
            </w:r>
            <w:r/>
          </w:p>
        </w:tc>
        <w:tc>
          <w:tcPr>
            <w:tcW w:w="1559"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计量单位</w:t>
            </w:r>
            <w:r/>
          </w:p>
        </w:tc>
        <w:tc>
          <w:tcPr>
            <w:tcW w:w="943"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数量</w:t>
            </w:r>
            <w:r/>
          </w:p>
        </w:tc>
      </w:tr>
      <w:tr>
        <w:trPr>
          <w:jc w:val="center"/>
        </w:trPr>
        <w:tc>
          <w:tcPr>
            <w:tcW w:w="220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会务（1人）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厨师（1人）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厨工（10人）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通启处陈桥收费站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通启处先锋收费站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通启处叠石桥收费站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通启处海门收费站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通启处大生收费站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保洁（5人）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通启处兴仁收费站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通启处排障大队</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驾驶员（5人）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3</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水电工兼安保（4人）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通启处小海收费站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通启处海门收费站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通启处悦来收费站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通启处大生收费站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bl>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w:t>
      </w:r>
      <w:r>
        <w:rPr>
          <w:rFonts w:ascii="宋体" w:hAnsi="宋体" w:cs="宋体"/>
          <w:b/>
          <w:bCs/>
          <w:sz w:val="24"/>
          <w:szCs w:val="24"/>
        </w:rPr>
        <w:t xml:space="preserve">商务要求</w:t>
      </w:r>
      <w:bookmarkEnd w:id="163"/>
      <w:r/>
      <w:bookmarkEnd w:id="164"/>
      <w:r/>
      <w:bookmarkEnd w:id="165"/>
      <w:r/>
      <w:r/>
    </w:p>
    <w:p>
      <w:pPr>
        <w:ind w:firstLine="482"/>
        <w:spacing w:line="400" w:lineRule="exact"/>
        <w:rPr>
          <w:szCs w:val="21"/>
        </w:rPr>
      </w:pPr>
      <w:r>
        <w:rPr>
          <w:rFonts w:hint="eastAsia" w:ascii="宋体" w:hAnsi="宋体" w:cs="宋体"/>
          <w:b/>
          <w:bCs/>
          <w:sz w:val="24"/>
          <w:szCs w:val="24"/>
        </w:rPr>
        <w:t xml:space="preserve">4.1</w:t>
      </w:r>
      <w:r>
        <w:rPr>
          <w:rFonts w:ascii="宋体" w:hAnsi="宋体" w:cs="宋体"/>
          <w:b/>
          <w:bCs/>
          <w:sz w:val="24"/>
          <w:szCs w:val="24"/>
        </w:rPr>
        <w:t xml:space="preserve">实施期限</w:t>
      </w:r>
      <w:r/>
    </w:p>
    <w:p>
      <w:pPr>
        <w:ind w:firstLine="480"/>
        <w:jc w:val="left"/>
        <w:spacing w:line="400" w:lineRule="exact"/>
        <w:rPr>
          <w:rFonts w:hint="eastAsia" w:ascii="宋体" w:hAnsi="宋体" w:cs="宋体"/>
          <w:sz w:val="24"/>
          <w:szCs w:val="24"/>
        </w:rPr>
        <w:outlineLvl w:val="1"/>
      </w:pPr>
      <w:r>
        <w:rPr>
          <w:rFonts w:ascii="宋体" w:hAnsi="宋体" w:cs="宋体"/>
          <w:sz w:val="24"/>
          <w:szCs w:val="24"/>
        </w:rPr>
        <w:t xml:space="preserve">合同实施期限为2027年1月1日至2027年12月31日。</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w:t>
      </w:r>
      <w:r>
        <w:rPr>
          <w:rFonts w:ascii="宋体" w:hAnsi="宋体" w:cs="宋体"/>
          <w:b/>
          <w:bCs/>
          <w:sz w:val="24"/>
          <w:szCs w:val="24"/>
        </w:rPr>
        <w:t xml:space="preserve">付款条件及付款方式</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4.2.1</w:t>
      </w:r>
      <w:r>
        <w:rPr>
          <w:rFonts w:ascii="宋体" w:hAnsi="宋体" w:cs="宋体"/>
          <w:b/>
          <w:bCs/>
          <w:sz w:val="24"/>
          <w:szCs w:val="24"/>
        </w:rPr>
        <w:t xml:space="preserve">付款条件</w:t>
      </w:r>
      <w:r/>
    </w:p>
    <w:p>
      <w:pPr>
        <w:pStyle w:val="853"/>
        <w:ind w:firstLine="480"/>
        <w:spacing w:line="400" w:lineRule="exact"/>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z w:val="24"/>
          <w:szCs w:val="24"/>
        </w:rPr>
        <w:t xml:space="preserve">采购人的评价评定作为物业服务费支付的重要依据。采购人每月组织对物业管理服务进行考核，并按约定扣分比例支付物业费用，基本考核规则</w:t>
      </w:r>
      <w:r>
        <w:rPr>
          <w:rFonts w:hint="eastAsia" w:asciiTheme="minorEastAsia" w:hAnsiTheme="minorEastAsia" w:eastAsiaTheme="minorEastAsia" w:cstheme="minorEastAsia"/>
          <w:sz w:val="24"/>
          <w:szCs w:val="24"/>
        </w:rPr>
        <w:t xml:space="preserve">如下:</w:t>
      </w:r>
      <w:r>
        <w:rPr>
          <w:rFonts w:hint="eastAsia" w:asciiTheme="minorEastAsia" w:hAnsiTheme="minorEastAsia" w:eastAsiaTheme="minorEastAsia" w:cstheme="minorEastAsia"/>
          <w:sz w:val="24"/>
          <w:szCs w:val="24"/>
        </w:rPr>
        <w:t xml:space="preserve">月度考核分90分（含90）以上，按合同约定全额支付当月物业费；月度考核分80-89分（含80分），当月物业服务费按合同约定金额的80%支付；月度考核分低于80分，当月物业服务费按合同约定金额的50%支付；</w:t>
      </w:r>
      <w:r>
        <w:rPr>
          <w:rFonts w:hint="eastAsia" w:asciiTheme="minorEastAsia" w:hAnsiTheme="minorEastAsia" w:eastAsiaTheme="minorEastAsia" w:cstheme="minorEastAsia"/>
          <w:sz w:val="24"/>
          <w:szCs w:val="24"/>
        </w:rPr>
        <w:t xml:space="preserve">合同期内两次月度考核分低于80分，或因乙方原因发生重大安全责任事故的，甲方有权立即解除合同，不承担其他任何费用。</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4.2.2付款方式</w:t>
      </w:r>
      <w:r/>
    </w:p>
    <w:p>
      <w:pPr>
        <w:pStyle w:val="853"/>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本项目无预付款，按季付款。供应商根据当季每月实际提供的物业服务人员及采购人对供应商物业服务的考核结果，提出支付申请，</w:t>
      </w:r>
      <w:r>
        <w:rPr>
          <w:rFonts w:hint="eastAsia" w:asciiTheme="minorEastAsia" w:hAnsiTheme="minorEastAsia" w:eastAsiaTheme="minorEastAsia" w:cstheme="minorEastAsia"/>
          <w:sz w:val="24"/>
          <w:szCs w:val="24"/>
        </w:rPr>
        <w:t xml:space="preserve">并附当季物业服务人员费用清单，</w:t>
      </w:r>
      <w:r>
        <w:rPr>
          <w:rFonts w:hint="eastAsia" w:asciiTheme="minorEastAsia" w:hAnsiTheme="minorEastAsia" w:eastAsiaTheme="minorEastAsia" w:cstheme="minorEastAsia"/>
          <w:bCs/>
          <w:sz w:val="24"/>
          <w:szCs w:val="24"/>
        </w:rPr>
        <w:t xml:space="preserve">采购人审核确认后，供应商开具增值税普通发票，采购人收到发票和清单之日起15个工作日内付清上季度物业服务费（遇节假日顺延）。</w:t>
      </w:r>
      <w:r/>
    </w:p>
    <w:p>
      <w:pPr>
        <w:ind w:firstLine="480"/>
        <w:spacing w:line="400" w:lineRule="exact"/>
        <w:rPr>
          <w:rFonts w:ascii="宋体" w:cs="宋体"/>
          <w:sz w:val="24"/>
          <w:szCs w:val="24"/>
          <w:lang w:val="zh-CN" w:bidi="zh-CN"/>
        </w:rPr>
      </w:pPr>
      <w:r>
        <w:rPr>
          <w:rFonts w:hint="eastAsia" w:asciiTheme="minorEastAsia" w:hAnsiTheme="minorEastAsia" w:eastAsiaTheme="minorEastAsia" w:cstheme="minorEastAsia"/>
          <w:sz w:val="24"/>
          <w:szCs w:val="24"/>
          <w:lang w:val="zh-CN" w:bidi="zh-CN"/>
        </w:rPr>
        <w:t xml:space="preserve">最后一季度物业费支付时间</w:t>
      </w:r>
      <w:r>
        <w:rPr>
          <w:rFonts w:hint="eastAsia" w:asciiTheme="minorEastAsia" w:hAnsiTheme="minorEastAsia" w:eastAsiaTheme="minorEastAsia" w:cstheme="minorEastAsia"/>
          <w:sz w:val="24"/>
          <w:szCs w:val="24"/>
          <w:lang w:bidi="zh-CN"/>
        </w:rPr>
        <w:t xml:space="preserve">为</w:t>
      </w:r>
      <w:r>
        <w:rPr>
          <w:rFonts w:hint="eastAsia" w:asciiTheme="minorEastAsia" w:hAnsiTheme="minorEastAsia" w:eastAsiaTheme="minorEastAsia" w:cstheme="minorEastAsia"/>
          <w:sz w:val="24"/>
          <w:szCs w:val="24"/>
          <w:lang w:val="zh-CN" w:bidi="zh-CN"/>
        </w:rPr>
        <w:t xml:space="preserve">：在合同期最后一个月度考核</w:t>
      </w:r>
      <w:r>
        <w:rPr>
          <w:rFonts w:ascii="宋体" w:cs="宋体"/>
          <w:sz w:val="24"/>
          <w:szCs w:val="24"/>
          <w:lang w:val="zh-CN" w:bidi="zh-CN"/>
        </w:rPr>
        <w:t xml:space="preserve">结束，乙方根据当季每月实际考核结果</w:t>
      </w:r>
      <w:r>
        <w:rPr>
          <w:rFonts w:hint="eastAsia" w:ascii="宋体" w:cs="宋体"/>
          <w:sz w:val="24"/>
          <w:szCs w:val="24"/>
          <w:lang w:bidi="zh-CN"/>
        </w:rPr>
        <w:t xml:space="preserve">及经采购人审核的支付申请</w:t>
      </w:r>
      <w:r>
        <w:rPr>
          <w:rFonts w:ascii="宋体" w:cs="宋体"/>
          <w:sz w:val="24"/>
          <w:szCs w:val="24"/>
          <w:lang w:val="zh-CN" w:bidi="zh-CN"/>
        </w:rPr>
        <w:t xml:space="preserve">开具增值税普通发票、经甲方确认已提交完整过程资料并无遗留问题地完成与新服务商的所有工作交接、撤场后1个月内付款。</w:t>
      </w:r>
      <w:r/>
    </w:p>
    <w:p>
      <w:pPr>
        <w:ind w:firstLine="482"/>
        <w:spacing w:line="400" w:lineRule="exact"/>
        <w:rPr>
          <w:rFonts w:hint="eastAsia" w:ascii="宋体" w:hAnsi="宋体" w:cs="宋体"/>
          <w:b/>
          <w:bCs/>
          <w:sz w:val="24"/>
          <w:szCs w:val="24"/>
          <w:lang w:bidi="zh-CN"/>
        </w:rPr>
      </w:pPr>
      <w:r>
        <w:rPr>
          <w:rFonts w:hint="eastAsia" w:ascii="宋体" w:hAnsi="宋体" w:cs="宋体"/>
          <w:b/>
          <w:bCs/>
          <w:sz w:val="24"/>
          <w:szCs w:val="24"/>
          <w:lang w:bidi="zh-CN"/>
        </w:rPr>
        <w:t xml:space="preserve">5.</w:t>
      </w:r>
      <w:r>
        <w:rPr>
          <w:rFonts w:ascii="宋体" w:hAnsi="宋体" w:cs="宋体"/>
          <w:b/>
          <w:bCs/>
          <w:sz w:val="24"/>
          <w:szCs w:val="24"/>
          <w:lang w:val="zh-CN" w:bidi="zh-CN"/>
        </w:rPr>
        <w:t xml:space="preserve">报价</w:t>
      </w:r>
      <w:r>
        <w:rPr>
          <w:rFonts w:ascii="宋体" w:hAnsi="宋体" w:cs="宋体"/>
          <w:b/>
          <w:bCs/>
          <w:sz w:val="24"/>
          <w:szCs w:val="24"/>
          <w:lang w:bidi="zh-CN"/>
        </w:rPr>
        <w:t xml:space="preserve">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5.1</w:t>
      </w:r>
      <w:r>
        <w:rPr>
          <w:rFonts w:ascii="宋体" w:hAnsi="宋体" w:cs="宋体"/>
          <w:b/>
          <w:bCs/>
          <w:sz w:val="24"/>
          <w:szCs w:val="24"/>
        </w:rPr>
        <w:t xml:space="preserve">投标人报价构成如下（包括但不限于）：</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①</w:t>
      </w:r>
      <w:r>
        <w:rPr>
          <w:rFonts w:ascii="宋体" w:hAnsi="宋体" w:cs="宋体"/>
          <w:sz w:val="24"/>
          <w:szCs w:val="24"/>
        </w:rPr>
        <w:t xml:space="preserve">员工人工成本：人工成本包括但不限于员工工资、双休日及法定节假日固定排班产生的加班费、因采购人临时性需求产生的延时服务费、离职补偿金、工伤治疗补偿、社会保障、公积金、高温费、服装费、劳保防护、人身意外险、就餐费、人员培训费及驾驶员差旅费、值班费等全部人工成本费用。</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②</w:t>
      </w:r>
      <w:r>
        <w:rPr>
          <w:rFonts w:ascii="宋体" w:hAnsi="宋体" w:cs="宋体"/>
          <w:sz w:val="24"/>
          <w:szCs w:val="21"/>
        </w:rPr>
        <w:t xml:space="preserve">管理费。</w:t>
      </w:r>
      <w:r/>
    </w:p>
    <w:p>
      <w:pPr>
        <w:ind w:firstLine="480"/>
        <w:spacing w:line="400" w:lineRule="exac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1"/>
        </w:rPr>
        <w:t xml:space="preserve">③</w:t>
      </w:r>
      <w:r>
        <w:rPr>
          <w:rFonts w:ascii="宋体" w:hAnsi="宋体" w:cs="宋体"/>
          <w:sz w:val="24"/>
          <w:szCs w:val="21"/>
        </w:rPr>
        <w:t xml:space="preserve">税费。</w:t>
      </w:r>
      <w:r/>
    </w:p>
    <w:p>
      <w:pPr>
        <w:ind w:firstLine="480"/>
        <w:spacing w:line="400" w:lineRule="exact"/>
        <w:rPr>
          <w:rFonts w:hint="eastAsia" w:ascii="宋体" w:hAnsi="宋体" w:cs="宋体"/>
          <w:sz w:val="24"/>
          <w:szCs w:val="24"/>
          <w:lang w:bidi="zh-CN"/>
        </w:rPr>
      </w:pPr>
      <w:r>
        <w:rPr>
          <w:rFonts w:hint="eastAsia" w:ascii="微软雅黑" w:hAnsi="微软雅黑" w:eastAsia="微软雅黑" w:cs="微软雅黑"/>
          <w:sz w:val="24"/>
          <w:szCs w:val="24"/>
          <w:lang w:bidi="zh-CN"/>
        </w:rPr>
        <w:t xml:space="preserve">④</w:t>
      </w:r>
      <w:r>
        <w:rPr>
          <w:rFonts w:ascii="宋体" w:hAnsi="宋体" w:cs="宋体"/>
          <w:bCs/>
          <w:sz w:val="24"/>
          <w:szCs w:val="24"/>
          <w:lang w:bidi="zh-CN"/>
        </w:rPr>
        <w:t xml:space="preserve">垃圾清运费。</w:t>
      </w:r>
      <w:r/>
    </w:p>
    <w:p>
      <w:pPr>
        <w:ind w:firstLine="480"/>
        <w:spacing w:line="400" w:lineRule="exact"/>
        <w:rPr>
          <w:rFonts w:ascii="宋体" w:cs="宋体"/>
          <w:sz w:val="24"/>
          <w:szCs w:val="24"/>
          <w:lang w:bidi="zh-CN"/>
        </w:rPr>
      </w:pPr>
      <w:r>
        <w:rPr>
          <w:rFonts w:hint="eastAsia" w:ascii="微软雅黑" w:hAnsi="微软雅黑" w:eastAsia="微软雅黑" w:cs="微软雅黑"/>
          <w:sz w:val="24"/>
          <w:szCs w:val="24"/>
          <w:lang w:bidi="zh-CN"/>
        </w:rPr>
        <w:t xml:space="preserve">⑤</w:t>
      </w:r>
      <w:r>
        <w:rPr>
          <w:rFonts w:ascii="宋体" w:hAnsi="宋体" w:cs="宋体"/>
          <w:sz w:val="24"/>
          <w:szCs w:val="24"/>
          <w:lang w:bidi="zh-CN"/>
        </w:rPr>
        <w:t xml:space="preserve">其他费用。</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5.2</w:t>
      </w:r>
      <w:r>
        <w:rPr>
          <w:rFonts w:ascii="宋体" w:hAnsi="宋体" w:cs="宋体"/>
          <w:b/>
          <w:bCs/>
          <w:sz w:val="24"/>
          <w:szCs w:val="24"/>
        </w:rPr>
        <w:t xml:space="preserve">投标人报价说明</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sz w:val="24"/>
          <w:szCs w:val="24"/>
        </w:rPr>
        <w:t xml:space="preserve">①</w:t>
      </w:r>
      <w:r>
        <w:rPr>
          <w:rFonts w:hint="eastAsia" w:ascii="宋体" w:hAnsi="宋体" w:cs="宋体"/>
          <w:b/>
          <w:bCs/>
          <w:sz w:val="24"/>
          <w:szCs w:val="24"/>
        </w:rPr>
        <w:t xml:space="preserve">合同存续期间，供应商应充分考虑到合同期内政府政策调整（职工最低工资及社保缴费基数、节假日加班费标准调整、员工合同终止补偿金等）带来的风险，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单位公章，格式自拟）。</w:t>
      </w:r>
      <w:r/>
    </w:p>
    <w:p>
      <w:pPr>
        <w:ind w:firstLine="480"/>
        <w:spacing w:line="400" w:lineRule="exact"/>
        <w:rPr>
          <w:rFonts w:hint="eastAsia" w:ascii="宋体" w:hAnsi="宋体" w:cs="宋体"/>
          <w:i/>
          <w:iCs/>
          <w:sz w:val="24"/>
          <w:szCs w:val="24"/>
          <w:u w:val="single"/>
        </w:rPr>
      </w:pPr>
      <w:r>
        <w:rPr>
          <w:rFonts w:hint="eastAsia" w:ascii="微软雅黑" w:hAnsi="微软雅黑" w:eastAsia="微软雅黑" w:cs="微软雅黑"/>
          <w:sz w:val="24"/>
          <w:szCs w:val="24"/>
        </w:rPr>
        <w:t xml:space="preserve">②</w:t>
      </w:r>
      <w:r>
        <w:rPr>
          <w:rFonts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hint="eastAsia" w:ascii="宋体" w:hAnsi="宋体" w:cs="宋体"/>
          <w:sz w:val="30"/>
          <w:szCs w:val="30"/>
        </w:rPr>
      </w:pPr>
      <w:r>
        <w:rPr>
          <w:rFonts w:hint="eastAsia" w:ascii="微软雅黑" w:hAnsi="微软雅黑" w:eastAsia="微软雅黑" w:cs="微软雅黑"/>
          <w:sz w:val="24"/>
          <w:szCs w:val="24"/>
        </w:rPr>
        <w:t xml:space="preserve">③</w:t>
      </w:r>
      <w:r>
        <w:rPr>
          <w:rFonts w:ascii="宋体" w:hAnsi="宋体" w:cs="宋体"/>
          <w:b/>
          <w:bCs/>
          <w:i/>
          <w:iCs/>
          <w:sz w:val="24"/>
          <w:szCs w:val="24"/>
          <w:u w:val="single"/>
        </w:rPr>
        <w:t xml:space="preserve">投标人在其投标文件列出所有配置人员的工资及依法应缴纳社保和公积金人员的社保公积金待遇不得低于当地（以人员岗位归属地为准）目前最低工资标准和社保、公积金缴费标准</w:t>
      </w:r>
      <w:r>
        <w:rPr>
          <w:rFonts w:ascii="宋体" w:hAnsi="宋体" w:cs="宋体"/>
          <w:b/>
          <w:bCs/>
          <w:i/>
          <w:iCs/>
          <w:sz w:val="24"/>
          <w:szCs w:val="24"/>
          <w:u w:val="single"/>
        </w:rPr>
        <w:t xml:space="preserve">(如</w:t>
      </w:r>
      <w:r>
        <w:rPr>
          <w:rFonts w:ascii="宋体" w:hAnsi="宋体" w:cs="宋体"/>
          <w:b/>
          <w:bCs/>
          <w:i/>
          <w:iCs/>
          <w:sz w:val="24"/>
          <w:szCs w:val="24"/>
          <w:u w:val="single"/>
        </w:rPr>
        <w:t xml:space="preserve">行政主管部门出台新政策，以行政主管部门规定为</w:t>
      </w:r>
      <w:r>
        <w:rPr>
          <w:rFonts w:ascii="宋体" w:hAnsi="宋体" w:cs="宋体"/>
          <w:b/>
          <w:bCs/>
          <w:i/>
          <w:iCs/>
          <w:sz w:val="24"/>
          <w:szCs w:val="24"/>
          <w:u w:val="single"/>
        </w:rPr>
        <w:t xml:space="preserve">准)。</w:t>
      </w:r>
      <w:r>
        <w:rPr>
          <w:rFonts w:ascii="宋体" w:hAnsi="宋体" w:cs="宋体"/>
          <w:b/>
          <w:bCs/>
          <w:i/>
          <w:iCs/>
          <w:sz w:val="24"/>
          <w:szCs w:val="24"/>
          <w:u w:val="single"/>
        </w:rPr>
        <w:t xml:space="preserve">（提供承诺书，加盖单位公章，格式自拟）</w:t>
      </w:r>
      <w:r/>
    </w:p>
    <w:p>
      <w:pPr>
        <w:ind w:firstLine="482"/>
        <w:spacing w:line="400" w:lineRule="exact"/>
        <w:rPr>
          <w:rFonts w:hint="eastAsia" w:ascii="宋体" w:hAnsi="宋体" w:cs="宋体"/>
          <w:b/>
          <w:bCs/>
          <w:sz w:val="24"/>
          <w:szCs w:val="24"/>
        </w:rPr>
      </w:pPr>
      <w:r>
        <w:rPr>
          <w:rFonts w:hint="eastAsia" w:ascii="微软雅黑" w:hAnsi="微软雅黑" w:eastAsia="微软雅黑" w:cs="微软雅黑"/>
          <w:sz w:val="24"/>
          <w:szCs w:val="24"/>
        </w:rPr>
        <w:t xml:space="preserve">④</w:t>
      </w:r>
      <w:r>
        <w:rPr>
          <w:rFonts w:ascii="宋体" w:hAnsi="宋体" w:cs="宋体"/>
          <w:b/>
          <w:bCs/>
          <w:i/>
          <w:iCs/>
          <w:sz w:val="24"/>
          <w:szCs w:val="24"/>
          <w:u w:val="single"/>
        </w:rPr>
        <w:t xml:space="preserve">为全员购买赔付金额不少于100万元/人的人身意外险并提供缴纳证明。（提供承诺书，加盖单位公章，格式自拟）。</w:t>
      </w:r>
      <w:r/>
    </w:p>
    <w:p>
      <w:pPr>
        <w:ind w:firstLine="482"/>
        <w:spacing w:line="400" w:lineRule="exact"/>
        <w:rPr>
          <w:rFonts w:hint="eastAsia" w:ascii="宋体" w:hAnsi="宋体" w:cs="宋体"/>
          <w:b/>
          <w:bCs/>
          <w:i/>
          <w:iCs/>
          <w:sz w:val="24"/>
          <w:szCs w:val="24"/>
          <w:u w:val="single"/>
        </w:rPr>
      </w:pPr>
      <w:r>
        <w:rPr>
          <w:rFonts w:hint="eastAsia" w:ascii="微软雅黑" w:hAnsi="微软雅黑" w:eastAsia="微软雅黑" w:cs="微软雅黑"/>
          <w:b/>
          <w:bCs/>
          <w:i/>
          <w:iCs/>
          <w:sz w:val="24"/>
          <w:szCs w:val="24"/>
          <w:u w:val="single"/>
        </w:rPr>
        <w:t xml:space="preserve">⑤</w:t>
      </w:r>
      <w:r>
        <w:rPr>
          <w:i/>
          <w:iCs/>
          <w:u w:val="single"/>
        </w:rPr>
        <w:t xml:space="preserve">中标供应商在合同履行时</w:t>
      </w:r>
      <w:r>
        <w:rPr>
          <w:rFonts w:hint="eastAsia"/>
          <w:i/>
          <w:iCs/>
          <w:u w:val="single"/>
        </w:rPr>
        <w:t xml:space="preserve">需考虑</w:t>
      </w:r>
      <w:r>
        <w:rPr>
          <w:i/>
          <w:iCs/>
          <w:u w:val="single"/>
        </w:rPr>
        <w:t xml:space="preserve">全员就餐费</w:t>
      </w:r>
      <w:r>
        <w:rPr>
          <w:rFonts w:hint="eastAsia"/>
          <w:i/>
          <w:iCs/>
          <w:u w:val="single"/>
        </w:rPr>
        <w:t xml:space="preserve">，</w:t>
      </w:r>
      <w:r>
        <w:rPr>
          <w:i/>
          <w:iCs/>
          <w:u w:val="single"/>
        </w:rPr>
        <w:t xml:space="preserve">相关费用需包含在投标总价中</w:t>
      </w:r>
      <w:r>
        <w:rPr>
          <w:rFonts w:hint="eastAsia"/>
          <w:i/>
          <w:iCs/>
          <w:u w:val="single"/>
        </w:rPr>
        <w:t xml:space="preserve">。</w:t>
      </w:r>
      <w:r>
        <w:rPr>
          <w:rFonts w:hint="eastAsia"/>
        </w:rPr>
        <w:t xml:space="preserve">(</w:t>
      </w:r>
      <w:r>
        <w:rPr>
          <w:rFonts w:hint="eastAsia"/>
        </w:rPr>
        <w:t xml:space="preserve">往</w:t>
      </w:r>
      <w:r>
        <w:rPr>
          <w:rFonts w:hint="eastAsia"/>
        </w:rPr>
        <w:t xml:space="preserve">期</w:t>
      </w:r>
      <w:r>
        <w:t xml:space="preserve">按月采购人</w:t>
      </w:r>
      <w:r>
        <w:rPr>
          <w:rFonts w:hint="eastAsia"/>
        </w:rPr>
        <w:t xml:space="preserve">代收</w:t>
      </w:r>
      <w:r>
        <w:t xml:space="preserve">全员就餐费</w:t>
      </w:r>
      <w:r>
        <w:rPr>
          <w:rFonts w:hint="eastAsia"/>
        </w:rPr>
        <w:t xml:space="preserve">为</w:t>
      </w:r>
      <w:r>
        <w:t xml:space="preserve">400</w:t>
      </w:r>
      <w:r>
        <w:t xml:space="preserve">元</w:t>
      </w:r>
      <w:r>
        <w:t xml:space="preserve">/</w:t>
      </w:r>
      <w:r>
        <w:t xml:space="preserve">人</w:t>
      </w:r>
      <w:r>
        <w:t xml:space="preserve">/</w:t>
      </w:r>
      <w:r>
        <w:t xml:space="preserve">月</w:t>
      </w:r>
      <w:r>
        <w:rPr>
          <w:rFonts w:hint="eastAsia"/>
        </w:rPr>
        <w:t xml:space="preserve">)</w:t>
      </w:r>
      <w:r>
        <w:rPr>
          <w:rFonts w:hint="eastAsia"/>
        </w:rPr>
        <w:t xml:space="preserve">。</w:t>
      </w:r>
      <w:r/>
    </w:p>
    <w:p>
      <w:pPr>
        <w:ind w:firstLine="482"/>
        <w:spacing w:line="400" w:lineRule="exact"/>
        <w:rPr>
          <w:rFonts w:hint="eastAsia" w:ascii="宋体" w:hAnsi="宋体" w:cs="宋体"/>
          <w:iCs/>
          <w:sz w:val="24"/>
          <w:szCs w:val="21"/>
        </w:rPr>
      </w:pPr>
      <w:r>
        <w:rPr>
          <w:rFonts w:hint="eastAsia" w:ascii="微软雅黑" w:hAnsi="微软雅黑" w:eastAsia="微软雅黑" w:cs="微软雅黑"/>
          <w:iCs/>
          <w:sz w:val="24"/>
          <w:szCs w:val="21"/>
        </w:rPr>
        <w:t xml:space="preserve">⑥</w:t>
      </w:r>
      <w:r>
        <w:rPr>
          <w:rFonts w:ascii="宋体" w:hAnsi="宋体" w:cs="宋体"/>
          <w:sz w:val="24"/>
          <w:szCs w:val="24"/>
        </w:rPr>
        <w:t xml:space="preserve">投标人负责通启处处机关（含小海收费站、调度中心）、陈桥收费站、南通北收费站、兴仁收费站、先锋收费站、叠石桥收费站、海门收费站、悦来收费站、大生收费站、排障大队的办公、生活及餐厨等垃圾的处理、清运工作，及时清除垃圾并送至指定的转运站或处置场，服务质量须符合《城市环境卫生质量标准》。供应商委派的垃圾清运、处理服务商须具备垃圾清运相关资质，清运频次原则上一天一次。相关费用需包含在投标总价内。</w:t>
      </w:r>
      <w:r/>
    </w:p>
    <w:p>
      <w:pPr>
        <w:ind w:firstLine="480"/>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⑦</w:t>
      </w:r>
      <w:r>
        <w:rPr>
          <w:rFonts w:ascii="宋体" w:hAnsi="宋体" w:cs="宋体"/>
          <w:sz w:val="24"/>
          <w:szCs w:val="24"/>
        </w:rPr>
        <w:t xml:space="preserve">投标人应根据各岗位物业服务人员要求的进场时间和合同履约期限进行报价。</w:t>
      </w:r>
      <w:r/>
    </w:p>
    <w:p>
      <w:pPr>
        <w:ind w:firstLine="480"/>
        <w:spacing w:line="400" w:lineRule="exact"/>
        <w:rPr>
          <w:rFonts w:hint="eastAsia" w:ascii="宋体" w:hAnsi="宋体" w:cs="宋体"/>
          <w:bCs/>
          <w:iCs/>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iCs/>
          <w:sz w:val="24"/>
          <w:szCs w:val="21"/>
        </w:rPr>
        <w:t xml:space="preserve">⑧</w:t>
      </w:r>
      <w:r>
        <w:rPr>
          <w:rFonts w:ascii="宋体" w:hAnsi="宋体" w:cs="宋体"/>
          <w:b/>
          <w:bCs/>
          <w:i/>
          <w:iCs/>
          <w:sz w:val="24"/>
          <w:szCs w:val="24"/>
          <w:u w:val="single"/>
        </w:rPr>
        <w:t xml:space="preserve">供应商需充分考虑物业服务人员的双休日及法定节假日固定排班产生的加班费、延时服务费，以及驾驶员差旅费、值班费等费用，费用需包含在投标总价内。</w:t>
      </w:r>
      <w:r>
        <w:rPr>
          <w:rFonts w:ascii="宋体" w:hAnsi="宋体" w:cs="宋体"/>
          <w:bCs/>
          <w:iCs/>
          <w:sz w:val="24"/>
          <w:szCs w:val="24"/>
        </w:rPr>
        <w:t xml:space="preserve">各岗位物业服务人员预计产生的双休日及法定节假日排班、延时工作，以及驾驶员出差、值班等情况见下表：</w:t>
      </w:r>
      <w:r/>
    </w:p>
    <w:tbl>
      <w:tblPr>
        <w:tblW w:w="88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7"/>
        <w:gridCol w:w="1049"/>
        <w:gridCol w:w="1529"/>
        <w:gridCol w:w="1276"/>
        <w:gridCol w:w="1420"/>
        <w:gridCol w:w="1215"/>
        <w:gridCol w:w="1576"/>
      </w:tblGrid>
      <w:tr>
        <w:trPr>
          <w:jc w:val="center"/>
        </w:trPr>
        <w:tc>
          <w:tcPr>
            <w:tcW w:w="807" w:type="dxa"/>
            <w:vAlign w:val="center"/>
            <w:vMerge w:val="restart"/>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序号</w:t>
            </w:r>
            <w:r/>
          </w:p>
        </w:tc>
        <w:tc>
          <w:tcPr>
            <w:tcW w:w="1049" w:type="dxa"/>
            <w:vAlign w:val="center"/>
            <w:vMerge w:val="restart"/>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工种</w:t>
            </w:r>
            <w:r/>
          </w:p>
        </w:tc>
        <w:tc>
          <w:tcPr>
            <w:gridSpan w:val="5"/>
            <w:tcW w:w="7016" w:type="dxa"/>
            <w:vAlign w:val="center"/>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人均情况</w:t>
            </w:r>
            <w:r/>
          </w:p>
        </w:tc>
      </w:tr>
      <w:tr>
        <w:trPr>
          <w:jc w:val="center"/>
        </w:trPr>
        <w:tc>
          <w:tcPr>
            <w:tcW w:w="807" w:type="dxa"/>
            <w:vAlign w:val="center"/>
            <w:vMerge w:val="continue"/>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仿宋_GB2312" w:hAnsi="宋体" w:eastAsia="仿宋_GB2312" w:cs="宋体"/>
                <w:b/>
                <w:bCs/>
                <w:sz w:val="24"/>
                <w:szCs w:val="24"/>
              </w:rPr>
            </w:r>
            <w:r/>
          </w:p>
        </w:tc>
        <w:tc>
          <w:tcPr>
            <w:tcW w:w="1049" w:type="dxa"/>
            <w:vAlign w:val="center"/>
            <w:vMerge w:val="continue"/>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仿宋_GB2312" w:hAnsi="宋体" w:eastAsia="仿宋_GB2312" w:cs="宋体"/>
                <w:b/>
                <w:bCs/>
                <w:sz w:val="24"/>
                <w:szCs w:val="24"/>
              </w:rPr>
            </w:r>
            <w:r/>
          </w:p>
        </w:tc>
        <w:tc>
          <w:tcPr>
            <w:tcW w:w="1529"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延时加班时长</w:t>
            </w:r>
            <w:r/>
          </w:p>
        </w:tc>
        <w:tc>
          <w:tcPr>
            <w:tcW w:w="1276"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双休日加班时长</w:t>
            </w:r>
            <w:r/>
          </w:p>
        </w:tc>
        <w:tc>
          <w:tcPr>
            <w:tcW w:w="1420"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法定节假日时长</w:t>
            </w:r>
            <w:r/>
          </w:p>
        </w:tc>
        <w:tc>
          <w:tcPr>
            <w:tcW w:w="1215"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值班</w:t>
            </w:r>
            <w:r/>
          </w:p>
        </w:tc>
        <w:tc>
          <w:tcPr>
            <w:tcW w:w="1576" w:type="dxa"/>
            <w:vAlign w:val="center"/>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出差</w:t>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1</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会务</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2</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厨师</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4</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3</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厨工</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12</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4</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保洁</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10</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5</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驾驶员</w:t>
            </w:r>
            <w:r/>
          </w:p>
        </w:tc>
        <w:tc>
          <w:tcPr>
            <w:tcW w:w="152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2</w:t>
            </w:r>
            <w:r>
              <w:rPr>
                <w:rFonts w:hint="eastAsia" w:ascii="宋体" w:hAnsi="宋体" w:cs="宋体"/>
                <w:bCs/>
                <w:szCs w:val="21"/>
              </w:rPr>
              <w:t xml:space="preserve">天</w:t>
            </w:r>
            <w:r/>
          </w:p>
        </w:tc>
        <w:tc>
          <w:tcPr>
            <w:tcW w:w="1215"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1</w:t>
            </w:r>
            <w:r>
              <w:rPr>
                <w:rFonts w:hint="eastAsia" w:ascii="宋体" w:hAnsi="宋体" w:cs="宋体"/>
                <w:bCs/>
                <w:szCs w:val="21"/>
              </w:rPr>
              <w:t xml:space="preserve">天平时值班</w:t>
            </w:r>
            <w:r/>
          </w:p>
        </w:tc>
        <w:tc>
          <w:tcPr>
            <w:tcW w:w="1576"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1</w:t>
            </w:r>
            <w:r>
              <w:rPr>
                <w:rFonts w:hint="eastAsia" w:ascii="宋体" w:hAnsi="宋体" w:cs="宋体"/>
                <w:bCs/>
                <w:szCs w:val="21"/>
              </w:rPr>
              <w:t xml:space="preserve">次（每次不少于</w:t>
            </w:r>
            <w:r>
              <w:rPr>
                <w:rFonts w:ascii="仿宋_GB2312" w:hAnsi="宋体" w:eastAsia="仿宋_GB2312" w:cs="宋体"/>
                <w:bCs/>
                <w:szCs w:val="21"/>
              </w:rPr>
              <w:t xml:space="preserve">2</w:t>
            </w:r>
            <w:r>
              <w:rPr>
                <w:rFonts w:hint="eastAsia" w:ascii="宋体" w:hAnsi="宋体" w:cs="宋体"/>
                <w:bCs/>
                <w:szCs w:val="21"/>
              </w:rPr>
              <w:t xml:space="preserve">天）</w:t>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6</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水电工及安保</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5</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bl>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6.</w:t>
      </w:r>
      <w:r>
        <w:rPr>
          <w:rFonts w:ascii="宋体" w:hAnsi="宋体" w:cs="宋体"/>
          <w:b/>
          <w:bCs/>
          <w:sz w:val="24"/>
          <w:szCs w:val="24"/>
        </w:rPr>
        <w:t xml:space="preserve">管理制度及工作方案要求</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6.1</w:t>
      </w:r>
      <w:r>
        <w:rPr>
          <w:rFonts w:ascii="宋体" w:hAnsi="宋体" w:cs="宋体"/>
          <w:b/>
          <w:bCs/>
          <w:sz w:val="24"/>
          <w:szCs w:val="24"/>
        </w:rPr>
        <w:t xml:space="preserve">管理制度。</w:t>
      </w:r>
      <w:r>
        <w:rPr>
          <w:rFonts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6.2</w:t>
      </w:r>
      <w:r>
        <w:rPr>
          <w:rFonts w:ascii="宋体" w:hAnsi="宋体" w:cs="宋体"/>
          <w:b/>
          <w:bCs/>
          <w:sz w:val="24"/>
          <w:szCs w:val="24"/>
        </w:rPr>
        <w:t xml:space="preserve">项目服务整体方案。</w:t>
      </w:r>
      <w:r>
        <w:rPr>
          <w:rFonts w:ascii="宋体" w:hAnsi="宋体" w:cs="宋体"/>
          <w:sz w:val="24"/>
          <w:szCs w:val="24"/>
        </w:rPr>
        <w:t xml:space="preserve">针对本项目采购需求，结合采购人办公楼宇实际情况提出项目服务整体方案，内容包括但不限于总体服务设想、目标定位、服务理念、重点难点分析、思路创新、质量保证等。提供的方案应细致完整、针对性强、措施有力、便于实施。</w:t>
      </w:r>
      <w:r/>
    </w:p>
    <w:p>
      <w:pPr>
        <w:ind w:firstLine="482"/>
        <w:spacing w:line="400" w:lineRule="exact"/>
        <w:rPr>
          <w:sz w:val="24"/>
          <w:szCs w:val="24"/>
        </w:rPr>
      </w:pPr>
      <w:r>
        <w:rPr>
          <w:rFonts w:hint="eastAsia" w:ascii="宋体" w:hAnsi="宋体" w:cs="宋体"/>
          <w:b/>
          <w:bCs/>
          <w:sz w:val="24"/>
          <w:szCs w:val="24"/>
        </w:rPr>
        <w:t xml:space="preserve">6.3</w:t>
      </w:r>
      <w:r>
        <w:rPr>
          <w:rFonts w:ascii="宋体" w:hAnsi="宋体" w:cs="宋体"/>
          <w:b/>
          <w:bCs/>
          <w:sz w:val="24"/>
          <w:szCs w:val="24"/>
        </w:rPr>
        <w:t xml:space="preserve">人员培训方案。</w:t>
      </w:r>
      <w:r>
        <w:rPr>
          <w:rFonts w:ascii="宋体" w:hAnsi="宋体" w:cs="宋体"/>
          <w:sz w:val="24"/>
          <w:szCs w:val="24"/>
        </w:rPr>
        <w:t xml:space="preserve">针对本项目需求和特点制订各端口（岗位）详细的人员培训方案，包括但不限于业务培训、安全教育培训等。培训方案要详细，确保员工上岗培训率达100%，保质保量完成采购人交办的工作。</w:t>
      </w:r>
      <w:r>
        <w:rPr>
          <w:sz w:val="24"/>
          <w:szCs w:val="24"/>
        </w:rPr>
        <w:t xml:space="preserve">合同期内应组织</w:t>
      </w:r>
      <w:r>
        <w:rPr>
          <w:sz w:val="24"/>
          <w:szCs w:val="24"/>
        </w:rPr>
        <w:t xml:space="preserve">1</w:t>
      </w:r>
      <w:r>
        <w:rPr>
          <w:sz w:val="24"/>
          <w:szCs w:val="24"/>
        </w:rPr>
        <w:t xml:space="preserve">～</w:t>
      </w:r>
      <w:r>
        <w:rPr>
          <w:sz w:val="24"/>
          <w:szCs w:val="24"/>
        </w:rPr>
        <w:t xml:space="preserve">2</w:t>
      </w:r>
      <w:r>
        <w:rPr>
          <w:sz w:val="24"/>
          <w:szCs w:val="24"/>
        </w:rPr>
        <w:t xml:space="preserve">次的全员安全教育培训；各岗位业务培训可结合实际分岗位实施，合同期内各岗位业务培训不得少于</w:t>
      </w:r>
      <w:r>
        <w:rPr>
          <w:sz w:val="24"/>
          <w:szCs w:val="24"/>
        </w:rPr>
        <w:t xml:space="preserve">1</w:t>
      </w:r>
      <w:r>
        <w:rPr>
          <w:sz w:val="24"/>
          <w:szCs w:val="24"/>
        </w:rPr>
        <w:t xml:space="preserve">次。</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6.4</w:t>
      </w:r>
      <w:r>
        <w:rPr>
          <w:rFonts w:ascii="宋体" w:hAnsi="宋体" w:cs="宋体"/>
          <w:b/>
          <w:bCs/>
          <w:sz w:val="24"/>
          <w:szCs w:val="24"/>
        </w:rPr>
        <w:t xml:space="preserve">突发事件应急处置方案。</w:t>
      </w:r>
      <w:r>
        <w:rPr>
          <w:rFonts w:ascii="宋体" w:hAnsi="宋体" w:cs="宋体"/>
          <w:sz w:val="24"/>
          <w:szCs w:val="24"/>
        </w:rPr>
        <w:t xml:space="preserve">针对本项目服务内容和特点，制订包含但不限于火灾、食品中毒、突发停电、水管爆裂、电梯故障、燃气泄漏、自然灾害、疫情等方面的突发事件应急处置方案，内容需包含预警、处置、善后等基本流程并且有详细的预案演练计划。方案应切合实际，具有较强的可操作性。</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6.5人员配置方案。</w:t>
      </w:r>
      <w:r>
        <w:rPr>
          <w:rFonts w:ascii="宋体" w:hAnsi="宋体" w:cs="宋体"/>
          <w:sz w:val="24"/>
          <w:szCs w:val="24"/>
        </w:rPr>
        <w:t xml:space="preserve">针对本项目服务内容和特点</w:t>
      </w:r>
      <w:r>
        <w:rPr>
          <w:rFonts w:hint="eastAsia" w:ascii="宋体" w:hAnsi="宋体" w:cs="宋体"/>
          <w:sz w:val="24"/>
          <w:szCs w:val="24"/>
        </w:rPr>
        <w:t xml:space="preserve">，制订人员配置方案，内容包括但不限于符合需求的人员数量、学历、工作经历、职业技能等，要求方案科学合理、人岗适配，运转良好。</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6.6</w:t>
      </w:r>
      <w:r>
        <w:rPr>
          <w:rFonts w:ascii="宋体" w:hAnsi="宋体" w:cs="宋体"/>
          <w:b/>
          <w:bCs/>
          <w:sz w:val="24"/>
          <w:szCs w:val="24"/>
        </w:rPr>
        <w:t xml:space="preserve">进退场工作方案。</w:t>
      </w:r>
      <w:r>
        <w:rPr>
          <w:rFonts w:ascii="宋体" w:hAnsi="宋体" w:cs="宋体"/>
          <w:sz w:val="24"/>
          <w:szCs w:val="24"/>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6.7</w:t>
      </w:r>
      <w:r>
        <w:rPr>
          <w:rFonts w:ascii="宋体" w:hAnsi="宋体" w:cs="宋体"/>
          <w:b/>
          <w:bCs/>
          <w:sz w:val="24"/>
          <w:szCs w:val="24"/>
        </w:rPr>
        <w:t xml:space="preserve">保洁服务方案。</w:t>
      </w:r>
      <w:r>
        <w:rPr>
          <w:rFonts w:ascii="宋体" w:hAnsi="宋体" w:cs="宋体"/>
          <w:sz w:val="24"/>
          <w:szCs w:val="24"/>
        </w:rPr>
        <w:t xml:space="preserve">根据采购人保洁区域及具体内容，制订详细的保洁服务方案，内容包括但不限于办公用房区域保洁、公共场地区域保洁、垃圾处理、卫生消毒等，明确工作流程、保洁频率、验收标准及服务质量保障措施。提供的方案应细致完整、针对性强、措施有力。</w:t>
      </w:r>
      <w:r/>
    </w:p>
    <w:p>
      <w:pPr>
        <w:ind w:firstLine="480"/>
        <w:spacing w:line="400" w:lineRule="exact"/>
        <w:rPr>
          <w:rFonts w:hint="eastAsia" w:ascii="宋体" w:hAnsi="宋体" w:cs="宋体"/>
          <w:sz w:val="24"/>
          <w:szCs w:val="24"/>
        </w:rPr>
      </w:pPr>
      <w:r>
        <w:rPr>
          <w:rFonts w:hint="eastAsia" w:ascii="宋体" w:hAnsi="宋体" w:cs="宋体"/>
          <w:b/>
          <w:bCs/>
          <w:sz w:val="24"/>
          <w:szCs w:val="24"/>
        </w:rPr>
        <w:t xml:space="preserve">6.8</w:t>
      </w:r>
      <w:r>
        <w:rPr>
          <w:rFonts w:ascii="宋体" w:hAnsi="宋体" w:cs="宋体"/>
          <w:b/>
          <w:bCs/>
          <w:sz w:val="24"/>
          <w:szCs w:val="24"/>
        </w:rPr>
        <w:t xml:space="preserve">餐饮服务方案。</w:t>
      </w:r>
      <w:r>
        <w:rPr>
          <w:rFonts w:ascii="宋体" w:hAnsi="宋体" w:cs="宋体"/>
          <w:sz w:val="24"/>
          <w:szCs w:val="24"/>
        </w:rPr>
        <w:t xml:space="preserve">针对本项目需求提出餐饮服务方案，内容包括但不限于餐食供应保障措施和案例、食品卫生安全和消防安全保障措施、环境卫生管理措施、服务质量保障措施、各类厨房设施设备管理及维护措施等。提供的方案应细致完成、针对性强、服务保障措施有力。</w:t>
      </w:r>
      <w:r/>
    </w:p>
    <w:p>
      <w:pPr>
        <w:ind w:firstLine="480"/>
        <w:jc w:val="left"/>
        <w:spacing w:line="400" w:lineRule="exact"/>
        <w:widowControl/>
        <w:rPr>
          <w:rFonts w:hint="eastAsia" w:ascii="宋体" w:hAnsi="宋体" w:cs="宋体"/>
          <w:sz w:val="24"/>
          <w:szCs w:val="24"/>
        </w:rPr>
      </w:pPr>
      <w:r/>
      <w:bookmarkStart w:id="166" w:name="OLE_LINK6"/>
      <w:r>
        <w:rPr>
          <w:rFonts w:hint="eastAsia" w:ascii="宋体" w:hAnsi="宋体" w:cs="宋体"/>
          <w:b/>
          <w:bCs/>
          <w:sz w:val="24"/>
          <w:szCs w:val="24"/>
        </w:rPr>
        <w:t xml:space="preserve">6.9</w:t>
      </w:r>
      <w:r>
        <w:rPr>
          <w:rFonts w:hAnsi="宋体" w:cs="宋体"/>
          <w:b/>
          <w:bCs/>
          <w:sz w:val="24"/>
          <w:szCs w:val="24"/>
        </w:rPr>
        <w:t xml:space="preserve">水电工兼</w:t>
      </w:r>
      <w:r>
        <w:rPr>
          <w:rFonts w:ascii="宋体" w:hAnsi="宋体" w:cs="宋体"/>
          <w:b/>
          <w:bCs/>
          <w:sz w:val="24"/>
          <w:szCs w:val="24"/>
        </w:rPr>
        <w:t xml:space="preserve">安保服务方案。</w:t>
      </w:r>
      <w:r>
        <w:rPr>
          <w:rFonts w:ascii="宋体" w:hAnsi="宋体" w:cs="宋体"/>
          <w:sz w:val="24"/>
          <w:szCs w:val="24"/>
        </w:rPr>
        <w:t xml:space="preserve">针对本项目需求制订水电工兼安保服务方案，内容包括但不限于供配电设施、给排水设施等设施设备的使用与管理；日常巡检工作内容；故</w:t>
      </w:r>
      <w:r>
        <w:rPr>
          <w:rFonts w:ascii="宋体" w:hAnsi="宋体" w:cs="宋体"/>
          <w:sz w:val="24"/>
          <w:szCs w:val="24"/>
        </w:rPr>
        <w:t xml:space="preserve">障处理与修复流程；遇到突发用电安全问题的紧急处理流程、方案、措施等；安全防范方案及停车疏导、来访客登记等。</w:t>
      </w:r>
      <w:r/>
    </w:p>
    <w:p>
      <w:pPr>
        <w:ind w:firstLine="482"/>
        <w:jc w:val="left"/>
        <w:spacing w:line="400" w:lineRule="exact"/>
        <w:rPr>
          <w:rFonts w:hint="eastAsia" w:ascii="宋体" w:hAnsi="宋体" w:cs="宋体"/>
          <w:sz w:val="24"/>
          <w:szCs w:val="24"/>
        </w:rPr>
      </w:pPr>
      <w:r>
        <w:rPr>
          <w:rFonts w:hint="eastAsia" w:hAnsi="宋体" w:cs="宋体"/>
          <w:b/>
          <w:bCs/>
          <w:sz w:val="24"/>
          <w:szCs w:val="24"/>
        </w:rPr>
        <w:t xml:space="preserve">6.10</w:t>
      </w:r>
      <w:r>
        <w:rPr>
          <w:rFonts w:ascii="宋体" w:hAnsi="宋体" w:cs="宋体"/>
          <w:b/>
          <w:bCs/>
          <w:sz w:val="24"/>
          <w:szCs w:val="24"/>
        </w:rPr>
        <w:t xml:space="preserve">会务服务方案。</w:t>
      </w:r>
      <w:r>
        <w:rPr>
          <w:rFonts w:ascii="宋体" w:hAnsi="宋体" w:cs="宋体"/>
          <w:sz w:val="24"/>
          <w:szCs w:val="24"/>
        </w:rPr>
        <w:t xml:space="preserve">针对本项目需求提出会务服务方案，内容包括但不限于会议预订、会前准备、引导服务、会中服务、会后整理等，以及总体协调安排管理处机关保洁服务工作，方案应明确各环节操作流程</w:t>
      </w:r>
      <w:r>
        <w:rPr>
          <w:rFonts w:hint="eastAsia" w:ascii="宋体" w:hAnsi="宋体" w:cs="宋体"/>
          <w:sz w:val="24"/>
          <w:szCs w:val="24"/>
        </w:rPr>
        <w:t xml:space="preserve">、</w:t>
      </w:r>
      <w:r>
        <w:rPr>
          <w:rFonts w:ascii="宋体" w:hAnsi="宋体" w:cs="宋体"/>
          <w:sz w:val="24"/>
          <w:szCs w:val="24"/>
        </w:rPr>
        <w:t xml:space="preserve">标准</w:t>
      </w:r>
      <w:r>
        <w:rPr>
          <w:rFonts w:hint="eastAsia" w:ascii="宋体" w:hAnsi="宋体" w:cs="宋体"/>
          <w:sz w:val="24"/>
          <w:szCs w:val="24"/>
        </w:rPr>
        <w:t xml:space="preserve">及服务质量保障</w:t>
      </w:r>
      <w:r>
        <w:rPr>
          <w:rFonts w:ascii="宋体" w:hAnsi="宋体" w:cs="宋体"/>
          <w:sz w:val="24"/>
          <w:szCs w:val="24"/>
        </w:rPr>
        <w:t xml:space="preserve">，内容具体完整，具有较强的针对性。</w:t>
      </w:r>
      <w:r/>
    </w:p>
    <w:p>
      <w:pPr>
        <w:ind w:firstLine="480"/>
        <w:jc w:val="left"/>
        <w:spacing w:line="400" w:lineRule="exact"/>
        <w:widowControl/>
        <w:rPr>
          <w:rFonts w:hint="eastAsia" w:hAnsi="宋体" w:cs="宋体"/>
          <w:sz w:val="24"/>
          <w:szCs w:val="24"/>
        </w:rPr>
      </w:pPr>
      <w:r>
        <w:rPr>
          <w:rFonts w:hint="eastAsia" w:hAnsi="宋体" w:cs="宋体"/>
          <w:b/>
          <w:bCs/>
          <w:sz w:val="24"/>
          <w:szCs w:val="24"/>
        </w:rPr>
        <w:t xml:space="preserve">6.11</w:t>
      </w:r>
      <w:r>
        <w:rPr>
          <w:rFonts w:ascii="宋体" w:hAnsi="宋体" w:cs="宋体"/>
          <w:b/>
          <w:bCs/>
          <w:sz w:val="24"/>
          <w:szCs w:val="24"/>
        </w:rPr>
        <w:t xml:space="preserve">驾驶员服务方案。</w:t>
      </w:r>
      <w:r>
        <w:rPr>
          <w:rFonts w:ascii="宋体" w:hAnsi="宋体" w:cs="宋体"/>
          <w:sz w:val="24"/>
          <w:szCs w:val="24"/>
        </w:rPr>
        <w:t xml:space="preserve">针对本项目需求提出驾驶员服务方案，内容包括但不限于车辆的日常维护、清洁保养、确保车辆状况良好的方案；确保驾驶员24小时待命，满足采购人用车需求的措施；驾驶员定期培训，确保服务质量并提供安全、准时、高效的出行服务措施；车辆故障、恶劣天气等突发事件的应急措施。</w:t>
      </w:r>
      <w:bookmarkEnd w:id="166"/>
      <w:r/>
      <w:r/>
    </w:p>
    <w:p>
      <w:pPr>
        <w:ind w:firstLine="482"/>
        <w:spacing w:line="400" w:lineRule="exact"/>
        <w:rPr>
          <w:rFonts w:hint="eastAsia" w:ascii="宋体" w:hAnsi="宋体" w:cs="宋体"/>
          <w:sz w:val="24"/>
          <w:szCs w:val="24"/>
        </w:rPr>
      </w:pPr>
      <w:r>
        <w:rPr>
          <w:rFonts w:ascii="宋体" w:hAnsi="宋体" w:cs="宋体"/>
          <w:sz w:val="24"/>
          <w:szCs w:val="24"/>
        </w:rPr>
        <w:t xml:space="preserve">中标供应商需向采购人提供上述所列管理制度及方案，并办理备案手续。</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t xml:space="preserve">考核要求</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7.1</w:t>
      </w:r>
      <w:r>
        <w:rPr>
          <w:rFonts w:ascii="宋体" w:hAnsi="宋体" w:cs="宋体"/>
          <w:sz w:val="24"/>
          <w:szCs w:val="24"/>
        </w:rPr>
        <w:t xml:space="preserve">采购人根据招标文件、双方签订的合同、中标供应商投标文件所做承诺及物业服务考核办法，每月组织对中标供应商物业服务进行考核。</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7.2</w:t>
      </w:r>
      <w:r>
        <w:rPr>
          <w:rFonts w:ascii="宋体" w:hAnsi="宋体" w:cs="宋体"/>
          <w:sz w:val="24"/>
          <w:szCs w:val="24"/>
        </w:rPr>
        <w:t xml:space="preserve">考核中存在以下情况，采购人有权视情解除物业合同：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①</w:t>
      </w:r>
      <w:r>
        <w:rPr>
          <w:rFonts w:ascii="宋体" w:hAnsi="宋体" w:cs="宋体"/>
          <w:sz w:val="24"/>
          <w:szCs w:val="24"/>
        </w:rPr>
        <w:t xml:space="preserve">发生安全责任事故，除赔偿损失外，视情况解除物业管理合同。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②</w:t>
      </w:r>
      <w:r>
        <w:rPr>
          <w:rFonts w:ascii="宋体" w:hAnsi="宋体" w:cs="宋体"/>
          <w:sz w:val="24"/>
          <w:szCs w:val="24"/>
        </w:rPr>
        <w:t xml:space="preserve">物业团队发生不良影响事件，对采购人工作造成严重影响的。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③</w:t>
      </w:r>
      <w:r>
        <w:rPr>
          <w:rFonts w:ascii="宋体" w:hAnsi="宋体" w:cs="宋体"/>
          <w:sz w:val="24"/>
          <w:szCs w:val="24"/>
        </w:rPr>
        <w:t xml:space="preserve">因物业服务中存在的责任问题对采购人日常工作造成恶劣影响的。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7.3</w:t>
      </w:r>
      <w:r>
        <w:rPr>
          <w:rFonts w:ascii="宋体" w:hAnsi="宋体" w:cs="宋体"/>
          <w:sz w:val="24"/>
          <w:szCs w:val="24"/>
        </w:rPr>
        <w:t xml:space="preserve">对不符合质量标准的物业管理服务，采购人有权要求供应商整改落实，供应商应无条件服从并按要求整改到位；如整改不到位，视情扣除当月考核分5-10分；如本项目工作人员年龄、体能、技能、形象、服务质量等不能满足采购人要求，采购人有权要求更换人员，供应商应无条件服从并在采购人要求的时间段内更换到位；如供应商在3个月内连续出现3人被采购人要求替换，扣除当月考核分10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7.4</w:t>
      </w:r>
      <w:r>
        <w:rPr>
          <w:rFonts w:ascii="宋体" w:hAnsi="宋体" w:cs="宋体"/>
          <w:sz w:val="24"/>
          <w:szCs w:val="24"/>
        </w:rPr>
        <w:t xml:space="preserve">物业服务考核办法：</w:t>
      </w:r>
      <w:r/>
    </w:p>
    <w:tbl>
      <w:tblPr>
        <w:tblW w:w="9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3"/>
        <w:gridCol w:w="710"/>
        <w:gridCol w:w="3057"/>
        <w:gridCol w:w="2823"/>
        <w:gridCol w:w="1309"/>
      </w:tblGrid>
      <w:tr>
        <w:trPr>
          <w:trHeight w:val="340"/>
          <w:tblHeader/>
        </w:trPr>
        <w:tc>
          <w:tcPr>
            <w:tcW w:w="1213"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类别</w:t>
            </w:r>
            <w:r/>
          </w:p>
        </w:tc>
        <w:tc>
          <w:tcPr>
            <w:tcW w:w="710" w:type="dxa"/>
            <w:vAlign w:val="center"/>
            <w:textDirection w:val="lrTb"/>
            <w:noWrap/>
          </w:tcPr>
          <w:p>
            <w:pPr>
              <w:jc w:val="center"/>
              <w:spacing w:line="300" w:lineRule="exact"/>
              <w:rPr>
                <w:rFonts w:hint="eastAsia" w:ascii="宋体" w:hAnsi="宋体" w:cs="宋体"/>
                <w:b/>
                <w:bCs/>
                <w:szCs w:val="21"/>
              </w:rPr>
            </w:pPr>
            <w:r>
              <w:rPr>
                <w:rFonts w:ascii="宋体" w:hAnsi="宋体" w:cs="宋体"/>
                <w:b/>
                <w:bCs/>
                <w:szCs w:val="21"/>
              </w:rPr>
              <w:t xml:space="preserve">项目</w:t>
            </w:r>
            <w:r/>
          </w:p>
        </w:tc>
        <w:tc>
          <w:tcPr>
            <w:tcW w:w="3057" w:type="dxa"/>
            <w:vAlign w:val="center"/>
            <w:textDirection w:val="lrTb"/>
            <w:noWrap/>
          </w:tcPr>
          <w:p>
            <w:pPr>
              <w:jc w:val="center"/>
              <w:spacing w:line="300" w:lineRule="exact"/>
              <w:rPr>
                <w:rFonts w:hint="eastAsia" w:ascii="宋体" w:hAnsi="宋体" w:cs="宋体"/>
                <w:b/>
                <w:bCs/>
                <w:szCs w:val="21"/>
              </w:rPr>
            </w:pPr>
            <w:r>
              <w:rPr>
                <w:rFonts w:ascii="宋体" w:hAnsi="宋体" w:cs="宋体"/>
                <w:b/>
                <w:bCs/>
                <w:szCs w:val="21"/>
              </w:rPr>
              <w:t xml:space="preserve">考核内容及评分标准</w:t>
            </w:r>
            <w:r/>
          </w:p>
        </w:tc>
        <w:tc>
          <w:tcPr>
            <w:tcW w:w="2823"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评分标准</w:t>
            </w:r>
            <w:r/>
          </w:p>
        </w:tc>
        <w:tc>
          <w:tcPr>
            <w:tcW w:w="1309"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扣分情况</w:t>
            </w:r>
            <w:r/>
          </w:p>
        </w:tc>
      </w:tr>
      <w:tr>
        <w:trPr>
          <w:trHeight w:val="521"/>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人员管理</w:t>
            </w:r>
            <w:r/>
          </w:p>
          <w:p>
            <w:pPr>
              <w:jc w:val="center"/>
              <w:spacing w:line="300" w:lineRule="exact"/>
              <w:rPr>
                <w:rFonts w:hint="eastAsia" w:ascii="宋体" w:hAnsi="宋体" w:cs="宋体"/>
                <w:szCs w:val="21"/>
              </w:rPr>
            </w:pPr>
            <w:r>
              <w:rPr>
                <w:rFonts w:ascii="宋体" w:hAnsi="宋体" w:cs="宋体"/>
                <w:szCs w:val="21"/>
              </w:rPr>
              <w:t xml:space="preserve">（15分）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人员配备</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按照招标文件要求配备人员。</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981"/>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仪容仪表</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1、后勤工作人员按要求穿戴工作服及防护用具；2、工作服干净整洁；3、工作人员精神饱满，服务态度主动热情。</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71"/>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劳动纪律</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1、工作人员按时到岗到位；2、有内部劳动纪律考核制度及记录。</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68"/>
        </w:trPr>
        <w:tc>
          <w:tcPr>
            <w:tcW w:w="1213"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服务质量</w:t>
            </w:r>
            <w:r/>
          </w:p>
          <w:p>
            <w:pPr>
              <w:jc w:val="center"/>
              <w:spacing w:line="300" w:lineRule="exact"/>
              <w:rPr>
                <w:rFonts w:hint="eastAsia" w:ascii="宋体" w:hAnsi="宋体" w:cs="宋体"/>
                <w:szCs w:val="21"/>
              </w:rPr>
            </w:pPr>
            <w:r>
              <w:rPr>
                <w:rFonts w:ascii="宋体" w:hAnsi="宋体" w:cs="宋体"/>
                <w:szCs w:val="21"/>
              </w:rPr>
              <w:t xml:space="preserve">（35分）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服务</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按照招标文件的相关要求，考核安护、保洁、驾驶、餐饮等服务质量、数量完成情况。</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1.具体考核条款标准详见附表。</w:t>
            </w:r>
            <w:r/>
          </w:p>
          <w:p>
            <w:pPr>
              <w:jc w:val="left"/>
              <w:spacing w:line="300" w:lineRule="exact"/>
              <w:rPr>
                <w:rFonts w:hint="eastAsia" w:ascii="宋体" w:hAnsi="宋体" w:cs="宋体"/>
                <w:szCs w:val="21"/>
              </w:rPr>
            </w:pPr>
            <w:r>
              <w:rPr>
                <w:rFonts w:ascii="宋体" w:hAnsi="宋体" w:cs="宋体"/>
                <w:szCs w:val="21"/>
              </w:rPr>
              <w:t xml:space="preserve">2.被高管中心检查反馈，一次扣5分；被控股公司检查反馈，一次扣10分，单项</w:t>
            </w:r>
            <w:r>
              <w:rPr>
                <w:rFonts w:ascii="宋体" w:hAnsi="宋体" w:cs="宋体"/>
                <w:szCs w:val="21"/>
              </w:rPr>
              <w:t xml:space="preserve">分（35分）扣完为止。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40"/>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工具耗材</w:t>
            </w:r>
            <w:r/>
          </w:p>
          <w:p>
            <w:pPr>
              <w:jc w:val="center"/>
              <w:spacing w:line="300" w:lineRule="exact"/>
              <w:rPr>
                <w:rFonts w:hint="eastAsia" w:ascii="宋体" w:hAnsi="宋体" w:cs="宋体"/>
                <w:szCs w:val="21"/>
              </w:rPr>
            </w:pPr>
            <w:r>
              <w:rPr>
                <w:rFonts w:ascii="宋体" w:hAnsi="宋体" w:cs="宋体"/>
                <w:szCs w:val="21"/>
              </w:rPr>
              <w:t xml:space="preserve">（10分）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工具管理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工具摆放有序，清洁及时，能够按照规范要求使用（2分）。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工具摆放无序扣1分，不及时清洁扣1分，不按规范要求使用扣1分，单项分（2分）扣完为止。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869"/>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仓库管理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1、库房干净整洁，货物排列有序（2分）；2、出入库台帐、盘点台帐规范健全（2分）；3、记录规范，帐实相符（2分）。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每小项欠缺或不全酌情扣0.5-2分。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6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耗材管理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本着节约、俭省的原则规范领用、使用耗材（2分）。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有领用不合理等现象酌情扣0.5-2分。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413"/>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现场管理</w:t>
            </w:r>
            <w:r/>
          </w:p>
          <w:p>
            <w:pPr>
              <w:jc w:val="center"/>
              <w:spacing w:line="300" w:lineRule="exact"/>
              <w:rPr>
                <w:rFonts w:hint="eastAsia" w:ascii="宋体" w:hAnsi="宋体" w:cs="宋体"/>
                <w:szCs w:val="21"/>
              </w:rPr>
            </w:pPr>
            <w:r>
              <w:rPr>
                <w:rFonts w:ascii="宋体" w:hAnsi="宋体" w:cs="宋体"/>
                <w:szCs w:val="21"/>
              </w:rPr>
              <w:t xml:space="preserve">（20分）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管理人员</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按照招标文件要求配备专职联系人，管理指挥得当，认真负责，管理到位（5分）。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管理混乱，有工作推诿、不负责等现象酌情扣1-5分。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4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台帐管理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工作台帐规范健全，记录及时规范（10分）。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每发现一次台帐记录不及时、不规范扣1分，单项分（10分）扣完为止。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81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应急预案</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1、有重大安全事故等应急预案（3分）；2、定期组织开展相关预案演练，有详细的演练记录（2分）。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无应急预案或预案不全酌情扣1-3分；无预案演练扣2分。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71"/>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其他</w:t>
            </w:r>
            <w:r/>
          </w:p>
          <w:p>
            <w:pPr>
              <w:jc w:val="center"/>
              <w:spacing w:line="300" w:lineRule="exact"/>
              <w:rPr>
                <w:rFonts w:hint="eastAsia" w:ascii="宋体" w:hAnsi="宋体" w:cs="宋体"/>
                <w:szCs w:val="21"/>
              </w:rPr>
            </w:pPr>
            <w:r>
              <w:rPr>
                <w:rFonts w:ascii="宋体" w:hAnsi="宋体" w:cs="宋体"/>
                <w:szCs w:val="21"/>
              </w:rPr>
              <w:t xml:space="preserve">（20分）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任务完成情况</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能够保质保量完成各项合理工作任务（5分）。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不能完成合理工作任务酌情扣1-5分。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990"/>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投诉处理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接到投诉要有记录、整改并回访；回访的结果要有记录或后续（5分）。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投诉处理结果为撤诉的，不扣分；不完全责任性投诉酌情扣1-3分；责任性投诉扣5分，单项分（5分）扣完为止。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92"/>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内部管理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1、内部考核制度规范健全（3分）；2、按照要求定期考核，考核记录规范、详细（2分）。</w:t>
            </w:r>
            <w:r/>
          </w:p>
        </w:tc>
        <w:tc>
          <w:tcPr>
            <w:tcW w:w="2823"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无制度扣3分，制度不完善扣0.5-1分，考核记录不规范扣0.5-2分。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63"/>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其他</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物业团队和谐团结，无不良影响事件发生（5分）。</w:t>
            </w:r>
            <w:r/>
          </w:p>
        </w:tc>
        <w:tc>
          <w:tcPr>
            <w:tcW w:w="2823" w:type="dxa"/>
            <w:vAlign w:val="center"/>
            <w:textDirection w:val="lrTb"/>
            <w:noWrap w:val="false"/>
          </w:tcPr>
          <w:p>
            <w:pPr>
              <w:numPr>
                <w:ilvl w:val="255"/>
                <w:numId w:val="0"/>
              </w:num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1.发生一次不良影响事件扣2-5分，单项分（5分）扣完为止。</w:t>
            </w:r>
            <w:r/>
          </w:p>
          <w:p>
            <w:pPr>
              <w:numPr>
                <w:ilvl w:val="255"/>
                <w:numId w:val="0"/>
              </w:numPr>
              <w:jc w:val="left"/>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Cs w:val="21"/>
              </w:rPr>
              <w:t xml:space="preserve">2.内部管理混乱，劳务外包人员向采购人投诉反馈一次扣1-2分。单项分（5分）扣完为止。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93"/>
        </w:trPr>
        <w:tc>
          <w:tcPr>
            <w:gridSpan w:val="2"/>
            <w:tcW w:w="1923"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月度得分</w:t>
            </w:r>
            <w:r/>
          </w:p>
        </w:tc>
        <w:tc>
          <w:tcPr>
            <w:gridSpan w:val="3"/>
            <w:tcW w:w="7189"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r>
            <w:r/>
          </w:p>
        </w:tc>
      </w:tr>
    </w:tbl>
    <w:p>
      <w:pPr>
        <w:spacing w:line="300" w:lineRule="exact"/>
        <w:rPr>
          <w:rFonts w:hint="eastAsia" w:ascii="宋体" w:hAnsi="宋体" w:cs="宋体"/>
          <w:b/>
          <w:sz w:val="24"/>
          <w:szCs w:val="24"/>
        </w:rPr>
      </w:pPr>
      <w:r>
        <w:rPr>
          <w:rFonts w:hint="eastAsia" w:ascii="宋体" w:hAnsi="宋体" w:cs="宋体"/>
          <w:b/>
          <w:sz w:val="24"/>
          <w:szCs w:val="24"/>
        </w:rPr>
      </w:r>
      <w:r/>
    </w:p>
    <w:p>
      <w:pPr>
        <w:spacing w:line="300" w:lineRule="exact"/>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32"/>
          <w:szCs w:val="32"/>
        </w:rPr>
      </w:pPr>
      <w:r>
        <w:rPr>
          <w:rFonts w:ascii="宋体" w:hAnsi="宋体" w:cs="宋体"/>
          <w:b/>
          <w:sz w:val="32"/>
          <w:szCs w:val="32"/>
        </w:rPr>
        <w:t xml:space="preserve">附表：物业服务考核条款及标准</w:t>
      </w:r>
      <w:r/>
    </w:p>
    <w:p>
      <w:pPr>
        <w:jc w:val="center"/>
        <w:spacing w:line="300" w:lineRule="exact"/>
        <w:rPr>
          <w:rFonts w:hint="eastAsia" w:ascii="仿宋_GB2312" w:hAnsi="仿宋_GB2312" w:eastAsia="仿宋_GB2312" w:cs="仿宋_GB2312"/>
          <w:b/>
          <w:szCs w:val="21"/>
        </w:rPr>
      </w:pPr>
      <w:r>
        <w:rPr>
          <w:rFonts w:hint="eastAsia" w:ascii="仿宋_GB2312" w:hAnsi="仿宋_GB2312" w:eastAsia="仿宋_GB2312" w:cs="仿宋_GB2312"/>
          <w:b/>
          <w:szCs w:val="21"/>
        </w:rPr>
      </w:r>
      <w:r/>
    </w:p>
    <w:tbl>
      <w:tblPr>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32"/>
        <w:gridCol w:w="1261"/>
        <w:gridCol w:w="1050"/>
        <w:gridCol w:w="5543"/>
        <w:gridCol w:w="908"/>
      </w:tblGrid>
      <w:tr>
        <w:trPr>
          <w:jc w:val="center"/>
          <w:trHeight w:val="567"/>
          <w:tblHeader/>
        </w:trPr>
        <w:tc>
          <w:tcPr>
            <w:tcW w:w="385" w:type="dxa"/>
            <w:vAlign w:val="center"/>
            <w:textDirection w:val="lrTb"/>
            <w:noWrap w:val="false"/>
          </w:tcPr>
          <w:p>
            <w:pPr>
              <w:ind w:left="107"/>
              <w:jc w:val="center"/>
              <w:spacing w:before="15" w:line="300" w:lineRule="exact"/>
              <w:rPr>
                <w:rFonts w:hint="eastAsia" w:ascii="宋体" w:hAnsi="宋体" w:cs="宋体"/>
                <w:b/>
                <w:szCs w:val="21"/>
                <w:lang w:val="zh-CN" w:bidi="zh-CN"/>
              </w:rPr>
            </w:pPr>
            <w:r>
              <w:rPr>
                <w:rFonts w:ascii="宋体" w:hAnsi="宋体" w:cs="宋体"/>
                <w:b/>
                <w:szCs w:val="21"/>
                <w:lang w:val="zh-CN" w:bidi="zh-CN"/>
              </w:rPr>
              <w:t xml:space="preserve">序号</w:t>
            </w:r>
            <w:r/>
          </w:p>
        </w:tc>
        <w:tc>
          <w:tcPr>
            <w:tcW w:w="664" w:type="dxa"/>
            <w:vAlign w:val="center"/>
            <w:textDirection w:val="lrTb"/>
            <w:noWrap w:val="false"/>
          </w:tcPr>
          <w:p>
            <w:pPr>
              <w:ind w:left="107"/>
              <w:jc w:val="center"/>
              <w:spacing w:before="15" w:line="300" w:lineRule="exact"/>
              <w:rPr>
                <w:rFonts w:hint="eastAsia" w:ascii="宋体" w:hAnsi="宋体" w:cs="宋体"/>
                <w:b/>
                <w:szCs w:val="21"/>
                <w:lang w:val="zh-CN" w:eastAsia="en-US" w:bidi="zh-CN"/>
              </w:rPr>
            </w:pPr>
            <w:r>
              <w:rPr>
                <w:rFonts w:ascii="宋体" w:hAnsi="宋体" w:cs="宋体"/>
                <w:b/>
                <w:szCs w:val="21"/>
                <w:lang w:bidi="zh-CN"/>
              </w:rPr>
              <w:t xml:space="preserve">类别</w:t>
            </w:r>
            <w:r/>
          </w:p>
        </w:tc>
        <w:tc>
          <w:tcPr>
            <w:tcW w:w="553" w:type="dxa"/>
            <w:vAlign w:val="center"/>
            <w:textDirection w:val="lrTb"/>
            <w:noWrap w:val="false"/>
          </w:tcPr>
          <w:p>
            <w:pPr>
              <w:ind w:left="107"/>
              <w:jc w:val="center"/>
              <w:spacing w:before="15" w:line="300" w:lineRule="exact"/>
              <w:rPr>
                <w:rFonts w:hint="eastAsia" w:ascii="宋体" w:hAnsi="宋体" w:cs="宋体"/>
                <w:b/>
                <w:szCs w:val="21"/>
                <w:lang w:bidi="zh-CN"/>
              </w:rPr>
            </w:pPr>
            <w:r>
              <w:rPr>
                <w:rFonts w:ascii="宋体" w:hAnsi="宋体" w:cs="宋体"/>
                <w:b/>
                <w:szCs w:val="21"/>
                <w:lang w:bidi="zh-CN"/>
              </w:rPr>
              <w:t xml:space="preserve">项目</w:t>
            </w:r>
            <w:r/>
          </w:p>
        </w:tc>
        <w:tc>
          <w:tcPr>
            <w:tcW w:w="2918" w:type="dxa"/>
            <w:vAlign w:val="center"/>
            <w:textDirection w:val="lrTb"/>
            <w:noWrap w:val="false"/>
          </w:tcPr>
          <w:p>
            <w:pPr>
              <w:ind w:left="1202" w:right="1195"/>
              <w:jc w:val="center"/>
              <w:spacing w:before="15" w:line="300" w:lineRule="exact"/>
              <w:rPr>
                <w:rFonts w:hint="eastAsia" w:ascii="宋体" w:hAnsi="宋体" w:cs="宋体"/>
                <w:b/>
                <w:szCs w:val="21"/>
                <w:lang w:val="zh-CN" w:eastAsia="en-US" w:bidi="zh-CN"/>
              </w:rPr>
            </w:pPr>
            <w:r>
              <w:rPr>
                <w:rFonts w:ascii="宋体" w:hAnsi="宋体" w:cs="宋体"/>
                <w:b/>
                <w:szCs w:val="21"/>
                <w:lang w:val="zh-CN" w:bidi="zh-CN"/>
              </w:rPr>
              <w:t xml:space="preserve">考核</w:t>
            </w:r>
            <w:r>
              <w:rPr>
                <w:rFonts w:ascii="宋体" w:hAnsi="宋体" w:cs="宋体"/>
                <w:b/>
                <w:szCs w:val="21"/>
                <w:lang w:val="zh-CN" w:eastAsia="en-US" w:bidi="zh-CN"/>
              </w:rPr>
              <w:t xml:space="preserve">标准</w:t>
            </w:r>
            <w:r/>
          </w:p>
        </w:tc>
        <w:tc>
          <w:tcPr>
            <w:tcW w:w="478" w:type="dxa"/>
            <w:vAlign w:val="center"/>
            <w:textDirection w:val="lrTb"/>
            <w:noWrap w:val="false"/>
          </w:tcPr>
          <w:p>
            <w:pPr>
              <w:jc w:val="center"/>
              <w:spacing w:before="15" w:line="300" w:lineRule="exact"/>
              <w:rPr>
                <w:rFonts w:ascii="仿宋_GB2312" w:eastAsia="仿宋_GB2312"/>
                <w:b/>
                <w:szCs w:val="21"/>
                <w:lang w:val="zh-CN" w:eastAsia="en-US" w:bidi="zh-CN"/>
              </w:rPr>
            </w:pPr>
            <w:r>
              <w:rPr>
                <w:rFonts w:hint="eastAsia" w:ascii="宋体" w:hAnsi="宋体" w:cs="宋体"/>
                <w:b/>
                <w:szCs w:val="21"/>
                <w:lang w:eastAsia="en-US" w:bidi="zh-CN"/>
              </w:rPr>
              <w:t xml:space="preserve">备注</w:t>
            </w:r>
            <w:r/>
          </w:p>
        </w:tc>
      </w:tr>
      <w:tr>
        <w:trPr>
          <w:jc w:val="center"/>
          <w:trHeight w:val="567"/>
        </w:trPr>
        <w:tc>
          <w:tcPr>
            <w:tcW w:w="385" w:type="dxa"/>
            <w:vAlign w:val="center"/>
            <w:textDirection w:val="lrTb"/>
            <w:noWrap w:val="false"/>
          </w:tcPr>
          <w:p>
            <w:pPr>
              <w:jc w:val="center"/>
              <w:spacing w:before="1" w:line="300" w:lineRule="exact"/>
              <w:rPr>
                <w:rFonts w:hint="eastAsia" w:ascii="宋体" w:hAnsi="宋体" w:cs="宋体"/>
                <w:szCs w:val="21"/>
                <w:lang w:val="zh-CN" w:bidi="zh-CN"/>
              </w:rPr>
            </w:pPr>
            <w:r>
              <w:rPr>
                <w:rFonts w:ascii="宋体" w:hAnsi="宋体" w:cs="宋体"/>
                <w:szCs w:val="21"/>
                <w:lang w:val="zh-CN" w:bidi="zh-CN"/>
              </w:rPr>
              <w:t xml:space="preserve">1</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人员管理</w:t>
            </w:r>
            <w:r/>
          </w:p>
        </w:tc>
        <w:tc>
          <w:tcPr>
            <w:tcW w:w="553" w:type="dxa"/>
            <w:vAlign w:val="center"/>
            <w:vMerge w:val="restart"/>
            <w:textDirection w:val="lrTb"/>
            <w:noWrap w:val="false"/>
          </w:tcPr>
          <w:p>
            <w:pPr>
              <w:ind w:left="113" w:right="113"/>
              <w:jc w:val="center"/>
              <w:spacing w:line="300" w:lineRule="exact"/>
              <w:rPr>
                <w:rFonts w:hint="eastAsia" w:ascii="宋体" w:hAnsi="宋体" w:cs="宋体"/>
                <w:szCs w:val="21"/>
                <w:lang w:bidi="zh-CN"/>
              </w:rPr>
            </w:pPr>
            <w:r>
              <w:rPr>
                <w:rFonts w:ascii="宋体" w:hAnsi="宋体" w:cs="宋体"/>
                <w:szCs w:val="21"/>
                <w:lang w:bidi="zh-CN"/>
              </w:rPr>
              <w:t xml:space="preserve">人员</w:t>
            </w:r>
            <w:r/>
          </w:p>
          <w:p>
            <w:pPr>
              <w:ind w:left="113" w:right="113"/>
              <w:jc w:val="center"/>
              <w:spacing w:line="300" w:lineRule="exact"/>
              <w:rPr>
                <w:rFonts w:hint="eastAsia" w:ascii="宋体" w:hAnsi="宋体" w:cs="宋体"/>
                <w:szCs w:val="21"/>
                <w:lang w:bidi="zh-CN"/>
              </w:rPr>
            </w:pPr>
            <w:r>
              <w:rPr>
                <w:rFonts w:ascii="宋体" w:hAnsi="宋体" w:cs="宋体"/>
                <w:szCs w:val="21"/>
                <w:lang w:bidi="zh-CN"/>
              </w:rPr>
              <w:t xml:space="preserve">配备</w:t>
            </w:r>
            <w:r/>
          </w:p>
        </w:tc>
        <w:tc>
          <w:tcPr>
            <w:tcW w:w="2918" w:type="dxa"/>
            <w:vAlign w:val="center"/>
            <w:textDirection w:val="lrTb"/>
            <w:noWrap w:val="false"/>
          </w:tcPr>
          <w:p>
            <w:pPr>
              <w:ind w:right="131"/>
              <w:spacing w:before="15" w:line="300" w:lineRule="exact"/>
              <w:rPr>
                <w:rFonts w:hint="eastAsia" w:ascii="宋体" w:hAnsi="宋体" w:cs="宋体"/>
                <w:szCs w:val="21"/>
              </w:rPr>
            </w:pPr>
            <w:r>
              <w:rPr>
                <w:rFonts w:ascii="宋体" w:hAnsi="宋体" w:cs="宋体"/>
                <w:szCs w:val="21"/>
              </w:rPr>
              <w:t xml:space="preserve">未按合同要求足额配备人员，少1人扣5分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2</w:t>
            </w:r>
            <w:r/>
          </w:p>
        </w:tc>
        <w:tc>
          <w:tcPr>
            <w:tcW w:w="664"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新进员工未经培训合格后上岗，发现一次扣2分；未按时安排员工安全教育培训的或未按计划要求组织各类安全预案及演练，发现一次扣5分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员工上岗前未购买足额的意外险，发现一次扣10分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9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ascii="宋体" w:hAnsi="宋体" w:cs="宋体"/>
                <w:szCs w:val="21"/>
                <w:lang w:bidi="zh-CN"/>
              </w:rPr>
              <w:t xml:space="preserve">仪表</w:t>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未按合同要求配备工作服的，发现一次扣2分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未按规定统一着装、佩戴工号牌等，仪容仪表不整洁，发现一次扣1分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回答问题不热情、不讲文明礼貌用语、不说普通话，发现一次扣1分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ascii="宋体" w:hAnsi="宋体" w:cs="宋体"/>
                <w:szCs w:val="21"/>
                <w:lang w:bidi="zh-CN"/>
              </w:rPr>
              <w:t xml:space="preserve">纪律</w:t>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上班迟到、早退，未做好交接班工作，发现一次扣1分 </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人员出勤率未达95%以上的，发生一次扣2分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人员离岗率超过10%，发生一次扣2分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员工离职未及时上报，发现一次扣2分 </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人员无故缺勤，发现一次扣3分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当班时聚众聊天，睡岗，串岗，脱岗，发现一次扣2分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员工有盗窃、失密等违法乱纪行为，当事员工应解除合同，情节严重按相关法规处理。未及时处理的，发现一次扣5分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不服从管理人员指挥的，发现一次扣1分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4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饲养小动物的，发现一次扣2分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rPr>
                <w:rFonts w:ascii="宋体" w:hAnsi="宋体" w:cs="宋体"/>
                <w:szCs w:val="21"/>
                <w:lang w:bidi="zh-CN"/>
              </w:rPr>
              <w:t xml:space="preserve">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发生责任性投诉，发现一次扣10分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17</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保洁区域每天打扫不及时的；保洁区域有杂物、有异味，发现一次扣1分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蚊蝇、蛛网未及时清理；地面有积水、脚印、污迹，烟头、纸屑等杂物；墙面、柱面、墙角、门窗有灰尘；洗手池、台面、镜面有污垢、有水迹，发现一次扣1分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19</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大、小便器有积便、污垢和水锈，洗手间门及门套、坐便器、窗台、镜子玻璃、纸巾架、开关等有手印、有灰尘、有水渍，发现一次扣1分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垃圾房及垃圾桶每天未定时清洁，有异味；垃圾桶未套垃圾袋或垃圾超过三分之二，发现一次扣1分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清洁工具摆放随意，发现一次扣1分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设施和设备有灰尘，有破损；发现损坏未及时报修（管理员），发现一次扣1分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卫生包干区内草坪落叶未及时清理，草坪内有白色垃圾等，发现一次扣1分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如地面潮湿，门厅、台阶等视情况未及时放置“小心地滑”指示牌，发现一次扣1分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在收费站道口保洁时，未着反光背心，未遵守“一停、二看、三通过”和“四不通过”规定，发现一次扣5分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上岗期间未携带电工证或电工证不在有效期内，发现一次扣5分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掌握电气安全知识掌握熟练度不够，未严格遵守各项规章制度和操作规程，发现一次扣2分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严禁将闲杂人员带入配电房等带电场所，未按规定进行治安保卫巡逻，做好防火、防盗、防破坏、防事故工作，发现一次扣2分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发生电气突发事件时，未及时进行应急处置，发现一次扣2分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每月末对消防设施设备未进行检查，未能熟悉掌握基本消防器械的使用方法，发现一次扣2分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各类消防器材及各类设施、设备未定期巡检维保，发现损坏未及时上报，发现一次扣2分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各排水设施堵塞；其他设施设备损坏维修响应不及时；日常维修记录不清晰，发现一处扣2分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未履行岗位责任制，不熟悉区域环境，未按要求规定文明巡查的，发现一次扣1分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不熟练操作监控及消防设备，对管理区域内的安全情况不熟悉，未定期检查；发生报警后，未在5分钟之内达到现场并上报，发现一次扣5分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未按要求严格检查进出的货物，发现一次扣1分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晚班人员在工作时间内出现睡觉、玩手机等做与工作无关的事，发现一次扣1分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39</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未对各种车辆进行有序管理安排，无专人指挥、未及时疏导，有堵塞交通，影响行人通行，发现一次扣1分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未按规定开、关照明设施、边门、侧门、正门等，发现一次扣1分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未按规定对进出车辆或者人员进行登记的，发现一次扣1分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按规定进行定时巡查，发现可疑情况及人员或不安全因素，严密监视并及时上报，发现一次扣2分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严禁在值班室、设备房（间）等禁烟场所吸烟，发现一次扣2分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酒后驾驶车辆，发现一次扣35分，相关责任人立即清理出本合同服务名册</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机动车驾驶证不在有效期内，或上岗期间未携带驾驶证，发现一次扣3分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无故不参加安全学习，发现一次扣2分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不按照规定在指定地点停车过夜，发现一次扣3分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未履行审批手续私自用车，擅自动用车辆，发现一次扣5分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发生交通事故负责任（主责），发现一次扣10分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安全警示牌不完整或不在车上、随车灭火器失效或无灭火器，发现一次扣2分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驾驶机动车出现违规，违章行为，接收到处罚的，发现一次扣1分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车辆外观有明显遮挡、车牌照不清晰、影响单位形象的，发现一次扣1分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严禁食物中毒事件发生，发现一次扣35分，相关责任人立即清理出本合同服务名册</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食堂工作人员未持有效食品从业人员健康证上岗，发现一次扣5分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出现食品原料不符合食品卫生标准，有毒有害、过期及腐烂变质的情况，发现一次扣5分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接收无合格证明的肉类及无卫生许可证的经营者供应的食品，未实行索证制度，无货物清单，无供货方与收货方签字，发现一次扣3分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食品未分类储存，生熟未分开，食品加工后，各种设备未及时清洗、消毒，乱堆乱放的，发现一次扣3分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58</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食品未实行留样制度，未用专柜专盒存放，留样食品少于48小时，发现一次扣2分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厨房间内有霉斑、鼠迹、苍蝇、蟑螂等不及时处理的，发现一次扣2分；无防疫措施的，发现一次扣1分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在厨房间内存放有毒有害物品的；发现一次扣5分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在厨房间存放个人生活用品的；发现一次扣2分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食品加工、清洗、消毒区域未分开，且无明显标识的，发现一次扣2分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杀虫剂、消杀的物品、清洗剂、消毒剂等有毒有害物品未单独入柜存放的，发现一次扣2分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textDirection w:val="lrTb"/>
            <w:noWrap w:val="false"/>
          </w:tcPr>
          <w:p>
            <w:pPr>
              <w:spacing w:line="300" w:lineRule="exact"/>
              <w:rPr>
                <w:rFonts w:hint="eastAsia" w:ascii="宋体" w:hAnsi="宋体" w:cs="宋体"/>
                <w:szCs w:val="21"/>
              </w:rPr>
            </w:pPr>
            <w:r>
              <w:rPr>
                <w:rFonts w:ascii="宋体" w:hAnsi="宋体" w:cs="宋体"/>
                <w:szCs w:val="21"/>
              </w:rPr>
              <w:t xml:space="preserve">食堂工作人员未按照规范操作设备，造成火灾等安全事故的，发现一次扣10分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textDirection w:val="lrTb"/>
            <w:noWrap w:val="false"/>
          </w:tcPr>
          <w:p>
            <w:pPr>
              <w:spacing w:line="300" w:lineRule="exact"/>
              <w:rPr>
                <w:rFonts w:hint="eastAsia" w:ascii="宋体" w:hAnsi="宋体" w:cs="宋体"/>
                <w:szCs w:val="21"/>
              </w:rPr>
            </w:pPr>
            <w:r>
              <w:rPr>
                <w:rFonts w:ascii="宋体" w:hAnsi="宋体" w:cs="宋体"/>
                <w:szCs w:val="21"/>
              </w:rPr>
              <w:t xml:space="preserve">每周开展食堂安全隐患排查，排查治理食堂电气设备、消防器材、食品卫生等安全隐患，未按时进行排查的，发现一次扣5分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未按时为员工提供饭菜，扣5分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饭菜花色品种单一，未能根据员工口味进行调整，成品浪费，情节严重的，发现一次扣5分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严格遵守安全生产相关法律法规以及采购人安全管理相关制度，未遵守的，发现一次扣5分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不得和来访人员（同事）闹无原则纠纷，发现一次扣5分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未履行岗位安全职责，发现一次扣5分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严禁乱接、乱拉电源，使用电水壶、电磁炉、电饭锅、电热毯、煤气罐等不安全设施设备，发现一次扣5分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其他影响安全生产的行为（发现一次扣2-10分）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bl>
    <w:p>
      <w:pPr>
        <w:rPr>
          <w:szCs w:val="21"/>
        </w:rPr>
      </w:pPr>
      <w:r>
        <w:rPr>
          <w:szCs w:val="21"/>
        </w:rPr>
      </w:r>
      <w:r/>
    </w:p>
    <w:p>
      <w:pPr>
        <w:ind w:firstLine="482"/>
        <w:spacing w:line="400" w:lineRule="exact"/>
        <w:rPr>
          <w:rFonts w:hint="eastAsia" w:ascii="宋体" w:hAnsi="宋体" w:cs="宋体"/>
          <w:b/>
          <w:sz w:val="24"/>
          <w:szCs w:val="24"/>
        </w:rPr>
      </w:pPr>
      <w:r>
        <w:rPr>
          <w:rFonts w:hint="eastAsia" w:ascii="宋体" w:hAnsi="宋体" w:cs="宋体"/>
          <w:b/>
          <w:bCs/>
          <w:sz w:val="24"/>
          <w:szCs w:val="24"/>
        </w:rPr>
        <w:t xml:space="preserve">8.</w:t>
      </w:r>
      <w:r>
        <w:rPr>
          <w:rFonts w:ascii="宋体" w:hAnsi="宋体" w:cs="宋体"/>
          <w:b/>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8.1</w:t>
      </w:r>
      <w:r>
        <w:rPr>
          <w:rFonts w:ascii="宋体" w:hAnsi="宋体" w:cs="宋体"/>
          <w:sz w:val="24"/>
          <w:szCs w:val="24"/>
        </w:rPr>
        <w:t xml:space="preserve">项目</w:t>
      </w:r>
      <w:r>
        <w:rPr>
          <w:rFonts w:ascii="宋体" w:hAnsi="宋体" w:cs="宋体"/>
          <w:sz w:val="24"/>
          <w:szCs w:val="24"/>
        </w:rPr>
        <w:t xml:space="preserve">属性:</w:t>
      </w:r>
      <w:r>
        <w:rPr>
          <w:rFonts w:ascii="宋体" w:hAnsi="宋体" w:cs="宋体"/>
          <w:sz w:val="24"/>
          <w:szCs w:val="24"/>
        </w:rPr>
        <w:t xml:space="preserve">服务类项目。</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w:t>
      </w:r>
      <w:r>
        <w:rPr>
          <w:rFonts w:ascii="宋体" w:hAnsi="宋体" w:cs="宋体"/>
          <w:bCs/>
          <w:sz w:val="24"/>
          <w:szCs w:val="24"/>
        </w:rPr>
        <w:t xml:space="preserve">履约能力要求：</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8.2.1</w:t>
      </w:r>
      <w:r>
        <w:rPr>
          <w:rFonts w:ascii="宋体" w:hAnsi="宋体" w:cs="宋体"/>
          <w:bCs/>
          <w:sz w:val="24"/>
          <w:szCs w:val="24"/>
        </w:rPr>
        <w:t xml:space="preserve">投标人需具备非住宅类物业项目管理服务经验，能够提供自2023年1月1日以来（以合同签订日期为准）类似本项目的业绩</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8.2.2</w:t>
      </w:r>
      <w:r>
        <w:rPr>
          <w:rFonts w:ascii="宋体" w:hAnsi="宋体" w:cs="宋体"/>
          <w:bCs/>
          <w:sz w:val="24"/>
          <w:szCs w:val="24"/>
        </w:rPr>
        <w:t xml:space="preserve">投标人具有质量管理体系认证、职业健康安全管理体系认证，且证书在有效期内。</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8.2.3</w:t>
      </w:r>
      <w:r>
        <w:rPr>
          <w:rFonts w:ascii="宋体" w:hAnsi="宋体" w:cs="宋体"/>
          <w:bCs/>
          <w:sz w:val="24"/>
          <w:szCs w:val="24"/>
        </w:rPr>
        <w:t xml:space="preserve">投标人需具有为物业服务配备的智能化管理平台，并具有该系统软件著作权证明材料，能够提供软件使用界面截图。供应商自主研发的须提供国家版权局颁发的供</w:t>
      </w:r>
      <w:r>
        <w:rPr>
          <w:rFonts w:ascii="宋体" w:hAnsi="宋体" w:cs="宋体"/>
          <w:bCs/>
          <w:sz w:val="24"/>
          <w:szCs w:val="24"/>
        </w:rPr>
        <w:t xml:space="preserve">应商软件著作权证书，使用第三方开发的系统须提供第三方研发该系统的软件著作权证书及购买第三方系统的采购合同。</w:t>
      </w:r>
      <w:r/>
    </w:p>
    <w:p>
      <w:pPr>
        <w:jc w:val="left"/>
        <w:widowControl/>
        <w:rPr>
          <w:rFonts w:hint="eastAsia" w:ascii="宋体" w:hAnsi="宋体" w:cs="宋体"/>
          <w:bCs/>
          <w:sz w:val="24"/>
          <w:szCs w:val="24"/>
        </w:rPr>
      </w:pPr>
      <w:r>
        <w:rPr>
          <w:rFonts w:hint="eastAsia" w:ascii="宋体" w:hAnsi="宋体" w:cs="宋体"/>
          <w:bCs/>
          <w:sz w:val="24"/>
          <w:szCs w:val="24"/>
        </w:rPr>
        <w:br w:type="page" w:clear="all"/>
      </w:r>
      <w:r/>
    </w:p>
    <w:p>
      <w:pPr>
        <w:ind w:firstLine="560"/>
        <w:spacing w:line="400" w:lineRule="exact"/>
        <w:rPr>
          <w:rFonts w:hint="eastAsia" w:ascii="黑体" w:hAnsi="黑体" w:eastAsia="黑体" w:cs="黑体"/>
          <w:sz w:val="28"/>
          <w:szCs w:val="28"/>
        </w:rPr>
      </w:pPr>
      <w:r>
        <w:rPr>
          <w:rFonts w:ascii="黑体" w:hAnsi="黑体" w:eastAsia="黑体" w:cs="黑体"/>
          <w:sz w:val="28"/>
          <w:szCs w:val="28"/>
        </w:rPr>
        <w:t xml:space="preserve">采购包2：</w:t>
      </w:r>
      <w:r/>
    </w:p>
    <w:p>
      <w:pPr>
        <w:pStyle w:val="853"/>
        <w:ind w:firstLine="640"/>
        <w:spacing w:before="120" w:after="120" w:line="560" w:lineRule="exact"/>
        <w:rPr>
          <w:rFonts w:hint="eastAsia" w:hAnsi="宋体"/>
          <w:b/>
          <w:sz w:val="24"/>
          <w:szCs w:val="24"/>
        </w:rPr>
      </w:pPr>
      <w:r>
        <w:rPr>
          <w:rFonts w:hint="eastAsia" w:ascii="方正黑体_GBK" w:hAnsi="方正黑体_GBK" w:eastAsia="方正黑体_GBK" w:cs="方正黑体_GBK"/>
          <w:bCs/>
          <w:sz w:val="32"/>
          <w:szCs w:val="32"/>
        </w:rPr>
        <w:t xml:space="preserve">一、采购标的清单</w:t>
      </w:r>
      <w:r/>
    </w:p>
    <w:tbl>
      <w:tblPr>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2"/>
        <w:gridCol w:w="818"/>
        <w:gridCol w:w="3846"/>
        <w:gridCol w:w="2986"/>
      </w:tblGrid>
      <w:tr>
        <w:trPr>
          <w:cantSplit/>
          <w:jc w:val="center"/>
        </w:trPr>
        <w:tc>
          <w:tcPr>
            <w:tcW w:w="1382"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采购包</w:t>
            </w:r>
            <w:r/>
          </w:p>
        </w:tc>
        <w:tc>
          <w:tcPr>
            <w:tcW w:w="818"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序号</w:t>
            </w:r>
            <w:r/>
          </w:p>
        </w:tc>
        <w:tc>
          <w:tcPr>
            <w:tcW w:w="3846"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采购标的</w:t>
            </w:r>
            <w:r/>
          </w:p>
        </w:tc>
        <w:tc>
          <w:tcPr>
            <w:tcW w:w="2986"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对应中小企业划分标准所属行业</w:t>
            </w:r>
            <w:r/>
          </w:p>
        </w:tc>
      </w:tr>
      <w:tr>
        <w:trPr>
          <w:cantSplit/>
          <w:jc w:val="center"/>
          <w:trHeight w:val="291"/>
        </w:trPr>
        <w:tc>
          <w:tcPr>
            <w:tcW w:w="1382"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采购包2</w:t>
            </w:r>
            <w:r/>
          </w:p>
        </w:tc>
        <w:tc>
          <w:tcPr>
            <w:tcW w:w="818"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2</w:t>
            </w:r>
            <w:r/>
          </w:p>
        </w:tc>
        <w:tc>
          <w:tcPr>
            <w:tcW w:w="3846" w:type="dxa"/>
            <w:vAlign w:val="center"/>
            <w:textDirection w:val="lrTb"/>
            <w:noWrap w:val="false"/>
          </w:tcPr>
          <w:p>
            <w:pPr>
              <w:jc w:val="center"/>
              <w:spacing w:line="0" w:lineRule="atLeast"/>
              <w:tabs>
                <w:tab w:val="left" w:pos="2020" w:leader="none"/>
              </w:tabs>
              <w:rPr>
                <w:rFonts w:hint="eastAsia" w:ascii="宋体" w:hAnsi="宋体"/>
                <w:szCs w:val="21"/>
              </w:rPr>
            </w:pPr>
            <w:r>
              <w:rPr>
                <w:rFonts w:ascii="宋体" w:hAnsi="宋体"/>
                <w:szCs w:val="21"/>
              </w:rPr>
              <w:t xml:space="preserve">2026年-2027年崇启大桥管理处物业服务采购</w:t>
            </w:r>
            <w:r/>
          </w:p>
        </w:tc>
        <w:tc>
          <w:tcPr>
            <w:tcW w:w="2986"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属性:</w:t>
      </w:r>
      <w:r>
        <w:rPr>
          <w:rFonts w:hint="eastAsia" w:ascii="宋体" w:hAnsi="宋体"/>
          <w:sz w:val="24"/>
          <w:szCs w:val="24"/>
        </w:rPr>
        <w:t xml:space="preserve">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ascii="黑体" w:hAnsi="黑体" w:eastAsia="黑体" w:cs="黑体"/>
          <w:sz w:val="28"/>
          <w:szCs w:val="28"/>
        </w:rPr>
      </w:pPr>
      <w:r>
        <w:rPr>
          <w:rFonts w:hint="eastAsia" w:ascii="黑体" w:hAnsi="黑体" w:eastAsia="黑体" w:cs="黑体"/>
          <w:sz w:val="28"/>
          <w:szCs w:val="28"/>
        </w:rPr>
      </w:r>
      <w:r/>
    </w:p>
    <w:p>
      <w:pPr>
        <w:ind w:firstLine="640"/>
        <w:spacing w:line="40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ind w:firstLine="482"/>
        <w:spacing w:line="400" w:lineRule="exact"/>
        <w:rPr>
          <w:rFonts w:hint="eastAsia" w:ascii="宋体" w:hAnsi="宋体" w:cs="宋体"/>
          <w:b/>
          <w:bCs/>
          <w:sz w:val="24"/>
          <w:szCs w:val="24"/>
        </w:rPr>
      </w:pPr>
      <w:r>
        <w:rPr>
          <w:rFonts w:hint="eastAsia" w:ascii="宋体" w:hAnsi="宋体"/>
          <w:b/>
          <w:sz w:val="24"/>
          <w:szCs w:val="24"/>
        </w:rPr>
        <w:t xml:space="preserve">1.</w:t>
      </w:r>
      <w:r>
        <w:rPr>
          <w:rFonts w:ascii="宋体" w:hAnsi="宋体" w:cs="宋体"/>
          <w:b/>
          <w:bCs/>
          <w:sz w:val="24"/>
          <w:szCs w:val="24"/>
        </w:rPr>
        <w:t xml:space="preserve">项目基本情况</w:t>
      </w:r>
      <w:r/>
    </w:p>
    <w:p>
      <w:pPr>
        <w:contextualSpacing/>
        <w:ind w:firstLine="482"/>
        <w:jc w:val="left"/>
        <w:spacing w:line="400" w:lineRule="exact"/>
        <w:widowControl/>
        <w:rPr>
          <w:rFonts w:ascii="Calibri" w:hAnsi="Calibri"/>
          <w:b/>
          <w:bCs/>
          <w:sz w:val="24"/>
          <w:szCs w:val="24"/>
          <w:lang w:bidi="en-US"/>
        </w:rPr>
      </w:pPr>
      <w:r>
        <w:rPr>
          <w:rFonts w:hint="eastAsia" w:ascii="Calibri" w:hAnsi="Calibri"/>
          <w:b/>
          <w:bCs/>
          <w:sz w:val="24"/>
          <w:szCs w:val="24"/>
          <w:lang w:bidi="en-US"/>
        </w:rPr>
        <w:t xml:space="preserve">1.1</w:t>
      </w:r>
      <w:r>
        <w:rPr>
          <w:rFonts w:ascii="Calibri" w:hAnsi="Calibri"/>
          <w:b/>
          <w:bCs/>
          <w:sz w:val="24"/>
          <w:szCs w:val="24"/>
          <w:lang w:bidi="en-US"/>
        </w:rPr>
        <w:t xml:space="preserve">物业情况</w:t>
      </w:r>
      <w:r/>
    </w:p>
    <w:tbl>
      <w:tblPr>
        <w:tblW w:w="513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21"/>
        <w:gridCol w:w="6105"/>
      </w:tblGrid>
      <w:tr>
        <w:trPr>
          <w:trHeight w:val="567" w:hRule="exact"/>
        </w:trPr>
        <w:tc>
          <w:tcPr>
            <w:tcW w:w="3085"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物业服务地点</w:t>
            </w:r>
            <w:r/>
          </w:p>
        </w:tc>
        <w:tc>
          <w:tcPr>
            <w:tcW w:w="5670"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物业服务地址</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崇启大桥管理处</w:t>
            </w:r>
            <w:r/>
          </w:p>
          <w:p>
            <w:pPr>
              <w:jc w:val="center"/>
              <w:rPr>
                <w:rFonts w:hint="eastAsia" w:ascii="宋体" w:hAnsi="宋体" w:cs="宋体"/>
                <w:sz w:val="24"/>
                <w:szCs w:val="24"/>
              </w:rPr>
            </w:pPr>
            <w:r>
              <w:rPr>
                <w:rFonts w:ascii="宋体" w:hAnsi="宋体" w:cs="宋体"/>
                <w:sz w:val="24"/>
                <w:szCs w:val="24"/>
              </w:rPr>
              <w:t xml:space="preserve">处机关</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江苏省启东市，G40沪陕高速K90处</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启东南收费站</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江苏省启东市，G40沪陕高速K90处</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启东北收费站</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江苏省启东市，G40沪陕高速K105处</w:t>
            </w:r>
            <w:r/>
          </w:p>
        </w:tc>
      </w:tr>
    </w:tbl>
    <w:p>
      <w:pPr>
        <w:ind w:firstLine="482"/>
        <w:spacing w:line="400" w:lineRule="exact"/>
        <w:rPr>
          <w:rFonts w:hint="eastAsia" w:ascii="宋体" w:hAnsi="宋体" w:cs="宋体"/>
          <w:b/>
          <w:bCs/>
          <w:iCs/>
          <w:sz w:val="24"/>
          <w:szCs w:val="24"/>
        </w:rPr>
      </w:pPr>
      <w:r>
        <w:rPr>
          <w:rFonts w:hint="eastAsia" w:ascii="宋体" w:hAnsi="宋体" w:cs="宋体"/>
          <w:b/>
          <w:bCs/>
          <w:sz w:val="24"/>
          <w:szCs w:val="24"/>
        </w:rPr>
        <w:t xml:space="preserve">1.2</w:t>
      </w:r>
      <w:r>
        <w:rPr>
          <w:rFonts w:ascii="宋体" w:hAnsi="宋体" w:cs="宋体"/>
          <w:b/>
          <w:bCs/>
          <w:iCs/>
          <w:sz w:val="24"/>
          <w:szCs w:val="24"/>
        </w:rPr>
        <w:t xml:space="preserve">采购人提供供应商使用的场地、设施、设备、材料等</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（1）</w:t>
      </w:r>
      <w:r>
        <w:rPr>
          <w:rFonts w:ascii="宋体" w:hAnsi="宋体" w:cs="宋体"/>
          <w:iCs/>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（2）</w:t>
      </w:r>
      <w:r>
        <w:rPr>
          <w:rFonts w:ascii="宋体" w:hAnsi="宋体" w:cs="宋体"/>
          <w:iCs/>
          <w:sz w:val="24"/>
          <w:szCs w:val="24"/>
        </w:rPr>
        <w:t xml:space="preserve">采购人可提供的物业管理服务设备：①厨房设备：炉灶、蒸箱、冰箱、冰柜、</w:t>
      </w:r>
      <w:r>
        <w:rPr>
          <w:rFonts w:ascii="宋体" w:hAnsi="宋体" w:cs="宋体"/>
          <w:iCs/>
          <w:sz w:val="24"/>
          <w:szCs w:val="24"/>
        </w:rPr>
        <w:t xml:space="preserve">消毒柜、油烟净化设备、厨具（锅具、刀具）、餐具、食品加工操作台、储物柜、排风系统等；②保洁设备：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（3）</w:t>
      </w:r>
      <w:r>
        <w:rPr>
          <w:rFonts w:ascii="宋体" w:hAnsi="宋体" w:cs="宋体"/>
          <w:iCs/>
          <w:sz w:val="24"/>
          <w:szCs w:val="24"/>
        </w:rPr>
        <w:t xml:space="preserve">采购人可提供厨房用调味料、粮油等。提供食堂，餐费由供应商自理；</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（4）</w:t>
      </w:r>
      <w:r>
        <w:rPr>
          <w:rFonts w:ascii="宋体" w:hAnsi="宋体" w:cs="宋体"/>
          <w:iCs/>
          <w:sz w:val="24"/>
          <w:szCs w:val="24"/>
        </w:rPr>
        <w:t xml:space="preserve">采购人可提供的零星维修材料：水电工常用的备用灯具、开关、水管配件、工具耗材（螺丝、胶带等）维修材料。</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（5）</w:t>
      </w:r>
      <w:r>
        <w:rPr>
          <w:rFonts w:ascii="宋体" w:hAnsi="宋体" w:cs="宋体"/>
          <w:iCs/>
          <w:sz w:val="24"/>
          <w:szCs w:val="24"/>
        </w:rPr>
        <w:t xml:space="preserve">采购人可提供的低值易耗品：清洁剂（地面清洁液、玻璃水、消毒液）、垃圾袋、抹布、扫帚、尘推等保洁耗材。</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（6）</w:t>
      </w:r>
      <w:r>
        <w:rPr>
          <w:rFonts w:ascii="宋体" w:hAnsi="宋体" w:cs="宋体"/>
          <w:iCs/>
          <w:sz w:val="24"/>
          <w:szCs w:val="24"/>
        </w:rPr>
        <w:t xml:space="preserve">采购人可提供的能源供应：工作场所的水、电、燃气供应。</w:t>
      </w:r>
      <w:r/>
    </w:p>
    <w:p>
      <w:pPr>
        <w:ind w:firstLine="480"/>
        <w:spacing w:line="400" w:lineRule="exact"/>
        <w:rPr>
          <w:rFonts w:hint="eastAsia" w:ascii="宋体" w:hAnsi="宋体" w:cs="宋体"/>
          <w:iCs/>
          <w:sz w:val="24"/>
          <w:szCs w:val="24"/>
        </w:rPr>
      </w:pPr>
      <w:r>
        <w:rPr>
          <w:rFonts w:ascii="宋体" w:hAnsi="宋体" w:cs="宋体"/>
          <w:iCs/>
          <w:sz w:val="24"/>
          <w:szCs w:val="24"/>
        </w:rPr>
        <w:t xml:space="preserve">供应商应当承担除以上所列场地、设施、设备、材料外，与物业管理服务有关的其他场地、设施、设备、材料等。</w:t>
      </w:r>
      <w:r/>
    </w:p>
    <w:p>
      <w:pPr>
        <w:contextualSpacing/>
        <w:ind w:firstLine="482"/>
        <w:jc w:val="left"/>
        <w:spacing w:line="400" w:lineRule="exact"/>
        <w:widowControl/>
        <w:rPr>
          <w:rFonts w:ascii="Calibri" w:hAnsi="Calibri"/>
          <w:b/>
          <w:bCs/>
          <w:sz w:val="24"/>
          <w:szCs w:val="24"/>
          <w:lang w:bidi="en-US"/>
        </w:rPr>
      </w:pPr>
      <w:r>
        <w:rPr>
          <w:rFonts w:hint="eastAsia" w:ascii="Calibri" w:hAnsi="Calibri"/>
          <w:b/>
          <w:bCs/>
          <w:sz w:val="24"/>
          <w:szCs w:val="24"/>
          <w:lang w:bidi="en-US"/>
        </w:rPr>
        <w:t xml:space="preserve">1.3</w:t>
      </w:r>
      <w:r>
        <w:rPr>
          <w:rFonts w:ascii="Calibri" w:hAnsi="Calibri"/>
          <w:b/>
          <w:bCs/>
          <w:sz w:val="24"/>
          <w:szCs w:val="24"/>
          <w:lang w:bidi="en-US"/>
        </w:rPr>
        <w:t xml:space="preserve">物业服务范围</w:t>
      </w:r>
      <w:r/>
    </w:p>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（1）</w:t>
      </w:r>
      <w:r>
        <w:rPr>
          <w:rFonts w:ascii="宋体" w:hAnsi="宋体" w:cs="宋体"/>
          <w:b/>
          <w:bCs/>
          <w:iCs/>
          <w:sz w:val="24"/>
          <w:szCs w:val="24"/>
        </w:rPr>
        <w:t xml:space="preserve">崇启处处机关（含调度中心）</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5"/>
        <w:gridCol w:w="5377"/>
      </w:tblGrid>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名称</w:t>
            </w:r>
            <w:r/>
          </w:p>
        </w:tc>
        <w:tc>
          <w:tcPr>
            <w:tcW w:w="4995"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明细</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95"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崇启处处机关办公楼</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建筑面积（㎡）</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4395.65㎡</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4"/>
        <w:gridCol w:w="5360"/>
      </w:tblGrid>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明细</w:t>
            </w:r>
            <w:r/>
          </w:p>
        </w:tc>
      </w:tr>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崇启处处机关广场</w:t>
            </w:r>
            <w:r/>
          </w:p>
        </w:tc>
      </w:tr>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3925㎡</w:t>
            </w:r>
            <w:r/>
          </w:p>
        </w:tc>
      </w:tr>
    </w:tbl>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（2）</w:t>
      </w:r>
      <w:r>
        <w:rPr>
          <w:rFonts w:ascii="宋体" w:hAnsi="宋体" w:cs="宋体"/>
          <w:b/>
          <w:bCs/>
          <w:iCs/>
          <w:sz w:val="24"/>
          <w:szCs w:val="24"/>
        </w:rPr>
        <w:t xml:space="preserve">启东南收费站</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5"/>
        <w:gridCol w:w="5377"/>
      </w:tblGrid>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95"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启东南收费站办公楼</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建筑面积（㎡）</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2578㎡</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8"/>
        <w:gridCol w:w="5359"/>
      </w:tblGrid>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497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79"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启东南收费站广场</w:t>
            </w:r>
            <w:r/>
          </w:p>
        </w:tc>
      </w:tr>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497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4965㎡</w:t>
            </w:r>
            <w:r/>
          </w:p>
        </w:tc>
      </w:tr>
    </w:tbl>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（3）</w:t>
      </w:r>
      <w:r>
        <w:rPr>
          <w:rFonts w:ascii="宋体" w:hAnsi="宋体" w:cs="宋体"/>
          <w:b/>
          <w:bCs/>
          <w:iCs/>
          <w:sz w:val="24"/>
          <w:szCs w:val="24"/>
        </w:rPr>
        <w:t xml:space="preserve">启东北收费站</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7"/>
        <w:gridCol w:w="5359"/>
      </w:tblGrid>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启东北收费站办公楼</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1289.7㎡</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7"/>
        <w:gridCol w:w="5359"/>
      </w:tblGrid>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启东北收费站广场</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1848㎡</w:t>
            </w:r>
            <w:r/>
          </w:p>
        </w:tc>
      </w:tr>
    </w:tbl>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物业服务内容及要求</w:t>
      </w:r>
      <w:r/>
    </w:p>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2.1</w:t>
      </w:r>
      <w:r>
        <w:rPr>
          <w:rFonts w:ascii="宋体" w:hAnsi="宋体" w:cs="宋体"/>
          <w:b/>
          <w:bCs/>
          <w:sz w:val="24"/>
          <w:szCs w:val="24"/>
        </w:rPr>
        <w:t xml:space="preserve">物业服务内容及标准</w:t>
      </w:r>
      <w:r/>
    </w:p>
    <w:p>
      <w:pPr>
        <w:ind w:firstLine="482"/>
        <w:spacing w:line="360" w:lineRule="exact"/>
        <w:rPr>
          <w:rFonts w:hint="eastAsia" w:ascii="宋体" w:hAnsi="宋体" w:cs="宋体"/>
          <w:b/>
          <w:sz w:val="24"/>
          <w:szCs w:val="24"/>
        </w:rPr>
      </w:pPr>
      <w:r>
        <w:rPr>
          <w:rFonts w:hint="eastAsia" w:ascii="宋体" w:hAnsi="宋体" w:cs="宋体"/>
          <w:b/>
          <w:bCs/>
          <w:sz w:val="24"/>
          <w:szCs w:val="24"/>
        </w:rPr>
        <w:t xml:space="preserve">2.1.1</w:t>
      </w:r>
      <w:r>
        <w:rPr>
          <w:rFonts w:ascii="宋体" w:hAnsi="宋体" w:cs="宋体"/>
          <w:b/>
          <w:sz w:val="24"/>
          <w:szCs w:val="24"/>
        </w:rPr>
        <w:t xml:space="preserve">基本服务</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1653"/>
        <w:gridCol w:w="6150"/>
      </w:tblGrid>
      <w:tr>
        <w:trPr>
          <w:jc w:val="center"/>
          <w:trHeight w:val="576"/>
        </w:trPr>
        <w:tc>
          <w:tcPr>
            <w:tcW w:w="719"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序号</w:t>
            </w:r>
            <w:r/>
          </w:p>
        </w:tc>
        <w:tc>
          <w:tcPr>
            <w:tcW w:w="1653"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服务内容</w:t>
            </w:r>
            <w:r/>
          </w:p>
        </w:tc>
        <w:tc>
          <w:tcPr>
            <w:tcW w:w="6150"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服务标准</w:t>
            </w:r>
            <w:r/>
          </w:p>
        </w:tc>
      </w:tr>
      <w:tr>
        <w:trPr>
          <w:jc w:val="center"/>
          <w:trHeight w:val="970"/>
        </w:trPr>
        <w:tc>
          <w:tcPr>
            <w:tcW w:w="719" w:type="dxa"/>
            <w:vAlign w:val="center"/>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1</w:t>
            </w:r>
            <w:r/>
          </w:p>
        </w:tc>
        <w:tc>
          <w:tcPr>
            <w:tcW w:w="1653" w:type="dxa"/>
            <w:vAlign w:val="center"/>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目标与责任</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需指定专人兼管本项目，结合采购人要求及物业服务实际情况，制定年度管理目标，明确责任分工，制定配套实施方案，并按照采购人要求定期开展监督检查。</w:t>
            </w:r>
            <w:r/>
          </w:p>
        </w:tc>
      </w:tr>
      <w:tr>
        <w:trPr>
          <w:jc w:val="center"/>
          <w:trHeight w:val="626"/>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2</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服务人员</w:t>
            </w:r>
            <w:r/>
          </w:p>
          <w:p>
            <w:pPr>
              <w:jc w:val="center"/>
              <w:spacing w:line="260" w:lineRule="exact"/>
              <w:rPr>
                <w:rFonts w:hint="eastAsia" w:ascii="宋体" w:hAnsi="宋体" w:cs="宋体"/>
                <w:bCs/>
                <w:szCs w:val="21"/>
              </w:rPr>
            </w:pPr>
            <w:r>
              <w:rPr>
                <w:rFonts w:ascii="宋体" w:hAnsi="宋体" w:cs="宋体"/>
                <w:bCs/>
                <w:szCs w:val="21"/>
              </w:rPr>
              <w:t xml:space="preserve">要求</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（1）根据采购人要求对服务人员进行从业资格审查，审查结果向采购人报备。</w:t>
            </w:r>
            <w:r/>
          </w:p>
        </w:tc>
      </w:tr>
      <w:tr>
        <w:trPr>
          <w:jc w:val="center"/>
          <w:trHeight w:val="83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（2）服务人员到岗前应当经过必要的岗前培训以达到岗位能力要求，国家、行业规定应当取得职业资格证书或特种作业证书的，应当按规定持证上岗。</w:t>
            </w:r>
            <w:r/>
          </w:p>
        </w:tc>
      </w:tr>
      <w:tr>
        <w:trPr>
          <w:jc w:val="center"/>
          <w:trHeight w:val="114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jc w:val="center"/>
          <w:trHeight w:val="52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（4）各岗位工作人员着装分类统一，佩戴标识。仪容整洁、姿态端正、举止文明。用语文明礼貌，态度温和耐心。</w:t>
            </w:r>
            <w:r/>
          </w:p>
        </w:tc>
      </w:tr>
      <w:tr>
        <w:trPr>
          <w:jc w:val="center"/>
          <w:trHeight w:val="627"/>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3</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保密管理</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（1）建立保密管理制度。制度内容应当包括但不限于：①明确重点要害岗位保密职责。②对涉密工作岗位的保密要求。</w:t>
            </w:r>
            <w:r/>
          </w:p>
        </w:tc>
      </w:tr>
      <w:tr>
        <w:trPr>
          <w:jc w:val="center"/>
          <w:trHeight w:val="945"/>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szCs w:val="21"/>
              </w:rPr>
              <w:t xml:space="preserve">（3）发现服务人员违法违规或重大过失，及时报告采购人，并采取必要补救措施。</w:t>
            </w:r>
            <w:r/>
          </w:p>
        </w:tc>
      </w:tr>
      <w:tr>
        <w:trPr>
          <w:jc w:val="center"/>
          <w:trHeight w:val="593"/>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4</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档案管理</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（1）建立物业信息，准确、及时地对文件资料和服务记录进行归档保存，并确保其物理安全。</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（2）遵守采购人的信息、档案资料保密要求，未经许可，不得将建筑物平面图等资料转作其他用途或向其他单位、个人提供。</w:t>
            </w:r>
            <w:r/>
          </w:p>
        </w:tc>
      </w:tr>
      <w:tr>
        <w:trPr>
          <w:jc w:val="center"/>
          <w:trHeight w:val="620"/>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（3）履约结束后，相关资料交还采购人，采购人按政府采购规定存档。</w:t>
            </w:r>
            <w:r/>
          </w:p>
        </w:tc>
      </w:tr>
      <w:tr>
        <w:trPr>
          <w:jc w:val="center"/>
          <w:trHeight w:val="576"/>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5</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服务改进</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w:t>
            </w:r>
            <w:r>
              <w:rPr>
                <w:rFonts w:ascii="宋体" w:hAnsi="宋体" w:cs="宋体"/>
                <w:szCs w:val="21"/>
              </w:rPr>
              <w:t xml:space="preserve">明确负责人，定期对物业服务过程进行自查，结合反馈意见与评价结果采取改进措施，持续提升管理与服务水平。</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w:t>
            </w:r>
            <w:r>
              <w:rPr>
                <w:rFonts w:ascii="宋体" w:hAnsi="宋体" w:cs="宋体"/>
                <w:szCs w:val="21"/>
              </w:rPr>
              <w:t xml:space="preserve">对不合格服务进行控制，对不合格服务的原因进行识别和分析，及时采取纠正措施，消除不合格的原因，防止不合格再发生。</w:t>
            </w:r>
            <w:r/>
          </w:p>
        </w:tc>
      </w:tr>
      <w:tr>
        <w:trPr>
          <w:jc w:val="center"/>
          <w:trHeight w:val="416"/>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w:t>
            </w:r>
            <w:r>
              <w:rPr>
                <w:rFonts w:ascii="宋体" w:hAnsi="宋体" w:cs="宋体"/>
                <w:szCs w:val="21"/>
              </w:rPr>
              <w:t xml:space="preserve">需整改问题及时整改完成。</w:t>
            </w:r>
            <w:r/>
          </w:p>
        </w:tc>
      </w:tr>
      <w:tr>
        <w:trPr>
          <w:jc w:val="center"/>
          <w:trHeight w:val="593"/>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6</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管理制度及工作方案</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（1）制定管理制度，主要包括：人员录用制度、岗位职责、档案管理制度、物业服务管理制度、人员考核制度等。</w:t>
            </w:r>
            <w:r/>
          </w:p>
        </w:tc>
      </w:tr>
      <w:tr>
        <w:trPr>
          <w:jc w:val="center"/>
          <w:trHeight w:val="836"/>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（2）制定项目实施方案，主要包括：承接查验方案、进场准备工作方案、合同到期交接方案、人员培训方案、突发事件处置方案等。</w:t>
            </w:r>
            <w:r/>
          </w:p>
        </w:tc>
      </w:tr>
      <w:tr>
        <w:trPr>
          <w:jc w:val="center"/>
          <w:trHeight w:val="654"/>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（3）制定物业服务方案，主要包括：综合管理服务方案、室内外卫生保洁服务方案、餐饮服务方案、驾驶员服务方案等。</w:t>
            </w:r>
            <w:r/>
          </w:p>
        </w:tc>
      </w:tr>
    </w:tbl>
    <w:p>
      <w:pPr>
        <w:contextualSpacing/>
        <w:ind w:firstLine="482"/>
        <w:spacing w:line="40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2.1.2</w:t>
      </w:r>
      <w:r>
        <w:rPr>
          <w:rFonts w:ascii="宋体" w:hAnsi="宋体" w:cs="宋体"/>
          <w:b/>
          <w:bCs/>
          <w:sz w:val="24"/>
          <w:szCs w:val="24"/>
          <w:lang w:eastAsia="en-US" w:bidi="en-US"/>
        </w:rPr>
        <w:t xml:space="preserve">保洁服务</w:t>
      </w:r>
      <w:r/>
    </w:p>
    <w:tbl>
      <w:tblPr>
        <w:tblW w:w="500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7"/>
        <w:gridCol w:w="1715"/>
        <w:gridCol w:w="6638"/>
      </w:tblGrid>
      <w:tr>
        <w:trPr>
          <w:trHeight w:val="407"/>
        </w:trPr>
        <w:tc>
          <w:tcPr>
            <w:tcW w:w="777"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序号</w:t>
            </w:r>
            <w:r/>
          </w:p>
        </w:tc>
        <w:tc>
          <w:tcPr>
            <w:tcW w:w="1593"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服务内容</w:t>
            </w:r>
            <w:r/>
          </w:p>
        </w:tc>
        <w:tc>
          <w:tcPr>
            <w:tcW w:w="6166"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服务标准</w:t>
            </w:r>
            <w:r/>
          </w:p>
        </w:tc>
      </w:tr>
      <w:tr>
        <w:trPr>
          <w:trHeight w:val="633"/>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1</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基本要求</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（1）建立健全环境卫生保洁管理制度，负责常规项目保洁，实行规范化的清扫保洁标准，明确责任落实到人。</w:t>
            </w:r>
            <w:r/>
          </w:p>
        </w:tc>
      </w:tr>
      <w:tr>
        <w:trPr>
          <w:trHeight w:val="90"/>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（2）负责机关大楼或收费站院内停车场、办公楼内外、周边等公共部位的所有地面、墙面、顶面、附属设施、设备、器</w:t>
            </w:r>
            <w:r>
              <w:rPr>
                <w:rFonts w:ascii="宋体" w:hAnsi="宋体" w:cs="宋体"/>
                <w:szCs w:val="21"/>
                <w:lang w:bidi="en-US"/>
              </w:rPr>
              <w:t xml:space="preserve">具的保洁服务。包含但不限于以下内容：包括院内道路，停车位、绿化内垃圾，收费道口全域、阳光房、走廊、公共卫生间、茶水间、水箱、楼梯间、活动室、会议室、配电间、洗衣房、餐厅、厨房、备餐区、休息室，楼宇周界及所有公共场所的日常保洁；所有楼层、楼梯、卫生间、开水间、公共过道、安全通道、楼顶、平台、扶手、栏杆、空调风口、其他辅助设施及楼层玻璃；电器（空调、电开水器），楼层灯具及开关、排气扇、电源盒、消防器材、公告栏、指示牌、房间门及门牌、烟灰筒、地垫、洗手池、镜面、面盆、台面、隔板、水池、尿斗、厕位、垃圾桶（篓）等。</w:t>
            </w:r>
            <w:r/>
          </w:p>
        </w:tc>
      </w:tr>
      <w:tr>
        <w:trPr>
          <w:trHeight w:val="85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（3）负责本物业管理范围内的各类下水道、污水井管的通畅保障，“门前三包”和垃圾整理清运工作。所有公共区域不得堆放杂物，无废弃物、污渍，保持清洁，卫生间洁净无异味，应达到基本无虫蝇。</w:t>
            </w:r>
            <w:r/>
          </w:p>
        </w:tc>
      </w:tr>
      <w:tr>
        <w:trPr>
          <w:trHeight w:val="45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（4）区域内公共绿化的协助管理。</w:t>
            </w:r>
            <w:r/>
          </w:p>
        </w:tc>
      </w:tr>
      <w:tr>
        <w:trPr>
          <w:trHeight w:val="62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（5）垃圾收集处理：及时清理办公区域内垃圾箱，连同其他垃圾一起，集中运送至垃圾收集点汇集，由环卫部门装车带走。</w:t>
            </w:r>
            <w:r/>
          </w:p>
        </w:tc>
      </w:tr>
      <w:tr>
        <w:trPr>
          <w:trHeight w:val="73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（6）保洁服务总体做到无垃圾、无杂物、无积水、无污渍、无异味、无积灰、无虫害、无污染、无破损、无践踏、无占用、无拖延现象，确保保洁质量的控制标准。</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（7）根据采购人的需求做好会场安排、会务接待工作。</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（8）采购人交办的其他相关工作。</w:t>
            </w:r>
            <w:r/>
          </w:p>
        </w:tc>
      </w:tr>
      <w:tr>
        <w:trPr>
          <w:trHeight w:val="709"/>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2</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办公用房</w:t>
            </w:r>
            <w:r/>
          </w:p>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区域保洁</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（1）于处机关、各单位办公室上班前20分钟完成办公楼内主要公共区域及部分指定办公室的保洁工作，上班期间不间断巡查，做到及时清洁维护。</w:t>
            </w:r>
            <w:r/>
          </w:p>
        </w:tc>
      </w:tr>
      <w:tr>
        <w:trPr>
          <w:trHeight w:val="515"/>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（2）办公室每天清洁一次，确保办公桌椅、办公设备、生活设施、地面、内窗无尘无污渍，办公室墙面、顶面每月除尘一次。</w:t>
            </w:r>
            <w:r/>
          </w:p>
        </w:tc>
      </w:tr>
      <w:tr>
        <w:trPr>
          <w:trHeight w:val="715"/>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（3）公共区域的地面每日至少清洁一次，并采取循环保洁制，发现垃圾杂物及时清除；公共区域墙面、顶面每月除尘一次，确保无灰尘、无污迹、无蜘蛛网。</w:t>
            </w:r>
            <w:r/>
          </w:p>
        </w:tc>
      </w:tr>
      <w:tr>
        <w:trPr>
          <w:trHeight w:val="57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（4）门厅玻璃每日除尘擦洗，确保窗明几净，门厅墙面每日除尘去污。</w:t>
            </w:r>
            <w:r/>
          </w:p>
        </w:tc>
      </w:tr>
      <w:tr>
        <w:trPr>
          <w:trHeight w:val="941"/>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5）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 </w:t>
            </w:r>
            <w:r/>
          </w:p>
        </w:tc>
      </w:tr>
      <w:tr>
        <w:trPr>
          <w:trHeight w:val="121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6）每天上午、下午人流量较低时对卫生间进行全面清洁工作；两次全面清洁间隙，定时进行局部清洁工作，确保洗手间无异味、无水迹、无尿迹；镜面清洁光亮；墙面、隔断无污迹、无灰尘；垃圾桶内外干净，垃圾袋内垃圾不超过2/3；及时补充更换洗手液、卷纸、垃圾袋等；厕位、水箱等设备损坏或发生故障及时报修处理。</w:t>
            </w:r>
            <w:r/>
          </w:p>
        </w:tc>
      </w:tr>
      <w:tr>
        <w:trPr>
          <w:trHeight w:val="973"/>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7）重要会议室/接待室每天清洁一次，使用结束后做到及时清洁整理，确保会议室/接待室内地面、办公桌椅、办公设备、生活设施干净整洁，桌椅摆放整齐；墙面、顶面无尘无蜘蛛网，地毯每月吸尘一次，确保地毯干净松软无污渍。</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（8）健身房、淋浴间每日清洁一次，保持地面、健身器材干净无灰尘、无污迹；墙面、顶面每月除尘一次。</w:t>
            </w:r>
            <w:r/>
          </w:p>
        </w:tc>
      </w:tr>
      <w:tr>
        <w:trPr>
          <w:trHeight w:val="330"/>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（9）每周清理区域内绿植不少于1次，保持绿植叶片干净、无枯枝、无杂物。</w:t>
            </w:r>
            <w:r/>
          </w:p>
        </w:tc>
      </w:tr>
      <w:tr>
        <w:trPr>
          <w:trHeight w:val="479"/>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（10）对所有办公室的纱窗半年至少彻底清洁一次。</w:t>
            </w:r>
            <w:r/>
          </w:p>
        </w:tc>
      </w:tr>
      <w:tr>
        <w:trPr>
          <w:trHeight w:val="1018"/>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3</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公共场地以及收费广场区域保洁</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处机关楼外或者收费站办公楼外广场区域以及停车场每日至少清洁一次，确保广场无落叶、塑料袋、纸屑等明显垃圾；雨水边沟无沉淀物及阻塞物。公共区域墙面、顶面每月除尘一次，确保无灰尘、无污迹、无蜘蛛网。</w:t>
            </w:r>
            <w:r/>
          </w:p>
        </w:tc>
      </w:tr>
      <w:tr>
        <w:trPr>
          <w:trHeight w:val="483"/>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（2）雪、冰冻等恶劣天气时及时清扫积水、积雪，并采取安全防护措施。</w:t>
            </w:r>
            <w:r/>
          </w:p>
        </w:tc>
      </w:tr>
      <w:tr>
        <w:trPr>
          <w:trHeight w:val="509"/>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（3）各种路标、宣传栏等设备保持干净，每月至少开展1次清洁作业。</w:t>
            </w:r>
            <w:r/>
          </w:p>
        </w:tc>
      </w:tr>
      <w:tr>
        <w:trPr>
          <w:trHeight w:val="33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（4）绿地内无杂物、无改变用途和破坏、践踏、占用现象，每天至少开展1次巡查。</w:t>
            </w:r>
            <w:r/>
          </w:p>
        </w:tc>
      </w:tr>
      <w:tr>
        <w:trPr>
          <w:trHeight w:val="501"/>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4</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eastAsia="en-US" w:bidi="en-US"/>
              </w:rPr>
              <w:t xml:space="preserve">垃圾处理</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（1）垃圾桶身表面干净无污渍，每日开展至少1次清洁作业。</w:t>
            </w:r>
            <w:r/>
          </w:p>
        </w:tc>
      </w:tr>
      <w:tr>
        <w:trPr>
          <w:trHeight w:val="508"/>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（2）每天至少清理公共垃圾桶一次，确保垃圾袋内垃圾不超过2/3。</w:t>
            </w:r>
            <w:r/>
          </w:p>
        </w:tc>
      </w:tr>
      <w:tr>
        <w:trPr>
          <w:trHeight w:val="477"/>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（3）垃圾装袋，日产日清。</w:t>
            </w:r>
            <w:r/>
          </w:p>
        </w:tc>
      </w:tr>
      <w:tr>
        <w:trPr>
          <w:trHeight w:val="409"/>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5</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eastAsia="en-US" w:bidi="en-US"/>
              </w:rPr>
              <w:t xml:space="preserve">卫生消毒</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（1）办公用房区域、公共场所区域和周围环境做好卫生消毒消杀，消毒后及时通风，每周至少开展1次作业。</w:t>
            </w:r>
            <w:r/>
          </w:p>
        </w:tc>
      </w:tr>
      <w:tr>
        <w:trPr>
          <w:trHeight w:val="62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（2）采取综合措施消灭老鼠、蟑螂，控制室内外蚊虫孳生，达到基本无蝇。</w:t>
            </w:r>
            <w:r/>
          </w:p>
        </w:tc>
      </w:tr>
      <w:tr>
        <w:trPr>
          <w:trHeight w:val="328"/>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6</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会务服务</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（1）根据会议需求、场地大小、用途，明确会议桌椅、物品、设备、文具等摆放规定，音、视频设施保障措施。</w:t>
            </w:r>
            <w:r/>
          </w:p>
        </w:tc>
      </w:tr>
      <w:tr>
        <w:trPr>
          <w:trHeight w:val="454"/>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（2）会议期间按要求加水。</w:t>
            </w:r>
            <w:r/>
          </w:p>
        </w:tc>
      </w:tr>
      <w:tr>
        <w:trPr>
          <w:trHeight w:val="454"/>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（3）对会议现场进行检查，做好会场清扫工作。</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2.1.3</w:t>
      </w:r>
      <w:r>
        <w:rPr>
          <w:rFonts w:ascii="宋体" w:hAnsi="宋体" w:cs="宋体"/>
          <w:b/>
          <w:bCs/>
          <w:sz w:val="24"/>
          <w:szCs w:val="24"/>
          <w:lang w:bidi="en-US"/>
        </w:rPr>
        <w:t xml:space="preserve">餐饮</w:t>
      </w:r>
      <w:r>
        <w:rPr>
          <w:rFonts w:ascii="宋体" w:hAnsi="宋体" w:cs="宋体"/>
          <w:b/>
          <w:bCs/>
          <w:sz w:val="24"/>
          <w:szCs w:val="24"/>
          <w:lang w:eastAsia="en-US" w:bidi="en-US"/>
        </w:rPr>
        <w:t xml:space="preserve">服务</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19"/>
        <w:gridCol w:w="6595"/>
      </w:tblGrid>
      <w:tr>
        <w:trPr>
          <w:trHeight w:val="454"/>
        </w:trPr>
        <w:tc>
          <w:tcPr>
            <w:tcW w:w="78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97"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26"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441"/>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（1）食堂工作人员上岗前必须经过体检（每年至少体检1次），持有卫生部门发放的有效健康证方可上岗。</w:t>
            </w:r>
            <w:r/>
          </w:p>
        </w:tc>
      </w:tr>
      <w:tr>
        <w:trPr>
          <w:trHeight w:val="4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（2）厨师主要负责服务单位的日常早中晚三餐、餐厅和厨房的保洁、厨房和餐饮设施设备的检查维护等工作。</w:t>
            </w:r>
            <w:r/>
          </w:p>
        </w:tc>
      </w:tr>
      <w:tr>
        <w:trPr>
          <w:trHeight w:val="35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（3）厨工主要负责协助厨师餐食供应工作，负责原材料的粗加工、后场卫生的清理及餐饮用具的清洗消毒等。</w:t>
            </w:r>
            <w:r/>
          </w:p>
        </w:tc>
      </w:tr>
      <w:tr>
        <w:trPr>
          <w:trHeight w:val="2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（4）食堂工作人员按规定时间上下班，合理安排节假日工作，如正常休息或者事病假，需告知甲方管理人员。</w:t>
            </w:r>
            <w:r/>
          </w:p>
        </w:tc>
      </w:tr>
      <w:tr>
        <w:trPr>
          <w:trHeight w:val="585"/>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（5）工作期间，穿着工作服、佩戴工作毛及口罩，不干私活、不饮酒、不打瞌睡，不擅自离岗，服从管理，注意个人卫生清洁。严禁在岗吸烟、佩戴首饰操作食品。</w:t>
            </w:r>
            <w:r/>
          </w:p>
        </w:tc>
      </w:tr>
      <w:tr>
        <w:trPr>
          <w:trHeight w:val="50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（6）供应商要按照采购人的工作要求认真做好食堂工作人员的管理和安全教育工作，定期开展安全教育及检查，积极参加业主单位的各类会议和活动。</w:t>
            </w:r>
            <w:r/>
          </w:p>
        </w:tc>
      </w:tr>
      <w:tr>
        <w:trPr>
          <w:trHeight w:val="454"/>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（7）服从采购人关于工作地点、时间以及内容的安排。</w:t>
            </w:r>
            <w:r/>
          </w:p>
        </w:tc>
      </w:tr>
      <w:tr>
        <w:trPr>
          <w:trHeight w:val="6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（8）严格按照采购人相关制度要求工作，并及时完成采购人交办的其他任务。</w:t>
            </w:r>
            <w:r/>
          </w:p>
        </w:tc>
      </w:tr>
      <w:tr>
        <w:trPr>
          <w:trHeight w:val="711"/>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食堂日常</w:t>
            </w:r>
            <w:r/>
          </w:p>
          <w:p>
            <w:pPr>
              <w:jc w:val="center"/>
              <w:spacing w:line="260" w:lineRule="exact"/>
              <w:widowControl/>
              <w:rPr>
                <w:rFonts w:hint="eastAsia" w:ascii="宋体" w:hAnsi="宋体" w:cs="宋体"/>
                <w:szCs w:val="21"/>
              </w:rPr>
            </w:pPr>
            <w:r>
              <w:rPr>
                <w:rFonts w:ascii="宋体" w:hAnsi="宋体" w:cs="宋体"/>
                <w:szCs w:val="21"/>
              </w:rPr>
              <w:t xml:space="preserve">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（1）食堂工作人员严把采购质量关，在采购人指定供应商及大型超市进行采购，票证齐全，并及时做好采购台账记录。严禁采购变质、过期、来源不明食材。</w:t>
            </w:r>
            <w:r/>
          </w:p>
        </w:tc>
      </w:tr>
      <w:tr>
        <w:trPr>
          <w:trHeight w:val="57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（2）食堂的一切设备、餐具有登记，有账目，对放置在公共场所有的物件，定置定位，物品摆放有序，张贴标识，不得随便搬动或挪作它用，不得无故损坏各类设备、餐具。</w:t>
            </w:r>
            <w:r/>
          </w:p>
        </w:tc>
      </w:tr>
      <w:tr>
        <w:trPr>
          <w:trHeight w:val="44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（3）应及时将采购的食品原料按类别、性质、特点堆放保管，做到先进先出、不串味、不受损、不积压。</w:t>
            </w:r>
            <w:r/>
          </w:p>
        </w:tc>
      </w:tr>
      <w:tr>
        <w:trPr>
          <w:trHeight w:val="54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（4）食品干货库房应保持良好的通风、干燥和卫生环境，控制适宜的温度（20～22℃），防止霉、蛀、腐烂和变质。</w:t>
            </w:r>
            <w:r/>
          </w:p>
        </w:tc>
      </w:tr>
      <w:tr>
        <w:trPr>
          <w:trHeight w:val="515"/>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（5）需进行冷藏的食品</w:t>
            </w:r>
            <w:r>
              <w:rPr>
                <w:rFonts w:ascii="宋体" w:hAnsi="宋体" w:cs="宋体"/>
                <w:bCs/>
                <w:szCs w:val="21"/>
              </w:rPr>
              <w:t xml:space="preserve">（ </w:t>
            </w:r>
            <w:r>
              <w:rPr>
                <w:rFonts w:ascii="宋体" w:hAnsi="宋体" w:cs="宋体"/>
                <w:bCs/>
                <w:szCs w:val="21"/>
              </w:rPr>
              <w:t xml:space="preserve">如海产品），应先放入－20℃低温进行速冻。</w:t>
            </w:r>
            <w:r/>
          </w:p>
        </w:tc>
      </w:tr>
      <w:tr>
        <w:trPr>
          <w:trHeight w:val="51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（6）需配合甲方管理人员对食品原料每周进行一次实物盘点，每月末进行一次帐物盘点。 </w:t>
            </w:r>
            <w:r/>
          </w:p>
        </w:tc>
      </w:tr>
      <w:tr>
        <w:trPr>
          <w:trHeight w:val="47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 做好餐厨垃圾分类处置，及时清运，保持食堂内外环境干净整洁。</w:t>
            </w:r>
            <w:r/>
          </w:p>
        </w:tc>
      </w:tr>
      <w:tr>
        <w:trPr>
          <w:trHeight w:val="503"/>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就餐管理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（1）食堂工作人员与采购人管理人员共同作好菜谱的安排，按要求做好员工一日三餐保障工作。</w:t>
            </w:r>
            <w:r/>
          </w:p>
        </w:tc>
      </w:tr>
      <w:tr>
        <w:trPr>
          <w:trHeight w:val="61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（2）对各种菜品加工要经常变换烹调花样，保证口味和质量，对采购人提出的意见及建议积极响应整改。</w:t>
            </w:r>
            <w:r/>
          </w:p>
        </w:tc>
      </w:tr>
      <w:tr>
        <w:trPr>
          <w:trHeight w:val="51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（3）不加工腐烂、变质、有毒、有害、超过质保期的食物，防止食物中毒。</w:t>
            </w:r>
            <w:r/>
          </w:p>
        </w:tc>
      </w:tr>
      <w:tr>
        <w:trPr>
          <w:trHeight w:val="754"/>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（4）做饭投料要心中有数，按人按量投料，并且每餐饭菜必须在就餐前15分钟准备好，注意菜品保温。遇有恶劣天气，交通分流等特殊情况可延长工作时间。</w:t>
            </w:r>
            <w:r/>
          </w:p>
        </w:tc>
      </w:tr>
      <w:tr>
        <w:trPr>
          <w:trHeight w:val="548"/>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安全管理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（1）食堂工作人员需做好食堂及包干区的清洁卫生工作，采取有效措施做好灭防“四害”（老鼠、蟑螂、苍蝇、蚊子）。</w:t>
            </w:r>
            <w:r/>
          </w:p>
        </w:tc>
      </w:tr>
      <w:tr>
        <w:trPr>
          <w:trHeight w:val="6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（2）及时并定期做好烹饪用具、食品容器、餐具的消毒消杀工作，保洁存放；冰箱冰柜分类存放食材，定期清理除霜，杜绝过期变质食材。</w:t>
            </w:r>
            <w:r/>
          </w:p>
        </w:tc>
      </w:tr>
      <w:tr>
        <w:trPr>
          <w:trHeight w:val="68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（3）生熟工具、容器严格分开，防止交叉污染；食材彻底烧熟煮透，严控四季豆、发芽土豆等高风险食材；做好食品留样，每餐每样留样不少于125克，冷藏保存48小时，规范登记留样记录。</w:t>
            </w:r>
            <w:r/>
          </w:p>
        </w:tc>
      </w:tr>
      <w:tr>
        <w:trPr>
          <w:trHeight w:val="54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（4）注意食堂用水用电安全，及时关闭水源及电源，防止火灾漏电等安全问题。</w:t>
            </w:r>
            <w:r/>
          </w:p>
        </w:tc>
      </w:tr>
      <w:tr>
        <w:trPr>
          <w:trHeight w:val="576"/>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（5）油烟管道定期清洗，清除油垢；电气线路、大功率设备定期排查，不私拉乱接电线。</w:t>
            </w:r>
            <w:r/>
          </w:p>
        </w:tc>
      </w:tr>
      <w:tr>
        <w:trPr>
          <w:trHeight w:val="499"/>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（6）工作人员熟练掌握消防器材使用方法，严禁厨房区域堆放易燃易爆物品。</w:t>
            </w:r>
            <w:r/>
          </w:p>
        </w:tc>
      </w:tr>
      <w:tr>
        <w:trPr>
          <w:trHeight w:val="56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（7）积极完成上级交办的其他任务，帮助管理员完成对食堂各项工作的整改。</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2.1.4</w:t>
      </w:r>
      <w:r>
        <w:rPr>
          <w:rFonts w:ascii="宋体" w:hAnsi="宋体" w:cs="宋体"/>
          <w:b/>
          <w:bCs/>
          <w:sz w:val="24"/>
          <w:szCs w:val="24"/>
          <w:lang w:eastAsia="en-US" w:bidi="en-US"/>
        </w:rPr>
        <w:t xml:space="preserve">驾驶服务</w:t>
      </w:r>
      <w:r/>
    </w:p>
    <w:tbl>
      <w:tblPr>
        <w:tblW w:w="49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693"/>
        <w:gridCol w:w="6587"/>
      </w:tblGrid>
      <w:tr>
        <w:trPr>
          <w:trHeight w:val="454"/>
        </w:trPr>
        <w:tc>
          <w:tcPr>
            <w:tcW w:w="798"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73"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1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676"/>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（1）严格遵守单位各项规章制度，服从调度安排，坚守岗位、服从指挥，做到随叫随到、不推诿、不拖沓，不擅自出车。</w:t>
            </w:r>
            <w:r/>
          </w:p>
        </w:tc>
      </w:tr>
      <w:tr>
        <w:trPr>
          <w:trHeight w:val="57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（2）工作中作风严谨、保密守纪，不传播工作信息、不泄露乘车人员工作内容，保持良好职业素养。</w:t>
            </w:r>
            <w:r/>
          </w:p>
        </w:tc>
      </w:tr>
      <w:tr>
        <w:trPr>
          <w:trHeight w:val="65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（3）服从采购人关于工作地点、时间以及内容的安排，以及完成采购人交办的其他相关工作。</w:t>
            </w:r>
            <w:r/>
          </w:p>
        </w:tc>
      </w:tr>
      <w:tr>
        <w:trPr>
          <w:trHeight w:val="55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安全驾驶</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（1）严格遵守道路交通法律法规，文明驾驶、规范操作，坚决杜绝超速、酒驾、疲劳驾驶、违规变道等危险行为。</w:t>
            </w:r>
            <w:r/>
          </w:p>
        </w:tc>
      </w:tr>
      <w:tr>
        <w:trPr>
          <w:trHeight w:val="48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（2）坚持每日出车前、收车后检查车辆状况，重点检查轮胎、刹车、油水、灯光、制动系统，发现故障及时上报维修，不带病出车。</w:t>
            </w:r>
            <w:r/>
          </w:p>
        </w:tc>
      </w:tr>
      <w:tr>
        <w:trPr>
          <w:trHeight w:val="40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（3）牢固树立安全第一理念，确保行车零事故、零违章、零隐患。</w:t>
            </w:r>
            <w:r/>
          </w:p>
        </w:tc>
      </w:tr>
      <w:tr>
        <w:trPr>
          <w:trHeight w:val="475"/>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车辆养护</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（1）负责车辆日常清洁、保养和简单维护，保持车身内外干净整洁。</w:t>
            </w:r>
            <w:r/>
          </w:p>
        </w:tc>
      </w:tr>
      <w:tr>
        <w:trPr>
          <w:trHeight w:val="47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（2）爱护车辆，定期检查、维修、保养，及时处理违章，确保车辆始终处于良好、安全状态。</w:t>
            </w:r>
            <w:r/>
          </w:p>
        </w:tc>
      </w:tr>
      <w:tr>
        <w:trPr>
          <w:trHeight w:val="45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（3）规范停放车辆，不乱停乱放，妥善保管车钥匙、行驶证、驾驶证等随车资料。</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（4）按照采购人要求认真做好加油、行车、维修等台账记录工作。车辆发生事故或者发生非正常损坏，应及时上报采购人处理。</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（5）车辆需要保养或者维修，应按照采购人要求事先报批，经审核同意后进行定点维修，不可私自维修。</w:t>
            </w:r>
            <w:r/>
          </w:p>
        </w:tc>
      </w:tr>
      <w:tr>
        <w:trPr>
          <w:trHeight w:val="45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服务规范</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（1）服从公务用车统一调度，准时出车、准点等候，不迟到、不误事。</w:t>
            </w:r>
            <w:r/>
          </w:p>
        </w:tc>
      </w:tr>
      <w:tr>
        <w:trPr>
          <w:trHeight w:val="43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（2）待人礼貌、服务周到，行车平稳舒适，主动维护单位形象。</w:t>
            </w:r>
            <w:r/>
          </w:p>
        </w:tc>
      </w:tr>
      <w:tr>
        <w:trPr>
          <w:trHeight w:val="43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（3）行车途中不闲聊、不接打手机，不擅自更改行车路线、不私自办私事。</w:t>
            </w:r>
            <w:r/>
          </w:p>
        </w:tc>
      </w:tr>
      <w:tr>
        <w:trPr>
          <w:trHeight w:val="432"/>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5</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纪律要求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（1）严格执行上下班、值班值守制度，严禁私自动用公车、严禁公车私用、私车公养。</w:t>
            </w:r>
            <w:r/>
          </w:p>
        </w:tc>
      </w:tr>
      <w:tr>
        <w:trPr>
          <w:trHeight w:val="38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（2）厉行节约，规范用油，杜绝浪费。</w:t>
            </w:r>
            <w:r/>
          </w:p>
        </w:tc>
      </w:tr>
      <w:tr>
        <w:trPr>
          <w:trHeight w:val="27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（3）值班期间，在未接到公务出车任务情况下，必须24小时驻守在采购人指定区域，并保持通讯畅通，不可擅自脱岗。</w:t>
            </w:r>
            <w:r/>
          </w:p>
        </w:tc>
      </w:tr>
      <w:tr>
        <w:trPr>
          <w:trHeight w:val="405"/>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（4）上班期间严禁喝酒，每天做好酒驾测试，并做好相关记录</w:t>
            </w:r>
            <w:r/>
          </w:p>
        </w:tc>
      </w:tr>
      <w:tr>
        <w:trPr>
          <w:trHeight w:val="537"/>
        </w:trPr>
        <w:tc>
          <w:tcPr>
            <w:tcW w:w="798" w:type="dxa"/>
            <w:vAlign w:val="center"/>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6</w:t>
            </w:r>
            <w:r/>
          </w:p>
        </w:tc>
        <w:tc>
          <w:tcPr>
            <w:tcW w:w="1573" w:type="dxa"/>
            <w:vAlign w:val="center"/>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应急处置</w:t>
            </w:r>
            <w:r/>
          </w:p>
          <w:p>
            <w:pPr>
              <w:jc w:val="center"/>
              <w:spacing w:line="260" w:lineRule="exact"/>
              <w:widowControl/>
              <w:rPr>
                <w:rFonts w:hint="eastAsia" w:ascii="宋体" w:hAnsi="宋体" w:cs="宋体"/>
                <w:szCs w:val="21"/>
              </w:rPr>
            </w:pPr>
            <w:r>
              <w:rPr>
                <w:rFonts w:ascii="宋体" w:hAnsi="宋体" w:cs="宋体"/>
                <w:szCs w:val="21"/>
              </w:rPr>
              <w:t xml:space="preserve">能力</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（1）遇恶劣天气、道路险情、车辆故障或突发情况，第一时间冷静处置、及时汇报，稳妥做好应急应对，确保人员车辆安全。</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2.1.5</w:t>
      </w:r>
      <w:r>
        <w:rPr>
          <w:rFonts w:ascii="宋体" w:hAnsi="宋体" w:cs="宋体"/>
          <w:b/>
          <w:bCs/>
          <w:sz w:val="24"/>
          <w:szCs w:val="24"/>
          <w:lang w:bidi="en-US"/>
        </w:rPr>
        <w:t xml:space="preserve">水电工兼安保</w:t>
      </w:r>
      <w:r>
        <w:rPr>
          <w:rFonts w:ascii="宋体" w:hAnsi="宋体" w:cs="宋体"/>
          <w:b/>
          <w:bCs/>
          <w:sz w:val="24"/>
          <w:szCs w:val="24"/>
          <w:lang w:eastAsia="en-US" w:bidi="en-US"/>
        </w:rPr>
        <w:t xml:space="preserve">服务</w:t>
      </w:r>
      <w:r/>
    </w:p>
    <w:tbl>
      <w:tblPr>
        <w:tblW w:w="49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693"/>
        <w:gridCol w:w="6587"/>
      </w:tblGrid>
      <w:tr>
        <w:trPr>
          <w:trHeight w:val="454"/>
        </w:trPr>
        <w:tc>
          <w:tcPr>
            <w:tcW w:w="798"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73"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1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480"/>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（1）着装整齐统一、佩戴齐全、动作规范，实行封闭式管理，24小时值班制度。</w:t>
            </w:r>
            <w:r/>
          </w:p>
        </w:tc>
      </w:tr>
      <w:tr>
        <w:trPr>
          <w:trHeight w:val="38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（2）重大节假日及恶劣天气前后，组织系统巡检1次。</w:t>
            </w:r>
            <w:r/>
          </w:p>
        </w:tc>
      </w:tr>
      <w:tr>
        <w:trPr>
          <w:trHeight w:val="41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（3）对巡查、值守及异常情况等做好相关记录，填写规范，保存完好。</w:t>
            </w:r>
            <w:r/>
          </w:p>
        </w:tc>
      </w:tr>
      <w:tr>
        <w:trPr>
          <w:trHeight w:val="50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（4）上岗人员须持有特种作业操作证，且具备基本的安全防范知识和应急处理能力，能独立解决办公楼宇的水电、工程维修问题。</w:t>
            </w:r>
            <w:r/>
          </w:p>
        </w:tc>
      </w:tr>
      <w:tr>
        <w:trPr>
          <w:trHeight w:val="495"/>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（5）服从采购人关于工作地点、时间以及内容的安排，及时完成采购人交办的其他任务。</w:t>
            </w:r>
            <w:r/>
          </w:p>
        </w:tc>
      </w:tr>
      <w:tr>
        <w:trPr>
          <w:trHeight w:val="60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安保要求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（1）做好门岗执勤制度，及时疏导门口车辆，清理无关人员，维护大门正常秩序，业主入门时行注目礼，遇重要领导或重要外来参访人员敬礼问候。</w:t>
            </w:r>
            <w:r/>
          </w:p>
        </w:tc>
      </w:tr>
      <w:tr>
        <w:trPr>
          <w:trHeight w:val="47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（2）严格执行访客登记制度，对非本单位人员、车辆进出站区要实行查询登记，并指挥出入车辆按规定线路行驶、停放。</w:t>
            </w:r>
            <w:r/>
          </w:p>
        </w:tc>
      </w:tr>
      <w:tr>
        <w:trPr>
          <w:trHeight w:val="416"/>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（3）收到信件、报纸及时送至办公室，并按照采购人要求做好物品出入登记记录。</w:t>
            </w:r>
            <w:r/>
          </w:p>
        </w:tc>
      </w:tr>
      <w:tr>
        <w:trPr>
          <w:trHeight w:val="45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（4）严格履行巡查制度，每隔2小时巡查一次。按规定时间、线路巡查，不得漏查，巡查过程中发现问题应立即按规定处理、制止各种违法犯罪行为、消除各种安全隐患，维护服务域内的正常治安秩序。</w:t>
            </w:r>
            <w:r/>
          </w:p>
        </w:tc>
      </w:tr>
      <w:tr>
        <w:trPr>
          <w:trHeight w:val="83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水电消防</w:t>
            </w:r>
            <w:r/>
          </w:p>
          <w:p>
            <w:pPr>
              <w:jc w:val="center"/>
              <w:spacing w:line="260" w:lineRule="exact"/>
              <w:widowControl/>
              <w:rPr>
                <w:rFonts w:hint="eastAsia" w:ascii="宋体" w:hAnsi="宋体" w:cs="宋体"/>
                <w:szCs w:val="21"/>
              </w:rPr>
            </w:pPr>
            <w:r>
              <w:rPr>
                <w:rFonts w:ascii="宋体" w:hAnsi="宋体" w:cs="宋体"/>
                <w:szCs w:val="21"/>
              </w:rPr>
              <w:t xml:space="preserve">管理</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（1）做好办公楼内设施设备的巡查工作，发现电、水、门窗、消防设施等不关闭或不安全情况，应及时采取补救措施，并于次日报告管理人员。如遇应急维修无法解决的事项，应及时通知采购人解决。</w:t>
            </w:r>
            <w:r/>
          </w:p>
        </w:tc>
      </w:tr>
      <w:tr>
        <w:trPr>
          <w:trHeight w:val="49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（2）本着绿色环保，节约能源，巡检时应及时关闭不必要设备电源，减少长明灯、无人空调的使用。</w:t>
            </w:r>
            <w:r/>
          </w:p>
        </w:tc>
      </w:tr>
      <w:tr>
        <w:trPr>
          <w:trHeight w:val="41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（3）负责水、电、综合设备设施的维修保养工作，确保设备设施始终处于良好的状态。</w:t>
            </w:r>
            <w:r/>
          </w:p>
        </w:tc>
      </w:tr>
      <w:tr>
        <w:trPr>
          <w:trHeight w:val="623"/>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（4）熟知办公楼内水、电、综合专业系统主要设备、设施的数量、使用、安装位置及服务范围，并做好相应的巡检工作，及时填写巡检记录。</w:t>
            </w:r>
            <w:r/>
          </w:p>
        </w:tc>
      </w:tr>
      <w:tr>
        <w:trPr>
          <w:trHeight w:val="446"/>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（5）协助做好消防器材、设备检查，保证设备处于完好状态</w:t>
            </w:r>
            <w:r/>
          </w:p>
        </w:tc>
      </w:tr>
      <w:tr>
        <w:trPr>
          <w:trHeight w:val="44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（6）及时制止任何违反消防安全的行为。</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（7）定期检查公共部位电器、电线、煤气管道等有无霉环、锈坏、氧化、溶化、堵塞情况，防止短路或爆炸引起火灾。</w:t>
            </w:r>
            <w:r/>
          </w:p>
        </w:tc>
      </w:tr>
      <w:tr>
        <w:trPr>
          <w:trHeight w:val="46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（8）发生火警时，及时按火警预案处理程序工作，尽量将损失和影响控制在最小范围。</w:t>
            </w:r>
            <w:r/>
          </w:p>
        </w:tc>
      </w:tr>
      <w:tr>
        <w:trPr>
          <w:trHeight w:val="732"/>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其他要求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（1）监督配合外单维修，必须经过同意后并填写《来访人员登记表》方可进入维修，维修时实时掌握维修人员动态，防止人员乱窜。维修结束后复检维修结果并做好相应记录，及时向相关领导汇报。</w:t>
            </w:r>
            <w:r/>
          </w:p>
        </w:tc>
      </w:tr>
      <w:tr>
        <w:trPr>
          <w:trHeight w:val="69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（2）做好值班室、设备房（含附近包干区）及设备的卫生工作，做好设备间防水、防火、放小动物进入设备间，进出设备间及时关闭。严禁在值班室、设备抽烟、烧水。</w:t>
            </w:r>
            <w:r/>
          </w:p>
        </w:tc>
      </w:tr>
      <w:tr>
        <w:trPr>
          <w:trHeight w:val="64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（3）供应商要按照采购人的工作要求认真做好相关人员的管理和安全教育工作，定期开展安全教育及检查，积极参加业主单位的各类会议和活动。</w:t>
            </w:r>
            <w:r/>
          </w:p>
        </w:tc>
      </w:tr>
      <w:tr>
        <w:trPr>
          <w:trHeight w:val="44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（4）按时上下班，认真履行交接班手续，并做好交接班记录。当班期间必须在岗在位，不得出现缺岗、脱岗、串岗现象。</w:t>
            </w:r>
            <w:r/>
          </w:p>
        </w:tc>
      </w:tr>
    </w:tbl>
    <w:p>
      <w:pPr>
        <w:contextualSpacing/>
        <w:ind w:firstLine="482"/>
        <w:jc w:val="left"/>
        <w:spacing w:line="360" w:lineRule="exact"/>
        <w:widowControl/>
        <w:rPr>
          <w:rFonts w:hint="eastAsia" w:ascii="宋体" w:hAnsi="宋体" w:cs="宋体"/>
          <w:b/>
          <w:bCs/>
          <w:sz w:val="24"/>
          <w:szCs w:val="24"/>
          <w:lang w:bidi="en-US"/>
        </w:rPr>
      </w:pPr>
      <w:r>
        <w:rPr>
          <w:rFonts w:hint="eastAsia" w:ascii="宋体" w:hAnsi="宋体" w:cs="宋体"/>
          <w:b/>
          <w:bCs/>
          <w:sz w:val="24"/>
          <w:szCs w:val="24"/>
          <w:lang w:bidi="en-US"/>
        </w:rPr>
      </w:r>
      <w:r/>
    </w:p>
    <w:p>
      <w:pPr>
        <w:ind w:firstLine="482"/>
        <w:keepLines/>
        <w:keepNext/>
        <w:spacing w:line="400" w:lineRule="exact"/>
        <w:rPr>
          <w:rFonts w:hint="eastAsia" w:ascii="宋体" w:hAnsi="宋体" w:cs="宋体"/>
          <w:b/>
          <w:bCs/>
          <w:sz w:val="24"/>
          <w:szCs w:val="24"/>
        </w:rPr>
        <w:outlineLvl w:val="1"/>
      </w:pPr>
      <w:r>
        <w:rPr>
          <w:rFonts w:hint="eastAsia" w:ascii="宋体" w:hAnsi="宋体" w:cs="宋体"/>
          <w:b/>
          <w:sz w:val="24"/>
          <w:szCs w:val="24"/>
        </w:rPr>
        <w:t xml:space="preserve">2.2</w:t>
      </w:r>
      <w:r>
        <w:rPr>
          <w:rFonts w:ascii="宋体" w:hAnsi="宋体" w:cs="宋体"/>
          <w:b/>
          <w:bCs/>
          <w:sz w:val="24"/>
          <w:szCs w:val="24"/>
        </w:rPr>
        <w:t xml:space="preserve">物业服务要求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2.2.1</w:t>
      </w:r>
      <w:r>
        <w:rPr>
          <w:rFonts w:ascii="宋体" w:hAnsi="宋体" w:cs="宋体"/>
          <w:b/>
          <w:bCs/>
          <w:sz w:val="24"/>
          <w:szCs w:val="24"/>
        </w:rPr>
        <w:t xml:space="preserve">总体服务要求：</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①</w:t>
      </w:r>
      <w:r>
        <w:rPr>
          <w:rFonts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②</w:t>
      </w:r>
      <w:r>
        <w:rPr>
          <w:rFonts w:ascii="宋体" w:hAnsi="宋体" w:cs="宋体"/>
          <w:sz w:val="24"/>
          <w:szCs w:val="24"/>
        </w:rPr>
        <w:t xml:space="preserve">通过系统的培训，强化员工对物业管理服务的认识和服务技能，建立健全各项管理制度、岗位工作流程标准，并设立24小时服务电话，接受采购人方对物业服务的问询、建议及投诉，及时处理反馈，有回访记录。</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③</w:t>
      </w:r>
      <w:r>
        <w:rPr>
          <w:rFonts w:ascii="宋体" w:hAnsi="宋体" w:cs="宋体"/>
          <w:sz w:val="24"/>
          <w:szCs w:val="24"/>
        </w:rPr>
        <w:t xml:space="preserve">不断提升服务质量、完善管理制度和体系，通过优质的物业管理帮助采购人方树立优良形象，共同打造品牌声誉。</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④</w:t>
      </w:r>
      <w:r>
        <w:rPr>
          <w:rFonts w:ascii="宋体" w:hAnsi="宋体" w:cs="宋体"/>
          <w:sz w:val="24"/>
          <w:szCs w:val="24"/>
        </w:rPr>
        <w:t xml:space="preserve">协助采购人做好物业管理区域内各项节能管理工作，对工作人员进行节能培训，加大节能管理力度。</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⑤</w:t>
      </w:r>
      <w:r>
        <w:rPr>
          <w:rFonts w:ascii="宋体" w:hAnsi="宋体" w:cs="宋体"/>
          <w:sz w:val="24"/>
          <w:szCs w:val="24"/>
        </w:rPr>
        <w:t xml:space="preserve">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2.2.2</w:t>
      </w:r>
      <w:r>
        <w:rPr>
          <w:rFonts w:ascii="宋体" w:hAnsi="宋体" w:cs="宋体"/>
          <w:b/>
          <w:bCs/>
          <w:sz w:val="24"/>
          <w:szCs w:val="24"/>
        </w:rPr>
        <w:t xml:space="preserve">进场要求：</w:t>
      </w:r>
      <w:r>
        <w:rPr>
          <w:rFonts w:ascii="宋体" w:hAnsi="宋体" w:cs="宋体"/>
          <w:sz w:val="24"/>
          <w:szCs w:val="24"/>
        </w:rPr>
        <w:t xml:space="preserve">供应商提供的物业服务人员应按照采购文件要求的时间进场，并做好与招标前服务单位对接、交接事宜。</w:t>
      </w:r>
      <w:r/>
    </w:p>
    <w:p>
      <w:pPr>
        <w:ind w:firstLine="480"/>
        <w:spacing w:line="400" w:lineRule="exact"/>
        <w:rPr>
          <w:rFonts w:hint="eastAsia" w:ascii="宋体" w:hAnsi="宋体" w:cs="宋体"/>
          <w:sz w:val="24"/>
          <w:szCs w:val="24"/>
        </w:rPr>
      </w:pPr>
      <w:r>
        <w:rPr>
          <w:rFonts w:ascii="宋体" w:hAnsi="宋体" w:cs="宋体"/>
          <w:sz w:val="24"/>
          <w:szCs w:val="24"/>
        </w:rPr>
        <w:t xml:space="preserve">中标人未按要求逾期进场履行的，中标人应按逾期合同总额每日千分之</w:t>
      </w:r>
      <w:r>
        <w:rPr>
          <w:rFonts w:hint="eastAsia" w:ascii="宋体" w:hAnsi="宋体" w:cs="宋体"/>
          <w:sz w:val="24"/>
          <w:szCs w:val="24"/>
        </w:rPr>
        <w:t xml:space="preserve">一</w:t>
      </w:r>
      <w:r>
        <w:rPr>
          <w:rFonts w:ascii="宋体" w:hAnsi="宋体" w:cs="宋体"/>
          <w:sz w:val="24"/>
          <w:szCs w:val="24"/>
        </w:rPr>
        <w:t xml:space="preserve">向采购人支付违约金，由采购人从待付合同款中扣除。逾期超过约定日期10个工作日后不能履约的，采购人可解除本合同。中标人因逾期履约或因其他违约行为导致采购人解除合同的，中标人应向采购人支付合同总额10%的违约金，如造成采购人损失超过违约金的，超出部分由中标人继续承担赔偿责任。 </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2.2.3</w:t>
      </w:r>
      <w:r>
        <w:rPr>
          <w:rFonts w:ascii="宋体" w:hAnsi="宋体" w:cs="宋体"/>
          <w:b/>
          <w:bCs/>
          <w:sz w:val="24"/>
          <w:szCs w:val="24"/>
        </w:rPr>
        <w:t xml:space="preserve">退场要求：</w:t>
      </w:r>
      <w:r>
        <w:rPr>
          <w:rFonts w:ascii="宋体" w:hAnsi="宋体" w:cs="宋体"/>
          <w:sz w:val="24"/>
          <w:szCs w:val="24"/>
        </w:rPr>
        <w:t xml:space="preserve">供应商应在合同期满前提前一周完成合同范围内设施设备的自查、维修、整改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中扣除。必要时采购人保留追究相关法律责任的权力。</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2.2.4</w:t>
      </w:r>
      <w:r>
        <w:rPr>
          <w:rFonts w:ascii="宋体" w:hAnsi="宋体" w:cs="宋体"/>
          <w:b/>
          <w:bCs/>
          <w:sz w:val="24"/>
          <w:szCs w:val="24"/>
        </w:rPr>
        <w:t xml:space="preserve">项目验收要求：</w:t>
      </w:r>
      <w:r>
        <w:rPr>
          <w:rFonts w:ascii="宋体" w:hAnsi="宋体"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w:t>
      </w:r>
      <w:r>
        <w:rPr>
          <w:rFonts w:ascii="宋体" w:hAnsi="宋体" w:cs="宋体"/>
          <w:sz w:val="24"/>
          <w:szCs w:val="24"/>
        </w:rPr>
        <w:t xml:space="preserve">后,</w:t>
      </w:r>
      <w:r>
        <w:rPr>
          <w:rFonts w:ascii="宋体" w:hAnsi="宋体" w:cs="宋体"/>
          <w:sz w:val="24"/>
          <w:szCs w:val="24"/>
        </w:rPr>
        <w:t xml:space="preserve">验收小组出具验收</w:t>
      </w:r>
      <w:r>
        <w:rPr>
          <w:rFonts w:ascii="宋体" w:hAnsi="宋体" w:cs="宋体"/>
          <w:sz w:val="24"/>
          <w:szCs w:val="24"/>
        </w:rPr>
        <w:t xml:space="preserve">书,</w:t>
      </w:r>
      <w:r>
        <w:rPr>
          <w:rFonts w:ascii="宋体" w:hAnsi="宋体" w:cs="宋体"/>
          <w:sz w:val="24"/>
          <w:szCs w:val="24"/>
        </w:rPr>
        <w:t xml:space="preserve">列明各项标准的验收情况及项目总体</w:t>
      </w:r>
      <w:r>
        <w:rPr>
          <w:rFonts w:ascii="宋体" w:hAnsi="宋体" w:cs="宋体"/>
          <w:sz w:val="24"/>
          <w:szCs w:val="24"/>
        </w:rPr>
        <w:t xml:space="preserve">评价,</w:t>
      </w:r>
      <w:r>
        <w:rPr>
          <w:rFonts w:ascii="宋体" w:hAnsi="宋体" w:cs="宋体"/>
          <w:sz w:val="24"/>
          <w:szCs w:val="24"/>
        </w:rPr>
        <w:t xml:space="preserve">由验收双方共同签署。验收结果与采购合同约定的资金支付挂钩。履约验收</w:t>
      </w:r>
      <w:r>
        <w:rPr>
          <w:rFonts w:ascii="宋体" w:hAnsi="宋体" w:cs="宋体"/>
          <w:sz w:val="24"/>
          <w:szCs w:val="24"/>
        </w:rPr>
        <w:t xml:space="preserve">的各项资料存档备查。验收合格的</w:t>
      </w:r>
      <w:r>
        <w:rPr>
          <w:rFonts w:ascii="宋体" w:hAnsi="宋体" w:cs="宋体"/>
          <w:sz w:val="24"/>
          <w:szCs w:val="24"/>
        </w:rPr>
        <w:t xml:space="preserve">项目,</w:t>
      </w:r>
      <w:r>
        <w:rPr>
          <w:rFonts w:ascii="宋体" w:hAnsi="宋体" w:cs="宋体"/>
          <w:sz w:val="24"/>
          <w:szCs w:val="24"/>
        </w:rPr>
        <w:t xml:space="preserve">采购人根据采购合同的约定及时向供应商支付合同款项。验收不合格的项目，供应商需在采购人规定的时间内整改至合格。</w:t>
      </w:r>
      <w:r/>
    </w:p>
    <w:p>
      <w:pPr>
        <w:ind w:firstLine="482"/>
        <w:spacing w:line="440" w:lineRule="exact"/>
        <w:rPr>
          <w:rFonts w:hint="eastAsia" w:ascii="宋体" w:hAnsi="宋体" w:cs="宋体"/>
          <w:sz w:val="24"/>
          <w:szCs w:val="24"/>
        </w:rPr>
      </w:pPr>
      <w:r>
        <w:rPr>
          <w:rFonts w:hint="eastAsia" w:ascii="宋体" w:hAnsi="宋体" w:cs="宋体"/>
          <w:b/>
          <w:bCs/>
          <w:sz w:val="24"/>
          <w:szCs w:val="24"/>
        </w:rPr>
        <w:t xml:space="preserve">2.2.5</w:t>
      </w:r>
      <w:r>
        <w:rPr>
          <w:rFonts w:ascii="宋体" w:hAnsi="宋体" w:cs="宋体"/>
          <w:b/>
          <w:bCs/>
          <w:sz w:val="24"/>
          <w:szCs w:val="24"/>
        </w:rPr>
        <w:t xml:space="preserve">保密要求：</w:t>
      </w:r>
      <w:r>
        <w:rPr>
          <w:rFonts w:ascii="宋体" w:hAnsi="宋体" w:cs="宋体"/>
          <w:sz w:val="24"/>
          <w:szCs w:val="24"/>
        </w:rPr>
        <w:t xml:space="preserve">本项目有明确的保密要求，供应商要承诺制定保密工作的方案和措施，所有人员遵守采购人保密规定。</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t xml:space="preserve">物业服务人员配备需求</w:t>
      </w:r>
      <w:r/>
    </w:p>
    <w:p>
      <w:pPr>
        <w:ind w:firstLine="482"/>
        <w:keepLines/>
        <w:keepNext/>
        <w:spacing w:line="360" w:lineRule="exact"/>
        <w:rPr>
          <w:rFonts w:hint="eastAsia" w:ascii="宋体" w:hAnsi="宋体" w:cs="宋体"/>
          <w:b/>
          <w:bCs/>
          <w:sz w:val="24"/>
          <w:szCs w:val="24"/>
        </w:rPr>
        <w:outlineLvl w:val="1"/>
      </w:pPr>
      <w:r>
        <w:rPr>
          <w:rFonts w:hint="eastAsia" w:ascii="宋体" w:hAnsi="宋体" w:cs="宋体"/>
          <w:b/>
          <w:bCs/>
          <w:sz w:val="24"/>
          <w:szCs w:val="24"/>
        </w:rPr>
        <w:t xml:space="preserve">3.1</w:t>
      </w:r>
      <w:r>
        <w:rPr>
          <w:rFonts w:ascii="宋体" w:hAnsi="宋体" w:cs="宋体"/>
          <w:b/>
          <w:bCs/>
          <w:sz w:val="24"/>
          <w:szCs w:val="24"/>
        </w:rPr>
        <w:t xml:space="preserve">人员需求</w:t>
      </w:r>
      <w:r/>
    </w:p>
    <w:tbl>
      <w:tblPr>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2"/>
        <w:gridCol w:w="988"/>
        <w:gridCol w:w="8334"/>
      </w:tblGrid>
      <w:tr>
        <w:trPr>
          <w:jc w:val="center"/>
          <w:trHeight w:val="625"/>
          <w:tblHeader/>
        </w:trPr>
        <w:tc>
          <w:tcPr>
            <w:tcW w:w="1152"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岗位</w:t>
            </w:r>
            <w:r/>
          </w:p>
        </w:tc>
        <w:tc>
          <w:tcPr>
            <w:tcW w:w="987"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岗位所需人数</w:t>
            </w:r>
            <w:r/>
          </w:p>
        </w:tc>
        <w:tc>
          <w:tcPr>
            <w:tcW w:w="8328"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备注（岗位所需服务时长或时段、需具备的上岗资格证、人员学历、工作经验等要求）</w:t>
            </w:r>
            <w:r/>
          </w:p>
        </w:tc>
      </w:tr>
      <w:tr>
        <w:trPr>
          <w:jc w:val="center"/>
          <w:trHeight w:val="2016"/>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驾驶员</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pStyle w:val="845"/>
              <w:rPr>
                <w:rFonts w:hint="eastAsia" w:ascii="宋体" w:hAnsi="宋体" w:cs="宋体"/>
                <w:iCs/>
                <w:szCs w:val="21"/>
              </w:rPr>
            </w:pPr>
            <w:r>
              <w:rPr>
                <w:rFonts w:ascii="宋体" w:hAnsi="宋体" w:cs="宋体"/>
                <w:iCs/>
                <w:szCs w:val="21"/>
              </w:rPr>
              <w:t xml:space="preserve">男性，初中及以上学历，</w:t>
            </w:r>
            <w:r>
              <w:rPr>
                <w:rFonts w:ascii="宋体" w:hAnsi="宋体"/>
                <w:iCs/>
                <w:szCs w:val="21"/>
              </w:rPr>
              <w:t xml:space="preserve">国家法定退休年龄以下（须提供至少一个月社保缴纳证明）</w:t>
            </w:r>
            <w:r/>
          </w:p>
          <w:p>
            <w:pPr>
              <w:spacing w:line="300" w:lineRule="exact"/>
              <w:widowControl/>
              <w:rPr>
                <w:rFonts w:hint="eastAsia" w:ascii="宋体" w:hAnsi="宋体" w:cs="宋体"/>
                <w:bCs/>
                <w:szCs w:val="21"/>
              </w:rPr>
            </w:pPr>
            <w:r>
              <w:rPr>
                <w:rFonts w:ascii="宋体" w:hAnsi="宋体" w:cs="宋体"/>
                <w:iCs/>
                <w:szCs w:val="21"/>
              </w:rPr>
              <w:t xml:space="preserve">，其中班车驾驶员1人（驾驶19座及以上的车辆），</w:t>
            </w:r>
            <w:r>
              <w:rPr>
                <w:rFonts w:ascii="宋体" w:hAnsi="宋体" w:cs="宋体"/>
                <w:b/>
                <w:bCs/>
                <w:i/>
                <w:szCs w:val="21"/>
                <w:u w:val="single"/>
              </w:rPr>
              <w:t xml:space="preserve">要求持A1及以上级别驾驶证3年以上</w:t>
            </w:r>
            <w:r>
              <w:rPr>
                <w:rFonts w:ascii="宋体" w:hAnsi="宋体" w:cs="宋体"/>
                <w:iCs/>
                <w:szCs w:val="21"/>
              </w:rPr>
              <w:t xml:space="preserve">；其他驾驶员1人，</w:t>
            </w:r>
            <w:r>
              <w:rPr>
                <w:rFonts w:hint="eastAsia" w:ascii="宋体" w:hAnsi="宋体" w:cs="宋体"/>
                <w:b/>
                <w:bCs/>
                <w:i/>
                <w:szCs w:val="21"/>
                <w:u w:val="single"/>
              </w:rPr>
              <w:t xml:space="preserve">持B1及以上级别驾驶证3年以上</w:t>
            </w:r>
            <w:r>
              <w:rPr>
                <w:rFonts w:ascii="宋体" w:hAnsi="宋体" w:cs="宋体"/>
                <w:iCs/>
                <w:szCs w:val="21"/>
              </w:rPr>
              <w:t xml:space="preserve">。所配驾驶员应具有良好的政治、业务素质和较强的责任心，近2年均无满分学习记录，</w:t>
            </w:r>
            <w:r>
              <w:rPr>
                <w:rFonts w:ascii="宋体" w:hAnsi="宋体" w:cs="宋体"/>
                <w:b/>
                <w:bCs/>
                <w:i/>
                <w:szCs w:val="21"/>
                <w:u w:val="single"/>
              </w:rPr>
              <w:t xml:space="preserve">3年内无负主要责任的重大交通事故记录，且无色弱、色盲等视力问题以及可能危及行车安全的疾病病史</w:t>
            </w:r>
            <w:r>
              <w:rPr>
                <w:rFonts w:ascii="宋体" w:hAnsi="宋体" w:cs="宋体"/>
                <w:iCs/>
                <w:szCs w:val="21"/>
              </w:rPr>
              <w:t xml:space="preserve">。每周工作时间不超过40小时。</w:t>
            </w:r>
            <w:r/>
          </w:p>
        </w:tc>
      </w:tr>
      <w:tr>
        <w:trPr>
          <w:jc w:val="center"/>
          <w:trHeight w:val="441"/>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厨师</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1</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初中及以上学历，</w:t>
            </w:r>
            <w:r>
              <w:rPr>
                <w:rFonts w:ascii="宋体" w:hAnsi="宋体"/>
                <w:iCs/>
                <w:szCs w:val="21"/>
                <w:lang w:bidi="ar"/>
              </w:rPr>
              <w:t xml:space="preserve">国家法定退休年龄以下（须提供至少一个月社保缴纳证明）</w:t>
            </w:r>
            <w:r>
              <w:rPr>
                <w:rFonts w:hint="eastAsia" w:ascii="宋体" w:hAnsi="宋体"/>
                <w:iCs/>
                <w:szCs w:val="21"/>
                <w:lang w:bidi="ar"/>
              </w:rPr>
              <w:t xml:space="preserve">，</w:t>
            </w:r>
            <w:r>
              <w:rPr>
                <w:rFonts w:ascii="宋体" w:hAnsi="宋体" w:cs="宋体"/>
                <w:iCs/>
                <w:szCs w:val="21"/>
              </w:rPr>
              <w:t xml:space="preserve">具有与本项目类似的2年（含）及以上厨师工作经验，持有中式烹调师初级证书（职业技能等级五级）及</w:t>
            </w:r>
            <w:r>
              <w:rPr>
                <w:rFonts w:ascii="宋体" w:hAnsi="宋体" w:cs="宋体"/>
                <w:b/>
                <w:bCs/>
                <w:i/>
                <w:szCs w:val="21"/>
                <w:u w:val="single"/>
              </w:rPr>
              <w:t xml:space="preserve">卫生部门发放的有效健康证</w:t>
            </w:r>
            <w:r>
              <w:rPr>
                <w:rFonts w:ascii="宋体" w:hAnsi="宋体" w:cs="宋体"/>
                <w:iCs/>
                <w:szCs w:val="21"/>
              </w:rPr>
              <w:t xml:space="preserve">。每周工作时间不超过40小时。</w:t>
            </w:r>
            <w:r/>
          </w:p>
        </w:tc>
      </w:tr>
      <w:tr>
        <w:trPr>
          <w:jc w:val="center"/>
          <w:trHeight w:val="1275"/>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厨工</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具有与本项目类似的2年（含）以上单位食堂工作经验，</w:t>
            </w:r>
            <w:r>
              <w:rPr>
                <w:rFonts w:ascii="宋体" w:hAnsi="宋体" w:cs="宋体"/>
                <w:bCs/>
                <w:szCs w:val="21"/>
              </w:rPr>
              <w:t xml:space="preserve">初中以上文化，</w:t>
            </w:r>
            <w:r>
              <w:rPr>
                <w:rFonts w:ascii="宋体" w:hAnsi="宋体" w:cs="宋体"/>
                <w:b/>
                <w:bCs/>
                <w:i/>
                <w:szCs w:val="21"/>
                <w:u w:val="single"/>
              </w:rPr>
              <w:t xml:space="preserve">持有卫生部门发放的有效健康证</w:t>
            </w:r>
            <w:r>
              <w:rPr>
                <w:rFonts w:ascii="宋体" w:hAnsi="宋体" w:cs="宋体"/>
                <w:iCs/>
                <w:szCs w:val="21"/>
              </w:rPr>
              <w:t xml:space="preserve">，有一定的掌厨经验，能够协助厨师做好餐食供应，并做好原材料的粗加工。持有中式烹调师初级及以上技能等级证书优先考虑。每周工作时间不超过40小时。</w:t>
            </w:r>
            <w:r/>
          </w:p>
        </w:tc>
      </w:tr>
      <w:tr>
        <w:trPr>
          <w:jc w:val="center"/>
          <w:trHeight w:val="1209"/>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水电工兼安保</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4</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男性，初中及以上学历，</w:t>
            </w:r>
            <w:r>
              <w:rPr>
                <w:rFonts w:ascii="宋体" w:hAnsi="宋体"/>
                <w:iCs/>
                <w:szCs w:val="21"/>
                <w:lang w:bidi="ar"/>
              </w:rPr>
              <w:t xml:space="preserve">国家法定退休年龄以下（须提供至少一个月社保缴纳证明）</w:t>
            </w:r>
            <w:r>
              <w:rPr>
                <w:rFonts w:hint="eastAsia" w:ascii="宋体" w:hAnsi="宋体"/>
                <w:iCs/>
                <w:szCs w:val="21"/>
                <w:lang w:bidi="ar"/>
              </w:rPr>
              <w:t xml:space="preserve">，</w:t>
            </w:r>
            <w:r>
              <w:rPr>
                <w:rFonts w:ascii="宋体" w:hAnsi="宋体" w:cs="宋体"/>
                <w:iCs/>
                <w:szCs w:val="21"/>
              </w:rPr>
              <w:t xml:space="preserve">具有3年及以上物业工程维修和水电维修相关工作经验，</w:t>
            </w:r>
            <w:r>
              <w:rPr>
                <w:rFonts w:hint="eastAsia" w:ascii="宋体" w:hAnsi="宋体" w:cs="宋体"/>
                <w:iCs/>
                <w:szCs w:val="21"/>
              </w:rPr>
              <w:t xml:space="preserve">持有低压电工作业的特种作业操作证或</w:t>
            </w:r>
            <w:r>
              <w:rPr>
                <w:rFonts w:ascii="宋体" w:hAnsi="宋体" w:cs="宋体"/>
                <w:iCs/>
                <w:szCs w:val="21"/>
              </w:rPr>
              <w:t xml:space="preserve">高压电工作业的特种作业操作证，具备基本的安全防范知识和应急处理能力，能独立解决办公楼宇的水电、工程维修问题。</w:t>
            </w:r>
            <w:r/>
          </w:p>
        </w:tc>
      </w:tr>
      <w:tr>
        <w:trPr>
          <w:jc w:val="center"/>
          <w:trHeight w:val="767"/>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保洁（会务）</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女性，初中及以上学历，具有办公楼宇保洁2年以上工作经验，能独立开展工作。经专业培训，有会议服务工作经验的优先考虑。每周工作时间不超过40小时。</w:t>
            </w:r>
            <w:r/>
          </w:p>
        </w:tc>
      </w:tr>
      <w:tr>
        <w:trPr>
          <w:jc w:val="center"/>
          <w:trHeight w:val="450"/>
        </w:trPr>
        <w:tc>
          <w:tcPr>
            <w:tcW w:w="1152"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合计</w:t>
            </w:r>
            <w:r/>
          </w:p>
        </w:tc>
        <w:tc>
          <w:tcPr>
            <w:tcW w:w="987" w:type="dxa"/>
            <w:vAlign w:val="center"/>
            <w:textDirection w:val="lrTb"/>
            <w:noWrap w:val="false"/>
          </w:tcPr>
          <w:p>
            <w:pPr>
              <w:jc w:val="center"/>
              <w:spacing w:line="300" w:lineRule="exact"/>
              <w:rPr>
                <w:rFonts w:hint="eastAsia" w:ascii="宋体" w:hAnsi="宋体" w:cs="宋体"/>
                <w:bCs/>
                <w:szCs w:val="21"/>
              </w:rPr>
            </w:pPr>
            <w:r>
              <w:rPr>
                <w:rFonts w:ascii="宋体" w:hAnsi="宋体" w:cs="宋体"/>
                <w:bCs/>
                <w:szCs w:val="21"/>
              </w:rPr>
              <w:t xml:space="preserve">11</w:t>
            </w:r>
            <w:r/>
          </w:p>
        </w:tc>
        <w:tc>
          <w:tcPr>
            <w:tcW w:w="8328"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bl>
    <w:p>
      <w:pPr>
        <w:ind w:firstLine="420"/>
        <w:jc w:val="left"/>
        <w:spacing w:line="300" w:lineRule="exact"/>
        <w:widowControl/>
        <w:rPr>
          <w:rFonts w:hint="eastAsia" w:ascii="楷体" w:hAnsi="楷体" w:eastAsia="楷体" w:cs="楷体"/>
          <w:szCs w:val="21"/>
        </w:rPr>
      </w:pPr>
      <w:r>
        <w:rPr>
          <w:rFonts w:ascii="楷体" w:hAnsi="楷体" w:eastAsia="楷体" w:cs="楷体"/>
          <w:szCs w:val="21"/>
        </w:rPr>
        <w:t xml:space="preserve">注：</w:t>
      </w:r>
      <w:bookmarkStart w:id="167" w:name="OLE_LINK3"/>
      <w:r>
        <w:rPr>
          <w:rFonts w:ascii="楷体" w:hAnsi="楷体" w:eastAsia="楷体" w:cs="楷体"/>
          <w:szCs w:val="21"/>
        </w:rPr>
        <w:t xml:space="preserve">1.配备的人员</w:t>
      </w:r>
      <w:bookmarkEnd w:id="167"/>
      <w:r>
        <w:rPr>
          <w:rFonts w:ascii="楷体" w:hAnsi="楷体" w:eastAsia="楷体" w:cs="楷体"/>
          <w:szCs w:val="21"/>
        </w:rPr>
        <w:t xml:space="preserve">，要求无犯罪记录，身体健康，具有相应专业技术能力和经验。</w:t>
      </w:r>
      <w:r>
        <w:rPr>
          <w:rFonts w:ascii="楷体" w:hAnsi="楷体" w:eastAsia="楷体" w:cs="楷体"/>
          <w:b/>
          <w:bCs/>
          <w:i/>
          <w:iCs/>
          <w:szCs w:val="21"/>
          <w:u w:val="single"/>
        </w:rPr>
        <w:t xml:space="preserve">（提供承诺书，同时提供人员岗位配置表，加盖单位公章，中标结果发布后签订合同前中标供应商应向采购人提供符合招标文件要求的人员信息和无犯罪记录证明，无法提供或所提供的证明材料不符的将被视为虚假应标，取消中标资格）</w:t>
      </w:r>
      <w:r>
        <w:rPr>
          <w:rFonts w:ascii="楷体" w:hAnsi="楷体" w:eastAsia="楷体" w:cs="楷体"/>
          <w:b/>
          <w:bCs/>
          <w:szCs w:val="21"/>
        </w:rPr>
        <w:t xml:space="preserve">。</w:t>
      </w:r>
      <w:r/>
    </w:p>
    <w:p>
      <w:pPr>
        <w:ind w:firstLine="420"/>
        <w:spacing w:line="300" w:lineRule="exact"/>
        <w:widowControl/>
        <w:rPr>
          <w:rFonts w:hint="eastAsia" w:ascii="楷体" w:hAnsi="楷体" w:eastAsia="楷体" w:cs="楷体"/>
          <w:szCs w:val="21"/>
        </w:rPr>
      </w:pPr>
      <w:r>
        <w:rPr>
          <w:rFonts w:ascii="楷体" w:hAnsi="楷体" w:eastAsia="楷体" w:cs="楷体"/>
          <w:szCs w:val="21"/>
        </w:rPr>
        <w:t xml:space="preserve">2.</w:t>
      </w:r>
      <w:r>
        <w:rPr>
          <w:rFonts w:hint="eastAsia" w:ascii="楷体" w:hAnsi="楷体" w:eastAsia="楷体" w:cs="楷体"/>
          <w:b/>
          <w:bCs/>
          <w:szCs w:val="21"/>
        </w:rPr>
        <w:t xml:space="preserve">投标人提供的物业服务人员总计不得少于11人，各岗位人员数量不得少于要求，其中，1名水电工兼安保进场时间为2027年1月1日，1名厨工进场时间为2027年6月1日，其余9人，进场时间均为2026年11月1日。</w:t>
      </w:r>
      <w:r>
        <w:rPr>
          <w:rFonts w:ascii="楷体" w:hAnsi="楷体" w:eastAsia="楷体" w:cs="楷体"/>
          <w:szCs w:val="21"/>
        </w:rPr>
        <w:t xml:space="preserve">采购人因服务区域调整、服务内容优化等客观合理事由，需对相关岗位人员数量进行增减的，在不实质性降低采购文件约定的服务质量标准的前提下，与供应商友好协商后，可适当增减相关岗位人员数量。</w:t>
      </w:r>
      <w:r/>
    </w:p>
    <w:p>
      <w:pPr>
        <w:ind w:firstLine="422"/>
        <w:jc w:val="left"/>
        <w:spacing w:line="300" w:lineRule="exact"/>
        <w:widowControl/>
        <w:rPr>
          <w:rFonts w:hint="eastAsia" w:ascii="楷体" w:hAnsi="楷体" w:eastAsia="楷体" w:cs="楷体"/>
          <w:b/>
          <w:bCs/>
          <w:i/>
          <w:iCs/>
          <w:szCs w:val="21"/>
          <w:u w:val="single"/>
        </w:rPr>
      </w:pPr>
      <w:r>
        <w:rPr>
          <w:rFonts w:ascii="楷体" w:hAnsi="楷体" w:eastAsia="楷体" w:cs="楷体"/>
          <w:b/>
          <w:bCs/>
          <w:i/>
          <w:iCs/>
          <w:szCs w:val="21"/>
          <w:u w:val="single"/>
        </w:rPr>
        <w:t xml:space="preserve">3.采购人有权根据项目实际需要及客观情况，安排、调整派驻物业服务人员的工作地点，物业服务人员应无条件服从，物业服务人员不服从安排或调整的，供应商应对相关人员进行更换。</w:t>
      </w:r>
      <w:r/>
    </w:p>
    <w:p>
      <w:pPr>
        <w:ind w:firstLine="420"/>
        <w:jc w:val="left"/>
        <w:spacing w:line="300" w:lineRule="exact"/>
        <w:widowControl/>
        <w:rPr>
          <w:rFonts w:hint="eastAsia" w:ascii="楷体" w:hAnsi="楷体" w:eastAsia="楷体" w:cs="楷体"/>
          <w:bCs/>
          <w:szCs w:val="21"/>
        </w:rPr>
      </w:pPr>
      <w:r>
        <w:rPr>
          <w:rFonts w:hint="eastAsia" w:ascii="楷体" w:hAnsi="楷体" w:eastAsia="楷体" w:cs="楷体"/>
          <w:bCs/>
          <w:szCs w:val="21"/>
        </w:rPr>
        <w:t xml:space="preserve">4.供应商应按劳动法规定规范用工，与劳动者签订劳动合同，按规定时间、标准支付劳动报酬和缴纳社会保障金等，维护和保障员工的合法权益，承担未正确执行劳动用工规定所产生的法律责任。</w:t>
      </w:r>
      <w:r/>
    </w:p>
    <w:p>
      <w:pPr>
        <w:ind w:firstLine="422"/>
        <w:jc w:val="left"/>
        <w:spacing w:line="300" w:lineRule="exact"/>
        <w:widowControl/>
        <w:rPr>
          <w:rFonts w:hint="eastAsia" w:ascii="楷体" w:hAnsi="楷体" w:eastAsia="楷体" w:cs="楷体"/>
          <w:b/>
          <w:bCs/>
          <w:i/>
          <w:iCs/>
          <w:szCs w:val="21"/>
          <w:u w:val="single"/>
        </w:rPr>
      </w:pPr>
      <w:r>
        <w:rPr>
          <w:rFonts w:hint="eastAsia" w:ascii="楷体" w:hAnsi="楷体" w:eastAsia="楷体" w:cs="楷体"/>
          <w:b/>
          <w:bCs/>
          <w:i/>
          <w:iCs/>
          <w:szCs w:val="21"/>
          <w:u w:val="single"/>
        </w:rPr>
      </w:r>
      <w:r/>
    </w:p>
    <w:p>
      <w:pPr>
        <w:ind w:firstLine="482"/>
        <w:keepLines/>
        <w:keepNext/>
        <w:spacing w:line="360" w:lineRule="exact"/>
        <w:rPr>
          <w:rFonts w:ascii="宋体" w:hAnsi="宋体" w:eastAsia="Arial" w:cs="宋体"/>
          <w:b/>
          <w:bCs/>
          <w:sz w:val="24"/>
          <w:szCs w:val="24"/>
        </w:rPr>
        <w:outlineLvl w:val="1"/>
      </w:pPr>
      <w:r>
        <w:rPr>
          <w:rFonts w:hint="eastAsia" w:ascii="宋体" w:hAnsi="宋体" w:cs="宋体"/>
          <w:b/>
          <w:bCs/>
          <w:sz w:val="24"/>
          <w:szCs w:val="24"/>
        </w:rPr>
        <w:t xml:space="preserve">3.2人员分布站点清单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50"/>
        <w:gridCol w:w="3599"/>
        <w:gridCol w:w="1449"/>
        <w:gridCol w:w="1281"/>
      </w:tblGrid>
      <w:tr>
        <w:trPr>
          <w:jc w:val="center"/>
          <w:trHeight w:val="381"/>
        </w:trPr>
        <w:tc>
          <w:tcPr>
            <w:tcW w:w="2350"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岗位</w:t>
            </w:r>
            <w:r/>
          </w:p>
        </w:tc>
        <w:tc>
          <w:tcPr>
            <w:tcW w:w="3599"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单位（部门）名称</w:t>
            </w:r>
            <w:r/>
          </w:p>
        </w:tc>
        <w:tc>
          <w:tcPr>
            <w:tcW w:w="1449"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计量单位</w:t>
            </w:r>
            <w:r/>
          </w:p>
        </w:tc>
        <w:tc>
          <w:tcPr>
            <w:tcW w:w="1281"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数量</w:t>
            </w:r>
            <w:r/>
          </w:p>
        </w:tc>
      </w:tr>
      <w:tr>
        <w:trPr>
          <w:jc w:val="center"/>
          <w:trHeight w:val="242"/>
        </w:trPr>
        <w:tc>
          <w:tcPr>
            <w:tcW w:w="2350"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厨师（1人）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Height w:val="90"/>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厨工（2人）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保洁（2人）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Height w:val="246"/>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驾驶员（2人）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2</w:t>
            </w:r>
            <w:r/>
          </w:p>
        </w:tc>
      </w:tr>
      <w:tr>
        <w:trPr>
          <w:jc w:val="center"/>
          <w:trHeight w:val="339"/>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水电工兼安保（4人）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3</w:t>
            </w:r>
            <w:r/>
          </w:p>
        </w:tc>
      </w:tr>
      <w:tr>
        <w:trPr>
          <w:jc w:val="center"/>
          <w:trHeight w:val="339"/>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gridSpan w:val="2"/>
            <w:tcW w:w="59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合计</w:t>
            </w:r>
            <w:r/>
          </w:p>
        </w:tc>
        <w:tc>
          <w:tcPr>
            <w:tcW w:w="1449" w:type="dxa"/>
            <w:vAlign w:val="center"/>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11</w:t>
            </w:r>
            <w:r/>
          </w:p>
        </w:tc>
      </w:tr>
    </w:tbl>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w:t>
      </w:r>
      <w:r>
        <w:rPr>
          <w:rFonts w:ascii="宋体" w:hAnsi="宋体" w:cs="宋体"/>
          <w:b/>
          <w:bCs/>
          <w:sz w:val="24"/>
          <w:szCs w:val="24"/>
        </w:rPr>
        <w:t xml:space="preserve">商务要求</w:t>
      </w:r>
      <w:r/>
    </w:p>
    <w:p>
      <w:pPr>
        <w:ind w:firstLine="482"/>
        <w:spacing w:line="400" w:lineRule="exact"/>
        <w:rPr>
          <w:szCs w:val="21"/>
        </w:rPr>
      </w:pPr>
      <w:r>
        <w:rPr>
          <w:rFonts w:hint="eastAsia" w:ascii="宋体" w:hAnsi="宋体" w:cs="宋体"/>
          <w:b/>
          <w:bCs/>
          <w:sz w:val="24"/>
          <w:szCs w:val="24"/>
        </w:rPr>
        <w:t xml:space="preserve">4.1</w:t>
      </w:r>
      <w:r>
        <w:rPr>
          <w:rFonts w:ascii="宋体" w:hAnsi="宋体" w:cs="宋体"/>
          <w:b/>
          <w:bCs/>
          <w:sz w:val="24"/>
          <w:szCs w:val="24"/>
        </w:rPr>
        <w:t xml:space="preserve">实施期限</w:t>
      </w:r>
      <w:r/>
    </w:p>
    <w:p>
      <w:pPr>
        <w:ind w:firstLine="480"/>
        <w:jc w:val="left"/>
        <w:spacing w:line="400" w:lineRule="exact"/>
        <w:rPr>
          <w:rFonts w:hint="eastAsia" w:ascii="宋体" w:hAnsi="宋体" w:cs="宋体"/>
          <w:sz w:val="24"/>
          <w:szCs w:val="24"/>
        </w:rPr>
        <w:outlineLvl w:val="1"/>
      </w:pPr>
      <w:r>
        <w:rPr>
          <w:rFonts w:ascii="宋体" w:hAnsi="宋体" w:cs="宋体"/>
          <w:sz w:val="24"/>
          <w:szCs w:val="24"/>
        </w:rPr>
        <w:t xml:space="preserve">合同实施期限为2026年11月1日至2027年10月31日。</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w:t>
      </w:r>
      <w:r>
        <w:rPr>
          <w:rFonts w:ascii="宋体" w:hAnsi="宋体" w:cs="宋体"/>
          <w:b/>
          <w:bCs/>
          <w:sz w:val="24"/>
          <w:szCs w:val="24"/>
        </w:rPr>
        <w:t xml:space="preserve">付款条件及付款方式</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4.2.1付款条件</w:t>
      </w:r>
      <w:r/>
    </w:p>
    <w:p>
      <w:pPr>
        <w:pStyle w:val="853"/>
        <w:ind w:firstLine="480"/>
        <w:jc w:val="left"/>
        <w:spacing w:line="400" w:lineRule="exact"/>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z w:val="24"/>
          <w:szCs w:val="24"/>
        </w:rPr>
        <w:t xml:space="preserve">采购人的评价评定作为物业服务费支付的重要依据。采购人每月组织对物业管理服务进行考核，并按约定扣分比例支付物业费用，基本考核规则</w:t>
      </w:r>
      <w:r>
        <w:rPr>
          <w:rFonts w:hint="eastAsia" w:asciiTheme="minorEastAsia" w:hAnsiTheme="minorEastAsia" w:eastAsiaTheme="minorEastAsia" w:cstheme="minorEastAsia"/>
          <w:sz w:val="24"/>
          <w:szCs w:val="24"/>
        </w:rPr>
        <w:t xml:space="preserve">如下:</w:t>
      </w:r>
      <w:r>
        <w:rPr>
          <w:rFonts w:hint="eastAsia" w:asciiTheme="minorEastAsia" w:hAnsiTheme="minorEastAsia" w:eastAsiaTheme="minorEastAsia" w:cstheme="minorEastAsia"/>
          <w:sz w:val="24"/>
          <w:szCs w:val="24"/>
        </w:rPr>
        <w:t xml:space="preserve">月度考核分90分（含90）以上，按合同约定全额支付当月物业费；月度考核分80-89分（含80分），当月物业服务费按合同约定金额的80%支付；月度考核分低于80分，当月物业服务费按合同约定金额的50%支付；</w:t>
      </w:r>
      <w:r>
        <w:rPr>
          <w:rFonts w:hint="eastAsia" w:asciiTheme="minorEastAsia" w:hAnsiTheme="minorEastAsia" w:eastAsiaTheme="minorEastAsia" w:cstheme="minorEastAsia"/>
          <w:sz w:val="24"/>
          <w:szCs w:val="24"/>
        </w:rPr>
        <w:t xml:space="preserve">合同期内两次月度考核分低于80分，或因乙方原因发生重大安全责任事故的，甲方有权立即解除合同，不承担其他任何费用。</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4.2.2付款方式</w:t>
      </w:r>
      <w:r/>
    </w:p>
    <w:p>
      <w:pPr>
        <w:pStyle w:val="853"/>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本项目无预付款，按季付款。供应商根据当季每月实际提供的物业服务人员及采购人对供应商物业服务的考核结果，提出支付申请，</w:t>
      </w:r>
      <w:r>
        <w:rPr>
          <w:rFonts w:hint="eastAsia" w:asciiTheme="minorEastAsia" w:hAnsiTheme="minorEastAsia" w:eastAsiaTheme="minorEastAsia" w:cstheme="minorEastAsia"/>
          <w:sz w:val="24"/>
          <w:szCs w:val="24"/>
        </w:rPr>
        <w:t xml:space="preserve">并附当季物业服务人员费用清单，</w:t>
      </w:r>
      <w:r>
        <w:rPr>
          <w:rFonts w:hint="eastAsia" w:asciiTheme="minorEastAsia" w:hAnsiTheme="minorEastAsia" w:eastAsiaTheme="minorEastAsia" w:cstheme="minorEastAsia"/>
          <w:bCs/>
          <w:sz w:val="24"/>
          <w:szCs w:val="24"/>
        </w:rPr>
        <w:t xml:space="preserve">采购人审核确认后，供应商开具增值税普通发票，采购人收到发票和清单之日起15个工作日内付清上季度物业服务费（遇节假日顺延）。</w:t>
      </w:r>
      <w:r/>
    </w:p>
    <w:p>
      <w:pPr>
        <w:pStyle w:val="853"/>
        <w:ind w:firstLine="480"/>
        <w:spacing w:line="400" w:lineRule="exact"/>
        <w:rPr>
          <w:rFonts w:cs="宋体"/>
          <w:sz w:val="24"/>
          <w:szCs w:val="24"/>
          <w:lang w:val="zh-CN" w:bidi="zh-CN"/>
        </w:rPr>
      </w:pPr>
      <w:r>
        <w:rPr>
          <w:rFonts w:hint="eastAsia" w:asciiTheme="minorEastAsia" w:hAnsiTheme="minorEastAsia" w:eastAsiaTheme="minorEastAsia" w:cstheme="minorEastAsia"/>
          <w:sz w:val="24"/>
          <w:szCs w:val="24"/>
          <w:lang w:val="zh-CN" w:bidi="zh-CN"/>
        </w:rPr>
        <w:t xml:space="preserve">最后一季度物业费支付时间</w:t>
      </w:r>
      <w:r>
        <w:rPr>
          <w:rFonts w:hint="eastAsia" w:asciiTheme="minorEastAsia" w:hAnsiTheme="minorEastAsia" w:eastAsiaTheme="minorEastAsia" w:cstheme="minorEastAsia"/>
          <w:sz w:val="24"/>
          <w:szCs w:val="24"/>
          <w:lang w:bidi="zh-CN"/>
        </w:rPr>
        <w:t xml:space="preserve">为</w:t>
      </w:r>
      <w:r>
        <w:rPr>
          <w:rFonts w:hint="eastAsia" w:asciiTheme="minorEastAsia" w:hAnsiTheme="minorEastAsia" w:eastAsiaTheme="minorEastAsia" w:cstheme="minorEastAsia"/>
          <w:sz w:val="24"/>
          <w:szCs w:val="24"/>
          <w:lang w:val="zh-CN" w:bidi="zh-CN"/>
        </w:rPr>
        <w:t xml:space="preserve">：在合同期最后一个月度考核</w:t>
      </w:r>
      <w:r>
        <w:rPr>
          <w:rFonts w:cs="宋体"/>
          <w:sz w:val="24"/>
          <w:szCs w:val="24"/>
          <w:lang w:val="zh-CN" w:bidi="zh-CN"/>
        </w:rPr>
        <w:t xml:space="preserve">结束，乙方根据当季每月实际考核结果</w:t>
      </w:r>
      <w:r>
        <w:rPr>
          <w:rFonts w:hint="eastAsia" w:cs="宋体"/>
          <w:sz w:val="24"/>
          <w:szCs w:val="24"/>
          <w:lang w:bidi="zh-CN"/>
        </w:rPr>
        <w:t xml:space="preserve">及经采购人审核的支付申请</w:t>
      </w:r>
      <w:r>
        <w:rPr>
          <w:rFonts w:cs="宋体"/>
          <w:sz w:val="24"/>
          <w:szCs w:val="24"/>
          <w:lang w:val="zh-CN" w:bidi="zh-CN"/>
        </w:rPr>
        <w:t xml:space="preserve">开具增值税普通发票、经甲方确认已提交完整过程资料并无遗留问题地完成与新服务商的所有工作交接、撤场后1个月内付款。</w:t>
      </w:r>
      <w:r/>
    </w:p>
    <w:p>
      <w:pPr>
        <w:ind w:firstLine="482"/>
        <w:spacing w:line="400" w:lineRule="exact"/>
        <w:rPr>
          <w:rFonts w:hint="eastAsia" w:ascii="宋体" w:hAnsi="宋体" w:cs="宋体"/>
          <w:b/>
          <w:bCs/>
          <w:sz w:val="24"/>
          <w:szCs w:val="24"/>
          <w:lang w:bidi="zh-CN"/>
        </w:rPr>
      </w:pPr>
      <w:r>
        <w:rPr>
          <w:rFonts w:hint="eastAsia" w:ascii="宋体" w:hAnsi="宋体" w:cs="宋体"/>
          <w:b/>
          <w:bCs/>
          <w:sz w:val="24"/>
          <w:szCs w:val="24"/>
          <w:lang w:bidi="zh-CN"/>
        </w:rPr>
        <w:t xml:space="preserve">5.</w:t>
      </w:r>
      <w:r>
        <w:rPr>
          <w:rFonts w:ascii="宋体" w:hAnsi="宋体" w:cs="宋体"/>
          <w:b/>
          <w:bCs/>
          <w:sz w:val="24"/>
          <w:szCs w:val="24"/>
          <w:lang w:val="zh-CN" w:bidi="zh-CN"/>
        </w:rPr>
        <w:t xml:space="preserve">报价</w:t>
      </w:r>
      <w:r>
        <w:rPr>
          <w:rFonts w:ascii="宋体" w:hAnsi="宋体" w:cs="宋体"/>
          <w:b/>
          <w:bCs/>
          <w:sz w:val="24"/>
          <w:szCs w:val="24"/>
          <w:lang w:bidi="zh-CN"/>
        </w:rPr>
        <w:t xml:space="preserve">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5.1</w:t>
      </w:r>
      <w:r>
        <w:rPr>
          <w:rFonts w:ascii="宋体" w:hAnsi="宋体" w:cs="宋体"/>
          <w:b/>
          <w:bCs/>
          <w:sz w:val="24"/>
          <w:szCs w:val="24"/>
        </w:rPr>
        <w:t xml:space="preserve">投标人报价构成如下（包括但不限于）：</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①</w:t>
      </w:r>
      <w:r>
        <w:rPr>
          <w:rFonts w:ascii="宋体" w:hAnsi="宋体" w:cs="宋体"/>
          <w:sz w:val="24"/>
          <w:szCs w:val="24"/>
        </w:rPr>
        <w:t xml:space="preserve">员工人工成本：人工成本包括但不限于员工工资、双休日及法定节假日固定排班产生的加班费、因采购人临时性需求产生的延时服务费、离职补偿金、工伤治疗补偿、社会保障、公积金、高温费、服装费、劳保防护、人身意外险、就餐费、人员培训费及</w:t>
      </w:r>
      <w:r>
        <w:rPr>
          <w:rFonts w:ascii="宋体" w:hAnsi="宋体" w:cs="宋体"/>
          <w:sz w:val="24"/>
          <w:szCs w:val="24"/>
        </w:rPr>
        <w:t xml:space="preserve">驾驶员差旅费、值班费等全部人工成本费用。</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②</w:t>
      </w:r>
      <w:r>
        <w:rPr>
          <w:rFonts w:ascii="宋体" w:hAnsi="宋体" w:cs="宋体"/>
          <w:sz w:val="24"/>
          <w:szCs w:val="21"/>
        </w:rPr>
        <w:t xml:space="preserve">管理费。</w:t>
      </w:r>
      <w:r/>
    </w:p>
    <w:p>
      <w:pPr>
        <w:ind w:firstLine="480"/>
        <w:spacing w:line="400" w:lineRule="exac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1"/>
        </w:rPr>
        <w:t xml:space="preserve">③</w:t>
      </w:r>
      <w:r>
        <w:rPr>
          <w:rFonts w:ascii="宋体" w:hAnsi="宋体" w:cs="宋体"/>
          <w:sz w:val="24"/>
          <w:szCs w:val="21"/>
        </w:rPr>
        <w:t xml:space="preserve">税费。</w:t>
      </w:r>
      <w:r/>
    </w:p>
    <w:p>
      <w:pPr>
        <w:ind w:firstLine="480"/>
        <w:spacing w:line="400" w:lineRule="exact"/>
        <w:rPr>
          <w:rFonts w:ascii="宋体" w:cs="宋体"/>
          <w:sz w:val="24"/>
          <w:szCs w:val="24"/>
          <w:lang w:bidi="zh-CN"/>
        </w:rPr>
      </w:pPr>
      <w:r>
        <w:rPr>
          <w:rFonts w:hint="eastAsia" w:ascii="微软雅黑" w:hAnsi="微软雅黑" w:eastAsia="微软雅黑" w:cs="微软雅黑"/>
          <w:sz w:val="24"/>
          <w:szCs w:val="24"/>
          <w:lang w:bidi="zh-CN"/>
        </w:rPr>
        <w:t xml:space="preserve">④</w:t>
      </w:r>
      <w:r>
        <w:rPr>
          <w:rFonts w:ascii="宋体" w:hAnsi="宋体" w:cs="宋体"/>
          <w:sz w:val="24"/>
          <w:szCs w:val="24"/>
          <w:lang w:bidi="zh-CN"/>
        </w:rPr>
        <w:t xml:space="preserve">其他费用。</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5.2</w:t>
      </w:r>
      <w:r>
        <w:rPr>
          <w:rFonts w:ascii="宋体" w:hAnsi="宋体" w:cs="宋体"/>
          <w:b/>
          <w:bCs/>
          <w:sz w:val="24"/>
          <w:szCs w:val="24"/>
        </w:rPr>
        <w:t xml:space="preserve">投标人报价说明</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sz w:val="24"/>
          <w:szCs w:val="24"/>
        </w:rPr>
        <w:t xml:space="preserve">①</w:t>
      </w:r>
      <w:r>
        <w:rPr>
          <w:rFonts w:hint="eastAsia" w:ascii="宋体" w:hAnsi="宋体" w:cs="宋体"/>
          <w:b/>
          <w:bCs/>
          <w:sz w:val="24"/>
          <w:szCs w:val="24"/>
        </w:rPr>
        <w:t xml:space="preserve">合同存续期间，供应商应充分考虑到合同期内政府政策调整（职工最低工资及社保缴费基数、节假日加班费标准调整、员工合同终止补偿金等）带来的风险，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单位公章，格式自拟）。</w:t>
      </w:r>
      <w:r/>
    </w:p>
    <w:p>
      <w:pPr>
        <w:ind w:firstLine="480"/>
        <w:spacing w:line="400" w:lineRule="exact"/>
        <w:rPr>
          <w:rFonts w:hint="eastAsia" w:ascii="宋体" w:hAnsi="宋体" w:cs="宋体"/>
          <w:i/>
          <w:iCs/>
          <w:sz w:val="24"/>
          <w:szCs w:val="24"/>
          <w:u w:val="single"/>
        </w:rPr>
      </w:pPr>
      <w:r>
        <w:rPr>
          <w:rFonts w:hint="eastAsia" w:ascii="微软雅黑" w:hAnsi="微软雅黑" w:eastAsia="微软雅黑" w:cs="微软雅黑"/>
          <w:sz w:val="24"/>
          <w:szCs w:val="24"/>
        </w:rPr>
        <w:t xml:space="preserve">②</w:t>
      </w:r>
      <w:r>
        <w:rPr>
          <w:rFonts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hint="eastAsia" w:ascii="宋体" w:hAnsi="宋体" w:cs="宋体"/>
          <w:sz w:val="30"/>
          <w:szCs w:val="30"/>
        </w:rPr>
      </w:pPr>
      <w:r>
        <w:rPr>
          <w:rFonts w:hint="eastAsia" w:ascii="微软雅黑" w:hAnsi="微软雅黑" w:eastAsia="微软雅黑" w:cs="微软雅黑"/>
          <w:sz w:val="24"/>
          <w:szCs w:val="24"/>
        </w:rPr>
        <w:t xml:space="preserve">③</w:t>
      </w:r>
      <w:r>
        <w:rPr>
          <w:rFonts w:ascii="宋体" w:hAnsi="宋体" w:cs="宋体"/>
          <w:b/>
          <w:bCs/>
          <w:i/>
          <w:iCs/>
          <w:sz w:val="24"/>
          <w:szCs w:val="24"/>
          <w:u w:val="single"/>
        </w:rPr>
        <w:t xml:space="preserve">投标人在其投标文件列出所有配置人员的工资及依法应缴纳社保和公积金人员的社保公积金待遇不得低于当地（以人员岗位归属地为准）目前最低工资标准和社保、公积金缴费标准</w:t>
      </w:r>
      <w:r>
        <w:rPr>
          <w:rFonts w:ascii="宋体" w:hAnsi="宋体" w:cs="宋体"/>
          <w:b/>
          <w:bCs/>
          <w:i/>
          <w:iCs/>
          <w:sz w:val="24"/>
          <w:szCs w:val="24"/>
          <w:u w:val="single"/>
        </w:rPr>
        <w:t xml:space="preserve">(如</w:t>
      </w:r>
      <w:r>
        <w:rPr>
          <w:rFonts w:ascii="宋体" w:hAnsi="宋体" w:cs="宋体"/>
          <w:b/>
          <w:bCs/>
          <w:i/>
          <w:iCs/>
          <w:sz w:val="24"/>
          <w:szCs w:val="24"/>
          <w:u w:val="single"/>
        </w:rPr>
        <w:t xml:space="preserve">行政主管部门出台新政策，以行政主管部门规定为</w:t>
      </w:r>
      <w:r>
        <w:rPr>
          <w:rFonts w:ascii="宋体" w:hAnsi="宋体" w:cs="宋体"/>
          <w:b/>
          <w:bCs/>
          <w:i/>
          <w:iCs/>
          <w:sz w:val="24"/>
          <w:szCs w:val="24"/>
          <w:u w:val="single"/>
        </w:rPr>
        <w:t xml:space="preserve">准)。</w:t>
      </w:r>
      <w:r>
        <w:rPr>
          <w:rFonts w:ascii="宋体" w:hAnsi="宋体" w:cs="宋体"/>
          <w:b/>
          <w:bCs/>
          <w:i/>
          <w:iCs/>
          <w:sz w:val="24"/>
          <w:szCs w:val="24"/>
          <w:u w:val="single"/>
        </w:rPr>
        <w:t xml:space="preserve">（提供承诺书，加盖单位公章，格式自拟）</w:t>
      </w:r>
      <w:r/>
    </w:p>
    <w:p>
      <w:pPr>
        <w:ind w:firstLine="482"/>
        <w:spacing w:line="400" w:lineRule="exact"/>
        <w:rPr>
          <w:rFonts w:hint="eastAsia" w:ascii="宋体" w:hAnsi="宋体" w:cs="宋体"/>
          <w:b/>
          <w:bCs/>
          <w:sz w:val="24"/>
          <w:szCs w:val="24"/>
        </w:rPr>
      </w:pPr>
      <w:r>
        <w:rPr>
          <w:rFonts w:hint="eastAsia" w:ascii="微软雅黑" w:hAnsi="微软雅黑" w:eastAsia="微软雅黑" w:cs="微软雅黑"/>
          <w:sz w:val="24"/>
          <w:szCs w:val="24"/>
        </w:rPr>
        <w:t xml:space="preserve">④</w:t>
      </w:r>
      <w:r>
        <w:rPr>
          <w:rFonts w:ascii="宋体" w:hAnsi="宋体" w:cs="宋体"/>
          <w:b/>
          <w:bCs/>
          <w:i/>
          <w:iCs/>
          <w:sz w:val="24"/>
          <w:szCs w:val="24"/>
          <w:u w:val="single"/>
        </w:rPr>
        <w:t xml:space="preserve">为全员购买赔付金额不少于100万元/人的人身意外险并提供缴纳证明。（提供承诺书，加盖单位公章，格式自拟）。</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b/>
          <w:bCs/>
          <w:i/>
          <w:iCs/>
          <w:sz w:val="24"/>
          <w:szCs w:val="24"/>
          <w:u w:val="single"/>
        </w:rPr>
        <w:t xml:space="preserve">⑤</w:t>
      </w:r>
      <w:r>
        <w:rPr>
          <w:i/>
          <w:iCs/>
          <w:u w:val="single"/>
        </w:rPr>
        <w:t xml:space="preserve">中标供应商在合同履行时</w:t>
      </w:r>
      <w:r>
        <w:rPr>
          <w:rFonts w:hint="eastAsia"/>
          <w:i/>
          <w:iCs/>
          <w:u w:val="single"/>
        </w:rPr>
        <w:t xml:space="preserve">需考虑</w:t>
      </w:r>
      <w:r>
        <w:rPr>
          <w:i/>
          <w:iCs/>
          <w:u w:val="single"/>
        </w:rPr>
        <w:t xml:space="preserve">全员就餐费</w:t>
      </w:r>
      <w:r>
        <w:rPr>
          <w:rFonts w:hint="eastAsia"/>
          <w:i/>
          <w:iCs/>
          <w:u w:val="single"/>
        </w:rPr>
        <w:t xml:space="preserve">，</w:t>
      </w:r>
      <w:r>
        <w:rPr>
          <w:i/>
          <w:iCs/>
          <w:u w:val="single"/>
        </w:rPr>
        <w:t xml:space="preserve">相关费用需包含在投标总价中</w:t>
      </w:r>
      <w:r>
        <w:rPr>
          <w:rFonts w:hint="eastAsia"/>
          <w:i/>
          <w:iCs/>
          <w:u w:val="single"/>
        </w:rPr>
        <w:t xml:space="preserve">。</w:t>
      </w:r>
      <w:r>
        <w:rPr>
          <w:rFonts w:hint="eastAsia"/>
        </w:rPr>
        <w:t xml:space="preserve">(</w:t>
      </w:r>
      <w:r>
        <w:rPr>
          <w:rFonts w:hint="eastAsia"/>
        </w:rPr>
        <w:t xml:space="preserve">往</w:t>
      </w:r>
      <w:r>
        <w:rPr>
          <w:rFonts w:hint="eastAsia"/>
        </w:rPr>
        <w:t xml:space="preserve">期</w:t>
      </w:r>
      <w:r>
        <w:t xml:space="preserve">按月采购人</w:t>
      </w:r>
      <w:r>
        <w:rPr>
          <w:rFonts w:hint="eastAsia"/>
        </w:rPr>
        <w:t xml:space="preserve">代收</w:t>
      </w:r>
      <w:r>
        <w:t xml:space="preserve">全员就餐费</w:t>
      </w:r>
      <w:r>
        <w:rPr>
          <w:rFonts w:hint="eastAsia"/>
        </w:rPr>
        <w:t xml:space="preserve">为</w:t>
      </w:r>
      <w:r>
        <w:t xml:space="preserve">400</w:t>
      </w:r>
      <w:r>
        <w:t xml:space="preserve">元</w:t>
      </w:r>
      <w:r>
        <w:t xml:space="preserve">/</w:t>
      </w:r>
      <w:r>
        <w:t xml:space="preserve">人</w:t>
      </w:r>
      <w:r>
        <w:t xml:space="preserve">/</w:t>
      </w:r>
      <w:r>
        <w:t xml:space="preserve">月</w:t>
      </w:r>
      <w:r>
        <w:rPr>
          <w:rFonts w:hint="eastAsia"/>
        </w:rPr>
        <w:t xml:space="preserve">)</w:t>
      </w:r>
      <w:r>
        <w:rPr>
          <w:rFonts w:hint="eastAsia"/>
        </w:rPr>
        <w:t xml:space="preserve">。</w:t>
      </w:r>
      <w:r/>
    </w:p>
    <w:p>
      <w:pPr>
        <w:ind w:firstLine="480"/>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⑥</w:t>
      </w:r>
      <w:r>
        <w:rPr>
          <w:rFonts w:ascii="宋体" w:hAnsi="宋体" w:cs="宋体"/>
          <w:sz w:val="24"/>
          <w:szCs w:val="24"/>
        </w:rPr>
        <w:t xml:space="preserve">投标人应根据各岗位物业服务人员的要求进场时间和合同履约期限进行报价。</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bCs/>
          <w:i/>
          <w:iCs/>
          <w:sz w:val="24"/>
          <w:szCs w:val="24"/>
          <w:u w:val="single"/>
        </w:rPr>
        <w:t xml:space="preserve">⑦</w:t>
      </w:r>
      <w:r>
        <w:rPr>
          <w:rFonts w:ascii="宋体" w:hAnsi="宋体" w:cs="宋体"/>
          <w:b/>
          <w:bCs/>
          <w:i/>
          <w:iCs/>
          <w:sz w:val="24"/>
          <w:szCs w:val="24"/>
          <w:u w:val="single"/>
        </w:rPr>
        <w:t xml:space="preserve">供应商需充分考虑物业服务人员的双休日及法定节假日固定排班产生的加班费、延时服务费，以及驾驶员差旅费、值班费等费用，费用需包含在投标总价内。</w:t>
      </w:r>
      <w:r>
        <w:rPr>
          <w:rFonts w:ascii="宋体" w:hAnsi="宋体" w:cs="宋体"/>
          <w:sz w:val="24"/>
          <w:szCs w:val="24"/>
        </w:rPr>
        <w:t xml:space="preserve">各岗位物业服务人员预计产生的双休日及法定节假日排班、延时工作，以及驾驶员出差、值班等情况见下表：   </w:t>
      </w:r>
      <w:r/>
    </w:p>
    <w:tbl>
      <w:tblPr>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9"/>
        <w:gridCol w:w="1049"/>
        <w:gridCol w:w="1529"/>
        <w:gridCol w:w="1276"/>
        <w:gridCol w:w="1559"/>
        <w:gridCol w:w="1269"/>
        <w:gridCol w:w="1574"/>
      </w:tblGrid>
      <w:tr>
        <w:trPr>
          <w:jc w:val="center"/>
          <w:trHeight w:val="407"/>
        </w:trPr>
        <w:tc>
          <w:tcPr>
            <w:tcW w:w="649" w:type="dxa"/>
            <w:vAlign w:val="center"/>
            <w:vMerge w:val="restart"/>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序号</w:t>
            </w:r>
            <w:r/>
          </w:p>
        </w:tc>
        <w:tc>
          <w:tcPr>
            <w:tcW w:w="1049" w:type="dxa"/>
            <w:vAlign w:val="center"/>
            <w:vMerge w:val="restart"/>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工种</w:t>
            </w:r>
            <w:r/>
          </w:p>
        </w:tc>
        <w:tc>
          <w:tcPr>
            <w:gridSpan w:val="5"/>
            <w:tcW w:w="7207"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人均情况</w:t>
            </w:r>
            <w:r/>
          </w:p>
        </w:tc>
      </w:tr>
      <w:tr>
        <w:trPr>
          <w:jc w:val="center"/>
          <w:trHeight w:val="508"/>
        </w:trPr>
        <w:tc>
          <w:tcPr>
            <w:tcW w:w="649" w:type="dxa"/>
            <w:vAlign w:val="center"/>
            <w:vMerge w:val="continue"/>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r>
            <w:r/>
          </w:p>
        </w:tc>
        <w:tc>
          <w:tcPr>
            <w:tcW w:w="1049" w:type="dxa"/>
            <w:vAlign w:val="center"/>
            <w:vMerge w:val="continue"/>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r>
            <w:r/>
          </w:p>
        </w:tc>
        <w:tc>
          <w:tcPr>
            <w:tcW w:w="152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延时加班时长</w:t>
            </w:r>
            <w:r/>
          </w:p>
        </w:tc>
        <w:tc>
          <w:tcPr>
            <w:tcW w:w="1276"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双休日加班时长</w:t>
            </w:r>
            <w:r/>
          </w:p>
        </w:tc>
        <w:tc>
          <w:tcPr>
            <w:tcW w:w="155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法定节假日时长</w:t>
            </w:r>
            <w:r/>
          </w:p>
        </w:tc>
        <w:tc>
          <w:tcPr>
            <w:tcW w:w="126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值班</w:t>
            </w:r>
            <w:r/>
          </w:p>
        </w:tc>
        <w:tc>
          <w:tcPr>
            <w:tcW w:w="1574"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出差</w:t>
            </w:r>
            <w:r/>
          </w:p>
        </w:tc>
      </w:tr>
      <w:tr>
        <w:trPr>
          <w:jc w:val="center"/>
          <w:trHeight w:val="455"/>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1</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厨师</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每月40小时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每年4天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每年2天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Height w:val="470"/>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2</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厨工</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每年12天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每年7天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Height w:val="485"/>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3</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保洁</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每年48小时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每年10天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每年7天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4</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驾驶员</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每月8小时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每年2天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每月1天平时值班</w:t>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每月1次（每次不少于2天）</w:t>
            </w:r>
            <w:r/>
          </w:p>
        </w:tc>
      </w:tr>
      <w:tr>
        <w:trPr>
          <w:jc w:val="center"/>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5</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水电工及安保</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每年5天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bl>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6.</w:t>
      </w:r>
      <w:r>
        <w:rPr>
          <w:rFonts w:ascii="宋体" w:hAnsi="宋体" w:cs="宋体"/>
          <w:b/>
          <w:bCs/>
          <w:sz w:val="24"/>
          <w:szCs w:val="24"/>
        </w:rPr>
        <w:t xml:space="preserve">管理制度及工作方案要求</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6.1</w:t>
      </w:r>
      <w:r>
        <w:rPr>
          <w:rFonts w:ascii="宋体" w:hAnsi="宋体" w:cs="宋体"/>
          <w:b/>
          <w:bCs/>
          <w:sz w:val="24"/>
          <w:szCs w:val="24"/>
        </w:rPr>
        <w:t xml:space="preserve">管理制度。</w:t>
      </w:r>
      <w:r>
        <w:rPr>
          <w:rFonts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6.2</w:t>
      </w:r>
      <w:r>
        <w:rPr>
          <w:rFonts w:ascii="宋体" w:hAnsi="宋体" w:cs="宋体"/>
          <w:b/>
          <w:bCs/>
          <w:sz w:val="24"/>
          <w:szCs w:val="24"/>
        </w:rPr>
        <w:t xml:space="preserve">项目服务整体方案。</w:t>
      </w:r>
      <w:r>
        <w:rPr>
          <w:rFonts w:ascii="宋体" w:hAnsi="宋体" w:cs="宋体"/>
          <w:sz w:val="24"/>
          <w:szCs w:val="24"/>
        </w:rPr>
        <w:t xml:space="preserve">针对本项目采购需求，结合采购人办公楼宇实际情况提出项目服务整体方案，内容包括但不限于总体服务设想、目标定位、服务理念、重点难点分析、思路创新、质量保证等。提供的方案应细致完整、针对性强、措施有力、便于实施。</w:t>
      </w:r>
      <w:r/>
    </w:p>
    <w:p>
      <w:pPr>
        <w:ind w:firstLine="482"/>
        <w:spacing w:line="400" w:lineRule="exact"/>
        <w:rPr>
          <w:sz w:val="24"/>
          <w:szCs w:val="24"/>
        </w:rPr>
      </w:pPr>
      <w:r>
        <w:rPr>
          <w:rFonts w:hint="eastAsia" w:ascii="宋体" w:hAnsi="宋体" w:cs="宋体"/>
          <w:b/>
          <w:bCs/>
          <w:sz w:val="24"/>
          <w:szCs w:val="24"/>
        </w:rPr>
        <w:t xml:space="preserve">6.3</w:t>
      </w:r>
      <w:r>
        <w:rPr>
          <w:rFonts w:ascii="宋体" w:hAnsi="宋体" w:cs="宋体"/>
          <w:b/>
          <w:bCs/>
          <w:sz w:val="24"/>
          <w:szCs w:val="24"/>
        </w:rPr>
        <w:t xml:space="preserve">人员培训方案。</w:t>
      </w:r>
      <w:r>
        <w:rPr>
          <w:rFonts w:ascii="宋体" w:hAnsi="宋体" w:cs="宋体"/>
          <w:sz w:val="24"/>
          <w:szCs w:val="24"/>
        </w:rPr>
        <w:t xml:space="preserve">针对本项目需求和特点制订各端口（岗位）详细的人员培训方案，包括但不限于业务培训、安全教育培训等。培训方案要详细，确保员工上岗培训率达100%，保质保量完成采购人交办的工作。</w:t>
      </w:r>
      <w:r>
        <w:rPr>
          <w:sz w:val="24"/>
          <w:szCs w:val="24"/>
        </w:rPr>
        <w:t xml:space="preserve">合同期内应组织</w:t>
      </w:r>
      <w:r>
        <w:rPr>
          <w:sz w:val="24"/>
          <w:szCs w:val="24"/>
        </w:rPr>
        <w:t xml:space="preserve">1</w:t>
      </w:r>
      <w:r>
        <w:rPr>
          <w:sz w:val="24"/>
          <w:szCs w:val="24"/>
        </w:rPr>
        <w:t xml:space="preserve">～</w:t>
      </w:r>
      <w:r>
        <w:rPr>
          <w:sz w:val="24"/>
          <w:szCs w:val="24"/>
        </w:rPr>
        <w:t xml:space="preserve">2</w:t>
      </w:r>
      <w:r>
        <w:rPr>
          <w:sz w:val="24"/>
          <w:szCs w:val="24"/>
        </w:rPr>
        <w:t xml:space="preserve">次的全员安全教育培训；各岗位业务培训可结合实际分岗位实施，合同期内各岗位业务培训不得少于</w:t>
      </w:r>
      <w:r>
        <w:rPr>
          <w:sz w:val="24"/>
          <w:szCs w:val="24"/>
        </w:rPr>
        <w:t xml:space="preserve">1</w:t>
      </w:r>
      <w:r>
        <w:rPr>
          <w:sz w:val="24"/>
          <w:szCs w:val="24"/>
        </w:rPr>
        <w:t xml:space="preserve">次。</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6.4</w:t>
      </w:r>
      <w:r>
        <w:rPr>
          <w:rFonts w:ascii="宋体" w:hAnsi="宋体" w:cs="宋体"/>
          <w:b/>
          <w:bCs/>
          <w:sz w:val="24"/>
          <w:szCs w:val="24"/>
        </w:rPr>
        <w:t xml:space="preserve">突发事件应急处置方案。</w:t>
      </w:r>
      <w:r>
        <w:rPr>
          <w:rFonts w:ascii="宋体" w:hAnsi="宋体" w:cs="宋体"/>
          <w:sz w:val="24"/>
          <w:szCs w:val="24"/>
        </w:rPr>
        <w:t xml:space="preserve">针对本项目服务内容和特点，制订包含但不限于火灾、食品中毒、突发停电、水管爆裂、自然灾害、疫情等方面的突发事件应急处置方案，内容需包含预警、处置、善后等基本流程并且有详细的预案演练计划。方案应切合实际，具有较强的可操作性。</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6.5人员配置方案。</w:t>
      </w:r>
      <w:r>
        <w:rPr>
          <w:rFonts w:ascii="宋体" w:hAnsi="宋体" w:cs="宋体"/>
          <w:sz w:val="24"/>
          <w:szCs w:val="24"/>
        </w:rPr>
        <w:t xml:space="preserve">针对本项目服务内容和特点</w:t>
      </w:r>
      <w:r>
        <w:rPr>
          <w:rFonts w:hint="eastAsia" w:ascii="宋体" w:hAnsi="宋体" w:cs="宋体"/>
          <w:sz w:val="24"/>
          <w:szCs w:val="24"/>
        </w:rPr>
        <w:t xml:space="preserve">，制订人员配置方案，内容包括但不限于符合需求的人员数量、学历、工作经历、职业技能等，要求方案科学合理、人岗适配，运转良好。</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6.6</w:t>
      </w:r>
      <w:r>
        <w:rPr>
          <w:rFonts w:ascii="宋体" w:hAnsi="宋体" w:cs="宋体"/>
          <w:b/>
          <w:bCs/>
          <w:sz w:val="24"/>
          <w:szCs w:val="24"/>
        </w:rPr>
        <w:t xml:space="preserve">进退场工作方案。</w:t>
      </w:r>
      <w:r>
        <w:rPr>
          <w:rFonts w:ascii="宋体" w:hAnsi="宋体" w:cs="宋体"/>
          <w:sz w:val="24"/>
          <w:szCs w:val="24"/>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6.7</w:t>
      </w:r>
      <w:r>
        <w:rPr>
          <w:rFonts w:ascii="宋体" w:hAnsi="宋体" w:cs="宋体"/>
          <w:b/>
          <w:bCs/>
          <w:sz w:val="24"/>
          <w:szCs w:val="24"/>
        </w:rPr>
        <w:t xml:space="preserve">保洁（会务）服务方案。</w:t>
      </w:r>
      <w:r>
        <w:rPr>
          <w:rFonts w:ascii="宋体" w:hAnsi="宋体" w:cs="宋体"/>
          <w:sz w:val="24"/>
          <w:szCs w:val="24"/>
        </w:rPr>
        <w:t xml:space="preserve">根据采购人保洁区域及具体内容，以及会务服务需求，制订详细的保洁（会务）服务方案，内容包括但不限于办公用房区域保洁、公共场地区域保洁、垃圾处理、卫生消毒，以及会前准备、引导服务、会中服务、会后整理等，明确工作流程、保洁频率、验收标准及服务质量保障措施。提供的方案应细致完整、针对性强、措施有力。</w:t>
      </w:r>
      <w:r/>
    </w:p>
    <w:p>
      <w:pPr>
        <w:ind w:firstLine="480"/>
        <w:spacing w:line="400" w:lineRule="exact"/>
        <w:rPr>
          <w:rFonts w:hint="eastAsia" w:ascii="宋体" w:hAnsi="宋体" w:cs="宋体"/>
          <w:sz w:val="24"/>
          <w:szCs w:val="24"/>
        </w:rPr>
      </w:pPr>
      <w:r>
        <w:rPr>
          <w:rFonts w:hint="eastAsia" w:ascii="宋体" w:hAnsi="宋体" w:cs="宋体"/>
          <w:b/>
          <w:bCs/>
          <w:sz w:val="24"/>
          <w:szCs w:val="24"/>
        </w:rPr>
        <w:t xml:space="preserve">6.8</w:t>
      </w:r>
      <w:r>
        <w:rPr>
          <w:rFonts w:ascii="宋体" w:hAnsi="宋体" w:cs="宋体"/>
          <w:b/>
          <w:bCs/>
          <w:sz w:val="24"/>
          <w:szCs w:val="24"/>
        </w:rPr>
        <w:t xml:space="preserve">餐饮服务方案。</w:t>
      </w:r>
      <w:r>
        <w:rPr>
          <w:rFonts w:ascii="宋体" w:hAnsi="宋体" w:cs="宋体"/>
          <w:sz w:val="24"/>
          <w:szCs w:val="24"/>
        </w:rPr>
        <w:t xml:space="preserve">针对本项目需求提出餐饮服务方案，内容包括但不限于餐食供应保障措施和案例、食品卫生安全和消防安全保障措施、环境卫生管理措施、服务质量保障措施、各类厨房设施设备管理及维护措施等。提供的方案应细致完成、针对性强、服务保障措施有力。</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6.9</w:t>
      </w:r>
      <w:r>
        <w:rPr>
          <w:rFonts w:hAnsi="宋体" w:cs="宋体"/>
          <w:b/>
          <w:bCs/>
          <w:sz w:val="24"/>
          <w:szCs w:val="24"/>
        </w:rPr>
        <w:t xml:space="preserve">水电工兼</w:t>
      </w:r>
      <w:r>
        <w:rPr>
          <w:rFonts w:ascii="宋体" w:hAnsi="宋体" w:cs="宋体"/>
          <w:b/>
          <w:bCs/>
          <w:sz w:val="24"/>
          <w:szCs w:val="24"/>
        </w:rPr>
        <w:t xml:space="preserve">安保服务方案。</w:t>
      </w:r>
      <w:r>
        <w:rPr>
          <w:rFonts w:ascii="宋体" w:hAnsi="宋体" w:cs="宋体"/>
          <w:sz w:val="24"/>
          <w:szCs w:val="24"/>
        </w:rPr>
        <w:t xml:space="preserve">针对本项目需求制订水电工兼安保服务方案，内容包括但不限于供配电设施、给排水设施等设施设备的使用与管理；日常巡检工作内容；故障处理与修复流程；遇到突发用电安全问题的紧急处理流程、方案、措施等；安全防范方案及停车疏导、来访客登记等。</w:t>
      </w:r>
      <w:r/>
    </w:p>
    <w:p>
      <w:pPr>
        <w:ind w:firstLine="482"/>
        <w:jc w:val="left"/>
        <w:spacing w:line="400" w:lineRule="exact"/>
        <w:rPr>
          <w:rFonts w:hint="eastAsia" w:hAnsi="宋体" w:cs="宋体"/>
          <w:sz w:val="24"/>
          <w:szCs w:val="24"/>
        </w:rPr>
      </w:pPr>
      <w:r>
        <w:rPr>
          <w:rFonts w:hint="eastAsia" w:hAnsi="宋体" w:cs="宋体"/>
          <w:b/>
          <w:bCs/>
          <w:sz w:val="24"/>
          <w:szCs w:val="24"/>
        </w:rPr>
        <w:t xml:space="preserve">6.10</w:t>
      </w:r>
      <w:r>
        <w:rPr>
          <w:rFonts w:ascii="宋体" w:hAnsi="宋体" w:cs="宋体"/>
          <w:b/>
          <w:bCs/>
          <w:sz w:val="24"/>
          <w:szCs w:val="24"/>
        </w:rPr>
        <w:t xml:space="preserve">驾驶员服务方案。</w:t>
      </w:r>
      <w:r>
        <w:rPr>
          <w:rFonts w:ascii="宋体" w:hAnsi="宋体" w:cs="宋体"/>
          <w:sz w:val="24"/>
          <w:szCs w:val="24"/>
        </w:rPr>
        <w:t xml:space="preserve">针对本项目需求提出驾驶员服务方案，内容包括但不限于车辆的日常维护、清洁保养、确保车辆状况良好的方案；确保驾驶员24小时待命，满足采购人用车需求的措施；驾驶员定期培训，确保服务质量并提供安全、准时、高效的出行服务措施；车辆故障、恶劣天气等突发事件的应急措施。</w:t>
      </w:r>
      <w:r/>
    </w:p>
    <w:p>
      <w:pPr>
        <w:ind w:firstLine="482"/>
        <w:spacing w:line="400" w:lineRule="exact"/>
        <w:rPr>
          <w:rFonts w:hint="eastAsia" w:ascii="宋体" w:hAnsi="宋体" w:cs="宋体"/>
          <w:sz w:val="24"/>
          <w:szCs w:val="24"/>
        </w:rPr>
      </w:pPr>
      <w:r>
        <w:rPr>
          <w:rFonts w:ascii="宋体" w:hAnsi="宋体" w:cs="宋体"/>
          <w:sz w:val="24"/>
          <w:szCs w:val="24"/>
        </w:rPr>
        <w:t xml:space="preserve">中标供应商需向采购人提供上述所列管理制度及方案，并办理备案手续。</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t xml:space="preserve">考核要求</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7.1</w:t>
      </w:r>
      <w:r>
        <w:rPr>
          <w:rFonts w:ascii="宋体" w:hAnsi="宋体" w:cs="宋体"/>
          <w:sz w:val="24"/>
          <w:szCs w:val="24"/>
        </w:rPr>
        <w:t xml:space="preserve">采购人根据招标文件、双方签订的合同、中标供应商投标文件所做承诺及物业服务考核办法，每月组织对中标供应商物业服务进行考核。</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7.2</w:t>
      </w:r>
      <w:r>
        <w:rPr>
          <w:rFonts w:ascii="宋体" w:hAnsi="宋体" w:cs="宋体"/>
          <w:sz w:val="24"/>
          <w:szCs w:val="24"/>
        </w:rPr>
        <w:t xml:space="preserve">考核中存在以下情况，采购人有权视情解除物业合同：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①</w:t>
      </w:r>
      <w:r>
        <w:rPr>
          <w:rFonts w:ascii="宋体" w:hAnsi="宋体" w:cs="宋体"/>
          <w:sz w:val="24"/>
          <w:szCs w:val="24"/>
        </w:rPr>
        <w:t xml:space="preserve">发生安全责任事故，除赔偿损失外，视情况解除物业管理合同。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②</w:t>
      </w:r>
      <w:r>
        <w:rPr>
          <w:rFonts w:ascii="宋体" w:hAnsi="宋体" w:cs="宋体"/>
          <w:sz w:val="24"/>
          <w:szCs w:val="24"/>
        </w:rPr>
        <w:t xml:space="preserve">物业团队发生不良影响事件，对采购人工作造成严重影响的。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③</w:t>
      </w:r>
      <w:r>
        <w:rPr>
          <w:rFonts w:ascii="宋体" w:hAnsi="宋体" w:cs="宋体"/>
          <w:sz w:val="24"/>
          <w:szCs w:val="24"/>
        </w:rPr>
        <w:t xml:space="preserve">因物业服务中存在的责任问题对采购人日常工作造成恶劣影响的。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7.3</w:t>
      </w:r>
      <w:r>
        <w:rPr>
          <w:rFonts w:ascii="宋体" w:hAnsi="宋体" w:cs="宋体"/>
          <w:sz w:val="24"/>
          <w:szCs w:val="24"/>
        </w:rPr>
        <w:t xml:space="preserve">对不符合质量标准的物业管理服务，采购人有权要求供应商整改落实，供应商应无条件服从并按要求整改到位；如整改不到位，视情扣除当月考核分5-10分；如本项目工作人员年龄、体能、技能、形象、服务质量等不能满足采购人要求，采购人有权要求更换人员，供应商应无条件服从并在采购人要求的时间段内更换到位；如供应商在3个月内连续出现3人被采购人要求替换，扣除当月考核分10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7.4</w:t>
      </w:r>
      <w:r>
        <w:rPr>
          <w:rFonts w:ascii="宋体" w:hAnsi="宋体" w:cs="宋体"/>
          <w:sz w:val="24"/>
          <w:szCs w:val="24"/>
        </w:rPr>
        <w:t xml:space="preserve">物业服务考核办法：</w:t>
      </w:r>
      <w:r/>
    </w:p>
    <w:tbl>
      <w:tblPr>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952"/>
        <w:gridCol w:w="3405"/>
        <w:gridCol w:w="3596"/>
        <w:gridCol w:w="734"/>
      </w:tblGrid>
      <w:tr>
        <w:trPr>
          <w:jc w:val="center"/>
          <w:trHeight w:val="340"/>
          <w:tblHeader/>
        </w:trPr>
        <w:tc>
          <w:tcPr>
            <w:tcW w:w="971"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类别</w:t>
            </w:r>
            <w:r/>
          </w:p>
        </w:tc>
        <w:tc>
          <w:tcPr>
            <w:tcW w:w="952" w:type="dxa"/>
            <w:vAlign w:val="center"/>
            <w:textDirection w:val="lrTb"/>
            <w:noWrap/>
          </w:tcPr>
          <w:p>
            <w:pPr>
              <w:jc w:val="center"/>
              <w:spacing w:line="260" w:lineRule="exact"/>
              <w:rPr>
                <w:rFonts w:hint="eastAsia" w:ascii="宋体" w:hAnsi="宋体" w:cs="宋体"/>
                <w:b/>
                <w:bCs/>
                <w:szCs w:val="21"/>
              </w:rPr>
            </w:pPr>
            <w:r>
              <w:rPr>
                <w:rFonts w:ascii="宋体" w:hAnsi="宋体" w:cs="宋体"/>
                <w:b/>
                <w:bCs/>
                <w:szCs w:val="21"/>
              </w:rPr>
              <w:t xml:space="preserve">项目</w:t>
            </w:r>
            <w:r/>
          </w:p>
        </w:tc>
        <w:tc>
          <w:tcPr>
            <w:tcW w:w="3405" w:type="dxa"/>
            <w:vAlign w:val="center"/>
            <w:textDirection w:val="lrTb"/>
            <w:noWrap/>
          </w:tcPr>
          <w:p>
            <w:pPr>
              <w:jc w:val="center"/>
              <w:spacing w:line="260" w:lineRule="exact"/>
              <w:rPr>
                <w:rFonts w:hint="eastAsia" w:ascii="宋体" w:hAnsi="宋体" w:cs="宋体"/>
                <w:b/>
                <w:bCs/>
                <w:szCs w:val="21"/>
              </w:rPr>
            </w:pPr>
            <w:r>
              <w:rPr>
                <w:rFonts w:ascii="宋体" w:hAnsi="宋体" w:cs="宋体"/>
                <w:b/>
                <w:bCs/>
                <w:szCs w:val="21"/>
              </w:rPr>
              <w:t xml:space="preserve">考核内容及评分标准</w:t>
            </w:r>
            <w:r/>
          </w:p>
        </w:tc>
        <w:tc>
          <w:tcPr>
            <w:tcW w:w="3596"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评分标准</w:t>
            </w:r>
            <w:r/>
          </w:p>
        </w:tc>
        <w:tc>
          <w:tcPr>
            <w:tcW w:w="734"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扣分情况</w:t>
            </w:r>
            <w:r/>
          </w:p>
        </w:tc>
      </w:tr>
      <w:tr>
        <w:trPr>
          <w:jc w:val="center"/>
          <w:trHeight w:val="521"/>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人员</w:t>
            </w:r>
            <w:r/>
          </w:p>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（15分）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人员</w:t>
            </w:r>
            <w:r/>
          </w:p>
          <w:p>
            <w:pPr>
              <w:jc w:val="center"/>
              <w:spacing w:line="260" w:lineRule="exact"/>
              <w:rPr>
                <w:rFonts w:hint="eastAsia" w:ascii="宋体" w:hAnsi="宋体" w:cs="宋体"/>
                <w:szCs w:val="21"/>
              </w:rPr>
            </w:pPr>
            <w:r>
              <w:rPr>
                <w:rFonts w:ascii="宋体" w:hAnsi="宋体" w:cs="宋体"/>
                <w:szCs w:val="21"/>
              </w:rPr>
              <w:t xml:space="preserve">配备</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按照招标文件要求配备人员。</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81"/>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仪容</w:t>
            </w:r>
            <w:r/>
          </w:p>
          <w:p>
            <w:pPr>
              <w:jc w:val="center"/>
              <w:spacing w:line="260" w:lineRule="exact"/>
              <w:rPr>
                <w:rFonts w:hint="eastAsia" w:ascii="宋体" w:hAnsi="宋体" w:cs="宋体"/>
                <w:szCs w:val="21"/>
              </w:rPr>
            </w:pPr>
            <w:r>
              <w:rPr>
                <w:rFonts w:ascii="宋体" w:hAnsi="宋体" w:cs="宋体"/>
                <w:szCs w:val="21"/>
              </w:rPr>
              <w:t xml:space="preserve">仪表</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1、后勤工作人员按要求穿戴工作服及防护用具；2、工作服干净整洁；3、工作人员精神饱满，服务态度主动热情。</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716"/>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劳动</w:t>
            </w:r>
            <w:r/>
          </w:p>
          <w:p>
            <w:pPr>
              <w:jc w:val="center"/>
              <w:spacing w:line="260" w:lineRule="exact"/>
              <w:rPr>
                <w:rFonts w:hint="eastAsia" w:ascii="宋体" w:hAnsi="宋体" w:cs="宋体"/>
                <w:szCs w:val="21"/>
              </w:rPr>
            </w:pPr>
            <w:r>
              <w:rPr>
                <w:rFonts w:ascii="宋体" w:hAnsi="宋体" w:cs="宋体"/>
                <w:szCs w:val="21"/>
              </w:rPr>
              <w:t xml:space="preserve">纪律</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1、工作人员按时到岗到位；2、有内部劳动纪律考核制度及记录。</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00"/>
        </w:trPr>
        <w:tc>
          <w:tcPr>
            <w:tcW w:w="971" w:type="dxa"/>
            <w:vAlign w:val="center"/>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服务</w:t>
            </w:r>
            <w:r/>
          </w:p>
          <w:p>
            <w:pPr>
              <w:jc w:val="center"/>
              <w:spacing w:line="260" w:lineRule="exact"/>
              <w:rPr>
                <w:rFonts w:hint="eastAsia" w:ascii="宋体" w:hAnsi="宋体" w:cs="宋体"/>
                <w:szCs w:val="21"/>
              </w:rPr>
            </w:pPr>
            <w:r>
              <w:rPr>
                <w:rFonts w:ascii="宋体" w:hAnsi="宋体" w:cs="宋体"/>
                <w:szCs w:val="21"/>
              </w:rPr>
              <w:t xml:space="preserve">质量</w:t>
            </w:r>
            <w:r/>
          </w:p>
          <w:p>
            <w:pPr>
              <w:jc w:val="center"/>
              <w:spacing w:line="260" w:lineRule="exact"/>
              <w:rPr>
                <w:rFonts w:hint="eastAsia" w:ascii="宋体" w:hAnsi="宋体" w:cs="宋体"/>
                <w:szCs w:val="21"/>
              </w:rPr>
            </w:pPr>
            <w:r>
              <w:rPr>
                <w:rFonts w:ascii="宋体" w:hAnsi="宋体" w:cs="宋体"/>
                <w:szCs w:val="21"/>
              </w:rPr>
              <w:t xml:space="preserve">（35分）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服务</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按照招标文件的相关要求，考核安护、保洁、驾驶、餐饮等服务质量、数量完成情况。</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1.具体考核条款标准详见附表。</w:t>
            </w:r>
            <w:r/>
          </w:p>
          <w:p>
            <w:pPr>
              <w:jc w:val="left"/>
              <w:spacing w:line="260" w:lineRule="exact"/>
              <w:rPr>
                <w:rFonts w:hint="eastAsia" w:ascii="宋体" w:hAnsi="宋体" w:cs="宋体"/>
                <w:szCs w:val="21"/>
              </w:rPr>
            </w:pPr>
            <w:r>
              <w:rPr>
                <w:rFonts w:ascii="宋体" w:hAnsi="宋体" w:cs="宋体"/>
                <w:szCs w:val="21"/>
              </w:rPr>
              <w:t xml:space="preserve">2.被管理处考核发现不符合合同要求的，一次扣2分；被高管中心检查反馈，一次扣5分；被控股公司检查反馈，一次扣10分，单项分（35分）扣完为止。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340"/>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工具</w:t>
            </w:r>
            <w:r/>
          </w:p>
          <w:p>
            <w:pPr>
              <w:jc w:val="center"/>
              <w:spacing w:line="260" w:lineRule="exact"/>
              <w:rPr>
                <w:rFonts w:hint="eastAsia" w:ascii="宋体" w:hAnsi="宋体" w:cs="宋体"/>
                <w:szCs w:val="21"/>
              </w:rPr>
            </w:pPr>
            <w:r>
              <w:rPr>
                <w:rFonts w:ascii="宋体" w:hAnsi="宋体" w:cs="宋体"/>
                <w:szCs w:val="21"/>
              </w:rPr>
              <w:t xml:space="preserve">耗材</w:t>
            </w:r>
            <w:r/>
          </w:p>
          <w:p>
            <w:pPr>
              <w:jc w:val="center"/>
              <w:spacing w:line="260" w:lineRule="exact"/>
              <w:rPr>
                <w:rFonts w:hint="eastAsia" w:ascii="宋体" w:hAnsi="宋体" w:cs="宋体"/>
                <w:szCs w:val="21"/>
              </w:rPr>
            </w:pPr>
            <w:r>
              <w:rPr>
                <w:rFonts w:ascii="宋体" w:hAnsi="宋体" w:cs="宋体"/>
                <w:szCs w:val="21"/>
              </w:rPr>
              <w:t xml:space="preserve">（10分）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工具</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工具摆放有序，清洁及时，能够按照规范要求使用（2分）。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工具摆放无序扣1分，不及时清洁扣1分，不按规范要求使用扣1分，单项分（2分）扣完为止。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869"/>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仓库</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1、库房干净整洁，货物排列有序（2分）；2、出入库台帐、盘点台帐规范健全（2分）；3、记录规范，帐实相符（2分）。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每小项欠缺或不全酌情扣0.5-2分。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56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耗材</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本着节约、俭省的原则规范领用、使用耗材（2分）。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有领用不合理等现象酌情扣0.5-2分。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788"/>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现场</w:t>
            </w:r>
            <w:r/>
          </w:p>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（20分）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人员</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按照招标文件要求配备项目现场负责人，现场管理指挥得当，认真负责，管理到位（5分）。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现场管理混乱，有工作推诿、不负责等现象酌情扣1-5分。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34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台帐</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工作台帐规范健全，记录及时规范（10分）。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每发现一次台帐记录不及时、不规范扣1分，单项分（10分）扣完为止。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81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应急</w:t>
            </w:r>
            <w:r/>
          </w:p>
          <w:p>
            <w:pPr>
              <w:jc w:val="center"/>
              <w:spacing w:line="260" w:lineRule="exact"/>
              <w:rPr>
                <w:rFonts w:hint="eastAsia" w:ascii="宋体" w:hAnsi="宋体" w:cs="宋体"/>
                <w:szCs w:val="21"/>
              </w:rPr>
            </w:pPr>
            <w:r>
              <w:rPr>
                <w:rFonts w:ascii="宋体" w:hAnsi="宋体" w:cs="宋体"/>
                <w:szCs w:val="21"/>
              </w:rPr>
              <w:t xml:space="preserve">预案</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1、有重大安全事故等应急预案（3分）；2、定期组织开展相关预案演练，有详细的演练记录（2分）。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无应急预案或预案不全酌情扣1-3分；无预案演练扣2分。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71"/>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其他</w:t>
            </w:r>
            <w:r/>
          </w:p>
          <w:p>
            <w:pPr>
              <w:jc w:val="center"/>
              <w:spacing w:line="260" w:lineRule="exact"/>
              <w:rPr>
                <w:rFonts w:hint="eastAsia" w:ascii="宋体" w:hAnsi="宋体" w:cs="宋体"/>
                <w:szCs w:val="21"/>
              </w:rPr>
            </w:pPr>
            <w:r>
              <w:rPr>
                <w:rFonts w:ascii="宋体" w:hAnsi="宋体" w:cs="宋体"/>
                <w:szCs w:val="21"/>
              </w:rPr>
              <w:t xml:space="preserve">（20分）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任务完成情况</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能够保质保量完成各项合理工作任务（5分）。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不能完成合理工作任务酌情扣1-5分。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90"/>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投诉</w:t>
            </w:r>
            <w:r/>
          </w:p>
          <w:p>
            <w:pPr>
              <w:jc w:val="center"/>
              <w:spacing w:line="260" w:lineRule="exact"/>
              <w:rPr>
                <w:rFonts w:hint="eastAsia" w:ascii="宋体" w:hAnsi="宋体" w:cs="宋体"/>
                <w:szCs w:val="21"/>
              </w:rPr>
            </w:pPr>
            <w:r>
              <w:rPr>
                <w:rFonts w:ascii="宋体" w:hAnsi="宋体" w:cs="宋体"/>
                <w:szCs w:val="21"/>
              </w:rPr>
              <w:t xml:space="preserve">处理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接到投诉要有记录、整改并回访；回访的结果要有记录或后续（5分）。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投诉处理结果为撤诉的，不扣分；不完全责任性投诉酌情扣1-3分；责任性投诉扣5分，单项分（5分）扣完为止。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92"/>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内部</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1、内部考核制度规范健全（3分）；2、按照要求定期考核，考核记录规范、详细（2分）。</w:t>
            </w:r>
            <w:r/>
          </w:p>
        </w:tc>
        <w:tc>
          <w:tcPr>
            <w:tcW w:w="3596"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无制度扣3分，制度不完善扣0.5-1分，考核记录不规范扣0.5-2分。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63"/>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其他</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物业团队和谐团结，无不良影响事件发生（5分）。</w:t>
            </w:r>
            <w:r/>
          </w:p>
        </w:tc>
        <w:tc>
          <w:tcPr>
            <w:tcW w:w="3596" w:type="dxa"/>
            <w:vAlign w:val="center"/>
            <w:textDirection w:val="lrTb"/>
            <w:noWrap w:val="false"/>
          </w:tcPr>
          <w:p>
            <w:pPr>
              <w:numPr>
                <w:ilvl w:val="255"/>
                <w:numId w:val="0"/>
              </w:num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1.发生一次不良影响事件扣2-5分，单项分（5分）扣完为止。</w:t>
            </w:r>
            <w:r/>
          </w:p>
          <w:p>
            <w:pPr>
              <w:numPr>
                <w:ilvl w:val="255"/>
                <w:numId w:val="0"/>
              </w:numPr>
              <w:jc w:val="left"/>
              <w:spacing w:line="300" w:lineRule="exact"/>
              <w:rPr>
                <w:rFonts w:hint="eastAsia" w:ascii="宋体" w:hAnsi="宋体" w:cs="宋体"/>
                <w:szCs w:val="21"/>
              </w:rPr>
            </w:pPr>
            <w:r>
              <w:rPr>
                <w:rFonts w:hint="eastAsia" w:asciiTheme="minorEastAsia" w:hAnsiTheme="minorEastAsia" w:eastAsiaTheme="minorEastAsia" w:cstheme="minorEastAsia"/>
                <w:szCs w:val="21"/>
              </w:rPr>
              <w:t xml:space="preserve">2.内部管理混乱，劳务外包人员向采购人投诉反馈一次扣1-2分。单项分（5分）扣完为止。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593"/>
        </w:trPr>
        <w:tc>
          <w:tcPr>
            <w:gridSpan w:val="2"/>
            <w:tcW w:w="1923"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月度得分</w:t>
            </w:r>
            <w:r/>
          </w:p>
        </w:tc>
        <w:tc>
          <w:tcPr>
            <w:gridSpan w:val="3"/>
            <w:tcW w:w="7735"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bl>
    <w:p>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r>
      <w:r/>
    </w:p>
    <w:p>
      <w:pPr>
        <w:jc w:val="center"/>
        <w:rPr>
          <w:rFonts w:hint="eastAsia" w:ascii="宋体" w:hAnsi="宋体" w:cs="宋体"/>
          <w:b/>
          <w:sz w:val="24"/>
          <w:szCs w:val="24"/>
        </w:rPr>
      </w:pPr>
      <w:r>
        <w:rPr>
          <w:rFonts w:ascii="宋体" w:hAnsi="宋体" w:cs="宋体"/>
          <w:b/>
          <w:sz w:val="24"/>
          <w:szCs w:val="24"/>
        </w:rPr>
        <w:t xml:space="preserve">附表：物业服务考核条款及标准</w:t>
      </w:r>
      <w:r/>
    </w:p>
    <w:tbl>
      <w:tblPr>
        <w:tblpPr w:horzAnchor="text" w:tblpXSpec="center" w:vertAnchor="text" w:tblpY="1" w:leftFromText="180" w:topFromText="0" w:rightFromText="180" w:bottomFromText="0"/>
        <w:tblW w:w="54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92"/>
        <w:gridCol w:w="809"/>
        <w:gridCol w:w="974"/>
        <w:gridCol w:w="5995"/>
        <w:gridCol w:w="1052"/>
      </w:tblGrid>
      <w:tr>
        <w:trPr>
          <w:jc w:val="center"/>
          <w:trHeight w:val="567"/>
          <w:tblHeader/>
        </w:trPr>
        <w:tc>
          <w:tcPr>
            <w:tcW w:w="550" w:type="pct"/>
            <w:vAlign w:val="center"/>
            <w:textDirection w:val="lrTb"/>
            <w:noWrap w:val="false"/>
          </w:tcPr>
          <w:p>
            <w:pPr>
              <w:jc w:val="center"/>
              <w:spacing w:line="300" w:lineRule="exact"/>
              <w:rPr>
                <w:rFonts w:hint="eastAsia" w:ascii="宋体" w:hAnsi="宋体" w:cs="宋体"/>
                <w:b/>
                <w:szCs w:val="21"/>
                <w:lang w:val="zh-CN" w:bidi="zh-CN"/>
              </w:rPr>
            </w:pPr>
            <w:r>
              <w:rPr>
                <w:rFonts w:ascii="宋体" w:hAnsi="宋体" w:cs="宋体"/>
                <w:b/>
                <w:szCs w:val="21"/>
                <w:lang w:val="zh-CN" w:bidi="zh-CN"/>
              </w:rPr>
              <w:t xml:space="preserve">序号</w:t>
            </w:r>
            <w:r/>
          </w:p>
        </w:tc>
        <w:tc>
          <w:tcPr>
            <w:tcW w:w="407"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bidi="zh-CN"/>
              </w:rPr>
              <w:t xml:space="preserve">类别</w:t>
            </w:r>
            <w:r/>
          </w:p>
        </w:tc>
        <w:tc>
          <w:tcPr>
            <w:tcW w:w="491" w:type="pct"/>
            <w:vAlign w:val="center"/>
            <w:textDirection w:val="lrTb"/>
            <w:noWrap w:val="false"/>
          </w:tcPr>
          <w:p>
            <w:pPr>
              <w:jc w:val="center"/>
              <w:spacing w:line="300" w:lineRule="exact"/>
              <w:rPr>
                <w:rFonts w:hint="eastAsia" w:ascii="宋体" w:hAnsi="宋体" w:cs="宋体"/>
                <w:b/>
                <w:szCs w:val="21"/>
                <w:lang w:bidi="zh-CN"/>
              </w:rPr>
            </w:pPr>
            <w:r>
              <w:rPr>
                <w:rFonts w:ascii="宋体" w:hAnsi="宋体" w:cs="宋体"/>
                <w:b/>
                <w:szCs w:val="21"/>
                <w:lang w:bidi="zh-CN"/>
              </w:rPr>
              <w:t xml:space="preserve">项目</w:t>
            </w:r>
            <w:r/>
          </w:p>
        </w:tc>
        <w:tc>
          <w:tcPr>
            <w:tcW w:w="3019"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val="zh-CN" w:bidi="zh-CN"/>
              </w:rPr>
              <w:t xml:space="preserve">考核</w:t>
            </w:r>
            <w:r>
              <w:rPr>
                <w:rFonts w:ascii="宋体" w:hAnsi="宋体" w:cs="宋体"/>
                <w:b/>
                <w:szCs w:val="21"/>
                <w:lang w:val="zh-CN" w:eastAsia="en-US" w:bidi="zh-CN"/>
              </w:rPr>
              <w:t xml:space="preserve">标准</w:t>
            </w:r>
            <w:r/>
          </w:p>
        </w:tc>
        <w:tc>
          <w:tcPr>
            <w:tcW w:w="530"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eastAsia="en-US" w:bidi="zh-CN"/>
              </w:rPr>
              <w:t xml:space="preserve">备注</w:t>
            </w:r>
            <w:r/>
          </w:p>
        </w:tc>
      </w:tr>
      <w:tr>
        <w:trPr>
          <w:jc w:val="center"/>
          <w:trHeight w:val="480"/>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p>
        </w:tc>
        <w:tc>
          <w:tcPr>
            <w:tcW w:w="407" w:type="pct"/>
            <w:vAlign w:val="center"/>
            <w:vMerge w:val="restart"/>
            <w:textDirection w:val="tbRlV"/>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人员管理</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w:t>
            </w:r>
            <w:r/>
          </w:p>
          <w:p>
            <w:pPr>
              <w:jc w:val="center"/>
              <w:spacing w:line="300" w:lineRule="exact"/>
              <w:rPr>
                <w:rFonts w:hint="eastAsia" w:ascii="宋体" w:hAnsi="宋体" w:cs="宋体"/>
                <w:szCs w:val="21"/>
                <w:lang w:bidi="zh-CN"/>
              </w:rPr>
            </w:pPr>
            <w:r>
              <w:rPr>
                <w:rFonts w:ascii="宋体" w:hAnsi="宋体" w:cs="宋体"/>
                <w:szCs w:val="21"/>
                <w:lang w:bidi="zh-CN"/>
              </w:rPr>
              <w:t xml:space="preserve">配备</w:t>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未按合同要求足额配备人员，少1人扣5分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Borders>
              <w:top w:val="none" w:color="000000" w:sz="4" w:space="0"/>
            </w:tcBorders>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2</w:t>
            </w:r>
            <w:r/>
          </w:p>
        </w:tc>
        <w:tc>
          <w:tcPr>
            <w:tcW w:w="407" w:type="pct"/>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新进员工未经培训合格后上岗</w:t>
            </w:r>
            <w:r>
              <w:rPr>
                <w:rFonts w:ascii="宋体" w:hAnsi="宋体" w:cs="宋体"/>
                <w:szCs w:val="21"/>
              </w:rPr>
              <w:t xml:space="preserve">，发现一次扣2分；未按时安排员工安全教育培训的或未</w:t>
            </w:r>
            <w:r>
              <w:rPr>
                <w:rFonts w:ascii="宋体" w:hAnsi="宋体" w:cs="宋体"/>
                <w:szCs w:val="21"/>
              </w:rPr>
              <w:t xml:space="preserve">按计划要求组织各类安全预案及演练</w:t>
            </w:r>
            <w:r>
              <w:rPr>
                <w:rFonts w:ascii="宋体" w:hAnsi="宋体" w:cs="宋体"/>
                <w:szCs w:val="21"/>
              </w:rPr>
              <w:t xml:space="preserve">，发现一次扣5分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06"/>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员工上岗前未购买足额的意外险</w:t>
            </w:r>
            <w:r>
              <w:rPr>
                <w:rFonts w:ascii="宋体" w:hAnsi="宋体" w:cs="宋体"/>
                <w:szCs w:val="21"/>
              </w:rPr>
              <w:t xml:space="preserve">，发现一次扣10分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10"/>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ascii="宋体" w:hAnsi="宋体" w:cs="宋体"/>
                <w:szCs w:val="21"/>
                <w:lang w:bidi="zh-CN"/>
              </w:rPr>
              <w:t xml:space="preserve">仪表</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未按合同要求配备工作服的，发现一次扣2分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未按规定统一着装、佩戴工号牌等，仪容仪表不整洁，发现一次扣1分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回答问题不热情、不讲文明礼貌用语、不说普通话，发现一次扣1分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ascii="宋体" w:hAnsi="宋体" w:cs="宋体"/>
                <w:szCs w:val="21"/>
                <w:lang w:bidi="zh-CN"/>
              </w:rPr>
              <w:t xml:space="preserve">纪律</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上班迟到、早退，未做好交接班工作，发现一次扣1分 </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人员出勤率未达95%以上的，</w:t>
            </w:r>
            <w:r>
              <w:rPr>
                <w:rFonts w:ascii="宋体" w:hAnsi="宋体" w:cs="宋体"/>
                <w:szCs w:val="21"/>
              </w:rPr>
              <w:t xml:space="preserve">发生</w:t>
            </w:r>
            <w:r>
              <w:rPr>
                <w:rFonts w:ascii="宋体" w:hAnsi="宋体" w:cs="宋体"/>
                <w:szCs w:val="21"/>
              </w:rPr>
              <w:t xml:space="preserve">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人员离岗率超过10%</w:t>
            </w:r>
            <w:r>
              <w:rPr>
                <w:rFonts w:ascii="宋体" w:hAnsi="宋体" w:cs="宋体"/>
                <w:szCs w:val="21"/>
              </w:rPr>
              <w:t xml:space="preserve">，发生一次扣2分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员工离职未及时上报，</w:t>
            </w:r>
            <w:r>
              <w:rPr>
                <w:rFonts w:ascii="宋体" w:hAnsi="宋体" w:cs="宋体"/>
                <w:szCs w:val="21"/>
              </w:rPr>
              <w:t xml:space="preserve">发现一次扣2分 </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人员无故缺勤，发现一次扣3分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当班时聚众聊天，睡岗，串岗，脱岗，发现一次扣2分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员工有盗窃、失密等违法乱纪行为，当事员工应解除合同，情节严重按相关法规处理。</w:t>
            </w:r>
            <w:r>
              <w:rPr>
                <w:rFonts w:ascii="宋体" w:hAnsi="宋体" w:cs="宋体"/>
                <w:szCs w:val="21"/>
              </w:rPr>
              <w:t xml:space="preserve">未及时处理的，发现一次扣5分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不服从管理人员指挥的，发现一次扣1分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4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饲养小动物的，发现一次扣2分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rPr>
                <w:rFonts w:ascii="宋体" w:hAnsi="宋体" w:cs="宋体"/>
                <w:szCs w:val="21"/>
                <w:lang w:bidi="zh-CN"/>
              </w:rPr>
              <w:t xml:space="preserve">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发生责任性投诉，发现一次扣10分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17</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保洁区域每天打扫不及时的；保洁区域有杂物、有异味，发现一次扣1分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蚊蝇、蛛网未及时清理；地面有积水、脚印、污迹，烟头、纸屑等杂物；墙面、柱面、墙角、门窗有灰尘；洗手池、台面、镜面有污垢、有水迹，发现一次扣1分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19</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大、小便器有积便、污垢和水锈，洗手间门及门套、坐便器、窗台、镜子玻璃、纸巾架、开关等有手印、有灰尘、有水渍，发现一次扣1分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垃圾房及垃圾桶每天未定时清洁，有异味；垃圾桶未套垃圾袋或垃圾超过三分之二，发现一次扣1分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清洁工具摆放随意，发现一次扣1分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设施和设备有灰尘，有破损；发现损坏未及时报修（管理员），发现一次扣1分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卫生包干区内草坪落叶未及时清理，草坪内有白色垃圾等，发现一次扣1分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如地面潮湿，门厅、台阶等视情况未及时放置“小心地滑”指示牌，发现一次扣1分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在收费站道口保洁时，未着反光背心，未遵守“一停、二看、三通过”和“四不通过”规定，发现一次扣5分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上岗期间未携带电工证或电工证不在有效期内，发现一次扣5分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掌握电气安全知识掌握熟练度不够，未严格遵守各项规章制度和操作规程，发现一次扣2分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严禁将闲杂人员带入配电房等带电场所，未按规定进行治安保卫巡逻，做好防火、防盗、防破坏、防事故工作，发现一次扣2分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发生电气突发事件时，未及时进行应急处置，发现一次扣2分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每月末对消防设施设备未进行检查，未能熟悉掌握基本消防器械的使用方法，发现一次扣2分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各类消防器材及各类设施、设备未定期巡检维保，发现损坏未及时上报，发现一次扣2分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各排水设施堵塞；其他设施设备损坏维修响应不及时；日常维修记录不清晰，发现一处扣2分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未履行岗位责任制，不熟悉区域环境，未按要求规定文明巡查的，发现一次扣1分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不熟练操作监控及消防设备，对管理区域内的安全情况不熟悉，未定期检查；发生报警后，未在5分钟之内达到现场并上报，发现一次扣5分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未按要求严格检查进出的货物，发现一次扣1分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晚班人员在工作时间内出现睡觉、玩手机等做与工作无关的事，发现一次扣1分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39</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未对各种车辆进行有序管理安排，无专人指挥、未及时疏导，有堵塞交通，影响行人通行，发现一次扣1分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未按规定开、关照明设施、边门、侧门、正门等，发现一次扣1分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未按规定对进出车辆或者人员进行登记的，发现一次扣1分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按规定进行定时巡查，发现可疑情况及人员或不安全因素，严密监视并及时上报，发现一次扣2分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严禁在值班室、设备房（间）等禁烟场所吸烟，发现一次扣2分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酒后驾驶车辆，</w:t>
            </w:r>
            <w:r>
              <w:rPr>
                <w:rFonts w:ascii="宋体" w:hAnsi="宋体" w:cs="宋体"/>
                <w:szCs w:val="21"/>
              </w:rPr>
              <w:t xml:space="preserve">发现一次扣35分，相关责任人</w:t>
            </w:r>
            <w:r>
              <w:rPr>
                <w:rFonts w:ascii="宋体" w:hAnsi="宋体" w:cs="宋体"/>
                <w:szCs w:val="21"/>
              </w:rPr>
              <w:t xml:space="preserve">立即清理出本合同服务名册</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机动车驾驶证不在有效期内，或上岗期间未携带驾驶证，发现一次扣3分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无故不参加安全学习，发现一次扣2分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不按照规定在指定地点停车过夜，发现一次扣3分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未履行审批手续私自用车，擅自动用车辆，发现一次扣5分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发生交通事故负责任（主责），发现一次扣10分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加强车辆的日常维修保养工作，出车前及回场后认真进行检查，包括灭火器、灯光、刹车等。未定期对车辆进行检修维保、卫生</w:t>
            </w:r>
            <w:r>
              <w:rPr>
                <w:rFonts w:ascii="宋体" w:hAnsi="宋体" w:cs="宋体"/>
                <w:szCs w:val="21"/>
              </w:rPr>
              <w:t xml:space="preserve">状况差的，发现一次扣2分；出现故障问题未及时排除、送修及上报的，发现一次扣2分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安全警示牌不完整或不在车上、随车灭火器失效或无灭火器，发现一次扣2分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驾驶机动车出现违规，违章行为，接收到处罚的，发现一次扣1分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车辆外观有明显遮挡、车牌照不清晰、影响单位形象的，发现一次扣1分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严禁食物中毒事件发生，发现一次扣35分，相关责任人</w:t>
            </w:r>
            <w:r>
              <w:rPr>
                <w:rFonts w:ascii="宋体" w:hAnsi="宋体" w:cs="宋体"/>
                <w:szCs w:val="21"/>
              </w:rPr>
              <w:t xml:space="preserve">立即清理出本合同服务名册</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食堂工作人员未持有效食品从业人员健康证上岗，发现一次扣5分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出现食品原料不符合食品卫生标准，有毒有害、过期及腐烂变质的情况，发现一次扣5分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接收无合格证明的肉类及无卫生许可证的经营者供应的食品，未实行索证制度，无货物清单，无供货方与收货方签字，发现一次扣3分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食品未分类储存，生熟未分开，食品加工后，各种设备未及时清洗、消毒，乱堆乱放的，发现一次扣3分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58</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食品未实行留样制度，未用专柜专盒存放，留样食品少于48小时，发现一次扣2分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厨房间内有霉斑、鼠迹、苍蝇、蟑螂等不及时处理的，发现一次扣2分；无防疫措施的，发现一次扣1分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在厨房间内存放有毒有害物品的；发现一次扣5分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在厨房间存放个人生活用品的；发现一次扣2分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食品加工、清洗、消毒区域未分开，且无明显标识的，发现一次扣2分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杀虫剂、消杀的物品、清洗剂、消毒剂等有毒有害物品未单独入柜存放的，发现一次扣2分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textDirection w:val="lrTb"/>
            <w:noWrap w:val="false"/>
          </w:tcPr>
          <w:p>
            <w:pPr>
              <w:spacing w:line="300" w:lineRule="exact"/>
              <w:rPr>
                <w:rFonts w:hint="eastAsia" w:ascii="宋体" w:hAnsi="宋体" w:cs="宋体"/>
                <w:szCs w:val="21"/>
              </w:rPr>
            </w:pPr>
            <w:r>
              <w:rPr>
                <w:rFonts w:ascii="宋体" w:hAnsi="宋体" w:cs="宋体"/>
                <w:szCs w:val="21"/>
              </w:rPr>
              <w:t xml:space="preserve">食堂工作人员未按照规范操作设备，造成火灾等安全事故的，发现一次扣10分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textDirection w:val="lrTb"/>
            <w:noWrap w:val="false"/>
          </w:tcPr>
          <w:p>
            <w:pPr>
              <w:spacing w:line="300" w:lineRule="exact"/>
              <w:rPr>
                <w:rFonts w:hint="eastAsia" w:ascii="宋体" w:hAnsi="宋体" w:cs="宋体"/>
                <w:szCs w:val="21"/>
              </w:rPr>
            </w:pPr>
            <w:r>
              <w:rPr>
                <w:rFonts w:ascii="宋体" w:hAnsi="宋体" w:cs="宋体"/>
                <w:szCs w:val="21"/>
              </w:rPr>
              <w:t xml:space="preserve">每周开展食堂安全隐患排查，排查治理食堂电气设备、消防器材、食品卫生等安全隐患，未按时进行排查的，发现一次扣5分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未按时为员工提供饭菜，扣5分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饭菜花色品种单一，未能根据员工口味进行调整，成品浪费，情节严重的，发现一次扣5分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严格遵守安全生产相关法律法规以及采购人安全管理相关制度，未遵守的，发现一次扣5分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不得和来访人员（同事）闹无原则纠纷，发现一次扣5分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未履行岗位安全职责，发现一次扣5分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严禁乱接、乱拉电源，使用电水壶、电磁炉、电饭锅、电热毯、煤气罐等不安全设施设备，发现一次扣5分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其他影响安全生产的行为（发现一次扣2-10分）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bl>
    <w:p>
      <w:pPr>
        <w:spacing w:line="440" w:lineRule="exact"/>
        <w:rPr>
          <w:rFonts w:hint="eastAsia" w:ascii="宋体" w:hAnsi="宋体" w:cs="宋体"/>
          <w:sz w:val="32"/>
          <w:szCs w:val="32"/>
        </w:rPr>
      </w:pPr>
      <w:r>
        <w:rPr>
          <w:rFonts w:hint="eastAsia" w:ascii="宋体" w:hAnsi="宋体" w:cs="宋体"/>
          <w:sz w:val="32"/>
          <w:szCs w:val="32"/>
        </w:rPr>
      </w:r>
      <w:r/>
    </w:p>
    <w:p>
      <w:pPr>
        <w:ind w:firstLine="482"/>
        <w:spacing w:line="400" w:lineRule="exact"/>
        <w:rPr>
          <w:rFonts w:hint="eastAsia" w:ascii="宋体" w:hAnsi="宋体" w:cs="宋体"/>
          <w:b/>
          <w:sz w:val="24"/>
          <w:szCs w:val="24"/>
        </w:rPr>
      </w:pPr>
      <w:r>
        <w:rPr>
          <w:rFonts w:hint="eastAsia" w:ascii="宋体" w:hAnsi="宋体" w:cs="宋体"/>
          <w:b/>
          <w:bCs/>
          <w:sz w:val="24"/>
          <w:szCs w:val="24"/>
        </w:rPr>
        <w:t xml:space="preserve">8.</w:t>
      </w:r>
      <w:r>
        <w:rPr>
          <w:rFonts w:ascii="宋体" w:hAnsi="宋体" w:cs="宋体"/>
          <w:b/>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8.1</w:t>
      </w:r>
      <w:r>
        <w:rPr>
          <w:rFonts w:ascii="宋体" w:hAnsi="宋体" w:cs="宋体"/>
          <w:sz w:val="24"/>
          <w:szCs w:val="24"/>
        </w:rPr>
        <w:t xml:space="preserve">项目</w:t>
      </w:r>
      <w:r>
        <w:rPr>
          <w:rFonts w:ascii="宋体" w:hAnsi="宋体" w:cs="宋体"/>
          <w:sz w:val="24"/>
          <w:szCs w:val="24"/>
        </w:rPr>
        <w:t xml:space="preserve">属性:</w:t>
      </w:r>
      <w:r>
        <w:rPr>
          <w:rFonts w:ascii="宋体" w:hAnsi="宋体" w:cs="宋体"/>
          <w:sz w:val="24"/>
          <w:szCs w:val="24"/>
        </w:rPr>
        <w:t xml:space="preserve">服务类项目。</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w:t>
      </w:r>
      <w:r>
        <w:rPr>
          <w:rFonts w:ascii="宋体" w:hAnsi="宋体" w:cs="宋体"/>
          <w:bCs/>
          <w:sz w:val="24"/>
          <w:szCs w:val="24"/>
        </w:rPr>
        <w:t xml:space="preserve">履约能力要求：</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①</w:t>
      </w:r>
      <w:r>
        <w:rPr>
          <w:rFonts w:ascii="宋体" w:hAnsi="宋体" w:cs="宋体"/>
          <w:bCs/>
          <w:sz w:val="24"/>
          <w:szCs w:val="24"/>
        </w:rPr>
        <w:t xml:space="preserve">投标人需具备非住宅类物业项目管理服务经验，能够提供自2023年1月1日以来（以合同签订日期为准）类似本项目的业绩</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投标人具有质量管理体系认证、职业健康安全管理体系认证，且证书在有效期内。</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③</w:t>
      </w:r>
      <w:r>
        <w:rPr>
          <w:rFonts w:ascii="宋体" w:hAnsi="宋体" w:cs="宋体"/>
          <w:bCs/>
          <w:sz w:val="24"/>
          <w:szCs w:val="24"/>
        </w:rPr>
        <w:t xml:space="preserve">投标人需具有为物业服务配备的智能化管理平台，并具有该系统软件著作权证明材料，能够提供软件使用界面截图。供应商自主研发的须提供国家版权局颁发的供应商软件著作权证书，使用第三方开发的系统须提供第三方研发该系统的软件著作权证书及购买第三方系统的采购合同。</w:t>
      </w:r>
      <w:bookmarkEnd w:id="140"/>
      <w:r/>
      <w:bookmarkEnd w:id="141"/>
      <w:r/>
      <w:bookmarkEnd w:id="142"/>
      <w:r/>
      <w:bookmarkEnd w:id="143"/>
      <w:r/>
      <w:bookmarkEnd w:id="144"/>
      <w:r/>
      <w:r/>
    </w:p>
    <w:p>
      <w:pPr>
        <w:pStyle w:val="1090"/>
        <w:ind w:firstLine="586"/>
        <w:spacing w:line="360" w:lineRule="auto"/>
        <w:rPr>
          <w:rFonts w:hint="eastAsia" w:ascii="黑体" w:hAnsi="黑体" w:eastAsia="黑体" w:cs="黑体"/>
          <w:bCs w:val="0"/>
        </w:rPr>
        <w:sectPr>
          <w:headerReference w:type="default" r:id="rId9"/>
          <w:footerReference w:type="default" r:id="rId10"/>
          <w:footnotePr/>
          <w:endnotePr/>
          <w:type w:val="nextPage"/>
          <w:pgSz w:w="11906" w:h="16838" w:orient="portrait"/>
          <w:pgMar w:top="1247" w:right="1247" w:bottom="1247" w:left="1474" w:header="851" w:footer="850" w:gutter="0"/>
          <w:cols w:num="1" w:sep="0" w:space="720" w:equalWidth="1"/>
          <w:docGrid w:linePitch="360"/>
        </w:sectPr>
      </w:pPr>
      <w:r>
        <w:rPr>
          <w:rFonts w:hint="eastAsia" w:ascii="黑体" w:hAnsi="黑体" w:eastAsia="黑体" w:cs="黑体"/>
          <w:bCs w:val="0"/>
        </w:rPr>
      </w:r>
      <w:r/>
    </w:p>
    <w:p>
      <w:pPr>
        <w:jc w:val="center"/>
        <w:keepNext/>
        <w:rPr>
          <w:rFonts w:ascii="黑体" w:eastAsia="黑体"/>
          <w:bCs/>
          <w:sz w:val="44"/>
          <w:szCs w:val="28"/>
        </w:rPr>
        <w:outlineLvl w:val="0"/>
      </w:pPr>
      <w:r/>
      <w:bookmarkStart w:id="168" w:name="_Toc233383230"/>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68"/>
      <w:r/>
      <w:r/>
    </w:p>
    <w:p>
      <w:pPr>
        <w:ind w:firstLine="480"/>
        <w:rPr>
          <w:rFonts w:ascii="宋体" w:cs="宋体"/>
          <w:sz w:val="24"/>
          <w:szCs w:val="24"/>
          <w:lang w:val="zh-CN"/>
        </w:rPr>
      </w:pPr>
      <w:r>
        <w:rPr>
          <w:rFonts w:ascii="宋体" w:cs="宋体"/>
          <w:sz w:val="24"/>
          <w:szCs w:val="24"/>
          <w:lang w:val="zh-CN"/>
        </w:rPr>
      </w:r>
      <w:r/>
    </w:p>
    <w:p>
      <w:pPr>
        <w:pStyle w:val="1090"/>
        <w:ind w:firstLine="439"/>
        <w:rPr>
          <w:rFonts w:hint="eastAsia" w:cs="Arial"/>
        </w:rPr>
      </w:pPr>
      <w:r>
        <w:rPr>
          <w:rFonts w:hint="eastAsia" w:cs="宋体"/>
          <w:sz w:val="24"/>
          <w:szCs w:val="24"/>
          <w:lang w:val="zh-CN"/>
        </w:rPr>
        <w:t xml:space="preserve">采用综合评分法的，评标结果按评审后得分由高到低顺序排列。得分相同的，按投标报价由低到高顺序排列。得分且投标报价相同的并列。</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98"/>
        <w:gridCol w:w="1960"/>
        <w:gridCol w:w="5270"/>
      </w:tblGrid>
      <w:tr>
        <w:trPr/>
        <w:tc>
          <w:tcPr>
            <w:tcW w:w="810" w:type="pct"/>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136" w:type="pct"/>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3053" w:type="pct"/>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rHeight w:val="640"/>
        </w:trPr>
        <w:tc>
          <w:tcPr>
            <w:tcW w:w="81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36"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053" w:type="pct"/>
            <w:vMerge w:val="restart"/>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p>
            <w:pPr>
              <w:jc w:val="left"/>
              <w:rPr>
                <w:rFonts w:hint="eastAsia" w:ascii="宋体" w:hAnsi="宋体"/>
                <w:szCs w:val="21"/>
              </w:rPr>
            </w:pPr>
            <w:r>
              <w:rPr>
                <w:rFonts w:hint="eastAsia" w:ascii="宋体" w:hAnsi="宋体"/>
                <w:szCs w:val="21"/>
              </w:rPr>
              <w:t xml:space="preserve">2个分包兼投兼中。本项目按照顺序依次评审，已被推荐为分包1中标候选人的投标人可参与分包2的评审。</w:t>
            </w:r>
            <w:r/>
          </w:p>
        </w:tc>
      </w:tr>
      <w:tr>
        <w:trPr/>
        <w:tc>
          <w:tcPr>
            <w:tcW w:w="810"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36"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053" w:type="pct"/>
            <w:vMerge w:val="continue"/>
            <w:textDirection w:val="lrTb"/>
            <w:noWrap w:val="false"/>
          </w:tcPr>
          <w:p>
            <w:pPr>
              <w:rPr>
                <w:rFonts w:hint="eastAsia" w:ascii="宋体" w:hAnsi="宋体"/>
                <w:szCs w:val="21"/>
              </w:rPr>
            </w:pPr>
            <w:r>
              <w:rPr>
                <w:rFonts w:hint="eastAsia" w:ascii="宋体" w:hAnsi="宋体"/>
                <w:szCs w:val="21"/>
              </w:rPr>
            </w:r>
            <w:r/>
          </w:p>
        </w:tc>
      </w:tr>
    </w:tbl>
    <w:p>
      <w:pPr>
        <w:pStyle w:val="1090"/>
        <w:ind w:firstLine="588"/>
        <w:spacing w:line="0" w:lineRule="atLeast"/>
        <w:rPr>
          <w:rFonts w:hint="eastAsia"/>
          <w:b/>
        </w:rPr>
      </w:pPr>
      <w:r>
        <w:rPr>
          <w:rFonts w:hint="eastAsia"/>
          <w:b/>
        </w:rPr>
        <w:t xml:space="preserve">政府采购政策功能落实</w:t>
      </w:r>
      <w:r/>
    </w:p>
    <w:p>
      <w:pPr>
        <w:pStyle w:val="1090"/>
        <w:ind w:firstLine="439"/>
        <w:rPr>
          <w:rFonts w:hint="eastAsia" w:cs="宋体"/>
          <w:sz w:val="24"/>
          <w:szCs w:val="24"/>
          <w:lang w:val="zh-CN"/>
        </w:rPr>
      </w:pPr>
      <w:r>
        <w:rPr>
          <w:rFonts w:hint="eastAsia" w:cs="宋体"/>
          <w:sz w:val="24"/>
          <w:szCs w:val="24"/>
          <w:lang w:val="zh-CN"/>
        </w:rPr>
        <w:t xml:space="preserve">1.小微型企业价格扣除</w:t>
      </w:r>
      <w:r/>
    </w:p>
    <w:p>
      <w:pPr>
        <w:ind w:firstLine="480"/>
        <w:rPr>
          <w:rFonts w:ascii="宋体" w:cs="宋体"/>
          <w:sz w:val="24"/>
          <w:szCs w:val="24"/>
          <w:lang w:val="zh-CN"/>
        </w:rPr>
      </w:pPr>
      <w:r>
        <w:rPr>
          <w:rFonts w:hint="eastAsia" w:ascii="宋体" w:cs="宋体"/>
          <w:sz w:val="24"/>
          <w:szCs w:val="24"/>
          <w:lang w:val="zh-CN"/>
        </w:rPr>
        <w:t xml:space="preserve">（1）本项目对小型和微型企业提供的服务给予10%的扣除价格，用扣除后的价格参与评审。</w:t>
      </w:r>
      <w:r/>
    </w:p>
    <w:p>
      <w:pPr>
        <w:ind w:firstLine="480"/>
        <w:rPr>
          <w:rFonts w:ascii="宋体" w:cs="宋体"/>
          <w:sz w:val="24"/>
          <w:szCs w:val="24"/>
          <w:lang w:val="zh-CN"/>
        </w:rPr>
      </w:pPr>
      <w:r>
        <w:rPr>
          <w:rFonts w:hint="eastAsia" w:ascii="宋体" w:cs="宋体"/>
          <w:sz w:val="24"/>
          <w:szCs w:val="24"/>
          <w:lang w:val="zh-CN"/>
        </w:rPr>
        <w:t xml:space="preserve">（2）供应商需按照采购文件的要求提供相应的《中小微企业声明函》。</w:t>
      </w:r>
      <w:r/>
    </w:p>
    <w:p>
      <w:pPr>
        <w:pStyle w:val="1090"/>
        <w:ind w:firstLine="360"/>
        <w:spacing w:line="0" w:lineRule="atLeast"/>
        <w:rPr>
          <w:rFonts w:hint="eastAsia"/>
        </w:rPr>
      </w:pPr>
      <w:r>
        <w:rPr>
          <w:rFonts w:ascii="仿宋" w:hAnsi="仿宋" w:eastAsia="仿宋" w:cs="仿宋"/>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sz w:val="24"/>
          <w:szCs w:val="24"/>
        </w:rPr>
        <w:t xml:space="preserve">）</w:t>
      </w:r>
      <w:r>
        <w:rPr>
          <w:rFonts w:ascii="仿宋" w:hAnsi="仿宋" w:eastAsia="仿宋" w:cs="仿宋"/>
          <w:sz w:val="24"/>
          <w:szCs w:val="24"/>
        </w:rPr>
        <w:t xml:space="preserve">供应商将不享受《政府采购促进中小企业发展管理办法》规定的价格扣除优惠政策。</w:t>
      </w:r>
      <w:r/>
    </w:p>
    <w:p>
      <w:pPr>
        <w:ind w:firstLine="480"/>
        <w:rPr>
          <w:rFonts w:ascii="宋体" w:cs="宋体"/>
          <w:sz w:val="24"/>
          <w:szCs w:val="24"/>
          <w:lang w:val="zh-CN"/>
        </w:rPr>
      </w:pPr>
      <w:r>
        <w:rPr>
          <w:rFonts w:hint="eastAsia" w:ascii="宋体" w:cs="宋体"/>
          <w:sz w:val="24"/>
          <w:szCs w:val="24"/>
          <w:lang w:val="zh-CN"/>
        </w:rPr>
        <w:t xml:space="preserve">2.残疾人福利单位价格扣除</w:t>
      </w:r>
      <w:r/>
    </w:p>
    <w:p>
      <w:pPr>
        <w:ind w:firstLine="480"/>
        <w:rPr>
          <w:rFonts w:ascii="宋体" w:cs="宋体"/>
          <w:sz w:val="24"/>
          <w:szCs w:val="24"/>
          <w:lang w:val="zh-CN"/>
        </w:rPr>
      </w:pPr>
      <w:r>
        <w:rPr>
          <w:rFonts w:hint="eastAsia" w:ascii="宋体" w:cs="宋体"/>
          <w:sz w:val="24"/>
          <w:szCs w:val="24"/>
          <w:lang w:val="zh-CN"/>
        </w:rPr>
        <w:t xml:space="preserve">（1）本项目对残疾人福利性单位视同小型、微型企业，给予10%的价格扣除，用扣除后的价格参与评审。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（2）残疾人福利单位需按照采购文件的要求提供《残疾人福利性单位声明函》。</w:t>
      </w:r>
      <w:r/>
    </w:p>
    <w:p>
      <w:pPr>
        <w:ind w:firstLine="480"/>
        <w:rPr>
          <w:rFonts w:ascii="宋体" w:cs="宋体"/>
          <w:sz w:val="24"/>
          <w:szCs w:val="24"/>
          <w:lang w:val="zh-CN"/>
        </w:rPr>
      </w:pPr>
      <w:r>
        <w:rPr>
          <w:rFonts w:hint="eastAsia" w:ascii="宋体" w:cs="宋体"/>
          <w:sz w:val="24"/>
          <w:szCs w:val="24"/>
          <w:lang w:val="zh-CN"/>
        </w:rPr>
        <w:t xml:space="preserve">（3）残疾人福利单位标准请参照《关于促进残疾人就业政府采购政策的通知》（财库〔2017〕141号）。</w:t>
      </w:r>
      <w:r/>
    </w:p>
    <w:p>
      <w:pPr>
        <w:ind w:firstLine="480"/>
        <w:rPr>
          <w:rFonts w:ascii="宋体" w:cs="宋体"/>
          <w:sz w:val="24"/>
          <w:szCs w:val="24"/>
          <w:lang w:val="zh-CN"/>
        </w:rPr>
      </w:pPr>
      <w:r>
        <w:rPr>
          <w:rFonts w:hint="eastAsia" w:ascii="宋体" w:cs="宋体"/>
          <w:sz w:val="24"/>
          <w:szCs w:val="24"/>
          <w:lang w:val="zh-CN"/>
        </w:rPr>
        <w:t xml:space="preserve">3.监狱和戒毒企业价格扣除</w:t>
      </w:r>
      <w:r/>
    </w:p>
    <w:p>
      <w:pPr>
        <w:ind w:firstLine="480"/>
        <w:rPr>
          <w:rFonts w:ascii="宋体" w:cs="宋体"/>
          <w:sz w:val="24"/>
          <w:szCs w:val="24"/>
          <w:lang w:val="zh-CN"/>
        </w:rPr>
      </w:pPr>
      <w:r>
        <w:rPr>
          <w:rFonts w:hint="eastAsia" w:ascii="宋体" w:cs="宋体"/>
          <w:sz w:val="24"/>
          <w:szCs w:val="24"/>
          <w:lang w:val="zh-CN"/>
        </w:rPr>
        <w:t xml:space="preserve">（1）本项目对监狱和戒毒企业（简称监狱企业）视同小型、微型企业，给予10%的价格扣除，用扣除后的价格参与评审。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（2）监狱企业参加政府采购活动时，需提供由省级以上监狱管理局、戒毒管理局</w:t>
      </w:r>
      <w:r>
        <w:rPr>
          <w:rFonts w:hint="eastAsia" w:ascii="宋体" w:cs="宋体"/>
          <w:sz w:val="24"/>
          <w:szCs w:val="24"/>
          <w:lang w:val="zh-CN"/>
        </w:rPr>
        <w:t xml:space="preserve">(含新疆生产建设兵团)</w:t>
      </w:r>
      <w:r>
        <w:rPr>
          <w:rFonts w:hint="eastAsia" w:ascii="宋体" w:cs="宋体"/>
          <w:sz w:val="24"/>
          <w:szCs w:val="24"/>
          <w:lang w:val="zh-CN"/>
        </w:rPr>
        <w:t xml:space="preserve">出具的属于监狱企业的证明文件。供应商如不提供上述证明文件，价格将不做相应扣除。</w:t>
      </w:r>
      <w:r/>
    </w:p>
    <w:p>
      <w:pPr>
        <w:ind w:firstLine="480"/>
        <w:rPr>
          <w:rFonts w:ascii="宋体" w:cs="宋体"/>
          <w:sz w:val="24"/>
          <w:szCs w:val="24"/>
          <w:lang w:val="zh-CN"/>
        </w:rPr>
      </w:pPr>
      <w:r>
        <w:rPr>
          <w:rFonts w:hint="eastAsia" w:ascii="宋体" w:cs="宋体"/>
          <w:sz w:val="24"/>
          <w:szCs w:val="24"/>
          <w:lang w:val="zh-CN"/>
        </w:rPr>
        <w:t xml:space="preserve">（3）监狱企业标准请参照《关于政府采购支持监狱企业发展有关问题的通知》（财库〔2014〕68号）。</w:t>
      </w:r>
      <w:r/>
    </w:p>
    <w:p>
      <w:pPr>
        <w:ind w:firstLine="480"/>
        <w:rPr>
          <w:rFonts w:ascii="宋体" w:cs="宋体"/>
          <w:sz w:val="24"/>
          <w:szCs w:val="24"/>
          <w:lang w:val="zh-CN"/>
        </w:rPr>
      </w:pPr>
      <w:r>
        <w:rPr>
          <w:rFonts w:hint="eastAsia" w:ascii="宋体" w:cs="宋体"/>
          <w:sz w:val="24"/>
          <w:szCs w:val="24"/>
          <w:lang w:val="zh-CN"/>
        </w:rPr>
        <w:t xml:space="preserve">4.残疾人福利单位、监狱企业属于小型、微型企业的，不重复享受政策。</w:t>
      </w:r>
      <w:r/>
    </w:p>
    <w:p>
      <w:pPr>
        <w:ind w:firstLine="480"/>
        <w:rPr>
          <w:rFonts w:ascii="宋体" w:cs="宋体"/>
          <w:sz w:val="24"/>
          <w:szCs w:val="24"/>
          <w:lang w:val="zh-CN"/>
        </w:rPr>
      </w:pPr>
      <w:r>
        <w:rPr>
          <w:rFonts w:hint="eastAsia" w:ascii="宋体" w:cs="宋体"/>
          <w:sz w:val="24"/>
          <w:szCs w:val="24"/>
          <w:lang w:val="zh-CN"/>
        </w:rPr>
        <w:t xml:space="preserve">5.如果本项目同意联合体投标或同意分包履行合同</w:t>
      </w:r>
      <w:r>
        <w:rPr>
          <w:rFonts w:hint="eastAsia" w:ascii="宋体" w:cs="宋体"/>
          <w:sz w:val="24"/>
          <w:szCs w:val="24"/>
          <w:lang w:val="zh-CN"/>
        </w:rPr>
        <w:t xml:space="preserve">的,</w:t>
      </w:r>
      <w:r>
        <w:rPr>
          <w:rFonts w:hint="eastAsia" w:ascii="宋体" w:cs="宋体"/>
          <w:sz w:val="24"/>
          <w:szCs w:val="24"/>
          <w:lang w:val="zh-CN"/>
        </w:rPr>
        <w:t xml:space="preserve">大中型企业与小微型企</w:t>
      </w:r>
      <w:r>
        <w:rPr>
          <w:rFonts w:hint="eastAsia" w:ascii="宋体" w:cs="宋体"/>
          <w:sz w:val="24"/>
          <w:szCs w:val="24"/>
          <w:lang w:val="zh-CN"/>
        </w:rPr>
        <w:t xml:space="preserve">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6.联合体各方均为小型、微型企业（残疾人福利单位、监狱企业）的，联合体享受10%价格扣除，用扣除后的价格参与评审。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7.采购本国产品的支持政策</w:t>
      </w:r>
      <w:r/>
    </w:p>
    <w:p>
      <w:pPr>
        <w:ind w:firstLine="480"/>
        <w:rPr>
          <w:rFonts w:ascii="宋体" w:cs="宋体"/>
          <w:sz w:val="24"/>
          <w:szCs w:val="24"/>
          <w:lang w:val="zh-CN"/>
        </w:rPr>
      </w:pPr>
      <w:r>
        <w:rPr>
          <w:rFonts w:hint="eastAsia" w:ascii="宋体" w:cs="宋体"/>
          <w:sz w:val="24"/>
          <w:szCs w:val="24"/>
          <w:lang w:val="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7.2 供应商需按照招标文件的要求提供《关于符合本国产品标准的声明函》（以下简称《声明函》），如不提供将不享受本国产品价格评审优惠。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7.3 供应商需在《声明函》中逐一、准确填写产品名称、厂名、生产厂址三项信息（《声明函》中标注</w:t>
      </w:r>
      <w:r>
        <w:rPr>
          <w:rFonts w:hint="eastAsia" w:ascii="宋体" w:cs="宋体"/>
          <w:sz w:val="24"/>
          <w:szCs w:val="24"/>
          <w:lang w:val="zh-CN"/>
        </w:rPr>
        <w:t xml:space="preserve">“ </w:t>
      </w:r>
      <w:r>
        <w:rPr>
          <w:rFonts w:hint="eastAsia" w:ascii="宋体" w:cs="宋体"/>
          <w:sz w:val="24"/>
          <w:szCs w:val="24"/>
          <w:lang w:val="zh-CN"/>
        </w:rPr>
        <w:t xml:space="preserve"> </w:t>
      </w:r>
      <w:r>
        <w:rPr>
          <w:rFonts w:hint="eastAsia" w:ascii="宋体" w:cs="宋体"/>
          <w:sz w:val="24"/>
          <w:szCs w:val="24"/>
          <w:lang w:val="zh-CN"/>
        </w:rPr>
        <w:t xml:space="preserve">/  ”</w:t>
      </w:r>
      <w:r>
        <w:rPr>
          <w:rFonts w:hint="eastAsia" w:ascii="宋体" w:cs="宋体"/>
          <w:sz w:val="24"/>
          <w:szCs w:val="24"/>
          <w:lang w:val="zh-CN"/>
        </w:rPr>
        <w:t xml:space="preserve">的地方无需填写），三项信息中任意一项未填写的视为该项产品不符合本国产品标准，不享受本国产品价格评审优惠。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pStyle w:val="1090"/>
        <w:ind w:firstLine="0"/>
        <w:jc w:val="center"/>
        <w:spacing w:line="400" w:lineRule="exact"/>
        <w:rPr>
          <w:rFonts w:hint="eastAsia"/>
        </w:rPr>
      </w:pPr>
      <w:r>
        <w:rPr>
          <w:rFonts w:hint="eastAsia"/>
          <w:b/>
        </w:rPr>
        <w:t xml:space="preserve">评标方法与评标标准（采购包1）</w:t>
      </w:r>
      <w:r/>
    </w:p>
    <w:p>
      <w:pPr>
        <w:spacing w:line="20" w:lineRule="exact"/>
      </w:pPr>
      <w:r/>
      <w:r/>
    </w:p>
    <w:tbl>
      <w:tblPr>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2"/>
        <w:gridCol w:w="1418"/>
        <w:gridCol w:w="1279"/>
        <w:gridCol w:w="667"/>
        <w:gridCol w:w="4995"/>
      </w:tblGrid>
      <w:tr>
        <w:trPr>
          <w:jc w:val="center"/>
          <w:tblCellSpacing w:w="0" w:type="dxa"/>
          <w:trHeight w:val="523"/>
          <w:tblHeader/>
        </w:trPr>
        <w:tc>
          <w:tcPr>
            <w:tcW w:w="982" w:type="dxa"/>
            <w:vAlign w:val="center"/>
            <w:textDirection w:val="lrTb"/>
            <w:noWrap w:val="false"/>
          </w:tcPr>
          <w:p>
            <w:pPr>
              <w:jc w:val="center"/>
              <w:rPr>
                <w:b/>
                <w:bCs/>
              </w:rPr>
            </w:pPr>
            <w:r/>
            <w:bookmarkStart w:id="169" w:name="OLE_LINK7"/>
            <w:r/>
            <w:bookmarkStart w:id="170" w:name="OLE_LINK8"/>
            <w:r>
              <w:rPr>
                <w:rFonts w:hint="eastAsia"/>
                <w:b/>
                <w:bCs/>
              </w:rPr>
              <w:t xml:space="preserve">序号</w:t>
            </w:r>
            <w:r/>
          </w:p>
        </w:tc>
        <w:tc>
          <w:tcPr>
            <w:tcW w:w="1418" w:type="dxa"/>
            <w:vAlign w:val="center"/>
            <w:textDirection w:val="lrTb"/>
            <w:noWrap w:val="false"/>
          </w:tcPr>
          <w:p>
            <w:pPr>
              <w:jc w:val="center"/>
              <w:rPr>
                <w:b/>
                <w:bCs/>
              </w:rPr>
            </w:pPr>
            <w:r>
              <w:rPr>
                <w:rFonts w:hint="eastAsia"/>
                <w:b/>
                <w:bCs/>
              </w:rPr>
              <w:t xml:space="preserve">评分项目</w:t>
            </w:r>
            <w:r/>
          </w:p>
        </w:tc>
        <w:tc>
          <w:tcPr>
            <w:tcW w:w="1279" w:type="dxa"/>
            <w:vAlign w:val="center"/>
            <w:textDirection w:val="lrTb"/>
            <w:noWrap w:val="false"/>
          </w:tcPr>
          <w:p>
            <w:pPr>
              <w:jc w:val="center"/>
              <w:rPr>
                <w:b/>
                <w:bCs/>
              </w:rPr>
            </w:pPr>
            <w:r>
              <w:rPr>
                <w:rFonts w:hint="eastAsia"/>
                <w:b/>
                <w:bCs/>
              </w:rPr>
              <w:t xml:space="preserve">评分内容</w:t>
            </w:r>
            <w:r/>
          </w:p>
        </w:tc>
        <w:tc>
          <w:tcPr>
            <w:tcW w:w="667" w:type="dxa"/>
            <w:vAlign w:val="center"/>
            <w:textDirection w:val="lrTb"/>
            <w:noWrap w:val="false"/>
          </w:tcPr>
          <w:p>
            <w:pPr>
              <w:jc w:val="center"/>
              <w:rPr>
                <w:b/>
                <w:bCs/>
              </w:rPr>
            </w:pPr>
            <w:r>
              <w:rPr>
                <w:rFonts w:hint="eastAsia"/>
                <w:b/>
                <w:bCs/>
              </w:rPr>
              <w:t xml:space="preserve">分值</w:t>
            </w:r>
            <w:r/>
          </w:p>
        </w:tc>
        <w:tc>
          <w:tcPr>
            <w:tcW w:w="4995" w:type="dxa"/>
            <w:vAlign w:val="center"/>
            <w:textDirection w:val="lrTb"/>
            <w:noWrap w:val="false"/>
          </w:tcPr>
          <w:p>
            <w:pPr>
              <w:jc w:val="center"/>
              <w:rPr>
                <w:b/>
                <w:bCs/>
              </w:rPr>
            </w:pPr>
            <w:r>
              <w:rPr>
                <w:rFonts w:hint="eastAsia"/>
                <w:b/>
                <w:bCs/>
              </w:rPr>
              <w:t xml:space="preserve">评分细则</w:t>
            </w:r>
            <w:r/>
          </w:p>
        </w:tc>
      </w:tr>
      <w:tr>
        <w:trPr>
          <w:jc w:val="center"/>
          <w:tblCellSpacing w:w="0" w:type="dxa"/>
          <w:trHeight w:val="1806"/>
        </w:trPr>
        <w:tc>
          <w:tcPr>
            <w:tcW w:w="982" w:type="dxa"/>
            <w:vAlign w:val="center"/>
            <w:textDirection w:val="lrTb"/>
            <w:noWrap w:val="false"/>
          </w:tcPr>
          <w:p>
            <w:r>
              <w:rPr>
                <w:rFonts w:hint="eastAsia"/>
              </w:rPr>
              <w:t xml:space="preserve">1</w:t>
            </w:r>
            <w:r/>
          </w:p>
        </w:tc>
        <w:tc>
          <w:tcPr>
            <w:tcW w:w="1418" w:type="dxa"/>
            <w:vAlign w:val="center"/>
            <w:textDirection w:val="lrTb"/>
            <w:noWrap w:val="false"/>
          </w:tcPr>
          <w:p>
            <w:r>
              <w:rPr>
                <w:rFonts w:hint="eastAsia"/>
              </w:rPr>
              <w:t xml:space="preserve">投标价格</w:t>
            </w:r>
            <w:r>
              <w:rPr>
                <w:rFonts w:hint="eastAsia"/>
              </w:rPr>
              <w:t xml:space="preserve">10</w:t>
            </w:r>
            <w:r/>
          </w:p>
        </w:tc>
        <w:tc>
          <w:tcPr>
            <w:tcW w:w="1279" w:type="dxa"/>
            <w:vAlign w:val="center"/>
            <w:textDirection w:val="lrTb"/>
            <w:noWrap w:val="false"/>
          </w:tcPr>
          <w:p>
            <w:r>
              <w:rPr>
                <w:rFonts w:hint="eastAsia"/>
              </w:rPr>
              <w:t xml:space="preserve">投标报价</w:t>
            </w:r>
            <w:r/>
          </w:p>
        </w:tc>
        <w:tc>
          <w:tcPr>
            <w:tcW w:w="667" w:type="dxa"/>
            <w:vAlign w:val="center"/>
            <w:textDirection w:val="lrTb"/>
            <w:noWrap w:val="false"/>
          </w:tcPr>
          <w:p>
            <w:r>
              <w:rPr>
                <w:rFonts w:hint="eastAsia"/>
              </w:rPr>
              <w:t xml:space="preserve">10</w:t>
            </w:r>
            <w:r/>
          </w:p>
        </w:tc>
        <w:tc>
          <w:tcPr>
            <w:tcW w:w="4995" w:type="dxa"/>
            <w:vAlign w:val="center"/>
            <w:textDirection w:val="lrTb"/>
            <w:noWrap w:val="false"/>
          </w:tcPr>
          <w:p>
            <w:r>
              <w:rPr>
                <w:rFonts w:hint="eastAsia"/>
              </w:rPr>
              <w:t xml:space="preserve">采用低价优先法计算，即满足招标文件要求且投标价格最低的投标报价为评标基准价，其价格分为满分。其他投标人的价格分统一按照下列公式</w:t>
            </w:r>
            <w:r>
              <w:rPr>
                <w:rFonts w:hint="eastAsia"/>
              </w:rPr>
              <w:t xml:space="preserve">计算</w:t>
            </w:r>
            <w:r>
              <w:rPr>
                <w:rFonts w:hint="eastAsia"/>
              </w:rPr>
              <w:t xml:space="preserve">:</w:t>
            </w:r>
            <w:r>
              <w:rPr>
                <w:rFonts w:hint="eastAsia"/>
              </w:rPr>
              <w:t xml:space="preserve">投标报价得分</w:t>
            </w:r>
            <w:r>
              <w:rPr>
                <w:rFonts w:hint="eastAsia"/>
              </w:rPr>
              <w:t xml:space="preserve">=</w:t>
            </w:r>
            <w:r>
              <w:rPr>
                <w:rFonts w:hint="eastAsia"/>
              </w:rPr>
              <w:t xml:space="preserve">(</w:t>
            </w:r>
            <w:r>
              <w:rPr>
                <w:rFonts w:hint="eastAsia"/>
              </w:rPr>
              <w:t xml:space="preserve">评标基准价</w:t>
            </w:r>
            <w:r>
              <w:rPr>
                <w:rFonts w:hint="eastAsia"/>
              </w:rPr>
              <w:t xml:space="preserve">/</w:t>
            </w:r>
            <w:r>
              <w:rPr>
                <w:rFonts w:hint="eastAsia"/>
              </w:rPr>
              <w:t xml:space="preserve">投标报价</w:t>
            </w:r>
            <w:r>
              <w:rPr>
                <w:rFonts w:hint="eastAsia"/>
              </w:rPr>
              <w:t xml:space="preserve">)</w:t>
            </w:r>
            <w:r>
              <w:rPr>
                <w:rFonts w:hint="eastAsia"/>
              </w:rPr>
              <w:t xml:space="preserve">×</w:t>
            </w:r>
            <w:r>
              <w:rPr>
                <w:rFonts w:hint="eastAsia"/>
              </w:rPr>
              <w:t xml:space="preserve">10</w:t>
            </w:r>
            <w:r>
              <w:rPr>
                <w:rFonts w:hint="eastAsia"/>
              </w:rPr>
              <w:t xml:space="preserve">（小数点保留两位）</w:t>
            </w:r>
            <w:r/>
          </w:p>
        </w:tc>
      </w:tr>
      <w:tr>
        <w:trPr>
          <w:jc w:val="center"/>
          <w:tblCellSpacing w:w="0" w:type="dxa"/>
          <w:trHeight w:val="1398"/>
        </w:trPr>
        <w:tc>
          <w:tcPr>
            <w:tcW w:w="982" w:type="dxa"/>
            <w:vAlign w:val="center"/>
            <w:vMerge w:val="restart"/>
            <w:textDirection w:val="lrTb"/>
            <w:noWrap w:val="false"/>
          </w:tcPr>
          <w:p>
            <w:r>
              <w:rPr>
                <w:rFonts w:hint="eastAsia"/>
              </w:rPr>
              <w:t xml:space="preserve">2</w:t>
            </w:r>
            <w:r/>
          </w:p>
        </w:tc>
        <w:tc>
          <w:tcPr>
            <w:tcW w:w="1418" w:type="dxa"/>
            <w:vAlign w:val="center"/>
            <w:vMerge w:val="restart"/>
            <w:textDirection w:val="lrTb"/>
            <w:noWrap w:val="false"/>
          </w:tcPr>
          <w:p>
            <w:r>
              <w:rPr>
                <w:rFonts w:hint="eastAsia"/>
              </w:rPr>
              <w:t xml:space="preserve">服务方案</w:t>
            </w:r>
            <w:r>
              <w:rPr>
                <w:rFonts w:hint="eastAsia"/>
              </w:rPr>
              <w:t xml:space="preserve">41</w:t>
            </w:r>
            <w:r/>
          </w:p>
        </w:tc>
        <w:tc>
          <w:tcPr>
            <w:tcW w:w="1279" w:type="dxa"/>
            <w:vAlign w:val="center"/>
            <w:textDirection w:val="lrTb"/>
            <w:noWrap w:val="false"/>
          </w:tcPr>
          <w:p>
            <w:r>
              <w:rPr>
                <w:rFonts w:hint="eastAsia"/>
              </w:rPr>
              <w:t xml:space="preserve">2.1</w:t>
            </w:r>
            <w:r>
              <w:rPr>
                <w:rFonts w:hint="eastAsia"/>
              </w:rPr>
              <w:t xml:space="preserve">项目总体实施方案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本项目的项目总体实施方案，评委根据投标文件对招标文件第四章“采购需求”中“项目服务整体方案”要求的响应情况进行评审。</w:t>
            </w:r>
            <w:r/>
          </w:p>
          <w:p>
            <w:r>
              <w:rPr>
                <w:rFonts w:hint="eastAsia"/>
              </w:rPr>
              <w:t xml:space="preserve">（</w:t>
            </w:r>
            <w:r>
              <w:rPr>
                <w:rFonts w:hint="eastAsia"/>
              </w:rPr>
              <w:t xml:space="preserve">1</w:t>
            </w:r>
            <w:r>
              <w:rPr>
                <w:rFonts w:hint="eastAsia"/>
              </w:rPr>
              <w:t xml:space="preserve">）投标文件未符合“项目服务整体方案”中全部条款要求的，视为不符合招标文件，本项得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）投标文件符合“项目服务整体方案”中全部条款要求的，视为符合招标文件，本项得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）投标文件对“项目服务整体方案”中“服务目标与定位”、“服务质量管控”</w:t>
            </w:r>
            <w:r>
              <w:rPr>
                <w:rFonts w:hint="eastAsia"/>
              </w:rPr>
              <w:t xml:space="preserve">2</w:t>
            </w:r>
            <w:r>
              <w:rPr>
                <w:rFonts w:hint="eastAsia"/>
              </w:rPr>
              <w:t xml:space="preserve">项要求的响应内容全部优于招标文件要求的（前提是投标文件对“项目服务整体方案”中除“服务目标与定位”、“服务质量管控”以外其他要求响应内容符合招标文件要求），本项得</w:t>
            </w:r>
            <w:r>
              <w:rPr>
                <w:rFonts w:hint="eastAsia"/>
              </w:rPr>
              <w:t xml:space="preserve">4</w:t>
            </w:r>
            <w:r>
              <w:rPr>
                <w:rFonts w:hint="eastAsia"/>
              </w:rPr>
              <w:t xml:space="preserve">分。</w:t>
            </w:r>
            <w:r/>
          </w:p>
        </w:tc>
      </w:tr>
      <w:tr>
        <w:trPr>
          <w:jc w:val="center"/>
          <w:tblCellSpacing w:w="0" w:type="dxa"/>
          <w:trHeight w:val="140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2.2</w:t>
            </w:r>
            <w:r>
              <w:rPr>
                <w:rFonts w:hint="eastAsia"/>
              </w:rPr>
              <w:t xml:space="preserve">保洁员服务方案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本项目的保洁员服务方案，评委根据投标文件对招标文件第四章“采购需求”中“保洁服务方案”要求的响应情况进行评审。</w:t>
            </w:r>
            <w:r/>
          </w:p>
          <w:p>
            <w:r>
              <w:rPr>
                <w:rFonts w:hint="eastAsia"/>
              </w:rPr>
              <w:t xml:space="preserve">（</w:t>
            </w:r>
            <w:r>
              <w:rPr>
                <w:rFonts w:hint="eastAsia"/>
              </w:rPr>
              <w:t xml:space="preserve">1</w:t>
            </w:r>
            <w:r>
              <w:rPr>
                <w:rFonts w:hint="eastAsia"/>
              </w:rPr>
              <w:t xml:space="preserve">）投标文件未符合“保洁服务方案”中全部条款要求的，视为不符合招标文件，本项得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）投标文件符合“保洁服务方案”中全部条款要求的，视为符合招标文件，本项得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）投标文件对“保洁服务方案”中“工作流程”、“验收标准”</w:t>
            </w:r>
            <w:r>
              <w:rPr>
                <w:rFonts w:hint="eastAsia"/>
              </w:rPr>
              <w:t xml:space="preserve">2</w:t>
            </w:r>
            <w:r>
              <w:rPr>
                <w:rFonts w:hint="eastAsia"/>
              </w:rPr>
              <w:t xml:space="preserve">项要求的响应内容全部优于招标文件要求的（前提是投标文件对“保洁服务方案”中除“工作流程”、“验收标准”以外其他要求响应内容符合招标文件要求），本项得</w:t>
            </w:r>
            <w:r>
              <w:rPr>
                <w:rFonts w:hint="eastAsia"/>
              </w:rPr>
              <w:t xml:space="preserve">4</w:t>
            </w:r>
            <w:r>
              <w:rPr>
                <w:rFonts w:hint="eastAsia"/>
              </w:rPr>
              <w:t xml:space="preserve">分。</w:t>
            </w:r>
            <w:r/>
          </w:p>
        </w:tc>
      </w:tr>
      <w:tr>
        <w:trPr>
          <w:jc w:val="center"/>
          <w:tblCellSpacing w:w="0" w:type="dxa"/>
          <w:trHeight w:val="154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2.3</w:t>
            </w:r>
            <w:r>
              <w:rPr>
                <w:rFonts w:hint="eastAsia"/>
              </w:rPr>
              <w:t xml:space="preserve">水电工兼安保服务方案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本项目的水电工兼安保服务方案，评委根据投标文件对招标文件第四章“采购需求”中“水电工兼安保服务方案”要求的响应情况进行评审。</w:t>
            </w:r>
            <w:r/>
          </w:p>
          <w:p>
            <w:r>
              <w:rPr>
                <w:rFonts w:hint="eastAsia"/>
              </w:rPr>
              <w:t xml:space="preserve">（</w:t>
            </w:r>
            <w:r>
              <w:rPr>
                <w:rFonts w:hint="eastAsia"/>
              </w:rPr>
              <w:t xml:space="preserve">1</w:t>
            </w:r>
            <w:r>
              <w:rPr>
                <w:rFonts w:hint="eastAsia"/>
              </w:rPr>
              <w:t xml:space="preserve">）投标文件未符合“水电工兼安保服务方案”中全部条款要求的，视为不符合招标文件，本项得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）投标文件符合“水电工兼安保服务方案”中全部条款要求的，视为符合招标文件，本项得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）投标文件对“水电工兼安保服务方案”中“突发事件处置”、“故障处理与修复”</w:t>
            </w:r>
            <w:r>
              <w:rPr>
                <w:rFonts w:hint="eastAsia"/>
              </w:rPr>
              <w:t xml:space="preserve">2</w:t>
            </w:r>
            <w:r>
              <w:rPr>
                <w:rFonts w:hint="eastAsia"/>
              </w:rPr>
              <w:t xml:space="preserve">项要求的响应内容全部优于招标文件要求的（前提是投标文件对“水电工兼安保服务方案”中除“突发事件处置”、“故障处理与修复”以外其他要求响应内容符合招标文件要求），本项得</w:t>
            </w:r>
            <w:r>
              <w:rPr>
                <w:rFonts w:hint="eastAsia"/>
              </w:rPr>
              <w:t xml:space="preserve">4</w:t>
            </w:r>
            <w:r>
              <w:rPr>
                <w:rFonts w:hint="eastAsia"/>
              </w:rPr>
              <w:t xml:space="preserve">分。</w:t>
            </w:r>
            <w:r/>
          </w:p>
        </w:tc>
      </w:tr>
      <w:tr>
        <w:trPr>
          <w:jc w:val="center"/>
          <w:tblCellSpacing w:w="0" w:type="dxa"/>
          <w:trHeight w:val="1123"/>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2.4</w:t>
            </w:r>
            <w:r>
              <w:rPr>
                <w:rFonts w:hint="eastAsia"/>
              </w:rPr>
              <w:t xml:space="preserve">餐饮服务方案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本项目的餐饮服务方案，评委根据投标文件对招标文件第四章“采购需求”中“</w:t>
            </w:r>
            <w:r>
              <w:t xml:space="preserve">餐饮服务方案</w:t>
            </w:r>
            <w:r>
              <w:rPr>
                <w:rFonts w:hint="eastAsia"/>
              </w:rPr>
              <w:t xml:space="preserve">”要求的响应情况进行评审。</w:t>
            </w:r>
            <w:r/>
          </w:p>
          <w:p>
            <w:r>
              <w:t xml:space="preserve">（</w:t>
            </w:r>
            <w:r>
              <w:t xml:space="preserve">1</w:t>
            </w:r>
            <w:r>
              <w:t xml:space="preserve">）投标文件未符合</w:t>
            </w:r>
            <w:r>
              <w:t xml:space="preserve">“</w:t>
            </w:r>
            <w:r>
              <w:t xml:space="preserve">餐饮服务方案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餐饮服务方案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餐饮服务方案</w:t>
            </w:r>
            <w:r>
              <w:t xml:space="preserve">”</w:t>
            </w:r>
            <w:r>
              <w:t xml:space="preserve">中</w:t>
            </w:r>
            <w:r>
              <w:t xml:space="preserve">“</w:t>
            </w:r>
            <w:r>
              <w:rPr>
                <w:rFonts w:hint="eastAsia"/>
              </w:rPr>
              <w:t xml:space="preserve">食品安全保障措施</w:t>
            </w:r>
            <w:r>
              <w:t xml:space="preserve">”</w:t>
            </w:r>
            <w:r>
              <w:t xml:space="preserve">、</w:t>
            </w:r>
            <w:r>
              <w:t xml:space="preserve">“</w:t>
            </w:r>
            <w:r>
              <w:rPr>
                <w:rFonts w:hint="eastAsia"/>
              </w:rPr>
              <w:t xml:space="preserve">服务质量</w:t>
            </w:r>
            <w:r>
              <w:t xml:space="preserve">”2</w:t>
            </w:r>
            <w:r>
              <w:t xml:space="preserve">项要求的响应内容全部优于招标文件要求的（前提是投标文件对</w:t>
            </w:r>
            <w:r>
              <w:t xml:space="preserve">“</w:t>
            </w:r>
            <w:r>
              <w:t xml:space="preserve">餐饮服务方案</w:t>
            </w:r>
            <w:r>
              <w:t xml:space="preserve">”</w:t>
            </w:r>
            <w:r>
              <w:t xml:space="preserve">中除</w:t>
            </w:r>
            <w:r>
              <w:t xml:space="preserve">“</w:t>
            </w:r>
            <w:r>
              <w:t xml:space="preserve">食品安全保障措施</w:t>
            </w:r>
            <w:r>
              <w:t xml:space="preserve">”</w:t>
            </w:r>
            <w:r>
              <w:t xml:space="preserve">、</w:t>
            </w:r>
            <w:r>
              <w:t xml:space="preserve">“</w:t>
            </w:r>
            <w:r>
              <w:t xml:space="preserve">服务质量</w:t>
            </w:r>
            <w:r>
              <w:t xml:space="preserve">”</w:t>
            </w:r>
            <w:r>
              <w:t xml:space="preserve">以外其他要求响应内容符合招标文件要求），本项得</w:t>
            </w:r>
            <w:r>
              <w:t xml:space="preserve">4</w:t>
            </w:r>
            <w:r>
              <w:t xml:space="preserve">分。</w:t>
            </w:r>
            <w:r/>
          </w:p>
        </w:tc>
      </w:tr>
      <w:tr>
        <w:trPr>
          <w:jc w:val="center"/>
          <w:tblCellSpacing w:w="0" w:type="dxa"/>
          <w:trHeight w:val="139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2.5</w:t>
            </w:r>
            <w:r>
              <w:rPr>
                <w:rFonts w:hint="eastAsia"/>
              </w:rPr>
              <w:t xml:space="preserve">驾驶员服务方案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本项目的驾驶员服务方案，评委根据投标文件对招标文件第四章“采购需求”中“</w:t>
            </w:r>
            <w:r>
              <w:t xml:space="preserve">驾驶员服务方案</w:t>
            </w:r>
            <w:r>
              <w:rPr>
                <w:rFonts w:hint="eastAsia"/>
              </w:rPr>
              <w:t xml:space="preserve">”要求的响应情况进行评审。</w:t>
            </w:r>
            <w:r/>
          </w:p>
          <w:p>
            <w:r>
              <w:t xml:space="preserve">（</w:t>
            </w:r>
            <w:r>
              <w:t xml:space="preserve">1</w:t>
            </w:r>
            <w:r>
              <w:t xml:space="preserve">）投标文件未符合</w:t>
            </w:r>
            <w:r>
              <w:t xml:space="preserve">“</w:t>
            </w:r>
            <w:r>
              <w:t xml:space="preserve">驾驶员服务方案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驾驶员服务方案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驾驶员服务方案</w:t>
            </w:r>
            <w:r>
              <w:t xml:space="preserve">”</w:t>
            </w:r>
            <w:r>
              <w:t xml:space="preserve">中</w:t>
            </w:r>
            <w:r>
              <w:t xml:space="preserve">“</w:t>
            </w:r>
            <w:r>
              <w:rPr>
                <w:rFonts w:hint="eastAsia"/>
              </w:rPr>
              <w:t xml:space="preserve">安全驾驶保障”</w:t>
            </w:r>
            <w:r>
              <w:t xml:space="preserve">、</w:t>
            </w:r>
            <w:r>
              <w:t xml:space="preserve">“</w:t>
            </w:r>
            <w:r>
              <w:rPr>
                <w:rFonts w:hint="eastAsia"/>
              </w:rPr>
              <w:t xml:space="preserve">突发事件的应急措施</w:t>
            </w:r>
            <w:r>
              <w:t xml:space="preserve">”2</w:t>
            </w:r>
            <w:r>
              <w:t xml:space="preserve">项要求的响应内容全部优于招标文件要求的（前提是投标文件对</w:t>
            </w:r>
            <w:r>
              <w:t xml:space="preserve">“</w:t>
            </w:r>
            <w:r>
              <w:t xml:space="preserve">驾驶员服务方案</w:t>
            </w:r>
            <w:r>
              <w:t xml:space="preserve">”</w:t>
            </w:r>
            <w:r>
              <w:t xml:space="preserve">中除</w:t>
            </w:r>
            <w:r>
              <w:t xml:space="preserve">“</w:t>
            </w:r>
            <w:r>
              <w:rPr>
                <w:rFonts w:hint="eastAsia"/>
              </w:rPr>
              <w:t xml:space="preserve">安全驾驶保障</w:t>
            </w:r>
            <w:r>
              <w:t xml:space="preserve">”</w:t>
            </w:r>
            <w:r>
              <w:t xml:space="preserve">、</w:t>
            </w:r>
            <w:r>
              <w:t xml:space="preserve">“</w:t>
            </w:r>
            <w:r>
              <w:t xml:space="preserve">突发事件的应急措施</w:t>
            </w:r>
            <w:r>
              <w:t xml:space="preserve">”</w:t>
            </w:r>
            <w:r>
              <w:t xml:space="preserve">以外其他要求响应内容符合招标文件要求），本项得</w:t>
            </w:r>
            <w:r>
              <w:t xml:space="preserve">4</w:t>
            </w:r>
            <w:r>
              <w:t xml:space="preserve">分。</w:t>
            </w:r>
            <w:r/>
          </w:p>
        </w:tc>
      </w:tr>
      <w:tr>
        <w:trPr>
          <w:jc w:val="center"/>
          <w:tblCellSpacing w:w="0" w:type="dxa"/>
          <w:trHeight w:val="2320"/>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2.6</w:t>
            </w:r>
            <w:r>
              <w:rPr>
                <w:rFonts w:hint="eastAsia"/>
              </w:rPr>
              <w:t xml:space="preserve">会务服务方案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本项目的会务服务方案，评委根据投标文件对招标文件第四章“采购需求”中“会务服务方案”要求的响应情况进行评审。</w:t>
            </w:r>
            <w:r/>
          </w:p>
          <w:p>
            <w:r>
              <w:rPr>
                <w:rFonts w:hint="eastAsia"/>
              </w:rPr>
              <w:t xml:space="preserve">（</w:t>
            </w:r>
            <w:r>
              <w:rPr>
                <w:rFonts w:hint="eastAsia"/>
              </w:rPr>
              <w:t xml:space="preserve">1</w:t>
            </w:r>
            <w:r>
              <w:rPr>
                <w:rFonts w:hint="eastAsia"/>
              </w:rPr>
              <w:t xml:space="preserve">）投标文件未符合“会务服务方案”中全部条款要求的，视为不符合招标文件，本项得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）投标文件符合“会务服务方案”中全部条款要求的，视为符合招标文件，本项得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）投标文件对“会务服务方案”中“服务质量”、“物业运营、协调或管理经验”</w:t>
            </w:r>
            <w:r>
              <w:rPr>
                <w:rFonts w:hint="eastAsia"/>
              </w:rPr>
              <w:t xml:space="preserve">2</w:t>
            </w:r>
            <w:r>
              <w:rPr>
                <w:rFonts w:hint="eastAsia"/>
              </w:rPr>
              <w:t xml:space="preserve">项要求的响应内容全部优于招标文件要求的（前提是投标文件对“会务服务方案”中除“服务质量”、“物业运营、协调或管理经验”以外其他要求响应内容符合招标文件要求），本项得</w:t>
            </w:r>
            <w:r>
              <w:rPr>
                <w:rFonts w:hint="eastAsia"/>
              </w:rPr>
              <w:t xml:space="preserve">4</w:t>
            </w:r>
            <w:r>
              <w:rPr>
                <w:rFonts w:hint="eastAsia"/>
              </w:rP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2.7</w:t>
            </w:r>
            <w:r>
              <w:rPr>
                <w:rFonts w:hint="eastAsia"/>
              </w:rPr>
              <w:t xml:space="preserve">突发事件应急处置方案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本项目的突发事件应急处置方案，评委根据投标文件对招标文件第四章“采购需求”中“突发事件应急处置方案”要求的响应情况进行评审。</w:t>
            </w:r>
            <w:r/>
          </w:p>
          <w:p>
            <w:r>
              <w:rPr>
                <w:rFonts w:hint="eastAsia"/>
              </w:rPr>
              <w:t xml:space="preserve">（</w:t>
            </w:r>
            <w:r>
              <w:rPr>
                <w:rFonts w:hint="eastAsia"/>
              </w:rPr>
              <w:t xml:space="preserve">1</w:t>
            </w:r>
            <w:r>
              <w:rPr>
                <w:rFonts w:hint="eastAsia"/>
              </w:rPr>
              <w:t xml:space="preserve">）投标文件未符合“突发事件应急处置方案”中全部条款要求的，视为不符合招标文件，本项得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）投标文件符合“突发事件应急处置方案”中全部条款要求的，视为符合招标文件，本项得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）投标文件对“突发事件应急处置方案”中“突发事件排查”、“应急预案的建立”</w:t>
            </w:r>
            <w:r>
              <w:rPr>
                <w:rFonts w:hint="eastAsia"/>
              </w:rPr>
              <w:t xml:space="preserve">2</w:t>
            </w:r>
            <w:r>
              <w:rPr>
                <w:rFonts w:hint="eastAsia"/>
              </w:rPr>
              <w:t xml:space="preserve">项要求的响应内容全部优于招标文件要求的（前提是投标文件对“突发事件应急处置方案”中除“突发事件的排查”、“应急预案的建立”以外其他要求响应内容符合招标文件要求），本项得</w:t>
            </w:r>
            <w:r>
              <w:rPr>
                <w:rFonts w:hint="eastAsia"/>
              </w:rPr>
              <w:t xml:space="preserve">3</w:t>
            </w:r>
            <w:r>
              <w:rPr>
                <w:rFonts w:hint="eastAsia"/>
              </w:rP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2.8</w:t>
            </w:r>
            <w:r>
              <w:rPr>
                <w:rFonts w:hint="eastAsia"/>
              </w:rPr>
              <w:t xml:space="preserve">人员配置方案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本项目的人员配置方案，评委根据投标文件对招标文件第四章“采购需求”中“人员配置</w:t>
            </w:r>
            <w:r>
              <w:t xml:space="preserve">方案</w:t>
            </w:r>
            <w:r>
              <w:rPr>
                <w:rFonts w:hint="eastAsia"/>
              </w:rPr>
              <w:t xml:space="preserve">”要求的响应情况进行评审。</w:t>
            </w:r>
            <w:r/>
          </w:p>
          <w:p>
            <w:r>
              <w:t xml:space="preserve">（</w:t>
            </w:r>
            <w:r>
              <w:t xml:space="preserve">1</w:t>
            </w:r>
            <w:r>
              <w:t xml:space="preserve">）投标文件未符合</w:t>
            </w:r>
            <w:r>
              <w:t xml:space="preserve">“</w:t>
            </w:r>
            <w:r>
              <w:rPr>
                <w:rFonts w:hint="eastAsia"/>
              </w:rPr>
              <w:t xml:space="preserve">人员配置</w:t>
            </w:r>
            <w:r>
              <w:t xml:space="preserve">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rPr>
                <w:rFonts w:hint="eastAsia"/>
              </w:rPr>
              <w:t xml:space="preserve">人员配置方</w:t>
            </w:r>
            <w:r>
              <w:t xml:space="preserve">案</w:t>
            </w:r>
            <w:r>
              <w:t xml:space="preserve">”</w:t>
            </w:r>
            <w:r>
              <w:t xml:space="preserve">中全部条款要求的，视为符合招标文件，本项得</w:t>
            </w:r>
            <w:r>
              <w:rPr>
                <w:rFonts w:hint="eastAsia"/>
              </w:rPr>
              <w:t xml:space="preserve">2</w:t>
            </w:r>
            <w:r>
              <w:t xml:space="preserve">分。</w:t>
            </w:r>
            <w:r/>
          </w:p>
          <w:p>
            <w:r>
              <w:t xml:space="preserve">（</w:t>
            </w:r>
            <w:r>
              <w:t xml:space="preserve">3</w:t>
            </w:r>
            <w:r>
              <w:t xml:space="preserve">）投标文件对</w:t>
            </w:r>
            <w:r>
              <w:t xml:space="preserve">“</w:t>
            </w:r>
            <w:r>
              <w:rPr>
                <w:rFonts w:hint="eastAsia"/>
              </w:rPr>
              <w:t xml:space="preserve">人员配置方案</w:t>
            </w:r>
            <w:r>
              <w:t xml:space="preserve">”</w:t>
            </w:r>
            <w:r>
              <w:t xml:space="preserve">中</w:t>
            </w:r>
            <w:r>
              <w:t xml:space="preserve">“</w:t>
            </w:r>
            <w:r>
              <w:rPr>
                <w:rFonts w:hint="eastAsia"/>
              </w:rPr>
              <w:t xml:space="preserve">工作经历</w:t>
            </w:r>
            <w:r>
              <w:t xml:space="preserve">”</w:t>
            </w:r>
            <w:r>
              <w:t xml:space="preserve">、</w:t>
            </w:r>
            <w:r>
              <w:t xml:space="preserve">“</w:t>
            </w:r>
            <w:r>
              <w:rPr>
                <w:rFonts w:hint="eastAsia"/>
              </w:rPr>
              <w:t xml:space="preserve">技能资格</w:t>
            </w:r>
            <w:r>
              <w:t xml:space="preserve">”2</w:t>
            </w:r>
            <w:r>
              <w:t xml:space="preserve">项要求的响应内容全部优于招标文件要求的（前提是投标文件对</w:t>
            </w:r>
            <w:r>
              <w:t xml:space="preserve">“</w:t>
            </w:r>
            <w:r>
              <w:rPr>
                <w:rFonts w:hint="eastAsia"/>
              </w:rPr>
              <w:t xml:space="preserve">人员配置</w:t>
            </w:r>
            <w:r>
              <w:t xml:space="preserve">方案</w:t>
            </w:r>
            <w:r>
              <w:t xml:space="preserve">”</w:t>
            </w:r>
            <w:r>
              <w:t xml:space="preserve">中除</w:t>
            </w:r>
            <w:r>
              <w:t xml:space="preserve">“</w:t>
            </w:r>
            <w:r>
              <w:t xml:space="preserve">工作经历</w:t>
            </w:r>
            <w:r>
              <w:t xml:space="preserve">”</w:t>
            </w:r>
            <w:r>
              <w:t xml:space="preserve">、</w:t>
            </w:r>
            <w:r>
              <w:t xml:space="preserve">“</w:t>
            </w:r>
            <w:r>
              <w:t xml:space="preserve">技能资格</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2.9</w:t>
            </w:r>
            <w:r>
              <w:rPr>
                <w:rFonts w:hint="eastAsia"/>
              </w:rPr>
              <w:t xml:space="preserve">管理规章及人员考核方案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本项目的管理规章及人员考核方案，评委根据投标文件对招标文件第四章“采购需求”中“</w:t>
            </w:r>
            <w:r>
              <w:t xml:space="preserve">管理制度</w:t>
            </w:r>
            <w:r>
              <w:rPr>
                <w:rFonts w:hint="eastAsia"/>
              </w:rPr>
              <w:t xml:space="preserve">”要求的响应情况进行评审。</w:t>
            </w:r>
            <w:r/>
          </w:p>
          <w:p>
            <w:r>
              <w:t xml:space="preserve">（</w:t>
            </w:r>
            <w:r>
              <w:t xml:space="preserve">1</w:t>
            </w:r>
            <w:r>
              <w:t xml:space="preserve">）投标文件未符合</w:t>
            </w:r>
            <w:r>
              <w:t xml:space="preserve">“</w:t>
            </w:r>
            <w:r>
              <w:t xml:space="preserve">管理制度</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管理制度</w:t>
            </w:r>
            <w:r>
              <w:t xml:space="preserve">”</w:t>
            </w:r>
            <w:r>
              <w:t xml:space="preserve">中全部条款要求的，视为符合招标文件，本项得</w:t>
            </w:r>
            <w:r>
              <w:rPr>
                <w:rFonts w:hint="eastAsia"/>
              </w:rPr>
              <w:t xml:space="preserve">2</w:t>
            </w:r>
            <w:r>
              <w:t xml:space="preserve">分。</w:t>
            </w:r>
            <w:r/>
          </w:p>
          <w:p>
            <w:r>
              <w:t xml:space="preserve">（</w:t>
            </w:r>
            <w:r>
              <w:t xml:space="preserve">3</w:t>
            </w:r>
            <w:r>
              <w:t xml:space="preserve">）投标文件对</w:t>
            </w:r>
            <w:r>
              <w:t xml:space="preserve">“</w:t>
            </w:r>
            <w:r>
              <w:t xml:space="preserve">管理制度</w:t>
            </w:r>
            <w:r>
              <w:t xml:space="preserve">”</w:t>
            </w:r>
            <w:r>
              <w:t xml:space="preserve">中</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”2</w:t>
            </w:r>
            <w:r>
              <w:t xml:space="preserve">项要求的响应内容全部优于招标文件要求的（前提是投标文件对</w:t>
            </w:r>
            <w:r>
              <w:t xml:space="preserve">“</w:t>
            </w:r>
            <w:r>
              <w:t xml:space="preserve">管理制度</w:t>
            </w:r>
            <w:r>
              <w:t xml:space="preserve">”</w:t>
            </w:r>
            <w:r>
              <w:t xml:space="preserve">中除</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2.10</w:t>
            </w:r>
            <w:r>
              <w:rPr>
                <w:rFonts w:hint="eastAsia"/>
              </w:rPr>
              <w:t xml:space="preserve">人员培训方案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本项目的人员培训方案，评委根据投标文件对招标文件第四章“采购需求”中“人员培训方案”要求的响应情况进行评审。</w:t>
            </w:r>
            <w:r/>
          </w:p>
          <w:p>
            <w:r>
              <w:t xml:space="preserve">（</w:t>
            </w:r>
            <w:r>
              <w:t xml:space="preserve">1</w:t>
            </w:r>
            <w:r>
              <w:t xml:space="preserve">）投标文件未符合</w:t>
            </w:r>
            <w:r>
              <w:t xml:space="preserve">“</w:t>
            </w:r>
            <w:r>
              <w:t xml:space="preserve">人员培训方案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人员培训方案</w:t>
            </w:r>
            <w:r>
              <w:t xml:space="preserve">”</w:t>
            </w:r>
            <w:r>
              <w:t xml:space="preserve">中全部条款要求的，视为符合招标文件，本项得</w:t>
            </w:r>
            <w:r>
              <w:rPr>
                <w:rFonts w:hint="eastAsia"/>
              </w:rP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人员培训方案</w:t>
            </w:r>
            <w:r>
              <w:t xml:space="preserve">”</w:t>
            </w:r>
            <w:r>
              <w:t xml:space="preserve">中</w:t>
            </w:r>
            <w:r>
              <w:t xml:space="preserve">“</w:t>
            </w:r>
            <w:r>
              <w:rPr>
                <w:rFonts w:hint="eastAsia"/>
              </w:rPr>
              <w:t xml:space="preserve">岗前培训</w:t>
            </w:r>
            <w:r>
              <w:t xml:space="preserve">”</w:t>
            </w:r>
            <w:r>
              <w:t xml:space="preserve">、</w:t>
            </w:r>
            <w:r>
              <w:t xml:space="preserve">“</w:t>
            </w:r>
            <w:r>
              <w:rPr>
                <w:rFonts w:hint="eastAsia"/>
              </w:rPr>
              <w:t xml:space="preserve">安全教育</w:t>
            </w:r>
            <w:r>
              <w:t xml:space="preserve">”2</w:t>
            </w:r>
            <w:r>
              <w:t xml:space="preserve">项要求的响应内容全部优于招标文件要求的（前提是投标文件对</w:t>
            </w:r>
            <w:r>
              <w:t xml:space="preserve">“</w:t>
            </w:r>
            <w:r>
              <w:t xml:space="preserve">人员培训方案</w:t>
            </w:r>
            <w:r>
              <w:t xml:space="preserve">”</w:t>
            </w:r>
            <w:r>
              <w:t xml:space="preserve">中除</w:t>
            </w:r>
            <w:r>
              <w:t xml:space="preserve">“</w:t>
            </w:r>
            <w:r>
              <w:t xml:space="preserve">岗前培训</w:t>
            </w:r>
            <w:r>
              <w:t xml:space="preserve">”</w:t>
            </w:r>
            <w:r>
              <w:t xml:space="preserve">、</w:t>
            </w:r>
            <w:r>
              <w:t xml:space="preserve">“</w:t>
            </w:r>
            <w:r>
              <w:t xml:space="preserve">安全教育</w:t>
            </w:r>
            <w:r>
              <w:t xml:space="preserve">”</w:t>
            </w:r>
            <w:r>
              <w:t xml:space="preserve">以外其他要求响应内容符合招标文件要求），本项得</w:t>
            </w:r>
            <w:r>
              <w:rPr>
                <w:rFonts w:hint="eastAsia"/>
              </w:rPr>
              <w:t xml:space="preserve">3</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2.11</w:t>
            </w:r>
            <w:r>
              <w:rPr>
                <w:rFonts w:hint="eastAsia"/>
              </w:rPr>
              <w:t xml:space="preserve">交接过渡方案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本项目的交接过渡方案方案，评委根据投标文件对招标文件第四章“采购需求”中“</w:t>
            </w:r>
            <w:r>
              <w:t xml:space="preserve">进退场工作方案</w:t>
            </w:r>
            <w:r>
              <w:rPr>
                <w:rFonts w:hint="eastAsia"/>
              </w:rPr>
              <w:t xml:space="preserve">”要求的响应情况进行评审。</w:t>
            </w:r>
            <w:r/>
          </w:p>
          <w:p>
            <w:r>
              <w:t xml:space="preserve">（</w:t>
            </w:r>
            <w:r>
              <w:t xml:space="preserve">1</w:t>
            </w:r>
            <w:r>
              <w:t xml:space="preserve">）投标文件未符合</w:t>
            </w:r>
            <w:r>
              <w:t xml:space="preserve">“</w:t>
            </w:r>
            <w:r>
              <w:t xml:space="preserve">进退场工作方案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进退场工作方案</w:t>
            </w:r>
            <w:r>
              <w:t xml:space="preserve">”</w:t>
            </w:r>
            <w:r>
              <w:t xml:space="preserve">中全部条款要求的，视为符合招标文件，本项得</w:t>
            </w:r>
            <w: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进退场工作方案</w:t>
            </w:r>
            <w:r>
              <w:t xml:space="preserve">”</w:t>
            </w:r>
            <w:r>
              <w:t xml:space="preserve">中</w:t>
            </w:r>
            <w:r>
              <w:t xml:space="preserve">“</w:t>
            </w:r>
            <w:r>
              <w:rPr>
                <w:rFonts w:hint="eastAsia"/>
              </w:rPr>
              <w:t xml:space="preserve">交接流程</w:t>
            </w:r>
            <w:r>
              <w:t xml:space="preserve">”</w:t>
            </w:r>
            <w:r>
              <w:t xml:space="preserve">、</w:t>
            </w:r>
            <w:r>
              <w:t xml:space="preserve">“</w:t>
            </w:r>
            <w:r>
              <w:rPr>
                <w:rFonts w:hint="eastAsia"/>
              </w:rPr>
              <w:t xml:space="preserve">难点处理</w:t>
            </w:r>
            <w:r>
              <w:t xml:space="preserve">”2</w:t>
            </w:r>
            <w:r>
              <w:t xml:space="preserve">项要求的响应内容全部优于招标文件要求的（前提是投标文件对</w:t>
            </w:r>
            <w:r>
              <w:t xml:space="preserve">“</w:t>
            </w:r>
            <w:r>
              <w:t xml:space="preserve">进退场工作方案</w:t>
            </w:r>
            <w:r>
              <w:t xml:space="preserve">”</w:t>
            </w:r>
            <w:r>
              <w:t xml:space="preserve">中除</w:t>
            </w:r>
            <w:r>
              <w:t xml:space="preserve">“</w:t>
            </w:r>
            <w:r>
              <w:t xml:space="preserve">交接流程</w:t>
            </w:r>
            <w:r>
              <w:t xml:space="preserve">”</w:t>
            </w:r>
            <w:r>
              <w:t xml:space="preserve">、</w:t>
            </w:r>
            <w:r>
              <w:t xml:space="preserve">“</w:t>
            </w:r>
            <w:r>
              <w:t xml:space="preserve">难点处理</w:t>
            </w:r>
            <w:r>
              <w:t xml:space="preserve">”</w:t>
            </w:r>
            <w:r>
              <w:t xml:space="preserve">以外其他要求响应内容符合招标文件要求），本项得</w:t>
            </w:r>
            <w:r>
              <w:rPr>
                <w:rFonts w:hint="eastAsia"/>
              </w:rPr>
              <w:t xml:space="preserve">3</w:t>
            </w:r>
            <w:r>
              <w:t xml:space="preserve">分。</w:t>
            </w:r>
            <w:r/>
          </w:p>
        </w:tc>
      </w:tr>
      <w:tr>
        <w:trPr>
          <w:jc w:val="center"/>
          <w:tblCellSpacing w:w="0" w:type="dxa"/>
          <w:trHeight w:val="1251"/>
        </w:trPr>
        <w:tc>
          <w:tcPr>
            <w:tcW w:w="982" w:type="dxa"/>
            <w:vAlign w:val="center"/>
            <w:vMerge w:val="restart"/>
            <w:textDirection w:val="lrTb"/>
            <w:noWrap w:val="false"/>
          </w:tcPr>
          <w:p>
            <w:r>
              <w:rPr>
                <w:rFonts w:hint="eastAsia"/>
              </w:rPr>
              <w:t xml:space="preserve">3</w:t>
            </w:r>
            <w:r/>
          </w:p>
        </w:tc>
        <w:tc>
          <w:tcPr>
            <w:tcW w:w="1418" w:type="dxa"/>
            <w:vAlign w:val="center"/>
            <w:vMerge w:val="restart"/>
            <w:textDirection w:val="lrTb"/>
            <w:noWrap w:val="false"/>
          </w:tcPr>
          <w:p>
            <w:r>
              <w:rPr>
                <w:rFonts w:hint="eastAsia"/>
              </w:rPr>
              <w:t xml:space="preserve">人员配置</w:t>
            </w:r>
            <w:r>
              <w:rPr>
                <w:rFonts w:hint="eastAsia"/>
              </w:rPr>
              <w:t xml:space="preserve">32</w:t>
            </w:r>
            <w:r/>
          </w:p>
        </w:tc>
        <w:tc>
          <w:tcPr>
            <w:tcW w:w="1279" w:type="dxa"/>
            <w:vAlign w:val="center"/>
            <w:textDirection w:val="lrTb"/>
            <w:noWrap w:val="false"/>
          </w:tcPr>
          <w:p>
            <w:pPr>
              <w:rPr>
                <w:szCs w:val="24"/>
              </w:rPr>
            </w:pPr>
            <w:r>
              <w:rPr>
                <w:rFonts w:hint="eastAsia"/>
              </w:rPr>
              <w:t xml:space="preserve">3.1</w:t>
            </w:r>
            <w:r>
              <w:rPr>
                <w:rFonts w:hint="eastAsia"/>
              </w:rPr>
              <w:t xml:space="preserve">水电工兼安保</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）拟派驻水电工兼安保具有高压电工特种作业操作证的，每有一名得</w:t>
            </w:r>
            <w:r>
              <w:rPr>
                <w:rFonts w:hint="eastAsia"/>
              </w:rPr>
              <w:t xml:space="preserve">1</w:t>
            </w:r>
            <w:r>
              <w:rPr>
                <w:rFonts w:hint="eastAsia"/>
              </w:rPr>
              <w:t xml:space="preserve">分，最高得</w:t>
            </w:r>
            <w:r>
              <w:rPr>
                <w:rFonts w:hint="eastAsia"/>
              </w:rPr>
              <w:t xml:space="preserve">4</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）拟派驻水电工兼安保均具有与本项目类似的</w:t>
            </w:r>
            <w:r>
              <w:rPr>
                <w:rFonts w:hint="eastAsia"/>
              </w:rPr>
              <w:t xml:space="preserve">3</w:t>
            </w:r>
            <w:r>
              <w:rPr>
                <w:rFonts w:hint="eastAsia"/>
              </w:rPr>
              <w:t xml:space="preserve">年（含）以上水电工工作经验的，得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）拟派驻水电工兼安保均具有初中及以上学历的，得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93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3.2</w:t>
            </w:r>
            <w:r>
              <w:rPr>
                <w:rFonts w:hint="eastAsia"/>
              </w:rPr>
              <w:t xml:space="preserve">保洁人员</w:t>
            </w:r>
            <w:r/>
          </w:p>
        </w:tc>
        <w:tc>
          <w:tcPr>
            <w:tcW w:w="667" w:type="dxa"/>
            <w:vAlign w:val="center"/>
            <w:textDirection w:val="lrTb"/>
            <w:noWrap w:val="false"/>
          </w:tcPr>
          <w:p>
            <w:pPr>
              <w:rPr>
                <w:szCs w:val="24"/>
              </w:rPr>
            </w:pPr>
            <w:r>
              <w:rPr>
                <w:rFonts w:hint="eastAsia"/>
              </w:rPr>
              <w:t xml:space="preserve">4</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）拟派驻保洁人员均具有与本项目类似的</w:t>
            </w:r>
            <w:r>
              <w:rPr>
                <w:rFonts w:hint="eastAsia"/>
              </w:rPr>
              <w:t xml:space="preserve">2</w:t>
            </w:r>
            <w:r>
              <w:rPr>
                <w:rFonts w:hint="eastAsia"/>
              </w:rPr>
              <w:t xml:space="preserve">年（含）以上办公楼宇保洁工作经验的，得</w:t>
            </w:r>
            <w:r>
              <w:rPr>
                <w:rFonts w:hint="eastAsia"/>
              </w:rPr>
              <w:t xml:space="preserve">2</w:t>
            </w:r>
            <w:r>
              <w:rPr>
                <w:rFonts w:hint="eastAsia"/>
              </w:rPr>
              <w:t xml:space="preserve">分；</w:t>
            </w:r>
            <w:r/>
          </w:p>
          <w:p>
            <w:r>
              <w:rPr>
                <w:rFonts w:hint="eastAsia"/>
              </w:rPr>
              <w:t xml:space="preserve">（</w:t>
            </w:r>
            <w:r>
              <w:rPr>
                <w:rFonts w:hint="eastAsia"/>
              </w:rPr>
              <w:t xml:space="preserve">2</w:t>
            </w:r>
            <w:r>
              <w:rPr>
                <w:rFonts w:hint="eastAsia"/>
              </w:rPr>
              <w:t xml:space="preserve">）拟派驻保洁人员均具有初中及以上学历的，得</w:t>
            </w:r>
            <w:r>
              <w:rPr>
                <w:rFonts w:hint="eastAsia"/>
              </w:rPr>
              <w:t xml:space="preserve">2</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3.3</w:t>
            </w:r>
            <w:r>
              <w:rPr>
                <w:rFonts w:hint="eastAsia"/>
              </w:rPr>
              <w:t xml:space="preserve">驾驶员</w:t>
            </w:r>
            <w:r>
              <w:rPr>
                <w:rFonts w:hint="eastAsia"/>
              </w:rPr>
              <w:t xml:space="preserve"> </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）拟派驻驾驶员均具有初及以上学历的，得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）拟派驻的驾驶员每有</w:t>
            </w:r>
            <w:r>
              <w:rPr>
                <w:rFonts w:hint="eastAsia"/>
              </w:rPr>
              <w:t xml:space="preserve">1</w:t>
            </w:r>
            <w:r>
              <w:rPr>
                <w:rFonts w:hint="eastAsia"/>
              </w:rPr>
              <w:t xml:space="preserve">名提供近</w:t>
            </w:r>
            <w:r>
              <w:rPr>
                <w:rFonts w:hint="eastAsia"/>
              </w:rPr>
              <w:t xml:space="preserve">2</w:t>
            </w:r>
            <w:r>
              <w:rPr>
                <w:rFonts w:hint="eastAsia"/>
              </w:rPr>
              <w:t xml:space="preserve">年无满分学习记录的，得</w:t>
            </w:r>
            <w:r>
              <w:rPr>
                <w:rFonts w:hint="eastAsia"/>
              </w:rPr>
              <w:t xml:space="preserve">1</w:t>
            </w:r>
            <w:r>
              <w:rPr>
                <w:rFonts w:hint="eastAsia"/>
              </w:rPr>
              <w:t xml:space="preserve">分，最高得</w:t>
            </w:r>
            <w:r>
              <w:rPr>
                <w:rFonts w:hint="eastAsia"/>
              </w:rPr>
              <w:t xml:space="preserve">5</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ascii="宋体" w:hAnsi="宋体" w:cs="宋体"/>
              </w:rPr>
              <w:t xml:space="preserve">近2年无满分学习记录的证明需由公安机关交通管理部门出具或者交管12123平台线上出具的证明。</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3.4</w:t>
            </w:r>
            <w:r>
              <w:rPr>
                <w:rFonts w:hint="eastAsia"/>
              </w:rPr>
              <w:t xml:space="preserve">厨师</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）拟派驻厨师具有初中及以上学历的，得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）拟派驻厨师具有中式烹调师初级证书（职业技能等级五级）及以上技能等级证书的，得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）拟派驻厨师具有与本项目类似的</w:t>
            </w:r>
            <w:r>
              <w:rPr>
                <w:rFonts w:hint="eastAsia"/>
              </w:rPr>
              <w:t xml:space="preserve">2</w:t>
            </w:r>
            <w:r>
              <w:rPr>
                <w:rFonts w:hint="eastAsia"/>
              </w:rPr>
              <w:t xml:space="preserve">年（含）及以上厨师工作经验的，得</w:t>
            </w:r>
            <w:r>
              <w:rPr>
                <w:rFonts w:hint="eastAsia"/>
              </w:rPr>
              <w:t xml:space="preserve">2</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3.5</w:t>
            </w:r>
            <w:r>
              <w:rPr>
                <w:rFonts w:hint="eastAsia"/>
              </w:rPr>
              <w:t xml:space="preserve">厨工</w:t>
            </w:r>
            <w:r/>
          </w:p>
        </w:tc>
        <w:tc>
          <w:tcPr>
            <w:tcW w:w="667" w:type="dxa"/>
            <w:vAlign w:val="center"/>
            <w:textDirection w:val="lrTb"/>
            <w:noWrap w:val="false"/>
          </w:tcPr>
          <w:p>
            <w:pPr>
              <w:rPr>
                <w:szCs w:val="24"/>
              </w:rPr>
            </w:pPr>
            <w:r>
              <w:rPr>
                <w:rFonts w:hint="eastAsia"/>
                <w:szCs w:val="24"/>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）拟派驻厨工均具有与本项目类似的</w:t>
            </w:r>
            <w:r>
              <w:rPr>
                <w:rFonts w:hint="eastAsia"/>
              </w:rPr>
              <w:t xml:space="preserve">2</w:t>
            </w:r>
            <w:r>
              <w:rPr>
                <w:rFonts w:hint="eastAsia"/>
              </w:rPr>
              <w:t xml:space="preserve">年（含）以上单位食堂工作经验的，得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）拟派驻厨工持有中式烹调师初级及以上技能等级证书的，每有一名得</w:t>
            </w:r>
            <w:r>
              <w:rPr>
                <w:rFonts w:hint="eastAsia"/>
              </w:rPr>
              <w:t xml:space="preserve">0.5</w:t>
            </w:r>
            <w:r>
              <w:rPr>
                <w:rFonts w:hint="eastAsia"/>
              </w:rPr>
              <w:t xml:space="preserve">分，最高得</w:t>
            </w:r>
            <w:r>
              <w:rPr>
                <w:rFonts w:hint="eastAsia"/>
              </w:rPr>
              <w:t xml:space="preserve">5</w:t>
            </w:r>
            <w:r>
              <w:rPr>
                <w:rFonts w:hint="eastAsia"/>
              </w:rPr>
              <w:t xml:space="preserve">分，未提供</w:t>
            </w:r>
            <w:r>
              <w:rPr>
                <w:rFonts w:hint="eastAsia"/>
              </w:rPr>
              <w:t xml:space="preserve">的不得分。</w:t>
            </w:r>
            <w:r/>
          </w:p>
          <w:p>
            <w:pPr>
              <w:rPr>
                <w:szCs w:val="24"/>
              </w:rPr>
            </w:pPr>
            <w:r>
              <w:rPr>
                <w:rFonts w:hint="eastAsia"/>
              </w:rPr>
              <w:t xml:space="preserve">备注：</w:t>
            </w:r>
            <w:r>
              <w:rPr>
                <w:rFonts w:hint="eastAsia"/>
              </w:rPr>
              <w:t xml:space="preserve">1.</w:t>
            </w:r>
            <w:r>
              <w:rPr>
                <w:rFonts w:hint="eastAsia"/>
              </w:rPr>
              <w:t xml:space="preserve">须提供身份证、证书扫描件；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66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3.6</w:t>
            </w:r>
            <w:r>
              <w:rPr>
                <w:rFonts w:hint="eastAsia"/>
              </w:rPr>
              <w:t xml:space="preserve">会务</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）拟派驻会务具有大专及以上学历的，得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）拟派驻会务具有</w:t>
            </w:r>
            <w:r>
              <w:rPr>
                <w:rFonts w:hint="eastAsia"/>
              </w:rPr>
              <w:t xml:space="preserve">2</w:t>
            </w:r>
            <w:r>
              <w:rPr>
                <w:rFonts w:hint="eastAsia"/>
              </w:rPr>
              <w:t xml:space="preserve">年（含）以上类似工作经验的，得</w:t>
            </w:r>
            <w:r>
              <w:rPr>
                <w:rFonts w:hint="eastAsia"/>
              </w:rPr>
              <w:t xml:space="preserve">2</w:t>
            </w:r>
            <w:r>
              <w:rPr>
                <w:rFonts w:hint="eastAsia"/>
              </w:rPr>
              <w:t xml:space="preserve">分，未提供的不得分。</w:t>
            </w:r>
            <w:r/>
          </w:p>
          <w:p>
            <w:pPr>
              <w:pStyle w:val="879"/>
              <w:ind w:firstLine="0"/>
              <w:spacing w:line="240" w:lineRule="auto"/>
              <w:rPr>
                <w:rFonts w:hint="eastAsia"/>
              </w:rPr>
            </w:pPr>
            <w:r>
              <w:rPr>
                <w:rFonts w:hint="eastAsia"/>
              </w:rPr>
              <w:t xml:space="preserve">（3）拟派驻会务具有</w:t>
            </w:r>
            <w:r>
              <w:rPr>
                <w:rFonts w:hint="eastAsia"/>
                <w:iCs/>
                <w:szCs w:val="21"/>
              </w:rPr>
              <w:t xml:space="preserve">物业管理经验的，得1分，未提供的不得分。</w:t>
            </w:r>
            <w:r/>
          </w:p>
          <w:p>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工作经验需甲方单位证明材料扫描件或复印件，并加盖投标单位公章；</w:t>
            </w:r>
            <w:r>
              <w:rPr>
                <w:rFonts w:hint="eastAsia"/>
              </w:rPr>
              <w:t xml:space="preserve">3.</w:t>
            </w:r>
            <w:r>
              <w:rPr>
                <w:rFonts w:hint="eastAsia"/>
              </w:rPr>
              <w:t xml:space="preserve">投标人为其缴纳投标截止时间前</w:t>
            </w:r>
            <w:r>
              <w:rPr>
                <w:rFonts w:hint="eastAsia"/>
              </w:rPr>
              <w:t xml:space="preserve">3</w:t>
            </w:r>
            <w:r>
              <w:rPr>
                <w:rFonts w:hint="eastAsia"/>
              </w:rPr>
              <w:t xml:space="preserve">个月内任意一个月社保证明材料（不含投标当月）。</w:t>
            </w:r>
            <w:r/>
          </w:p>
        </w:tc>
      </w:tr>
      <w:tr>
        <w:trPr>
          <w:jc w:val="center"/>
          <w:tblCellSpacing w:w="0" w:type="dxa"/>
          <w:trHeight w:val="955"/>
        </w:trPr>
        <w:tc>
          <w:tcPr>
            <w:tcW w:w="982" w:type="dxa"/>
            <w:vAlign w:val="center"/>
            <w:textDirection w:val="lrTb"/>
            <w:noWrap w:val="false"/>
          </w:tcPr>
          <w:p>
            <w:r>
              <w:rPr>
                <w:rFonts w:hint="eastAsia"/>
              </w:rPr>
              <w:t xml:space="preserve">4</w:t>
            </w:r>
            <w:r/>
          </w:p>
        </w:tc>
        <w:tc>
          <w:tcPr>
            <w:tcW w:w="1418" w:type="dxa"/>
            <w:vAlign w:val="center"/>
            <w:textDirection w:val="lrTb"/>
            <w:noWrap w:val="false"/>
          </w:tcPr>
          <w:p>
            <w:r>
              <w:rPr>
                <w:rFonts w:hint="eastAsia"/>
              </w:rPr>
              <w:t xml:space="preserve">投标人业绩</w:t>
            </w:r>
            <w:r>
              <w:rPr>
                <w:rFonts w:hint="eastAsia"/>
              </w:rPr>
              <w:t xml:space="preserve">10</w:t>
            </w:r>
            <w:r/>
          </w:p>
        </w:tc>
        <w:tc>
          <w:tcPr>
            <w:tcW w:w="1279" w:type="dxa"/>
            <w:vAlign w:val="center"/>
            <w:textDirection w:val="lrTb"/>
            <w:noWrap w:val="false"/>
          </w:tcPr>
          <w:p>
            <w:r>
              <w:rPr>
                <w:rFonts w:hint="eastAsia"/>
              </w:rPr>
              <w:t xml:space="preserve">投标人业绩</w:t>
            </w:r>
            <w:r/>
          </w:p>
        </w:tc>
        <w:tc>
          <w:tcPr>
            <w:tcW w:w="667" w:type="dxa"/>
            <w:vAlign w:val="center"/>
            <w:textDirection w:val="lrTb"/>
            <w:noWrap w:val="false"/>
          </w:tcPr>
          <w:p>
            <w:r>
              <w:rPr>
                <w:rFonts w:hint="eastAsia"/>
              </w:rPr>
              <w:t xml:space="preserve">10</w:t>
            </w:r>
            <w:r/>
          </w:p>
        </w:tc>
        <w:tc>
          <w:tcPr>
            <w:tcW w:w="4995" w:type="dxa"/>
            <w:vAlign w:val="center"/>
            <w:textDirection w:val="lrTb"/>
            <w:noWrap w:val="false"/>
          </w:tcPr>
          <w:p>
            <w:r>
              <w:rPr>
                <w:rFonts w:hint="eastAsia"/>
              </w:rPr>
              <w:t xml:space="preserve">投标人提供自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日以来（以合同签订日期为准）类似本项目的业绩，每提供一个得</w:t>
            </w:r>
            <w:r>
              <w:rPr>
                <w:rFonts w:hint="eastAsia"/>
              </w:rPr>
              <w:t xml:space="preserve">2</w:t>
            </w:r>
            <w:r>
              <w:rPr>
                <w:rFonts w:hint="eastAsia"/>
              </w:rPr>
              <w:t xml:space="preserve">分，最高得</w:t>
            </w:r>
            <w:r>
              <w:rPr>
                <w:rFonts w:hint="eastAsia"/>
              </w:rPr>
              <w:t xml:space="preserve">10</w:t>
            </w:r>
            <w:r>
              <w:rPr>
                <w:rFonts w:hint="eastAsia"/>
              </w:rPr>
              <w:t xml:space="preserve">分，未提供的不得分。</w:t>
            </w:r>
            <w:r/>
          </w:p>
          <w:p>
            <w:r>
              <w:rPr>
                <w:rFonts w:hint="eastAsia"/>
              </w:rPr>
              <w:t xml:space="preserve">（提供合同复印件并加盖公章，未按要求提供的不得分）。</w:t>
            </w:r>
            <w:r/>
          </w:p>
        </w:tc>
      </w:tr>
      <w:tr>
        <w:trPr>
          <w:jc w:val="center"/>
          <w:tblCellSpacing w:w="0" w:type="dxa"/>
          <w:trHeight w:val="1251"/>
        </w:trPr>
        <w:tc>
          <w:tcPr>
            <w:tcW w:w="982" w:type="dxa"/>
            <w:vAlign w:val="center"/>
            <w:textDirection w:val="lrTb"/>
            <w:noWrap w:val="false"/>
          </w:tcPr>
          <w:p>
            <w:r>
              <w:rPr>
                <w:rFonts w:hint="eastAsia"/>
              </w:rPr>
              <w:t xml:space="preserve">5</w:t>
            </w:r>
            <w:r/>
          </w:p>
        </w:tc>
        <w:tc>
          <w:tcPr>
            <w:tcW w:w="1418" w:type="dxa"/>
            <w:vAlign w:val="center"/>
            <w:textDirection w:val="lrTb"/>
            <w:noWrap w:val="false"/>
          </w:tcPr>
          <w:p>
            <w:r>
              <w:rPr>
                <w:rFonts w:hint="eastAsia"/>
              </w:rPr>
              <w:t xml:space="preserve">证书</w:t>
            </w:r>
            <w:r>
              <w:rPr>
                <w:rFonts w:hint="eastAsia"/>
              </w:rPr>
              <w:t xml:space="preserve">4</w:t>
            </w:r>
            <w:r/>
          </w:p>
        </w:tc>
        <w:tc>
          <w:tcPr>
            <w:tcW w:w="1279" w:type="dxa"/>
            <w:vAlign w:val="center"/>
            <w:textDirection w:val="lrTb"/>
            <w:noWrap w:val="false"/>
          </w:tcPr>
          <w:p>
            <w:r>
              <w:rPr>
                <w:rFonts w:hint="eastAsia"/>
              </w:rPr>
              <w:t xml:space="preserve">管理体系认证情况</w:t>
            </w:r>
            <w:r/>
          </w:p>
        </w:tc>
        <w:tc>
          <w:tcPr>
            <w:tcW w:w="667" w:type="dxa"/>
            <w:vAlign w:val="center"/>
            <w:textDirection w:val="lrTb"/>
            <w:noWrap w:val="false"/>
          </w:tcPr>
          <w:p>
            <w:r>
              <w:rPr>
                <w:rFonts w:hint="eastAsia"/>
              </w:rPr>
              <w:t xml:space="preserve">4</w:t>
            </w:r>
            <w:bookmarkEnd w:id="169"/>
            <w:r/>
            <w:bookmarkEnd w:id="170"/>
            <w:r/>
            <w:r/>
          </w:p>
        </w:tc>
        <w:tc>
          <w:tcPr>
            <w:tcW w:w="4995" w:type="dxa"/>
            <w:vAlign w:val="center"/>
            <w:textDirection w:val="lrTb"/>
            <w:noWrap w:val="false"/>
          </w:tcPr>
          <w:p>
            <w:r>
              <w:rPr>
                <w:rFonts w:hint="eastAsia"/>
              </w:rPr>
              <w:t xml:space="preserve">投标人通过</w:t>
            </w:r>
            <w:r>
              <w:rPr>
                <w:rFonts w:hint="eastAsia"/>
              </w:rPr>
              <w:t xml:space="preserve">ISO9001</w:t>
            </w:r>
            <w:r>
              <w:rPr>
                <w:rFonts w:hint="eastAsia"/>
              </w:rPr>
              <w:t xml:space="preserve">质量管理体系认证，通过</w:t>
            </w:r>
            <w:r>
              <w:rPr>
                <w:rFonts w:hint="eastAsia"/>
              </w:rPr>
              <w:t xml:space="preserve">ISO45001</w:t>
            </w:r>
            <w:r>
              <w:rPr>
                <w:rFonts w:hint="eastAsia"/>
              </w:rPr>
              <w:t xml:space="preserve">职业健康体系认证，上述认证证书每提供一个得</w:t>
            </w:r>
            <w:r>
              <w:rPr>
                <w:rFonts w:hint="eastAsia"/>
              </w:rPr>
              <w:t xml:space="preserve">2</w:t>
            </w:r>
            <w:r>
              <w:rPr>
                <w:rFonts w:hint="eastAsia"/>
              </w:rPr>
              <w:t xml:space="preserve">分，满分</w:t>
            </w:r>
            <w:r>
              <w:rPr>
                <w:rFonts w:hint="eastAsia"/>
              </w:rPr>
              <w:t xml:space="preserve">4</w:t>
            </w:r>
            <w:r>
              <w:rPr>
                <w:rFonts w:hint="eastAsia"/>
              </w:rPr>
              <w:t xml:space="preserve">分（须提供有效期内的证书扫描件并加盖公章）。</w:t>
            </w:r>
            <w:r/>
          </w:p>
        </w:tc>
      </w:tr>
      <w:tr>
        <w:trPr>
          <w:jc w:val="center"/>
          <w:tblCellSpacing w:w="0" w:type="dxa"/>
          <w:trHeight w:val="1251"/>
        </w:trPr>
        <w:tc>
          <w:tcPr>
            <w:tcW w:w="982" w:type="dxa"/>
            <w:vAlign w:val="center"/>
            <w:textDirection w:val="lrTb"/>
            <w:noWrap w:val="false"/>
          </w:tcPr>
          <w:p>
            <w:r>
              <w:rPr>
                <w:rFonts w:hint="eastAsia"/>
              </w:rPr>
              <w:t xml:space="preserve">6</w:t>
            </w:r>
            <w:r/>
          </w:p>
        </w:tc>
        <w:tc>
          <w:tcPr>
            <w:shd w:val="clear" w:color="auto" w:fill="ffffff"/>
            <w:tcW w:w="1418" w:type="dxa"/>
            <w:vAlign w:val="center"/>
            <w:textDirection w:val="lrTb"/>
            <w:noWrap w:val="false"/>
          </w:tcPr>
          <w:p>
            <w:pPr>
              <w:rPr>
                <w:szCs w:val="24"/>
              </w:rPr>
            </w:pPr>
            <w:r>
              <w:rPr>
                <w:rFonts w:hint="eastAsia" w:ascii="宋体" w:hAnsi="宋体" w:cs="宋体"/>
              </w:rPr>
              <w:t xml:space="preserve">信息化平台3</w:t>
            </w:r>
            <w:r/>
          </w:p>
        </w:tc>
        <w:tc>
          <w:tcPr>
            <w:shd w:val="clear" w:color="auto" w:fill="ffffff"/>
            <w:tcW w:w="1279"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物业智能化平台</w:t>
            </w:r>
            <w:r/>
          </w:p>
        </w:tc>
        <w:tc>
          <w:tcPr>
            <w:shd w:val="clear" w:color="auto" w:fill="ffffff"/>
            <w:tcW w:w="667" w:type="dxa"/>
            <w:vAlign w:val="center"/>
            <w:textDirection w:val="lrTb"/>
            <w:noWrap w:val="false"/>
          </w:tcPr>
          <w:p>
            <w:pPr>
              <w:jc w:val="left"/>
              <w:spacing w:line="300" w:lineRule="exact"/>
              <w:rPr>
                <w:szCs w:val="24"/>
              </w:rPr>
            </w:pPr>
            <w:r>
              <w:rPr>
                <w:rFonts w:hint="eastAsia" w:ascii="宋体" w:hAnsi="宋体" w:cs="宋体"/>
              </w:rPr>
              <w:t xml:space="preserve">3</w:t>
            </w:r>
            <w:r/>
          </w:p>
        </w:tc>
        <w:tc>
          <w:tcPr>
            <w:shd w:val="clear" w:color="auto" w:fill="ffffff"/>
            <w:tcW w:w="4995"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供应商具有为物业服务配备的智能化管理平台，提供以下材料：（1）软件使用界面截图；（2）该系统软件著作权证明材料（供应商自主研发的须提供国家版权局颁发的供应商软件著作权证书；使用第三方开发的系统须提供第三方研发该系统的软件著作权证书及购买第三方系统的采购合同），本项最高3分，缺任何一项证明材料则该项不得分。</w:t>
            </w:r>
            <w:r/>
          </w:p>
        </w:tc>
      </w:tr>
    </w:tbl>
    <w:p>
      <w:r/>
      <w:r/>
    </w:p>
    <w:p>
      <w:r/>
      <w:r/>
    </w:p>
    <w:p>
      <w:r/>
      <w:r/>
    </w:p>
    <w:p>
      <w:r/>
      <w:r/>
    </w:p>
    <w:p>
      <w:r/>
      <w:r/>
    </w:p>
    <w:p>
      <w:r/>
      <w:r/>
    </w:p>
    <w:p>
      <w:r/>
      <w:r/>
    </w:p>
    <w:p>
      <w:r/>
      <w:r/>
    </w:p>
    <w:p>
      <w:pPr>
        <w:pStyle w:val="1090"/>
        <w:ind w:firstLine="0"/>
        <w:jc w:val="both"/>
        <w:spacing w:line="400" w:lineRule="exact"/>
        <w:rPr>
          <w:rFonts w:hint="eastAsia"/>
          <w:b/>
        </w:rPr>
      </w:pPr>
      <w:r>
        <w:rPr>
          <w:rFonts w:hint="eastAsia"/>
          <w:b/>
        </w:rPr>
      </w:r>
      <w:r/>
    </w:p>
    <w:p>
      <w:pPr>
        <w:jc w:val="left"/>
        <w:widowControl/>
        <w:rPr>
          <w:rFonts w:hint="eastAsia" w:ascii="宋体" w:hAnsi="宋体" w:cs="方正仿宋_GBK"/>
          <w:b/>
          <w:bCs/>
          <w:sz w:val="32"/>
          <w:szCs w:val="32"/>
        </w:rPr>
      </w:pPr>
      <w:r>
        <w:rPr>
          <w:rFonts w:hint="eastAsia"/>
          <w:b/>
        </w:rPr>
        <w:br w:type="page" w:clear="all"/>
      </w:r>
      <w:r/>
    </w:p>
    <w:p>
      <w:pPr>
        <w:pStyle w:val="1090"/>
        <w:ind w:firstLine="0"/>
        <w:jc w:val="center"/>
        <w:spacing w:line="400" w:lineRule="exact"/>
        <w:rPr>
          <w:rFonts w:hint="eastAsia"/>
          <w:b/>
        </w:rPr>
      </w:pPr>
      <w:r>
        <w:rPr>
          <w:rFonts w:hint="eastAsia"/>
          <w:b/>
        </w:rPr>
        <w:t xml:space="preserve">评标方法与评标标准（采购包2）</w:t>
      </w:r>
      <w:r/>
    </w:p>
    <w:tbl>
      <w:tblPr>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2"/>
        <w:gridCol w:w="1418"/>
        <w:gridCol w:w="1279"/>
        <w:gridCol w:w="791"/>
        <w:gridCol w:w="4871"/>
      </w:tblGrid>
      <w:tr>
        <w:trPr>
          <w:jc w:val="center"/>
          <w:tblCellSpacing w:w="0" w:type="dxa"/>
          <w:trHeight w:val="523"/>
          <w:tblHeader/>
        </w:trPr>
        <w:tc>
          <w:tcPr>
            <w:tcW w:w="982" w:type="dxa"/>
            <w:vAlign w:val="center"/>
            <w:textDirection w:val="lrTb"/>
            <w:noWrap w:val="false"/>
          </w:tcPr>
          <w:p>
            <w:pPr>
              <w:jc w:val="center"/>
              <w:rPr>
                <w:b/>
                <w:bCs/>
              </w:rPr>
            </w:pPr>
            <w:r>
              <w:rPr>
                <w:rFonts w:hint="eastAsia"/>
                <w:b/>
                <w:bCs/>
              </w:rPr>
              <w:t xml:space="preserve">序号</w:t>
            </w:r>
            <w:r/>
          </w:p>
        </w:tc>
        <w:tc>
          <w:tcPr>
            <w:tcW w:w="1418" w:type="dxa"/>
            <w:vAlign w:val="center"/>
            <w:textDirection w:val="lrTb"/>
            <w:noWrap w:val="false"/>
          </w:tcPr>
          <w:p>
            <w:pPr>
              <w:jc w:val="center"/>
              <w:rPr>
                <w:b/>
                <w:bCs/>
              </w:rPr>
            </w:pPr>
            <w:r>
              <w:rPr>
                <w:rFonts w:hint="eastAsia"/>
                <w:b/>
                <w:bCs/>
              </w:rPr>
              <w:t xml:space="preserve">评分项目</w:t>
            </w:r>
            <w:r/>
          </w:p>
        </w:tc>
        <w:tc>
          <w:tcPr>
            <w:tcW w:w="1279" w:type="dxa"/>
            <w:vAlign w:val="center"/>
            <w:textDirection w:val="lrTb"/>
            <w:noWrap w:val="false"/>
          </w:tcPr>
          <w:p>
            <w:pPr>
              <w:jc w:val="center"/>
              <w:rPr>
                <w:b/>
                <w:bCs/>
              </w:rPr>
            </w:pPr>
            <w:r>
              <w:rPr>
                <w:rFonts w:hint="eastAsia"/>
                <w:b/>
                <w:bCs/>
              </w:rPr>
              <w:t xml:space="preserve">评分内容</w:t>
            </w:r>
            <w:r/>
          </w:p>
        </w:tc>
        <w:tc>
          <w:tcPr>
            <w:tcW w:w="791" w:type="dxa"/>
            <w:vAlign w:val="center"/>
            <w:textDirection w:val="lrTb"/>
            <w:noWrap w:val="false"/>
          </w:tcPr>
          <w:p>
            <w:pPr>
              <w:jc w:val="center"/>
              <w:rPr>
                <w:b/>
                <w:bCs/>
              </w:rPr>
            </w:pPr>
            <w:r>
              <w:rPr>
                <w:rFonts w:hint="eastAsia"/>
                <w:b/>
                <w:bCs/>
              </w:rPr>
              <w:t xml:space="preserve">分值</w:t>
            </w:r>
            <w:r/>
          </w:p>
        </w:tc>
        <w:tc>
          <w:tcPr>
            <w:tcW w:w="4871" w:type="dxa"/>
            <w:vAlign w:val="center"/>
            <w:textDirection w:val="lrTb"/>
            <w:noWrap w:val="false"/>
          </w:tcPr>
          <w:p>
            <w:pPr>
              <w:jc w:val="center"/>
              <w:rPr>
                <w:b/>
                <w:bCs/>
              </w:rPr>
            </w:pPr>
            <w:r>
              <w:rPr>
                <w:rFonts w:hint="eastAsia"/>
                <w:b/>
                <w:bCs/>
              </w:rPr>
              <w:t xml:space="preserve">评分细则</w:t>
            </w:r>
            <w:r/>
          </w:p>
        </w:tc>
      </w:tr>
      <w:tr>
        <w:trPr>
          <w:jc w:val="center"/>
          <w:tblCellSpacing w:w="0" w:type="dxa"/>
          <w:trHeight w:val="1710"/>
        </w:trPr>
        <w:tc>
          <w:tcPr>
            <w:tcW w:w="982" w:type="dxa"/>
            <w:vAlign w:val="center"/>
            <w:textDirection w:val="lrTb"/>
            <w:noWrap w:val="false"/>
          </w:tcPr>
          <w:p>
            <w:r>
              <w:rPr>
                <w:rFonts w:hint="eastAsia"/>
              </w:rPr>
              <w:t xml:space="preserve">1</w:t>
            </w:r>
            <w:r/>
          </w:p>
        </w:tc>
        <w:tc>
          <w:tcPr>
            <w:tcW w:w="1418" w:type="dxa"/>
            <w:vAlign w:val="center"/>
            <w:textDirection w:val="lrTb"/>
            <w:noWrap w:val="false"/>
          </w:tcPr>
          <w:p>
            <w:r>
              <w:rPr>
                <w:rFonts w:hint="eastAsia"/>
              </w:rPr>
              <w:t xml:space="preserve">投标价格</w:t>
            </w:r>
            <w:r>
              <w:rPr>
                <w:rFonts w:hint="eastAsia"/>
              </w:rPr>
              <w:t xml:space="preserve">10</w:t>
            </w:r>
            <w:r/>
          </w:p>
        </w:tc>
        <w:tc>
          <w:tcPr>
            <w:tcW w:w="1279" w:type="dxa"/>
            <w:vAlign w:val="center"/>
            <w:textDirection w:val="lrTb"/>
            <w:noWrap w:val="false"/>
          </w:tcPr>
          <w:p>
            <w:r>
              <w:rPr>
                <w:rFonts w:hint="eastAsia"/>
              </w:rPr>
              <w:t xml:space="preserve">投标报价</w:t>
            </w:r>
            <w:r/>
          </w:p>
        </w:tc>
        <w:tc>
          <w:tcPr>
            <w:tcW w:w="791" w:type="dxa"/>
            <w:vAlign w:val="center"/>
            <w:textDirection w:val="lrTb"/>
            <w:noWrap w:val="false"/>
          </w:tcPr>
          <w:p>
            <w:r>
              <w:rPr>
                <w:rFonts w:hint="eastAsia"/>
              </w:rPr>
              <w:t xml:space="preserve">10</w:t>
            </w:r>
            <w:r/>
          </w:p>
        </w:tc>
        <w:tc>
          <w:tcPr>
            <w:tcW w:w="4871" w:type="dxa"/>
            <w:vAlign w:val="center"/>
            <w:textDirection w:val="lrTb"/>
            <w:noWrap w:val="false"/>
          </w:tcPr>
          <w:p>
            <w:r>
              <w:rPr>
                <w:rFonts w:hint="eastAsia"/>
              </w:rPr>
              <w:t xml:space="preserve">采用低价优先法计算，即满足招标文件要求且投标价格最低的投标报价为评标基准价，其价格分为满分。其他投标人的价格分统一按照下列公式</w:t>
            </w:r>
            <w:r>
              <w:rPr>
                <w:rFonts w:hint="eastAsia"/>
              </w:rPr>
              <w:t xml:space="preserve">计算</w:t>
            </w:r>
            <w:r>
              <w:rPr>
                <w:rFonts w:hint="eastAsia"/>
              </w:rPr>
              <w:t xml:space="preserve">:</w:t>
            </w:r>
            <w:r>
              <w:rPr>
                <w:rFonts w:hint="eastAsia"/>
              </w:rPr>
              <w:t xml:space="preserve">投标报价得分</w:t>
            </w:r>
            <w:r>
              <w:rPr>
                <w:rFonts w:hint="eastAsia"/>
              </w:rPr>
              <w:t xml:space="preserve">=</w:t>
            </w:r>
            <w:r>
              <w:rPr>
                <w:rFonts w:hint="eastAsia"/>
              </w:rPr>
              <w:t xml:space="preserve">(</w:t>
            </w:r>
            <w:r>
              <w:rPr>
                <w:rFonts w:hint="eastAsia"/>
              </w:rPr>
              <w:t xml:space="preserve">评标基准价</w:t>
            </w:r>
            <w:r>
              <w:rPr>
                <w:rFonts w:hint="eastAsia"/>
              </w:rPr>
              <w:t xml:space="preserve">/</w:t>
            </w:r>
            <w:r>
              <w:rPr>
                <w:rFonts w:hint="eastAsia"/>
              </w:rPr>
              <w:t xml:space="preserve">投标报价</w:t>
            </w:r>
            <w:r>
              <w:rPr>
                <w:rFonts w:hint="eastAsia"/>
              </w:rPr>
              <w:t xml:space="preserve">)</w:t>
            </w:r>
            <w:r>
              <w:rPr>
                <w:rFonts w:hint="eastAsia"/>
              </w:rPr>
              <w:t xml:space="preserve">×</w:t>
            </w:r>
            <w:r>
              <w:rPr>
                <w:rFonts w:hint="eastAsia"/>
              </w:rPr>
              <w:t xml:space="preserve">10</w:t>
            </w:r>
            <w:r>
              <w:rPr>
                <w:rFonts w:hint="eastAsia"/>
              </w:rPr>
              <w:t xml:space="preserve">（小数点保留两位）</w:t>
            </w:r>
            <w:r/>
          </w:p>
        </w:tc>
      </w:tr>
      <w:tr>
        <w:trPr>
          <w:jc w:val="center"/>
          <w:tblCellSpacing w:w="0" w:type="dxa"/>
          <w:trHeight w:val="1669"/>
        </w:trPr>
        <w:tc>
          <w:tcPr>
            <w:tcW w:w="982" w:type="dxa"/>
            <w:vAlign w:val="center"/>
            <w:vMerge w:val="restart"/>
            <w:textDirection w:val="lrTb"/>
            <w:noWrap w:val="false"/>
          </w:tcPr>
          <w:p>
            <w:r>
              <w:rPr>
                <w:rFonts w:hint="eastAsia"/>
              </w:rPr>
              <w:t xml:space="preserve">2</w:t>
            </w:r>
            <w:r/>
          </w:p>
        </w:tc>
        <w:tc>
          <w:tcPr>
            <w:tcW w:w="1418" w:type="dxa"/>
            <w:vAlign w:val="center"/>
            <w:vMerge w:val="restart"/>
            <w:textDirection w:val="lrTb"/>
            <w:noWrap w:val="false"/>
          </w:tcPr>
          <w:p>
            <w:r>
              <w:rPr>
                <w:rFonts w:hint="eastAsia"/>
              </w:rPr>
              <w:t xml:space="preserve">服务方案</w:t>
            </w:r>
            <w:r>
              <w:rPr>
                <w:rFonts w:hint="eastAsia"/>
              </w:rPr>
              <w:t xml:space="preserve">43</w:t>
            </w:r>
            <w:r/>
          </w:p>
        </w:tc>
        <w:tc>
          <w:tcPr>
            <w:tcW w:w="1279" w:type="dxa"/>
            <w:vAlign w:val="center"/>
            <w:textDirection w:val="lrTb"/>
            <w:noWrap w:val="false"/>
          </w:tcPr>
          <w:p>
            <w:r>
              <w:rPr>
                <w:rFonts w:hint="eastAsia"/>
              </w:rPr>
              <w:t xml:space="preserve">2.1</w:t>
            </w:r>
            <w:r>
              <w:rPr>
                <w:rFonts w:hint="eastAsia"/>
              </w:rPr>
              <w:t xml:space="preserve">项目总体实施方案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本项目的项目总体实施方案，评委根据投标文件对招标文件第四章“采购需求”中“项目服务整体方案”要求的响应情况进行评审。</w:t>
            </w:r>
            <w:r/>
          </w:p>
          <w:p>
            <w:r>
              <w:rPr>
                <w:rFonts w:hint="eastAsia"/>
              </w:rPr>
              <w:t xml:space="preserve">（</w:t>
            </w:r>
            <w:r>
              <w:rPr>
                <w:rFonts w:hint="eastAsia"/>
              </w:rPr>
              <w:t xml:space="preserve">1</w:t>
            </w:r>
            <w:r>
              <w:rPr>
                <w:rFonts w:hint="eastAsia"/>
              </w:rPr>
              <w:t xml:space="preserve">）投标文件未符合“项目服务整体方案”中全部条款要求的，视为不符合招标文件，本项得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）投标文件符合“项目服务整体方案”中全部条款要求的，视为符合招标文件，本项得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）投标文件对“项目服务整体方案”中“服务目标与定位”、“服务质量管控”</w:t>
            </w:r>
            <w:r>
              <w:rPr>
                <w:rFonts w:hint="eastAsia"/>
              </w:rPr>
              <w:t xml:space="preserve">2</w:t>
            </w:r>
            <w:r>
              <w:rPr>
                <w:rFonts w:hint="eastAsia"/>
              </w:rPr>
              <w:t xml:space="preserve">项要求的响应内容全部优于招标文件要求的（前提是投标文件对“项目服务整体方案”中除“服务目标与定位”、“服务质量管控”以外其他要求响应内容符合招标文件要求），本项得</w:t>
            </w:r>
            <w:r>
              <w:rPr>
                <w:rFonts w:hint="eastAsia"/>
              </w:rPr>
              <w:t xml:space="preserve">5</w:t>
            </w:r>
            <w:r>
              <w:rPr>
                <w:rFonts w:hint="eastAsia"/>
              </w:rPr>
              <w:t xml:space="preserve">分。</w:t>
            </w:r>
            <w:r/>
          </w:p>
        </w:tc>
      </w:tr>
      <w:tr>
        <w:trPr>
          <w:jc w:val="center"/>
          <w:tblCellSpacing w:w="0" w:type="dxa"/>
          <w:trHeight w:val="140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2.2</w:t>
            </w:r>
            <w:r>
              <w:rPr>
                <w:rFonts w:hint="eastAsia"/>
              </w:rPr>
              <w:t xml:space="preserve">保洁员服务方案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本项目的保洁员服务方案，评委根据投标文件对招标文件第四章“采购需求”中“保洁（会务）服务方案”要求的响应情况进行评审。</w:t>
            </w:r>
            <w:r/>
          </w:p>
          <w:p>
            <w:r>
              <w:rPr>
                <w:rFonts w:hint="eastAsia"/>
              </w:rPr>
              <w:t xml:space="preserve">（</w:t>
            </w:r>
            <w:r>
              <w:rPr>
                <w:rFonts w:hint="eastAsia"/>
              </w:rPr>
              <w:t xml:space="preserve">1</w:t>
            </w:r>
            <w:r>
              <w:rPr>
                <w:rFonts w:hint="eastAsia"/>
              </w:rPr>
              <w:t xml:space="preserve">）投标文件未符合“保洁（会务）服务方案”中全部条款要求的，视为不符合招标文件，本项得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）投标文件符合“保洁（会务）服务方案”中全部条款要求的，视为符合招标文件，本项得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）投标文件对“保洁（会务）服务方案”中“工作流程”、“验收标准”</w:t>
            </w:r>
            <w:r>
              <w:rPr>
                <w:rFonts w:hint="eastAsia"/>
              </w:rPr>
              <w:t xml:space="preserve">2</w:t>
            </w:r>
            <w:r>
              <w:rPr>
                <w:rFonts w:hint="eastAsia"/>
              </w:rPr>
              <w:t xml:space="preserve">项要求的响应内容全部优于招标文件要求的（前提是投标文件对“保洁（会务）服务方案”中除“工作流程”、“验收标准”以外其他要求响应内容符合招标文件要求），本项得</w:t>
            </w:r>
            <w:r>
              <w:rPr>
                <w:rFonts w:hint="eastAsia"/>
              </w:rPr>
              <w:t xml:space="preserve">4</w:t>
            </w:r>
            <w:r>
              <w:rPr>
                <w:rFonts w:hint="eastAsia"/>
              </w:rPr>
              <w:t xml:space="preserve">分。</w:t>
            </w:r>
            <w:r/>
          </w:p>
        </w:tc>
      </w:tr>
      <w:tr>
        <w:trPr>
          <w:jc w:val="center"/>
          <w:tblCellSpacing w:w="0" w:type="dxa"/>
          <w:trHeight w:val="154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2.3</w:t>
            </w:r>
            <w:r>
              <w:rPr>
                <w:rFonts w:hint="eastAsia"/>
              </w:rPr>
              <w:t xml:space="preserve">水电工兼安保服务方案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本项目的水电工兼安保服务方案，评委根据投标文件对招标文件第四章“采购需求”中“水电工兼安保服务方案”要求的响应情况进行评审。</w:t>
            </w:r>
            <w:r/>
          </w:p>
          <w:p>
            <w:r>
              <w:rPr>
                <w:rFonts w:hint="eastAsia"/>
              </w:rPr>
              <w:t xml:space="preserve">（</w:t>
            </w:r>
            <w:r>
              <w:rPr>
                <w:rFonts w:hint="eastAsia"/>
              </w:rPr>
              <w:t xml:space="preserve">1</w:t>
            </w:r>
            <w:r>
              <w:rPr>
                <w:rFonts w:hint="eastAsia"/>
              </w:rPr>
              <w:t xml:space="preserve">）投标文件未符合“水电工兼安保服务方案”中全部条款要求的，视为不符合招标文件，本项得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）投标文件符合“水电工兼安保服务方案”中全部条款要求的，视为符合招标文件，本项得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）投标文件对“水电工兼安保服务方案”中“突发事件处置”、“故障处理与修复”</w:t>
            </w:r>
            <w:r>
              <w:rPr>
                <w:rFonts w:hint="eastAsia"/>
              </w:rPr>
              <w:t xml:space="preserve">2</w:t>
            </w:r>
            <w:r>
              <w:rPr>
                <w:rFonts w:hint="eastAsia"/>
              </w:rPr>
              <w:t xml:space="preserve">项要求的响应内容全部优于招标文件要求的（前提是投标文件对“水电工兼安保服务方案”中除“突发事件处置”、“故障处理与修复”以外其他要求响应内容符合招标文件要求），本项得</w:t>
            </w:r>
            <w:r>
              <w:rPr>
                <w:rFonts w:hint="eastAsia"/>
              </w:rPr>
              <w:t xml:space="preserve">4</w:t>
            </w:r>
            <w:r>
              <w:rPr>
                <w:rFonts w:hint="eastAsia"/>
              </w:rPr>
              <w:t xml:space="preserve">分。</w:t>
            </w:r>
            <w:r/>
          </w:p>
        </w:tc>
      </w:tr>
      <w:tr>
        <w:trPr>
          <w:jc w:val="center"/>
          <w:tblCellSpacing w:w="0" w:type="dxa"/>
          <w:trHeight w:val="1123"/>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2.4</w:t>
            </w:r>
            <w:r>
              <w:rPr>
                <w:rFonts w:hint="eastAsia"/>
              </w:rPr>
              <w:t xml:space="preserve">餐饮服务方案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本项目的餐饮服务方案，评委根据投标文件对招标文件第四章“采购需求”中“</w:t>
            </w:r>
            <w:r>
              <w:t xml:space="preserve">餐饮服务方案</w:t>
            </w:r>
            <w:r>
              <w:rPr>
                <w:rFonts w:hint="eastAsia"/>
              </w:rPr>
              <w:t xml:space="preserve">”要求的响应情况进行评审。</w:t>
            </w:r>
            <w:r/>
          </w:p>
          <w:p>
            <w:r>
              <w:t xml:space="preserve">（</w:t>
            </w:r>
            <w:r>
              <w:t xml:space="preserve">1</w:t>
            </w:r>
            <w:r>
              <w:t xml:space="preserve">）投标文件未符合</w:t>
            </w:r>
            <w:r>
              <w:t xml:space="preserve">“</w:t>
            </w:r>
            <w:r>
              <w:t xml:space="preserve">餐饮服务方案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餐饮服务方案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餐饮服务方案</w:t>
            </w:r>
            <w:r>
              <w:t xml:space="preserve">”</w:t>
            </w:r>
            <w:r>
              <w:t xml:space="preserve">中</w:t>
            </w:r>
            <w:r>
              <w:t xml:space="preserve">“</w:t>
            </w:r>
            <w:r>
              <w:rPr>
                <w:rFonts w:hint="eastAsia"/>
              </w:rPr>
              <w:t xml:space="preserve">食品安全保障措施</w:t>
            </w:r>
            <w:r>
              <w:t xml:space="preserve">”</w:t>
            </w:r>
            <w:r>
              <w:t xml:space="preserve">、</w:t>
            </w:r>
            <w:r>
              <w:t xml:space="preserve">“</w:t>
            </w:r>
            <w:r>
              <w:rPr>
                <w:rFonts w:hint="eastAsia"/>
              </w:rPr>
              <w:t xml:space="preserve">服务质量</w:t>
            </w:r>
            <w:r>
              <w:t xml:space="preserve">”2</w:t>
            </w:r>
            <w:r>
              <w:t xml:space="preserve">项要求的响应内容全部优于招标文件要求的（前提是投标文件对</w:t>
            </w:r>
            <w:r>
              <w:t xml:space="preserve">“</w:t>
            </w:r>
            <w:r>
              <w:t xml:space="preserve">餐饮服务方案</w:t>
            </w:r>
            <w:r>
              <w:t xml:space="preserve">”</w:t>
            </w:r>
            <w:r>
              <w:t xml:space="preserve">中除</w:t>
            </w:r>
            <w:r>
              <w:t xml:space="preserve">“</w:t>
            </w:r>
            <w:r>
              <w:t xml:space="preserve">食品安全保障措施</w:t>
            </w:r>
            <w:r>
              <w:t xml:space="preserve">”</w:t>
            </w:r>
            <w:r>
              <w:t xml:space="preserve">、</w:t>
            </w:r>
            <w:r>
              <w:t xml:space="preserve">“</w:t>
            </w:r>
            <w:r>
              <w:t xml:space="preserve">服务质量</w:t>
            </w:r>
            <w:r>
              <w:t xml:space="preserve">”</w:t>
            </w:r>
            <w:r>
              <w:t xml:space="preserve">以外其他要求响应内容符合招标文件要求），本项得</w:t>
            </w:r>
            <w:r>
              <w:t xml:space="preserve">4</w:t>
            </w:r>
            <w:r>
              <w:t xml:space="preserve">分。</w:t>
            </w:r>
            <w:r/>
          </w:p>
        </w:tc>
      </w:tr>
      <w:tr>
        <w:trPr>
          <w:jc w:val="center"/>
          <w:tblCellSpacing w:w="0" w:type="dxa"/>
          <w:trHeight w:val="139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2.5</w:t>
            </w:r>
            <w:r>
              <w:rPr>
                <w:rFonts w:hint="eastAsia"/>
              </w:rPr>
              <w:t xml:space="preserve">驾驶员服务方案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本项目的驾驶员服务方案，评委根据投标文件对招标文件第四章“采购需求”中“</w:t>
            </w:r>
            <w:r>
              <w:t xml:space="preserve">驾驶员服务方案</w:t>
            </w:r>
            <w:r>
              <w:rPr>
                <w:rFonts w:hint="eastAsia"/>
              </w:rPr>
              <w:t xml:space="preserve">”要求的响应情况进行评审。</w:t>
            </w:r>
            <w:r/>
          </w:p>
          <w:p>
            <w:r>
              <w:t xml:space="preserve">（</w:t>
            </w:r>
            <w:r>
              <w:t xml:space="preserve">1</w:t>
            </w:r>
            <w:r>
              <w:t xml:space="preserve">）投标文件未符合</w:t>
            </w:r>
            <w:r>
              <w:t xml:space="preserve">“</w:t>
            </w:r>
            <w:r>
              <w:t xml:space="preserve">驾驶员服务方案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驾驶员服务方案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驾驶员服务方案</w:t>
            </w:r>
            <w:r>
              <w:t xml:space="preserve">”</w:t>
            </w:r>
            <w:r>
              <w:t xml:space="preserve">中</w:t>
            </w:r>
            <w:r>
              <w:t xml:space="preserve">“</w:t>
            </w:r>
            <w:r>
              <w:rPr>
                <w:rFonts w:hint="eastAsia"/>
              </w:rPr>
              <w:t xml:space="preserve">安全驾驶保障</w:t>
            </w:r>
            <w:r>
              <w:t xml:space="preserve">”</w:t>
            </w:r>
            <w:r>
              <w:t xml:space="preserve">、</w:t>
            </w:r>
            <w:r>
              <w:t xml:space="preserve">“</w:t>
            </w:r>
            <w:r>
              <w:rPr>
                <w:rFonts w:hint="eastAsia"/>
              </w:rPr>
              <w:t xml:space="preserve">突发事件的应急措施</w:t>
            </w:r>
            <w:r>
              <w:t xml:space="preserve">”2</w:t>
            </w:r>
            <w:r>
              <w:t xml:space="preserve">项要求的响应内容全部优于招标文件要求的（前提是投标文件对</w:t>
            </w:r>
            <w:r>
              <w:t xml:space="preserve">“</w:t>
            </w:r>
            <w:r>
              <w:t xml:space="preserve">驾驶员服务方案</w:t>
            </w:r>
            <w:r>
              <w:t xml:space="preserve">”</w:t>
            </w:r>
            <w:r>
              <w:t xml:space="preserve">中除</w:t>
            </w:r>
            <w:r>
              <w:t xml:space="preserve">“</w:t>
            </w:r>
            <w:r>
              <w:rPr>
                <w:rFonts w:hint="eastAsia"/>
              </w:rPr>
              <w:t xml:space="preserve">安全驾驶保障</w:t>
            </w:r>
            <w:r>
              <w:t xml:space="preserve">”</w:t>
            </w:r>
            <w:r>
              <w:t xml:space="preserve">、</w:t>
            </w:r>
            <w:r>
              <w:t xml:space="preserve">“</w:t>
            </w:r>
            <w:r>
              <w:t xml:space="preserve">突发事件的应急措施</w:t>
            </w:r>
            <w:r>
              <w:t xml:space="preserve">”</w:t>
            </w:r>
            <w:r>
              <w:t xml:space="preserve">以外其他要求响应内容符合招标文件要求），本项得</w:t>
            </w:r>
            <w: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2.6</w:t>
            </w:r>
            <w:r>
              <w:rPr>
                <w:rFonts w:hint="eastAsia"/>
              </w:rPr>
              <w:t xml:space="preserve">突发事件应急处置方案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本项目的突发事件应急处置方案，评委根据投标文件对招标文件第四章“采购需求”中“突发事件应急处置方案”要求的响应情况进行评审。</w:t>
            </w:r>
            <w:r/>
          </w:p>
          <w:p>
            <w:r>
              <w:rPr>
                <w:rFonts w:hint="eastAsia"/>
              </w:rPr>
              <w:t xml:space="preserve">（</w:t>
            </w:r>
            <w:r>
              <w:rPr>
                <w:rFonts w:hint="eastAsia"/>
              </w:rPr>
              <w:t xml:space="preserve">1</w:t>
            </w:r>
            <w:r>
              <w:rPr>
                <w:rFonts w:hint="eastAsia"/>
              </w:rPr>
              <w:t xml:space="preserve">）投标文件未符合“突发事件应急处置方案”中全部条款要求的，视为不符合招标文件，本项得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）投标文件符合“突发事件应急处置方案”中全部条款要求的，视为符合招标文件，本项得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）投标文件对“突发事件应急处置方案”中“突发事件排查”、“应急预案的建立”</w:t>
            </w:r>
            <w:r>
              <w:rPr>
                <w:rFonts w:hint="eastAsia"/>
              </w:rPr>
              <w:t xml:space="preserve">2</w:t>
            </w:r>
            <w:r>
              <w:rPr>
                <w:rFonts w:hint="eastAsia"/>
              </w:rPr>
              <w:t xml:space="preserve">项要求的响应内容全部优于招标文件要求的（前提是投标文件对“突发事件应急处置方案”中除“突发事件</w:t>
            </w:r>
            <w:r>
              <w:rPr>
                <w:rFonts w:hint="eastAsia"/>
              </w:rPr>
              <w:t xml:space="preserve">的排查”、“应急预案的建立”以外其他要求响应内容符合招标文件要求），本项得</w:t>
            </w:r>
            <w:r>
              <w:rPr>
                <w:rFonts w:hint="eastAsia"/>
              </w:rPr>
              <w:t xml:space="preserve">4</w:t>
            </w:r>
            <w:r>
              <w:rPr>
                <w:rFonts w:hint="eastAsia"/>
              </w:rPr>
              <w:t xml:space="preserve">分。</w:t>
            </w:r>
            <w:r/>
          </w:p>
        </w:tc>
      </w:tr>
      <w:tr>
        <w:trPr>
          <w:jc w:val="center"/>
          <w:tblCellSpacing w:w="0" w:type="dxa"/>
          <w:trHeight w:val="1738"/>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2.7</w:t>
            </w:r>
            <w:r>
              <w:rPr>
                <w:rFonts w:hint="eastAsia"/>
              </w:rPr>
              <w:t xml:space="preserve">人员配置方案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本项目的人员配置方案，评委根据投标文件对招标文件第四章“采购需求”中“人员配置</w:t>
            </w:r>
            <w:r>
              <w:t xml:space="preserve">方案</w:t>
            </w:r>
            <w:r>
              <w:rPr>
                <w:rFonts w:hint="eastAsia"/>
              </w:rPr>
              <w:t xml:space="preserve">”要求的响应情况进行评审。</w:t>
            </w:r>
            <w:r/>
          </w:p>
          <w:p>
            <w:r>
              <w:t xml:space="preserve">（</w:t>
            </w:r>
            <w:r>
              <w:t xml:space="preserve">1</w:t>
            </w:r>
            <w:r>
              <w:t xml:space="preserve">）投标文件未符合</w:t>
            </w:r>
            <w:r>
              <w:t xml:space="preserve">“</w:t>
            </w:r>
            <w:r>
              <w:rPr>
                <w:rFonts w:hint="eastAsia"/>
              </w:rPr>
              <w:t xml:space="preserve">人员配置</w:t>
            </w:r>
            <w:r>
              <w:t xml:space="preserve">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rPr>
                <w:rFonts w:hint="eastAsia"/>
              </w:rPr>
              <w:t xml:space="preserve">人员配置方</w:t>
            </w:r>
            <w:r>
              <w:t xml:space="preserve">案</w:t>
            </w:r>
            <w:r>
              <w:t xml:space="preserve">”</w:t>
            </w:r>
            <w:r>
              <w:t xml:space="preserve">中全部条款要求的，视为符合招标文件，本项得</w:t>
            </w:r>
            <w:r>
              <w:rPr>
                <w:rFonts w:hint="eastAsia"/>
              </w:rPr>
              <w:t xml:space="preserve">3</w:t>
            </w:r>
            <w:r>
              <w:t xml:space="preserve">分。</w:t>
            </w:r>
            <w:r/>
          </w:p>
          <w:p>
            <w:r>
              <w:t xml:space="preserve">（</w:t>
            </w:r>
            <w:r>
              <w:t xml:space="preserve">3</w:t>
            </w:r>
            <w:r>
              <w:t xml:space="preserve">）投标文件对</w:t>
            </w:r>
            <w:r>
              <w:t xml:space="preserve">“</w:t>
            </w:r>
            <w:r>
              <w:rPr>
                <w:rFonts w:hint="eastAsia"/>
              </w:rPr>
              <w:t xml:space="preserve">人员配置方案</w:t>
            </w:r>
            <w:r>
              <w:t xml:space="preserve">”</w:t>
            </w:r>
            <w:r>
              <w:t xml:space="preserve">中</w:t>
            </w:r>
            <w:r>
              <w:t xml:space="preserve">“</w:t>
            </w:r>
            <w:r>
              <w:rPr>
                <w:rFonts w:hint="eastAsia"/>
              </w:rPr>
              <w:t xml:space="preserve">工作经历</w:t>
            </w:r>
            <w:r>
              <w:t xml:space="preserve">”</w:t>
            </w:r>
            <w:r>
              <w:t xml:space="preserve">、</w:t>
            </w:r>
            <w:r>
              <w:t xml:space="preserve">“</w:t>
            </w:r>
            <w:r>
              <w:rPr>
                <w:rFonts w:hint="eastAsia"/>
              </w:rPr>
              <w:t xml:space="preserve">技能资格</w:t>
            </w:r>
            <w:r>
              <w:t xml:space="preserve">”2</w:t>
            </w:r>
            <w:r>
              <w:t xml:space="preserve">项要求的响应内容全部优于招标文件要求的（前提是投标文件对</w:t>
            </w:r>
            <w:r>
              <w:t xml:space="preserve">“</w:t>
            </w:r>
            <w:r>
              <w:rPr>
                <w:rFonts w:hint="eastAsia"/>
              </w:rPr>
              <w:t xml:space="preserve">人员配置</w:t>
            </w:r>
            <w:r>
              <w:t xml:space="preserve">方案</w:t>
            </w:r>
            <w:r>
              <w:t xml:space="preserve">”</w:t>
            </w:r>
            <w:r>
              <w:t xml:space="preserve">中除</w:t>
            </w:r>
            <w:r>
              <w:t xml:space="preserve">“</w:t>
            </w:r>
            <w:r>
              <w:t xml:space="preserve">工作经历</w:t>
            </w:r>
            <w:r>
              <w:t xml:space="preserve">”</w:t>
            </w:r>
            <w:r>
              <w:t xml:space="preserve">、</w:t>
            </w:r>
            <w:r>
              <w:t xml:space="preserve">“</w:t>
            </w:r>
            <w:r>
              <w:t xml:space="preserve">技能资格</w:t>
            </w:r>
            <w:r>
              <w:t xml:space="preserve">”</w:t>
            </w:r>
            <w:r>
              <w:t xml:space="preserve">以外其他要求响应内容符合招标文件要求），本项得</w:t>
            </w:r>
            <w:r>
              <w:rPr>
                <w:rFonts w:hint="eastAsia"/>
              </w:rPr>
              <w:t xml:space="preserve">5</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2.8</w:t>
            </w:r>
            <w:r>
              <w:rPr>
                <w:rFonts w:hint="eastAsia"/>
              </w:rPr>
              <w:t xml:space="preserve">管理规章及人员考核方案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本项目的管理规章及人员考核方案，评委根据投标文件对招标文件第四章“采购需求”中“</w:t>
            </w:r>
            <w:r>
              <w:t xml:space="preserve">管理制度</w:t>
            </w:r>
            <w:r>
              <w:rPr>
                <w:rFonts w:hint="eastAsia"/>
              </w:rPr>
              <w:t xml:space="preserve">”要求的响应情况进行评审。</w:t>
            </w:r>
            <w:r/>
          </w:p>
          <w:p>
            <w:r>
              <w:t xml:space="preserve">（</w:t>
            </w:r>
            <w:r>
              <w:t xml:space="preserve">1</w:t>
            </w:r>
            <w:r>
              <w:t xml:space="preserve">）投标文件未符合</w:t>
            </w:r>
            <w:r>
              <w:t xml:space="preserve">“</w:t>
            </w:r>
            <w:r>
              <w:t xml:space="preserve">管理制度</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管理制度</w:t>
            </w:r>
            <w:r>
              <w:t xml:space="preserve">”</w:t>
            </w:r>
            <w:r>
              <w:t xml:space="preserve">中全部条款要求的，视为符合招标文件，本项得</w:t>
            </w:r>
            <w:r>
              <w:rPr>
                <w:rFonts w:hint="eastAsia"/>
              </w:rPr>
              <w:t xml:space="preserve">3</w:t>
            </w:r>
            <w:r>
              <w:t xml:space="preserve">分。</w:t>
            </w:r>
            <w:r/>
          </w:p>
          <w:p>
            <w:r>
              <w:t xml:space="preserve">（</w:t>
            </w:r>
            <w:r>
              <w:t xml:space="preserve">3</w:t>
            </w:r>
            <w:r>
              <w:t xml:space="preserve">）投标文件对</w:t>
            </w:r>
            <w:r>
              <w:t xml:space="preserve">“</w:t>
            </w:r>
            <w:r>
              <w:t xml:space="preserve">管理制度</w:t>
            </w:r>
            <w:r>
              <w:t xml:space="preserve">”</w:t>
            </w:r>
            <w:r>
              <w:t xml:space="preserve">中</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”2</w:t>
            </w:r>
            <w:r>
              <w:t xml:space="preserve">项要求的响应内容全部优于招标文件要求的（前提是投标文件对</w:t>
            </w:r>
            <w:r>
              <w:t xml:space="preserve">“</w:t>
            </w:r>
            <w:r>
              <w:t xml:space="preserve">管理制度</w:t>
            </w:r>
            <w:r>
              <w:t xml:space="preserve">”</w:t>
            </w:r>
            <w:r>
              <w:t xml:space="preserve">中除</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w:t>
            </w:r>
            <w:r>
              <w:t xml:space="preserve">以外其他要求响应内容符合招标文件要求），本项得</w:t>
            </w:r>
            <w:r>
              <w:rPr>
                <w:rFonts w:hint="eastAsia"/>
              </w:rPr>
              <w:t xml:space="preserve">5</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2.9</w:t>
            </w:r>
            <w:r>
              <w:rPr>
                <w:rFonts w:hint="eastAsia"/>
              </w:rPr>
              <w:t xml:space="preserve">人员培训方案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本项目的人员培训方案，评委根据投标文件对招标文件第四章“采购需求”中“人员培训方案”要求的响应情况进行评审。</w:t>
            </w:r>
            <w:r/>
          </w:p>
          <w:p>
            <w:r>
              <w:t xml:space="preserve">（</w:t>
            </w:r>
            <w:r>
              <w:t xml:space="preserve">1</w:t>
            </w:r>
            <w:r>
              <w:t xml:space="preserve">）投标文件未符合</w:t>
            </w:r>
            <w:r>
              <w:t xml:space="preserve">“</w:t>
            </w:r>
            <w:r>
              <w:t xml:space="preserve">人员培训方案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人员培训方案</w:t>
            </w:r>
            <w:r>
              <w:t xml:space="preserve">”</w:t>
            </w:r>
            <w:r>
              <w:t xml:space="preserve">中全部条款要求的，视为符合招标文件，本项得</w:t>
            </w:r>
            <w:r>
              <w:rPr>
                <w:rFonts w:hint="eastAsia"/>
              </w:rP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人员培训方案</w:t>
            </w:r>
            <w:r>
              <w:t xml:space="preserve">”</w:t>
            </w:r>
            <w:r>
              <w:t xml:space="preserve">中</w:t>
            </w:r>
            <w:r>
              <w:t xml:space="preserve">“</w:t>
            </w:r>
            <w:r>
              <w:rPr>
                <w:rFonts w:hint="eastAsia"/>
              </w:rPr>
              <w:t xml:space="preserve">岗前培训</w:t>
            </w:r>
            <w:r>
              <w:t xml:space="preserve">”</w:t>
            </w:r>
            <w:r>
              <w:t xml:space="preserve">、</w:t>
            </w:r>
            <w:r>
              <w:t xml:space="preserve">“</w:t>
            </w:r>
            <w:r>
              <w:rPr>
                <w:rFonts w:hint="eastAsia"/>
              </w:rPr>
              <w:t xml:space="preserve">安全教育</w:t>
            </w:r>
            <w:r>
              <w:t xml:space="preserve">”2</w:t>
            </w:r>
            <w:r>
              <w:t xml:space="preserve">项要求的响应内容全部优于招标文件要求的（前提是投标文件对</w:t>
            </w:r>
            <w:r>
              <w:t xml:space="preserve">“</w:t>
            </w:r>
            <w:r>
              <w:t xml:space="preserve">人员培训方案</w:t>
            </w:r>
            <w:r>
              <w:t xml:space="preserve">”</w:t>
            </w:r>
            <w:r>
              <w:t xml:space="preserve">中除</w:t>
            </w:r>
            <w:r>
              <w:t xml:space="preserve">“</w:t>
            </w:r>
            <w:r>
              <w:t xml:space="preserve">岗前培训</w:t>
            </w:r>
            <w:r>
              <w:t xml:space="preserve">”</w:t>
            </w:r>
            <w:r>
              <w:t xml:space="preserve">、</w:t>
            </w:r>
            <w:r>
              <w:t xml:space="preserve">“</w:t>
            </w:r>
            <w:r>
              <w:t xml:space="preserve">安全教育</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2.10</w:t>
            </w:r>
            <w:r>
              <w:rPr>
                <w:rFonts w:hint="eastAsia"/>
              </w:rPr>
              <w:t xml:space="preserve">交接过渡方案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本项目的交接过渡方案方案，评委根据投标文件对招标文件第四章“采购需求”中“</w:t>
            </w:r>
            <w:r>
              <w:t xml:space="preserve">进退场工作方案</w:t>
            </w:r>
            <w:r>
              <w:rPr>
                <w:rFonts w:hint="eastAsia"/>
              </w:rPr>
              <w:t xml:space="preserve">”要求的响应情况进行评审。</w:t>
            </w:r>
            <w:r/>
          </w:p>
          <w:p>
            <w:r>
              <w:t xml:space="preserve">（</w:t>
            </w:r>
            <w:r>
              <w:t xml:space="preserve">1</w:t>
            </w:r>
            <w:r>
              <w:t xml:space="preserve">）投标文件未符合</w:t>
            </w:r>
            <w:r>
              <w:t xml:space="preserve">“</w:t>
            </w:r>
            <w:r>
              <w:t xml:space="preserve">进退场工作方案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进退场工作方案</w:t>
            </w:r>
            <w:r>
              <w:t xml:space="preserve">”</w:t>
            </w:r>
            <w:r>
              <w:t xml:space="preserve">中全部条款要求的，视为符合招标文件，本项得</w:t>
            </w:r>
            <w: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进退场工作方案</w:t>
            </w:r>
            <w:r>
              <w:t xml:space="preserve">”</w:t>
            </w:r>
            <w:r>
              <w:t xml:space="preserve">中</w:t>
            </w:r>
            <w:r>
              <w:t xml:space="preserve">“</w:t>
            </w:r>
            <w:r>
              <w:rPr>
                <w:rFonts w:hint="eastAsia"/>
              </w:rPr>
              <w:t xml:space="preserve">交接流程</w:t>
            </w:r>
            <w:r>
              <w:t xml:space="preserve">”</w:t>
            </w:r>
            <w:r>
              <w:t xml:space="preserve">、</w:t>
            </w:r>
            <w:r>
              <w:t xml:space="preserve">“</w:t>
            </w:r>
            <w:r>
              <w:rPr>
                <w:rFonts w:hint="eastAsia"/>
              </w:rPr>
              <w:t xml:space="preserve">难点处理</w:t>
            </w:r>
            <w:r>
              <w:t xml:space="preserve">”2</w:t>
            </w:r>
            <w:r>
              <w:t xml:space="preserve">项要求的响应内容全部优于招标文件要求的（前提是投标文件对</w:t>
            </w:r>
            <w:r>
              <w:t xml:space="preserve">“</w:t>
            </w:r>
            <w:r>
              <w:t xml:space="preserve">进退场工作方案</w:t>
            </w:r>
            <w:r>
              <w:t xml:space="preserve">”</w:t>
            </w:r>
            <w:r>
              <w:t xml:space="preserve">中除</w:t>
            </w:r>
            <w:r>
              <w:t xml:space="preserve">“</w:t>
            </w:r>
            <w:r>
              <w:t xml:space="preserve">交接流程</w:t>
            </w:r>
            <w:r>
              <w:t xml:space="preserve">”</w:t>
            </w:r>
            <w:r>
              <w:t xml:space="preserve">、</w:t>
            </w:r>
            <w:r>
              <w:t xml:space="preserve">“</w:t>
            </w:r>
            <w:r>
              <w:t xml:space="preserve">难点处理</w:t>
            </w:r>
            <w:r>
              <w:t xml:space="preserve">”</w:t>
            </w:r>
            <w:r>
              <w:t xml:space="preserve">以外其他要求响应内容符合招标文件要求），本项得</w:t>
            </w:r>
            <w:r>
              <w:t xml:space="preserve">4</w:t>
            </w:r>
            <w:r>
              <w:t xml:space="preserve">分。</w:t>
            </w:r>
            <w:r/>
          </w:p>
        </w:tc>
      </w:tr>
      <w:tr>
        <w:trPr>
          <w:jc w:val="center"/>
          <w:tblCellSpacing w:w="0" w:type="dxa"/>
          <w:trHeight w:val="1251"/>
        </w:trPr>
        <w:tc>
          <w:tcPr>
            <w:tcW w:w="982" w:type="dxa"/>
            <w:vAlign w:val="center"/>
            <w:vMerge w:val="restart"/>
            <w:textDirection w:val="lrTb"/>
            <w:noWrap w:val="false"/>
          </w:tcPr>
          <w:p>
            <w:r>
              <w:rPr>
                <w:rFonts w:hint="eastAsia"/>
              </w:rPr>
              <w:t xml:space="preserve">3</w:t>
            </w:r>
            <w:r/>
          </w:p>
        </w:tc>
        <w:tc>
          <w:tcPr>
            <w:tcW w:w="1418" w:type="dxa"/>
            <w:vAlign w:val="center"/>
            <w:vMerge w:val="restart"/>
            <w:textDirection w:val="lrTb"/>
            <w:noWrap w:val="false"/>
          </w:tcPr>
          <w:p>
            <w:r>
              <w:rPr>
                <w:rFonts w:hint="eastAsia"/>
              </w:rPr>
              <w:t xml:space="preserve">人员配置</w:t>
            </w:r>
            <w:r>
              <w:rPr>
                <w:rFonts w:hint="eastAsia"/>
              </w:rPr>
              <w:t xml:space="preserve">30</w:t>
            </w:r>
            <w:r/>
          </w:p>
        </w:tc>
        <w:tc>
          <w:tcPr>
            <w:tcW w:w="1279" w:type="dxa"/>
            <w:vAlign w:val="center"/>
            <w:textDirection w:val="lrTb"/>
            <w:noWrap w:val="false"/>
          </w:tcPr>
          <w:p>
            <w:pPr>
              <w:rPr>
                <w:szCs w:val="24"/>
              </w:rPr>
            </w:pPr>
            <w:r>
              <w:rPr>
                <w:rFonts w:hint="eastAsia"/>
              </w:rPr>
              <w:t xml:space="preserve">3.1</w:t>
            </w:r>
            <w:r>
              <w:rPr>
                <w:rFonts w:hint="eastAsia"/>
              </w:rPr>
              <w:t xml:space="preserve">水电工兼安保</w:t>
            </w:r>
            <w:r/>
          </w:p>
        </w:tc>
        <w:tc>
          <w:tcPr>
            <w:tcW w:w="791" w:type="dxa"/>
            <w:vAlign w:val="center"/>
            <w:textDirection w:val="lrTb"/>
            <w:noWrap w:val="false"/>
          </w:tcPr>
          <w:p>
            <w:pPr>
              <w:rPr>
                <w:szCs w:val="24"/>
              </w:rPr>
            </w:pPr>
            <w:r>
              <w:rPr>
                <w:rFonts w:hint="eastAsia"/>
                <w:szCs w:val="24"/>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）拟派驻水电工兼安保具有高压电工特种作业操作证的，每有一名得</w:t>
            </w:r>
            <w:r>
              <w:rPr>
                <w:rFonts w:hint="eastAsia"/>
              </w:rPr>
              <w:t xml:space="preserve">1</w:t>
            </w:r>
            <w:r>
              <w:rPr>
                <w:rFonts w:hint="eastAsia"/>
              </w:rPr>
              <w:t xml:space="preserve">分，最高得</w:t>
            </w:r>
            <w:r>
              <w:rPr>
                <w:rFonts w:hint="eastAsia"/>
              </w:rPr>
              <w:t xml:space="preserve">4</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）拟派驻水电工兼安保均具有与本项目类似的</w:t>
            </w:r>
            <w:r>
              <w:rPr>
                <w:rFonts w:hint="eastAsia"/>
              </w:rPr>
              <w:t xml:space="preserve">3</w:t>
            </w:r>
            <w:r>
              <w:rPr>
                <w:rFonts w:hint="eastAsia"/>
              </w:rPr>
              <w:t xml:space="preserve">年（含）以上水电工工作经验的，得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）拟派驻水电工兼安保均具有初中及以上学历的，得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3.2</w:t>
            </w:r>
            <w:r>
              <w:rPr>
                <w:rFonts w:hint="eastAsia"/>
              </w:rPr>
              <w:t xml:space="preserve">保洁人员</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）拟派驻保洁人员均具有与本项目类似的</w:t>
            </w:r>
            <w:r>
              <w:rPr>
                <w:rFonts w:hint="eastAsia"/>
              </w:rPr>
              <w:t xml:space="preserve">2</w:t>
            </w:r>
            <w:r>
              <w:rPr>
                <w:rFonts w:hint="eastAsia"/>
              </w:rPr>
              <w:t xml:space="preserve">年（含）以上办公楼宇保洁工作经验的，得</w:t>
            </w:r>
            <w:r>
              <w:rPr>
                <w:rFonts w:hint="eastAsia"/>
              </w:rPr>
              <w:t xml:space="preserve">2</w:t>
            </w:r>
            <w:r>
              <w:rPr>
                <w:rFonts w:hint="eastAsia"/>
              </w:rPr>
              <w:t xml:space="preserve">分；</w:t>
            </w:r>
            <w:r/>
          </w:p>
          <w:p>
            <w:r>
              <w:rPr>
                <w:rFonts w:hint="eastAsia"/>
              </w:rPr>
              <w:t xml:space="preserve">（</w:t>
            </w:r>
            <w:r>
              <w:rPr>
                <w:rFonts w:hint="eastAsia"/>
              </w:rPr>
              <w:t xml:space="preserve">2</w:t>
            </w:r>
            <w:r>
              <w:rPr>
                <w:rFonts w:hint="eastAsia"/>
              </w:rPr>
              <w:t xml:space="preserve">）拟派驻保洁人员均具有初中及以上学历的，得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）拟派驻保洁人员每有一名具有会务工作经验的，得</w:t>
            </w:r>
            <w:r>
              <w:rPr>
                <w:rFonts w:hint="eastAsia"/>
              </w:rPr>
              <w:t xml:space="preserve">1</w:t>
            </w:r>
            <w:r>
              <w:rPr>
                <w:rFonts w:hint="eastAsia"/>
              </w:rPr>
              <w:t xml:space="preserve">分，最高得</w:t>
            </w:r>
            <w:r>
              <w:rPr>
                <w:rFonts w:hint="eastAsia"/>
              </w:rPr>
              <w:t xml:space="preserve">2</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81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3.3</w:t>
            </w:r>
            <w:r>
              <w:rPr>
                <w:rFonts w:hint="eastAsia"/>
              </w:rPr>
              <w:t xml:space="preserve">驾驶员</w:t>
            </w:r>
            <w:r>
              <w:rPr>
                <w:rFonts w:hint="eastAsia"/>
              </w:rPr>
              <w:t xml:space="preserve"> </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）拟派驻驾驶员均具有初</w:t>
            </w:r>
            <w:r>
              <w:rPr>
                <w:rFonts w:hint="eastAsia"/>
              </w:rPr>
              <w:t xml:space="preserve">中</w:t>
            </w:r>
            <w:r>
              <w:rPr>
                <w:rFonts w:hint="eastAsia"/>
              </w:rPr>
              <w:t xml:space="preserve">及以上学历的，得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w:t>
            </w:r>
            <w:r>
              <w:rPr>
                <w:rFonts w:hint="eastAsia"/>
                <w:lang w:bidi="ar"/>
              </w:rPr>
              <w:t xml:space="preserve">拟派驻的驾驶员每有</w:t>
            </w:r>
            <w:r>
              <w:rPr>
                <w:rFonts w:hint="eastAsia"/>
                <w:lang w:bidi="ar"/>
              </w:rPr>
              <w:t xml:space="preserve">1</w:t>
            </w:r>
            <w:r>
              <w:rPr>
                <w:rFonts w:hint="eastAsia"/>
                <w:lang w:bidi="ar"/>
              </w:rPr>
              <w:t xml:space="preserve">名提供近</w:t>
            </w:r>
            <w:r>
              <w:rPr>
                <w:rFonts w:hint="eastAsia"/>
                <w:lang w:bidi="ar"/>
              </w:rPr>
              <w:t xml:space="preserve">2</w:t>
            </w:r>
            <w:r>
              <w:rPr>
                <w:rFonts w:hint="eastAsia"/>
                <w:lang w:bidi="ar"/>
              </w:rPr>
              <w:t xml:space="preserve">年无满分学习记录的，得</w:t>
            </w:r>
            <w:r>
              <w:rPr>
                <w:rFonts w:hint="eastAsia"/>
                <w:lang w:bidi="ar"/>
              </w:rPr>
              <w:t xml:space="preserve">2</w:t>
            </w:r>
            <w:r>
              <w:rPr>
                <w:rFonts w:hint="eastAsia"/>
                <w:lang w:bidi="ar"/>
              </w:rPr>
              <w:t xml:space="preserve">分，最高得</w:t>
            </w:r>
            <w:r>
              <w:rPr>
                <w:rFonts w:hint="eastAsia"/>
                <w:lang w:bidi="ar"/>
              </w:rPr>
              <w:t xml:space="preserve">4</w:t>
            </w:r>
            <w:r>
              <w:rPr>
                <w:rFonts w:hint="eastAsia"/>
                <w:lang w:bidi="ar"/>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ascii="宋体" w:hAnsi="宋体" w:cs="宋体"/>
              </w:rPr>
              <w:t xml:space="preserve">近2年无满分学习记录的证明需由公安机关交通管理部门出具或者交管12123平台线上出具的证明。</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3.4</w:t>
            </w:r>
            <w:r>
              <w:rPr>
                <w:rFonts w:hint="eastAsia"/>
              </w:rPr>
              <w:t xml:space="preserve">厨师</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）拟派驻厨师具有初中及以上学历的，得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）拟派驻厨师具有中式烹调师初级证书（职业技能等级五级）技能等级证书的，得</w:t>
            </w:r>
            <w:r>
              <w:rPr>
                <w:rFonts w:hint="eastAsia"/>
              </w:rPr>
              <w:t xml:space="preserve">2</w:t>
            </w:r>
            <w:r>
              <w:rPr>
                <w:rFonts w:hint="eastAsia"/>
              </w:rPr>
              <w:t xml:space="preserve">分；具有中式烹调师中级证书（职业技能等级四级）技能等级证书的，得</w:t>
            </w:r>
            <w:r>
              <w:rPr>
                <w:rFonts w:hint="eastAsia"/>
              </w:rPr>
              <w:t xml:space="preserve">3</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）拟派驻厨师</w:t>
            </w:r>
            <w:r>
              <w:rPr>
                <w:rFonts w:hint="eastAsia"/>
              </w:rPr>
              <w:t xml:space="preserve">具有与本项目类似的</w:t>
            </w:r>
            <w:r>
              <w:rPr>
                <w:rFonts w:hint="eastAsia"/>
              </w:rPr>
              <w:t xml:space="preserve">2</w:t>
            </w:r>
            <w:r>
              <w:rPr>
                <w:rFonts w:hint="eastAsia"/>
              </w:rPr>
              <w:t xml:space="preserve">年（含）及以上厨师工作经验的，得</w:t>
            </w:r>
            <w:r>
              <w:rPr>
                <w:rFonts w:hint="eastAsia"/>
              </w:rPr>
              <w:t xml:space="preserve">2</w:t>
            </w:r>
            <w:r>
              <w:rPr>
                <w:rFonts w:hint="eastAsia"/>
              </w:rPr>
              <w:t xml:space="preserve">分，未提供的不得</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3.5</w:t>
            </w:r>
            <w:r>
              <w:rPr>
                <w:rFonts w:hint="eastAsia"/>
              </w:rPr>
              <w:t xml:space="preserve">厨工</w:t>
            </w:r>
            <w:r/>
          </w:p>
        </w:tc>
        <w:tc>
          <w:tcPr>
            <w:tcW w:w="791" w:type="dxa"/>
            <w:vAlign w:val="center"/>
            <w:textDirection w:val="lrTb"/>
            <w:noWrap w:val="false"/>
          </w:tcPr>
          <w:p>
            <w:pPr>
              <w:rPr>
                <w:szCs w:val="24"/>
              </w:rPr>
            </w:pPr>
            <w:r>
              <w:rPr>
                <w:rFonts w:hint="eastAsia"/>
                <w:szCs w:val="24"/>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）拟派驻厨工均具有与本项目类似的</w:t>
            </w:r>
            <w:r>
              <w:rPr>
                <w:rFonts w:hint="eastAsia"/>
              </w:rPr>
              <w:t xml:space="preserve">2</w:t>
            </w:r>
            <w:r>
              <w:rPr>
                <w:rFonts w:hint="eastAsia"/>
              </w:rPr>
              <w:t xml:space="preserve">年（含）以上单位食堂工作经验的，得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）拟派驻厨工持有中式烹调师初级及以上技能等级证书的，每有一名得</w:t>
            </w:r>
            <w:r>
              <w:rPr>
                <w:rFonts w:hint="eastAsia"/>
              </w:rPr>
              <w:t xml:space="preserve">1.5</w:t>
            </w:r>
            <w:r>
              <w:rPr>
                <w:rFonts w:hint="eastAsia"/>
              </w:rPr>
              <w:t xml:space="preserve">分，最高得</w:t>
            </w:r>
            <w:r>
              <w:rPr>
                <w:rFonts w:hint="eastAsia"/>
              </w:rPr>
              <w:t xml:space="preserve">3</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）拟派驻厨工</w:t>
            </w:r>
            <w:r>
              <w:rPr>
                <w:rFonts w:hint="eastAsia"/>
              </w:rPr>
              <w:t xml:space="preserve">均</w:t>
            </w:r>
            <w:r>
              <w:rPr>
                <w:rFonts w:hint="eastAsia"/>
              </w:rPr>
              <w:t xml:space="preserve">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须提供身份证、证书扫描件；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955"/>
        </w:trPr>
        <w:tc>
          <w:tcPr>
            <w:tcW w:w="982" w:type="dxa"/>
            <w:vAlign w:val="center"/>
            <w:textDirection w:val="lrTb"/>
            <w:noWrap w:val="false"/>
          </w:tcPr>
          <w:p>
            <w:r>
              <w:rPr>
                <w:rFonts w:hint="eastAsia"/>
              </w:rPr>
              <w:t xml:space="preserve">4</w:t>
            </w:r>
            <w:r/>
          </w:p>
        </w:tc>
        <w:tc>
          <w:tcPr>
            <w:tcW w:w="1418" w:type="dxa"/>
            <w:vAlign w:val="center"/>
            <w:textDirection w:val="lrTb"/>
            <w:noWrap w:val="false"/>
          </w:tcPr>
          <w:p>
            <w:r>
              <w:rPr>
                <w:rFonts w:hint="eastAsia"/>
              </w:rPr>
              <w:t xml:space="preserve">投标人业绩</w:t>
            </w:r>
            <w:r>
              <w:rPr>
                <w:rFonts w:hint="eastAsia"/>
              </w:rPr>
              <w:t xml:space="preserve">10</w:t>
            </w:r>
            <w:r/>
          </w:p>
        </w:tc>
        <w:tc>
          <w:tcPr>
            <w:tcW w:w="1279" w:type="dxa"/>
            <w:vAlign w:val="center"/>
            <w:textDirection w:val="lrTb"/>
            <w:noWrap w:val="false"/>
          </w:tcPr>
          <w:p>
            <w:r>
              <w:rPr>
                <w:rFonts w:hint="eastAsia"/>
              </w:rPr>
              <w:t xml:space="preserve">投标人业绩</w:t>
            </w:r>
            <w:r/>
          </w:p>
        </w:tc>
        <w:tc>
          <w:tcPr>
            <w:tcW w:w="791" w:type="dxa"/>
            <w:vAlign w:val="center"/>
            <w:textDirection w:val="lrTb"/>
            <w:noWrap w:val="false"/>
          </w:tcPr>
          <w:p>
            <w:r>
              <w:rPr>
                <w:rFonts w:hint="eastAsia"/>
              </w:rPr>
              <w:t xml:space="preserve">10</w:t>
            </w:r>
            <w:r/>
          </w:p>
        </w:tc>
        <w:tc>
          <w:tcPr>
            <w:tcW w:w="4871" w:type="dxa"/>
            <w:vAlign w:val="center"/>
            <w:textDirection w:val="lrTb"/>
            <w:noWrap w:val="false"/>
          </w:tcPr>
          <w:p>
            <w:r>
              <w:rPr>
                <w:rFonts w:hint="eastAsia"/>
              </w:rPr>
              <w:t xml:space="preserve">投标人提供自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日以来（以合同签订日期为准）类似本项目的业绩，每提供一个得</w:t>
            </w:r>
            <w:r>
              <w:rPr>
                <w:rFonts w:hint="eastAsia"/>
              </w:rPr>
              <w:t xml:space="preserve">2</w:t>
            </w:r>
            <w:r>
              <w:rPr>
                <w:rFonts w:hint="eastAsia"/>
              </w:rPr>
              <w:t xml:space="preserve">分，最高得</w:t>
            </w:r>
            <w:r>
              <w:rPr>
                <w:rFonts w:hint="eastAsia"/>
              </w:rPr>
              <w:t xml:space="preserve">10</w:t>
            </w:r>
            <w:r>
              <w:rPr>
                <w:rFonts w:hint="eastAsia"/>
              </w:rPr>
              <w:t xml:space="preserve">分，未提供的不得分。</w:t>
            </w:r>
            <w:r/>
          </w:p>
          <w:p>
            <w:r>
              <w:rPr>
                <w:rFonts w:hint="eastAsia"/>
              </w:rPr>
              <w:t xml:space="preserve">（提供合同复印件并加盖公章，未按要求提供的不得分）。</w:t>
            </w:r>
            <w:r/>
          </w:p>
        </w:tc>
      </w:tr>
      <w:tr>
        <w:trPr>
          <w:jc w:val="center"/>
          <w:tblCellSpacing w:w="0" w:type="dxa"/>
          <w:trHeight w:val="1251"/>
        </w:trPr>
        <w:tc>
          <w:tcPr>
            <w:tcW w:w="982" w:type="dxa"/>
            <w:vAlign w:val="center"/>
            <w:textDirection w:val="lrTb"/>
            <w:noWrap w:val="false"/>
          </w:tcPr>
          <w:p>
            <w:r>
              <w:rPr>
                <w:rFonts w:hint="eastAsia"/>
              </w:rPr>
              <w:t xml:space="preserve">5</w:t>
            </w:r>
            <w:r/>
          </w:p>
        </w:tc>
        <w:tc>
          <w:tcPr>
            <w:tcW w:w="1418" w:type="dxa"/>
            <w:vAlign w:val="center"/>
            <w:textDirection w:val="lrTb"/>
            <w:noWrap w:val="false"/>
          </w:tcPr>
          <w:p>
            <w:r>
              <w:rPr>
                <w:rFonts w:hint="eastAsia"/>
              </w:rPr>
              <w:t xml:space="preserve">证书</w:t>
            </w:r>
            <w:r>
              <w:rPr>
                <w:rFonts w:hint="eastAsia"/>
              </w:rPr>
              <w:t xml:space="preserve">4</w:t>
            </w:r>
            <w:r/>
          </w:p>
        </w:tc>
        <w:tc>
          <w:tcPr>
            <w:tcW w:w="1279" w:type="dxa"/>
            <w:vAlign w:val="center"/>
            <w:textDirection w:val="lrTb"/>
            <w:noWrap w:val="false"/>
          </w:tcPr>
          <w:p>
            <w:r>
              <w:rPr>
                <w:rFonts w:hint="eastAsia"/>
              </w:rPr>
              <w:t xml:space="preserve">管理体系认证情况</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投标人通过</w:t>
            </w:r>
            <w:r>
              <w:rPr>
                <w:rFonts w:hint="eastAsia"/>
              </w:rPr>
              <w:t xml:space="preserve">ISO9001</w:t>
            </w:r>
            <w:r>
              <w:rPr>
                <w:rFonts w:hint="eastAsia"/>
              </w:rPr>
              <w:t xml:space="preserve">质量管理体系认证，通过</w:t>
            </w:r>
            <w:r>
              <w:rPr>
                <w:rFonts w:hint="eastAsia"/>
              </w:rPr>
              <w:t xml:space="preserve">ISO45001</w:t>
            </w:r>
            <w:r>
              <w:rPr>
                <w:rFonts w:hint="eastAsia"/>
              </w:rPr>
              <w:t xml:space="preserve">职业健康体系认证，上述认证证书每提供一个得</w:t>
            </w:r>
            <w:r>
              <w:rPr>
                <w:rFonts w:hint="eastAsia"/>
              </w:rPr>
              <w:t xml:space="preserve">2</w:t>
            </w:r>
            <w:r>
              <w:rPr>
                <w:rFonts w:hint="eastAsia"/>
              </w:rPr>
              <w:t xml:space="preserve">分，满分</w:t>
            </w:r>
            <w:r>
              <w:rPr>
                <w:rFonts w:hint="eastAsia"/>
              </w:rPr>
              <w:t xml:space="preserve">4</w:t>
            </w:r>
            <w:r>
              <w:rPr>
                <w:rFonts w:hint="eastAsia"/>
              </w:rPr>
              <w:t xml:space="preserve">分（须提供有效期内的证书扫描件并加盖公章）。</w:t>
            </w:r>
            <w:r/>
          </w:p>
        </w:tc>
      </w:tr>
      <w:tr>
        <w:trPr>
          <w:jc w:val="center"/>
          <w:tblCellSpacing w:w="0" w:type="dxa"/>
          <w:trHeight w:val="1251"/>
        </w:trPr>
        <w:tc>
          <w:tcPr>
            <w:tcW w:w="982" w:type="dxa"/>
            <w:vAlign w:val="center"/>
            <w:textDirection w:val="lrTb"/>
            <w:noWrap w:val="false"/>
          </w:tcPr>
          <w:p>
            <w:r>
              <w:rPr>
                <w:rFonts w:hint="eastAsia"/>
              </w:rPr>
              <w:t xml:space="preserve">6</w:t>
            </w:r>
            <w:r/>
          </w:p>
        </w:tc>
        <w:tc>
          <w:tcPr>
            <w:shd w:val="clear" w:color="auto" w:fill="ffffff"/>
            <w:tcW w:w="1418" w:type="dxa"/>
            <w:vAlign w:val="center"/>
            <w:textDirection w:val="lrTb"/>
            <w:noWrap w:val="false"/>
          </w:tcPr>
          <w:p>
            <w:pPr>
              <w:rPr>
                <w:szCs w:val="24"/>
              </w:rPr>
            </w:pPr>
            <w:r>
              <w:rPr>
                <w:rFonts w:hint="eastAsia" w:ascii="宋体" w:hAnsi="宋体" w:cs="宋体"/>
              </w:rPr>
              <w:t xml:space="preserve">信息化平台3</w:t>
            </w:r>
            <w:r/>
          </w:p>
        </w:tc>
        <w:tc>
          <w:tcPr>
            <w:shd w:val="clear" w:color="auto" w:fill="ffffff"/>
            <w:tcW w:w="1279"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物业智能化平台</w:t>
            </w:r>
            <w:r/>
          </w:p>
        </w:tc>
        <w:tc>
          <w:tcPr>
            <w:shd w:val="clear" w:color="auto" w:fill="ffffff"/>
            <w:tcW w:w="791" w:type="dxa"/>
            <w:vAlign w:val="center"/>
            <w:textDirection w:val="lrTb"/>
            <w:noWrap w:val="false"/>
          </w:tcPr>
          <w:p>
            <w:pPr>
              <w:jc w:val="left"/>
              <w:spacing w:line="300" w:lineRule="exact"/>
              <w:rPr>
                <w:szCs w:val="24"/>
              </w:rPr>
            </w:pPr>
            <w:r>
              <w:rPr>
                <w:rFonts w:hint="eastAsia" w:ascii="宋体" w:hAnsi="宋体" w:cs="宋体"/>
              </w:rPr>
              <w:t xml:space="preserve">3</w:t>
            </w:r>
            <w:r/>
          </w:p>
        </w:tc>
        <w:tc>
          <w:tcPr>
            <w:shd w:val="clear" w:color="auto" w:fill="ffffff"/>
            <w:tcW w:w="4871"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供应商具有为物业服务配备的智能化管理平台，提供以下材料：（1）软件使用界面截图；（2）该系统软件著作权证明材料（供应商自主研发的须提供国家版权局颁发的供应商软件著作权证书；使用第三方开发的系统须提供第三方研发该系统的软件著作权证书及购买第三方系统的采购合同），本项最高3分，缺任何一项证明材料则该项不得分。</w:t>
            </w:r>
            <w:r/>
          </w:p>
        </w:tc>
      </w:tr>
    </w:tbl>
    <w:p>
      <w:r/>
      <w:r/>
    </w:p>
    <w:p>
      <w:pPr>
        <w:jc w:val="left"/>
        <w:widowControl/>
        <w:rPr>
          <w:rFonts w:ascii="宋体" w:cs="宋体"/>
          <w:sz w:val="44"/>
          <w:szCs w:val="44"/>
        </w:rPr>
      </w:pPr>
      <w:r>
        <w:rPr>
          <w:rFonts w:ascii="宋体" w:cs="宋体"/>
          <w:sz w:val="44"/>
          <w:szCs w:val="44"/>
        </w:rPr>
        <w:br w:type="page" w:clear="all"/>
      </w:r>
      <w:r/>
    </w:p>
    <w:p>
      <w:pPr>
        <w:jc w:val="center"/>
        <w:keepNext/>
        <w:rPr>
          <w:rFonts w:ascii="宋体" w:cs="宋体"/>
          <w:sz w:val="44"/>
          <w:szCs w:val="44"/>
        </w:rPr>
      </w:pPr>
      <w:r>
        <w:rPr>
          <w:rFonts w:ascii="宋体" w:cs="宋体"/>
          <w:sz w:val="44"/>
          <w:szCs w:val="44"/>
        </w:rPr>
      </w:r>
      <w:r/>
    </w:p>
    <w:p>
      <w:pPr>
        <w:jc w:val="center"/>
        <w:keepNext/>
        <w:rPr>
          <w:rFonts w:ascii="黑体" w:eastAsia="黑体"/>
          <w:bCs/>
          <w:sz w:val="44"/>
          <w:szCs w:val="28"/>
        </w:rPr>
        <w:outlineLvl w:val="0"/>
      </w:pPr>
      <w:r/>
      <w:bookmarkStart w:id="171" w:name="_Toc233383231"/>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71"/>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hint="eastAsia" w:ascii="宋体" w:cs="宋体"/>
          <w:sz w:val="24"/>
          <w:szCs w:val="24"/>
          <w:lang w:val="zh-CN"/>
        </w:rPr>
        <w:t xml:space="preserve">3.关于符合本国产品标准的声明函（格式见附件11）</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560" w:lineRule="exact"/>
        <w:rPr>
          <w:rFonts w:hint="eastAsia" w:ascii="宋体" w:hAnsi="宋体" w:cs="方正仿宋_GBK"/>
          <w:sz w:val="24"/>
          <w:szCs w:val="24"/>
        </w:rPr>
      </w:pPr>
      <w:r>
        <w:rPr>
          <w:rFonts w:hint="eastAsia" w:ascii="宋体" w:cs="宋体"/>
          <w:sz w:val="24"/>
          <w:szCs w:val="24"/>
          <w:lang w:val="zh-CN"/>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宋体" w:hAnsi="宋体" w:cs="方正仿宋_GBK"/>
                <w:sz w:val="24"/>
                <w:szCs w:val="24"/>
                <w:lang w:eastAsia="en-US"/>
              </w:rPr>
            </w:pPr>
            <w:r>
              <w:rPr>
                <w:rFonts w:hint="eastAsia" w:ascii="宋体" w:hAnsi="宋体" w:cs="方正仿宋_GBK"/>
                <w:sz w:val="24"/>
                <w:szCs w:val="24"/>
                <w:lang w:eastAsia="en-US"/>
              </w:rPr>
              <w:t xml:space="preserve">                      </w:t>
            </w:r>
            <w:r>
              <w:rPr>
                <w:rFonts w:hint="eastAsia" w:ascii="宋体" w:hAnsi="宋体" w:cs="方正仿宋_GBK"/>
                <w:sz w:val="24"/>
                <w:szCs w:val="24"/>
                <w:lang w:eastAsia="en-US"/>
              </w:rPr>
              <w:t xml:space="preserve">投标总报价</w:t>
            </w:r>
            <w:r/>
          </w:p>
        </w:tc>
      </w:tr>
      <w:tr>
        <w:trPr>
          <w:cantSplit/>
          <w:trHeight w:val="612"/>
        </w:trPr>
        <w:tc>
          <w:tcPr>
            <w:tcW w:w="8934" w:type="dxa"/>
            <w:vAlign w:val="center"/>
            <w:textDirection w:val="lrTb"/>
            <w:noWrap w:val="false"/>
          </w:tcPr>
          <w:p>
            <w:pPr>
              <w:pStyle w:val="1090"/>
              <w:rPr>
                <w:rFonts w:hint="eastAsia"/>
              </w:rPr>
            </w:pPr>
            <w:r>
              <w:rPr>
                <w:rFonts w:hint="eastAsia"/>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ind w:firstLine="482"/>
        <w:spacing w:line="240" w:lineRule="atLeast"/>
        <w:rPr>
          <w:rFonts w:ascii="宋体" w:cs="宋体"/>
          <w:b/>
          <w:bCs/>
          <w:sz w:val="24"/>
          <w:szCs w:val="24"/>
          <w:lang w:val="zh-CN"/>
        </w:rPr>
      </w:pPr>
      <w:r>
        <w:rPr>
          <w:rFonts w:hint="eastAsia" w:ascii="宋体" w:cs="宋体"/>
          <w:b/>
          <w:bCs/>
          <w:sz w:val="24"/>
          <w:szCs w:val="24"/>
          <w:lang w:val="zh-CN"/>
        </w:rPr>
        <w:t xml:space="preserve">附件2.1 投标分项报价表</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rPr>
                <w:rFonts w:hint="eastAsia" w:ascii="宋体" w:cs="宋体"/>
                <w:b/>
                <w:bCs/>
                <w:sz w:val="24"/>
                <w:szCs w:val="24"/>
                <w:lang w:val="zh-CN" w:eastAsia="en-US"/>
              </w:rPr>
              <w:t xml:space="preserve">）</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625"/>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人员工资</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eastAsia="en-US"/>
              </w:rPr>
            </w:pPr>
            <w:r>
              <w:rPr>
                <w:rFonts w:ascii="宋体" w:cs="宋体"/>
                <w:b/>
                <w:bCs/>
                <w:sz w:val="24"/>
                <w:szCs w:val="24"/>
                <w:u w:val="single"/>
                <w:lang w:val="zh-CN" w:eastAsia="en-US"/>
              </w:rPr>
              <w:t xml:space="preserve"> </w:t>
            </w:r>
            <w:r>
              <w:rPr>
                <w:rFonts w:hint="eastAsia" w:ascii="宋体" w:cs="宋体"/>
                <w:b/>
                <w:bCs/>
                <w:sz w:val="24"/>
                <w:szCs w:val="24"/>
                <w:u w:val="single"/>
                <w:lang w:val="zh-CN" w:eastAsia="en-US"/>
              </w:rPr>
              <w:t xml:space="preserve"> </w:t>
            </w:r>
            <w:r>
              <w:rPr>
                <w:rFonts w:hint="eastAsia" w:ascii="宋体" w:cs="宋体"/>
                <w:b/>
                <w:bCs/>
                <w:sz w:val="24"/>
                <w:szCs w:val="24"/>
                <w:lang w:val="zh-CN" w:eastAsia="en-US"/>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社会保险费用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2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住房公积金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rPr>
                <w:rFonts w:ascii="宋体" w:cs="宋体"/>
                <w:sz w:val="22"/>
                <w:lang w:val="zh-CN" w:eastAsia="en-US"/>
              </w:rPr>
            </w:pPr>
            <w:r>
              <w:rPr>
                <w:rFonts w:hint="eastAsia" w:ascii="宋体" w:cs="宋体"/>
                <w:sz w:val="24"/>
                <w:szCs w:val="24"/>
              </w:rPr>
              <w:t xml:space="preserve">伙食费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5</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商业保险费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4"/>
                <w:szCs w:val="24"/>
              </w:rPr>
            </w:pPr>
            <w:r>
              <w:rPr>
                <w:rFonts w:hint="eastAsia" w:ascii="宋体" w:cs="宋体"/>
                <w:sz w:val="24"/>
                <w:szCs w:val="24"/>
              </w:rPr>
              <w:t xml:space="preserve">6</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rPr>
              <w:t xml:space="preserve">公司管理费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rPr>
              <w:t xml:space="preserve">税金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垃圾清运费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4"/>
                <w:szCs w:val="24"/>
              </w:rPr>
            </w:pPr>
            <w:r>
              <w:rPr>
                <w:rFonts w:ascii="宋体" w:cs="宋体"/>
                <w:sz w:val="24"/>
                <w:szCs w:val="24"/>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4"/>
                <w:szCs w:val="24"/>
              </w:rPr>
            </w:pPr>
            <w:r>
              <w:rPr>
                <w:rFonts w:ascii="宋体" w:cs="宋体"/>
                <w:sz w:val="24"/>
                <w:szCs w:val="24"/>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b/>
                <w:bCs/>
                <w:sz w:val="24"/>
                <w:szCs w:val="24"/>
                <w:lang w:val="zh-CN" w:eastAsia="en-US"/>
              </w:rPr>
            </w:pPr>
            <w:r>
              <w:rPr>
                <w:rFonts w:ascii="宋体" w:cs="宋体"/>
                <w:b/>
                <w:bCs/>
                <w:sz w:val="24"/>
                <w:szCs w:val="24"/>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jc w:val="cente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textDirection w:val="lrTb"/>
            <w:noWrap w:val="false"/>
          </w:tcPr>
          <w:p>
            <w:pPr>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3.分项服务不需填写品牌、规格型号、制造商、产地。</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ind w:firstLine="482"/>
        <w:spacing w:line="240" w:lineRule="atLeast"/>
        <w:rPr>
          <w:rFonts w:ascii="宋体" w:cs="宋体"/>
          <w:b/>
          <w:bCs/>
          <w:sz w:val="24"/>
          <w:szCs w:val="24"/>
          <w:lang w:val="zh-CN"/>
        </w:rPr>
      </w:pPr>
      <w:r>
        <w:rPr>
          <w:rFonts w:ascii="宋体" w:cs="宋体"/>
          <w:b/>
          <w:bCs/>
          <w:sz w:val="24"/>
          <w:szCs w:val="24"/>
          <w:lang w:val="zh-CN"/>
        </w:rPr>
      </w:r>
      <w:r/>
    </w:p>
    <w:p>
      <w:pPr>
        <w:ind w:firstLine="482"/>
        <w:spacing w:line="240" w:lineRule="atLeast"/>
        <w:rPr>
          <w:rFonts w:ascii="宋体" w:cs="宋体"/>
          <w:b/>
          <w:bCs/>
          <w:sz w:val="24"/>
          <w:szCs w:val="24"/>
          <w:lang w:val="zh-CN"/>
        </w:rPr>
      </w:pPr>
      <w:r>
        <w:rPr>
          <w:rFonts w:hint="eastAsia" w:ascii="宋体" w:cs="宋体"/>
          <w:b/>
          <w:bCs/>
          <w:sz w:val="24"/>
          <w:szCs w:val="24"/>
        </w:rPr>
        <w:t xml:space="preserve">附件2.2</w:t>
      </w:r>
      <w:r>
        <w:rPr>
          <w:rFonts w:hint="eastAsia" w:ascii="宋体" w:cs="宋体"/>
          <w:b/>
          <w:bCs/>
          <w:sz w:val="24"/>
          <w:szCs w:val="24"/>
          <w:lang w:val="zh-CN"/>
        </w:rPr>
        <w:t xml:space="preserve">投标</w:t>
      </w:r>
      <w:r>
        <w:rPr>
          <w:rFonts w:hint="eastAsia" w:ascii="宋体" w:cs="宋体"/>
          <w:b/>
          <w:bCs/>
          <w:sz w:val="24"/>
          <w:szCs w:val="24"/>
        </w:rPr>
        <w:t xml:space="preserve">岗位综合</w:t>
      </w:r>
      <w:r>
        <w:rPr>
          <w:rFonts w:hint="eastAsia" w:ascii="宋体" w:cs="宋体"/>
          <w:b/>
          <w:bCs/>
          <w:sz w:val="24"/>
          <w:szCs w:val="24"/>
          <w:lang w:val="zh-CN"/>
        </w:rPr>
        <w:t xml:space="preserve">报价表</w:t>
      </w:r>
      <w:r/>
    </w:p>
    <w:p>
      <w:pPr>
        <w:ind w:firstLine="482"/>
        <w:spacing w:line="240" w:lineRule="atLeast"/>
        <w:rPr>
          <w:rFonts w:ascii="宋体" w:cs="宋体"/>
          <w:b/>
          <w:bCs/>
          <w:sz w:val="24"/>
          <w:szCs w:val="24"/>
          <w:lang w:val="zh-CN"/>
        </w:rPr>
      </w:pPr>
      <w:r>
        <w:rPr>
          <w:rFonts w:ascii="宋体" w:cs="宋体"/>
          <w:b/>
          <w:bCs/>
          <w:sz w:val="24"/>
          <w:szCs w:val="24"/>
          <w:lang w:val="zh-CN"/>
        </w:rPr>
      </w:r>
      <w:r/>
    </w:p>
    <w:tbl>
      <w:tblPr>
        <w:tblStyle w:val="880"/>
        <w:tblW w:w="90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731"/>
        <w:gridCol w:w="1732"/>
        <w:gridCol w:w="859"/>
        <w:gridCol w:w="900"/>
        <w:gridCol w:w="831"/>
        <w:gridCol w:w="1432"/>
        <w:gridCol w:w="1377"/>
        <w:gridCol w:w="1210"/>
      </w:tblGrid>
      <w:tr>
        <w:trPr>
          <w:jc w:val="center"/>
          <w:trHeight w:val="567"/>
        </w:trPr>
        <w:tc>
          <w:tcPr>
            <w:tcW w:w="7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项目</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岗位</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单位</w:t>
            </w:r>
            <w:r/>
          </w:p>
        </w:tc>
        <w:tc>
          <w:tcPr>
            <w:tcW w:w="90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数量</w:t>
            </w:r>
            <w:r/>
          </w:p>
        </w:tc>
        <w:tc>
          <w:tcPr>
            <w:tcW w:w="8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月数</w:t>
            </w:r>
            <w:r/>
          </w:p>
        </w:tc>
        <w:tc>
          <w:tcPr>
            <w:tcW w:w="14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月平均费用</w:t>
            </w:r>
            <w:r/>
          </w:p>
        </w:tc>
        <w:tc>
          <w:tcPr>
            <w:tcW w:w="1377"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年费用</w:t>
            </w:r>
            <w:r/>
          </w:p>
        </w:tc>
        <w:tc>
          <w:tcPr>
            <w:tcW w:w="121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备注</w:t>
            </w:r>
            <w:r/>
          </w:p>
        </w:tc>
      </w:tr>
      <w:tr>
        <w:trPr>
          <w:jc w:val="center"/>
          <w:trHeight w:val="567"/>
        </w:trPr>
        <w:tc>
          <w:tcPr>
            <w:tcW w:w="731" w:type="dxa"/>
            <w:vAlign w:val="center"/>
            <w:vMerge w:val="restart"/>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人员费用</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厨师</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restart"/>
            <w:textDirection w:val="lrTb"/>
            <w:noWrap w:val="false"/>
          </w:tcPr>
          <w:p>
            <w:pPr>
              <w:jc w:val="center"/>
              <w:spacing w:line="240" w:lineRule="atLeast"/>
              <w:rPr>
                <w:rFonts w:ascii="宋体" w:cs="宋体"/>
                <w:b/>
                <w:bCs/>
                <w:szCs w:val="21"/>
                <w:lang w:val="zh-CN"/>
              </w:rPr>
            </w:pPr>
            <w:r>
              <w:rPr>
                <w:rFonts w:hint="eastAsia" w:ascii="宋体" w:cs="宋体"/>
                <w:b/>
                <w:bCs/>
                <w:szCs w:val="21"/>
                <w:lang w:val="zh-CN"/>
              </w:rPr>
              <w:t xml:space="preserve">年费用=数</w:t>
            </w:r>
            <w:r/>
          </w:p>
          <w:p>
            <w:pPr>
              <w:jc w:val="center"/>
              <w:spacing w:line="240" w:lineRule="atLeast"/>
              <w:rPr>
                <w:rFonts w:ascii="宋体" w:cs="宋体"/>
                <w:b/>
                <w:bCs/>
                <w:szCs w:val="21"/>
              </w:rPr>
            </w:pPr>
            <w:r>
              <w:rPr>
                <w:rFonts w:hint="eastAsia" w:ascii="宋体" w:cs="宋体"/>
                <w:b/>
                <w:bCs/>
                <w:szCs w:val="21"/>
                <w:lang w:val="zh-CN"/>
              </w:rPr>
              <w:t xml:space="preserve">量*月数*月</w:t>
            </w:r>
            <w:r>
              <w:rPr>
                <w:rFonts w:hint="eastAsia" w:ascii="宋体" w:cs="宋体"/>
                <w:b/>
                <w:bCs/>
                <w:szCs w:val="21"/>
              </w:rPr>
              <w:t xml:space="preserve">平均</w:t>
            </w:r>
            <w:r/>
          </w:p>
          <w:p>
            <w:pPr>
              <w:jc w:val="center"/>
              <w:spacing w:line="240" w:lineRule="atLeast"/>
              <w:rPr>
                <w:rFonts w:ascii="宋体" w:cs="宋体"/>
                <w:b/>
                <w:bCs/>
                <w:sz w:val="24"/>
                <w:szCs w:val="24"/>
                <w:lang w:val="zh-CN"/>
              </w:rPr>
            </w:pPr>
            <w:r>
              <w:rPr>
                <w:rFonts w:hint="eastAsia" w:ascii="宋体" w:cs="宋体"/>
                <w:b/>
                <w:bCs/>
                <w:szCs w:val="21"/>
                <w:lang w:val="zh-CN"/>
              </w:rPr>
              <w:t xml:space="preserve">费用</w:t>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保洁</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驾驶员</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水电工兼安保</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会务</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厨工</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其他费用</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垃圾清运费</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gridSpan w:val="3"/>
            <w:tcW w:w="332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lang w:val="zh-CN"/>
              </w:rPr>
              <w:t xml:space="preserve">投标</w:t>
            </w:r>
            <w:r>
              <w:rPr>
                <w:rFonts w:hint="eastAsia" w:ascii="宋体" w:cs="宋体"/>
                <w:b/>
                <w:bCs/>
                <w:sz w:val="24"/>
                <w:szCs w:val="24"/>
              </w:rPr>
              <w:t xml:space="preserve">总报价</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bl>
    <w:p>
      <w:pPr>
        <w:jc w:val="left"/>
        <w:spacing w:line="560" w:lineRule="exact"/>
        <w:rPr>
          <w:rFonts w:hint="eastAsia" w:ascii="宋体" w:hAnsi="宋体" w:cs="方正黑体_GBK"/>
          <w:bCs/>
          <w:sz w:val="24"/>
          <w:szCs w:val="24"/>
        </w:rPr>
      </w:pPr>
      <w:r>
        <w:rPr>
          <w:rFonts w:hint="eastAsia" w:ascii="宋体" w:hAnsi="宋体" w:cs="方正黑体_GBK"/>
          <w:bCs/>
          <w:sz w:val="24"/>
          <w:szCs w:val="24"/>
        </w:rPr>
        <w:t xml:space="preserve">备注：</w:t>
      </w:r>
      <w:r/>
    </w:p>
    <w:p>
      <w:pPr>
        <w:numPr>
          <w:ilvl w:val="255"/>
          <w:numId w:val="0"/>
        </w:numPr>
        <w:ind w:firstLine="480"/>
        <w:spacing w:line="560" w:lineRule="exact"/>
        <w:rPr>
          <w:rFonts w:hint="eastAsia" w:ascii="宋体" w:hAnsi="宋体" w:cs="方正黑体_GBK"/>
          <w:bCs/>
          <w:sz w:val="24"/>
          <w:szCs w:val="24"/>
        </w:rPr>
      </w:pPr>
      <w:r>
        <w:rPr>
          <w:rFonts w:hint="eastAsia" w:ascii="宋体" w:hAnsi="宋体" w:cs="方正黑体_GBK"/>
          <w:bCs/>
          <w:sz w:val="24"/>
          <w:szCs w:val="24"/>
        </w:rPr>
        <w:t xml:space="preserve">1.岗位应和采购需求中人员需求岗位一致。</w:t>
      </w:r>
      <w:r/>
    </w:p>
    <w:p>
      <w:pPr>
        <w:numPr>
          <w:ilvl w:val="255"/>
          <w:numId w:val="0"/>
        </w:numPr>
        <w:ind w:firstLine="480"/>
        <w:spacing w:line="560" w:lineRule="exact"/>
        <w:rPr>
          <w:rFonts w:hint="eastAsia" w:ascii="宋体" w:hAnsi="宋体" w:cs="方正黑体_GBK"/>
          <w:bCs/>
          <w:sz w:val="24"/>
          <w:szCs w:val="24"/>
        </w:rPr>
      </w:pPr>
      <w:r>
        <w:rPr>
          <w:rFonts w:hint="eastAsia" w:ascii="宋体" w:hAnsi="宋体" w:cs="方正黑体_GBK"/>
          <w:bCs/>
          <w:sz w:val="24"/>
          <w:szCs w:val="24"/>
        </w:rPr>
        <w:t xml:space="preserve">2.岗位综合报价应包括“</w:t>
      </w:r>
      <w:r>
        <w:rPr>
          <w:rFonts w:hint="eastAsia" w:ascii="宋体" w:cs="宋体"/>
          <w:sz w:val="24"/>
          <w:szCs w:val="24"/>
          <w:lang w:val="zh-CN"/>
        </w:rPr>
        <w:t xml:space="preserve">投标分项报价表</w:t>
      </w:r>
      <w:r>
        <w:rPr>
          <w:rFonts w:hint="eastAsia" w:ascii="宋体" w:hAnsi="宋体" w:cs="方正黑体_GBK"/>
          <w:bCs/>
          <w:sz w:val="24"/>
          <w:szCs w:val="24"/>
        </w:rPr>
        <w:t xml:space="preserve">”中所有服务项目报价。</w:t>
      </w:r>
      <w:r/>
    </w:p>
    <w:p>
      <w:pPr>
        <w:numPr>
          <w:ilvl w:val="255"/>
          <w:numId w:val="0"/>
        </w:numPr>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3.“</w:t>
      </w:r>
      <w:r>
        <w:rPr>
          <w:rFonts w:hint="eastAsia" w:ascii="宋体" w:cs="宋体"/>
          <w:sz w:val="24"/>
          <w:szCs w:val="24"/>
          <w:lang w:val="zh-CN"/>
        </w:rPr>
        <w:t xml:space="preserve">投标</w:t>
      </w:r>
      <w:r>
        <w:rPr>
          <w:rFonts w:hint="eastAsia" w:ascii="宋体" w:cs="宋体"/>
          <w:sz w:val="24"/>
          <w:szCs w:val="24"/>
        </w:rPr>
        <w:t xml:space="preserve">总报价</w:t>
      </w:r>
      <w:r>
        <w:rPr>
          <w:rFonts w:hint="eastAsia" w:ascii="宋体" w:hAnsi="宋体" w:cs="方正仿宋_GBK"/>
          <w:sz w:val="24"/>
          <w:szCs w:val="24"/>
        </w:rPr>
        <w:t xml:space="preserve">”数额为各岗位“年费用”之和。</w:t>
      </w:r>
      <w:r/>
    </w:p>
    <w:p>
      <w:pPr>
        <w:ind w:firstLine="482"/>
        <w:jc w:val="left"/>
        <w:spacing w:line="560" w:lineRule="exact"/>
        <w:rPr>
          <w:rFonts w:hint="eastAsia" w:ascii="宋体" w:hAnsi="宋体" w:cs="方正黑体_GBK"/>
          <w:bCs/>
          <w:sz w:val="24"/>
          <w:szCs w:val="24"/>
        </w:rPr>
      </w:pPr>
      <w:r>
        <w:rPr>
          <w:rFonts w:hint="eastAsia" w:ascii="宋体" w:hAnsi="宋体" w:cs="方正仿宋_GBK"/>
          <w:sz w:val="24"/>
          <w:szCs w:val="24"/>
        </w:rPr>
        <w:t xml:space="preserve">4.“</w:t>
      </w:r>
      <w:r>
        <w:rPr>
          <w:rFonts w:hint="eastAsia" w:ascii="宋体" w:cs="宋体"/>
          <w:sz w:val="24"/>
          <w:szCs w:val="24"/>
          <w:lang w:val="zh-CN"/>
        </w:rPr>
        <w:t xml:space="preserve">投标</w:t>
      </w:r>
      <w:r>
        <w:rPr>
          <w:rFonts w:hint="eastAsia" w:ascii="宋体" w:cs="宋体"/>
          <w:sz w:val="24"/>
          <w:szCs w:val="24"/>
        </w:rPr>
        <w:t xml:space="preserve">总报价</w:t>
      </w:r>
      <w:r>
        <w:rPr>
          <w:rFonts w:hint="eastAsia" w:ascii="宋体" w:hAnsi="宋体" w:cs="方正仿宋_GBK"/>
          <w:sz w:val="24"/>
          <w:szCs w:val="24"/>
        </w:rPr>
        <w:t xml:space="preserve">”数额应当与“开标一览表”中“投标总报价”数额以及“投标分项报价表”中“投标总报价”一致。</w:t>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8"/>
        <w:gridCol w:w="1430"/>
        <w:gridCol w:w="680"/>
        <w:gridCol w:w="908"/>
        <w:gridCol w:w="1056"/>
        <w:gridCol w:w="1068"/>
        <w:gridCol w:w="2863"/>
      </w:tblGrid>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bl>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spacing w:line="560" w:lineRule="exact"/>
        <w:rPr>
          <w:rFonts w:hint="eastAsia" w:ascii="宋体" w:hAnsi="宋体" w:cs="方正仿宋_GBK"/>
          <w:iCs/>
          <w:sz w:val="24"/>
          <w:szCs w:val="24"/>
        </w:rPr>
      </w:pPr>
      <w:r>
        <w:rPr>
          <w:rFonts w:hint="eastAsia" w:ascii="宋体" w:hAnsi="宋体" w:cs="方正仿宋_GBK"/>
          <w:iCs/>
          <w:sz w:val="24"/>
          <w:szCs w:val="24"/>
        </w:rPr>
        <w:t xml:space="preserve">1.本表仅适用物业管理服务品目政府采购项目，供应商需在投标（响应）文件中填报此表。</w:t>
      </w:r>
      <w:r/>
    </w:p>
    <w:p>
      <w:pPr>
        <w:spacing w:line="560" w:lineRule="exact"/>
        <w:rPr>
          <w:rFonts w:hint="eastAsia" w:ascii="宋体" w:hAnsi="宋体" w:cs="方正仿宋_GBK"/>
          <w:i/>
          <w:sz w:val="24"/>
          <w:szCs w:val="24"/>
          <w:u w:val="single"/>
        </w:rPr>
      </w:pPr>
      <w:r>
        <w:rPr>
          <w:rFonts w:hint="eastAsia" w:ascii="宋体" w:hAnsi="宋体" w:cs="方正仿宋_GBK"/>
          <w:i/>
          <w:sz w:val="24"/>
          <w:szCs w:val="24"/>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w:t>
      </w:r>
      <w:r>
        <w:rPr>
          <w:rFonts w:ascii="宋体" w:cs="宋体"/>
          <w:sz w:val="24"/>
          <w:szCs w:val="24"/>
          <w:lang w:val="zh-CN"/>
        </w:rPr>
        <w:t xml:space="preserve">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商务要求</w:t>
            </w:r>
            <w:r>
              <w:rPr>
                <w:rFonts w:ascii="宋体" w:cs="宋体"/>
                <w:sz w:val="24"/>
                <w:szCs w:val="24"/>
                <w:lang w:val="zh-CN" w:eastAsia="en-US"/>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w:t>
      </w:r>
      <w:r>
        <w:rPr>
          <w:rFonts w:ascii="宋体" w:cs="宋体"/>
          <w:sz w:val="24"/>
          <w:szCs w:val="24"/>
          <w:lang w:val="zh-CN"/>
        </w:rPr>
        <w:t xml:space="preserve">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ascii="宋体" w:cs="宋体"/>
          <w:sz w:val="24"/>
          <w:szCs w:val="24"/>
          <w:lang w:val="zh-CN"/>
        </w:rPr>
        <w:t xml:space="preserve">(</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w:t>
      </w:r>
      <w:r>
        <w:rPr>
          <w:rFonts w:hint="eastAsia" w:ascii="宋体" w:cs="宋体"/>
          <w:sz w:val="24"/>
          <w:szCs w:val="24"/>
          <w:lang w:val="zh-CN"/>
        </w:rPr>
        <w:t xml:space="preserve">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w:t>
      </w:r>
      <w:r>
        <w:rPr>
          <w:rFonts w:hint="eastAsia" w:ascii="宋体" w:cs="宋体"/>
          <w:b/>
          <w:bCs/>
          <w:sz w:val="24"/>
          <w:szCs w:val="24"/>
          <w:lang w:val="zh-CN"/>
        </w:rPr>
        <w:t xml:space="preserve">-1</w:t>
      </w:r>
      <w:r>
        <w:rPr>
          <w:rFonts w:ascii="宋体" w:cs="宋体"/>
          <w:b/>
          <w:bCs/>
          <w:sz w:val="24"/>
          <w:szCs w:val="24"/>
          <w:lang w:val="zh-CN"/>
        </w:rPr>
        <w:t xml:space="preserve"> </w:t>
      </w:r>
      <w:r>
        <w:rPr>
          <w:rFonts w:hint="eastAsia" w:ascii="宋体" w:cs="宋体"/>
          <w:b/>
          <w:bCs/>
          <w:sz w:val="24"/>
          <w:szCs w:val="24"/>
          <w:lang w:val="zh-CN"/>
        </w:rPr>
        <w:t xml:space="preserve">中小微企业声明函（服务类项目）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hint="eastAsia" w:ascii="宋体" w:cs="宋体"/>
          <w:sz w:val="24"/>
          <w:szCs w:val="24"/>
          <w:lang w:val="zh-CN"/>
        </w:rPr>
        <w:t xml:space="preserve">：</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spacing w:line="559" w:lineRule="atLeast"/>
        <w:pBdr>
          <w:top w:val="none" w:color="000000" w:sz="0" w:space="0"/>
          <w:left w:val="none" w:color="000000" w:sz="0" w:space="0"/>
          <w:bottom w:val="none" w:color="000000" w:sz="0" w:space="0"/>
          <w:right w:val="none" w:color="000000" w:sz="0" w:space="0"/>
        </w:pBd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hint="eastAsia" w:ascii="宋体" w:cs="宋体"/>
          <w:sz w:val="24"/>
          <w:szCs w:val="24"/>
          <w:lang w:val="zh-CN"/>
        </w:rPr>
        <w:t xml:space="preserve">〔</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rPr>
          <w:rFonts w:ascii="宋体" w:cs="宋体"/>
          <w:b/>
          <w:bCs/>
          <w:sz w:val="32"/>
          <w:szCs w:val="32"/>
          <w:lang w:val="zh-CN"/>
        </w:rPr>
        <w:br w:type="page" w:clear="all"/>
      </w:r>
      <w:r>
        <w:rPr>
          <w:rFonts w:ascii="宋体" w:cs="宋体"/>
          <w:b/>
          <w:bCs/>
          <w:sz w:val="32"/>
          <w:szCs w:val="32"/>
          <w:lang w:val="zh-CN"/>
        </w:rPr>
        <w:br w:type="page" w:clear="all"/>
      </w: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sz w:val="32"/>
        </w:rPr>
        <w:t xml:space="preserve">JSZC-320000-SCZX-G</w:t>
      </w:r>
      <w:r>
        <w:rPr>
          <w:rFonts w:ascii="仿宋" w:hAnsi="仿宋" w:eastAsia="仿宋" w:cs="仿宋"/>
          <w:sz w:val="32"/>
        </w:rPr>
        <w:t xml:space="preserve">（</w:t>
      </w:r>
      <w:r>
        <w:rPr>
          <w:rFonts w:eastAsia="Times New Roman"/>
          <w:sz w:val="32"/>
        </w:rPr>
        <w:t xml:space="preserve">C</w:t>
      </w:r>
      <w:r>
        <w:rPr>
          <w:rFonts w:ascii="仿宋" w:hAnsi="仿宋" w:eastAsia="仿宋" w:cs="仿宋"/>
          <w:sz w:val="32"/>
        </w:rPr>
        <w:t xml:space="preserve">、</w:t>
      </w:r>
      <w:r>
        <w:rPr>
          <w:rFonts w:eastAsia="Times New Roman"/>
          <w:sz w:val="32"/>
        </w:rPr>
        <w:t xml:space="preserve">T</w:t>
      </w:r>
      <w:r>
        <w:rPr>
          <w:rFonts w:ascii="仿宋" w:hAnsi="仿宋" w:eastAsia="仿宋" w:cs="仿宋"/>
          <w:sz w:val="32"/>
        </w:rPr>
        <w:t xml:space="preserve">、</w:t>
      </w:r>
      <w:r>
        <w:rPr>
          <w:rFonts w:eastAsia="Times New Roman"/>
          <w:sz w:val="32"/>
        </w:rPr>
        <w:t xml:space="preserve">K</w:t>
      </w:r>
      <w:r>
        <w:rPr>
          <w:rFonts w:ascii="仿宋" w:hAnsi="仿宋" w:eastAsia="仿宋" w:cs="仿宋"/>
          <w:sz w:val="32"/>
        </w:rPr>
        <w:t xml:space="preserve">）</w:t>
      </w:r>
      <w:r>
        <w:rPr>
          <w:rFonts w:eastAsia="Times New Roman"/>
          <w:sz w:val="32"/>
        </w:rPr>
        <w:t xml:space="preserve">20XX-XXXX</w:t>
      </w:r>
      <w:r>
        <w:rPr>
          <w:rFonts w:ascii="仿宋" w:hAnsi="仿宋" w:eastAsia="仿宋" w:cs="仿宋"/>
          <w:sz w:val="32"/>
        </w:rPr>
        <w:t xml:space="preserve">，</w:t>
      </w:r>
      <w:r>
        <w:rPr>
          <w:rFonts w:eastAsia="Times New Roman"/>
          <w:sz w:val="32"/>
        </w:rPr>
        <w:t xml:space="preserve">XXXX</w:t>
      </w:r>
      <w:r>
        <w:rPr>
          <w:rFonts w:ascii="仿宋" w:hAnsi="仿宋" w:eastAsia="仿宋" w:cs="仿宋"/>
          <w:sz w:val="32"/>
        </w:rPr>
        <w:t xml:space="preserve">（项目名称）（采购包号：</w:t>
      </w:r>
      <w:r>
        <w:rPr>
          <w:rFonts w:eastAsia="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jc w:val="left"/>
        <w:widowControl/>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p>
    <w:p>
      <w:pPr>
        <w:jc w:val="left"/>
        <w:widowControl/>
        <w:rPr>
          <w:rFonts w:hint="eastAsia" w:ascii="宋体" w:hAnsi="宋体"/>
          <w:sz w:val="24"/>
          <w:szCs w:val="24"/>
        </w:rPr>
      </w:pPr>
      <w:r>
        <w:rPr>
          <w:rFonts w:hint="eastAsia" w:ascii="宋体" w:hAnsi="宋体"/>
          <w:sz w:val="24"/>
          <w:szCs w:val="24"/>
        </w:rPr>
        <w:br w:type="page" w:clear="all"/>
      </w:r>
      <w:r/>
    </w:p>
    <w:p>
      <w:pPr>
        <w:jc w:val="left"/>
        <w:widowControl/>
        <w:rPr>
          <w:rFonts w:ascii="宋体" w:cs="宋体"/>
          <w:b/>
          <w:bCs/>
          <w:sz w:val="32"/>
          <w:szCs w:val="32"/>
          <w:lang w:val="zh-CN"/>
        </w:rPr>
      </w:pPr>
      <w:r>
        <w:rPr>
          <w:rFonts w:ascii="宋体" w:cs="宋体"/>
          <w:b/>
          <w:bCs/>
          <w:sz w:val="32"/>
          <w:szCs w:val="32"/>
          <w:lang w:val="zh-CN"/>
        </w:rPr>
      </w:r>
      <w:r/>
    </w:p>
    <w:p>
      <w:pPr>
        <w:ind w:left="540" w:hanging="120"/>
        <w:spacing w:line="40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hint="eastAsia" w:ascii="宋体" w:cs="宋体"/>
          <w:sz w:val="24"/>
          <w:szCs w:val="24"/>
          <w:lang w:val="zh-CN"/>
        </w:rPr>
        <w:t xml:space="preserve">：</w:t>
      </w:r>
      <w:r/>
    </w:p>
    <w:p>
      <w:pPr>
        <w:ind w:left="540" w:hanging="120"/>
        <w:spacing w:line="400" w:lineRule="atLeast"/>
        <w:rPr>
          <w:rFonts w:ascii="宋体" w:cs="宋体"/>
          <w:b/>
          <w:bCs/>
          <w:sz w:val="24"/>
          <w:szCs w:val="24"/>
          <w:lang w:val="zh-CN"/>
        </w:rPr>
      </w:pPr>
      <w:r>
        <w:rPr>
          <w:rFonts w:ascii="宋体" w:cs="宋体"/>
          <w:b/>
          <w:bCs/>
          <w:sz w:val="24"/>
          <w:szCs w:val="24"/>
          <w:lang w:val="zh-CN"/>
        </w:rPr>
      </w:r>
      <w:r/>
    </w:p>
    <w:p>
      <w:pPr>
        <w:jc w:val="left"/>
        <w:widowControl/>
        <w:rPr>
          <w:rFonts w:ascii="宋体" w:cs="宋体"/>
          <w:b/>
          <w:bCs/>
          <w:sz w:val="24"/>
          <w:szCs w:val="24"/>
          <w:lang w:val="zh-CN"/>
        </w:rPr>
      </w:pPr>
      <w:r>
        <w:rPr>
          <w:rFonts w:ascii="宋体" w:cs="宋体"/>
          <w:b/>
          <w:bCs/>
          <w:sz w:val="24"/>
          <w:szCs w:val="24"/>
          <w:lang w:val="zh-CN"/>
        </w:rPr>
        <w:br w:type="page" w:clear="all"/>
      </w:r>
      <w:r/>
    </w:p>
    <w:p>
      <w:pPr>
        <w:ind w:left="540" w:hanging="120"/>
        <w:spacing w:line="400" w:lineRule="atLeast"/>
        <w:rPr>
          <w:rFonts w:ascii="宋体" w:cs="宋体"/>
          <w:b/>
          <w:bCs/>
          <w:sz w:val="24"/>
          <w:szCs w:val="24"/>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11  关于符合本国产品标准的声明函</w:t>
      </w:r>
      <w:r>
        <w:rPr>
          <w:rFonts w:hint="eastAsia" w:ascii="宋体" w:cs="宋体"/>
          <w:b/>
          <w:bCs/>
          <w:sz w:val="24"/>
          <w:szCs w:val="24"/>
          <w:lang w:val="zh-CN"/>
        </w:rPr>
        <w:t xml:space="preserve">（采购包号：XX）</w:t>
      </w:r>
      <w:r/>
    </w:p>
    <w:p>
      <w:pPr>
        <w:pStyle w:val="875"/>
        <w:ind w:firstLine="480"/>
        <w:spacing w:before="0" w:beforeAutospacing="0" w:after="0" w:afterAutospacing="0" w:line="5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w:t>
      </w:r>
      <w:r>
        <w:rPr>
          <w:rStyle w:val="885"/>
          <w:rFonts w:hint="eastAsia" w:cs="方正魏碑_GBK"/>
          <w:i w:val="0"/>
          <w:u w:val="single"/>
          <w:shd w:val="clear" w:color="auto" w:fill="ffffff"/>
        </w:rPr>
        <w:t xml:space="preserve">（产品名称1）</w:t>
      </w:r>
      <w:r>
        <w:rPr>
          <w:rStyle w:val="885"/>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885"/>
          <w:rFonts w:hint="eastAsia" w:cs="方正魏碑_GBK"/>
          <w:i w:val="0"/>
          <w:u w:val="single"/>
          <w:shd w:val="clear" w:color="auto" w:fill="ffffff"/>
        </w:rPr>
        <w:t xml:space="preserve">（厂名）</w:t>
      </w:r>
      <w:r>
        <w:rPr>
          <w:rStyle w:val="885"/>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88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w:t>
      </w:r>
      <w:r>
        <w:rPr>
          <w:rStyle w:val="885"/>
          <w:rFonts w:hint="eastAsia" w:cs="方正魏碑_GBK"/>
          <w:i w:val="0"/>
          <w:u w:val="single"/>
          <w:shd w:val="clear" w:color="auto" w:fill="ffffff"/>
        </w:rPr>
        <w:t xml:space="preserve">  </w:t>
      </w:r>
      <w:r>
        <w:rPr>
          <w:rStyle w:val="885"/>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Style w:val="885"/>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Style w:val="885"/>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w:t>
      </w:r>
      <w:r>
        <w:rPr>
          <w:rStyle w:val="885"/>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885"/>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88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w:t>
      </w:r>
      <w:r>
        <w:rPr>
          <w:rStyle w:val="885"/>
          <w:rFonts w:hint="eastAsia" w:cs="方正魏碑_GBK"/>
          <w:i w:val="0"/>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shd w:val="clear" w:color="auto" w:fill="ffffff"/>
        </w:rPr>
        <w:t xml:space="preserve">。</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875"/>
        <w:ind w:firstLine="480"/>
        <w:spacing w:before="30" w:beforeAutospacing="0" w:after="30" w:afterAutospacing="0" w:line="560" w:lineRule="exact"/>
        <w:rPr>
          <w:rFonts w:hint="eastAsia" w:cs="方正魏碑_GBK"/>
        </w:rPr>
      </w:pPr>
      <w:r>
        <w:rPr>
          <w:rFonts w:hint="eastAsia" w:cs="方正魏碑_GBK"/>
        </w:rPr>
      </w:r>
      <w:r/>
    </w:p>
    <w:p>
      <w:pPr>
        <w:pStyle w:val="875"/>
        <w:ind w:firstLine="480"/>
        <w:jc w:val="right"/>
        <w:spacing w:before="30" w:beforeAutospacing="0" w:after="30" w:afterAutospacing="0" w:line="560" w:lineRule="exact"/>
        <w:rPr>
          <w:rFonts w:hint="eastAsia" w:cs="方正魏碑_GBK"/>
        </w:rPr>
      </w:pPr>
      <w:r>
        <w:rPr>
          <w:rFonts w:hint="eastAsia" w:cs="方正魏碑_GBK"/>
          <w:shd w:val="clear" w:color="auto" w:fill="ffffff"/>
        </w:rPr>
        <w:t xml:space="preserve">    公司（单位）名称（加盖CA电子公章）：　        </w:t>
      </w:r>
      <w:r/>
    </w:p>
    <w:p>
      <w:pPr>
        <w:pStyle w:val="875"/>
        <w:ind w:firstLine="480"/>
        <w:jc w:val="center"/>
        <w:spacing w:before="30" w:beforeAutospacing="0" w:after="30" w:afterAutospacing="0" w:line="5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__________________</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1.产品如有型号，请在“产品名称”栏一并填写。</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875"/>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875"/>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shd w:val="clear" w:color="auto" w:fill="ffffff"/>
        </w:rPr>
        <w:t xml:space="preserve">“</w:t>
      </w:r>
      <w:r>
        <w:rPr>
          <w:rFonts w:hint="eastAsia" w:cs="方正魏碑_GBK"/>
          <w:u w:val="single"/>
          <w:shd w:val="clear" w:color="auto" w:fill="ffffff"/>
        </w:rPr>
        <w:t xml:space="preserve"> </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shd w:val="clear" w:color="auto" w:fill="ffffff"/>
        </w:rPr>
        <w:t xml:space="preserve">的地方无需填写。</w:t>
      </w:r>
      <w:r/>
    </w:p>
    <w:p>
      <w:pPr>
        <w:ind w:right="1559" w:firstLine="480"/>
        <w:jc w:val="center"/>
        <w:spacing w:line="240" w:lineRule="atLeast"/>
        <w:tabs>
          <w:tab w:val="left" w:pos="4860" w:leader="none"/>
        </w:tabs>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left"/>
        <w:widowControl/>
        <w:rPr>
          <w:rFonts w:ascii="宋体" w:cs="宋体"/>
          <w:b/>
          <w:bCs/>
          <w:sz w:val="32"/>
          <w:szCs w:val="32"/>
          <w:lang w:val="zh-CN"/>
        </w:rPr>
      </w:pPr>
      <w:r>
        <w:rPr>
          <w:rFonts w:ascii="宋体" w:cs="宋体"/>
          <w:b/>
          <w:bCs/>
          <w:sz w:val="32"/>
          <w:szCs w:val="32"/>
          <w:lang w:val="zh-CN"/>
        </w:rPr>
        <w:br w:type="page" w:clear="all"/>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楷体">
    <w:panose1 w:val="02010609060101010101"/>
  </w:font>
  <w:font w:name="方正小标宋简体">
    <w:panose1 w:val="020B0503020202020204"/>
  </w:font>
  <w:font w:name="新宋体">
    <w:panose1 w:val="02010609030101010101"/>
  </w:font>
  <w:font w:name="Symbol">
    <w:panose1 w:val="05050102010706020507"/>
  </w:font>
  <w:font w:name="Cambria">
    <w:panose1 w:val="02040503050406030204"/>
  </w:font>
  <w:font w:name="Wingdings">
    <w:panose1 w:val="05000000000000000000"/>
  </w:font>
  <w:font w:name="华文楷体">
    <w:panose1 w:val="02010600040101010101"/>
  </w:font>
  <w:font w:name="Tahoma">
    <w:panose1 w:val="020B0604030504040204"/>
  </w:font>
  <w:font w:name="方正仿宋_GBK">
    <w:panose1 w:val="020B0503020202020204"/>
  </w:font>
  <w:font w:name="方正黑体_GBK">
    <w:panose1 w:val="020B050302020202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top w:val="none" w:color="auto" w:sz="0" w:space="1"/>
        <w:left w:val="none" w:color="auto" w:sz="0" w:space="4"/>
        <w:bottom w:val="none" w:color="auto" w:sz="0" w:space="1"/>
        <w:right w:val="none" w:color="auto" w:sz="0" w:space="4"/>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9828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82"/>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82"/>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82"/>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82"/>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35"/>
      <w:isLgl w:val="false"/>
      <w:suff w:val="nothing"/>
      <w:lvlText w:val=""/>
      <w:lvlJc w:val="left"/>
      <w:pPr>
        <w:ind w:left="0" w:firstLine="0"/>
      </w:pPr>
      <w:rPr>
        <w:rFonts w:hint="eastAsia"/>
      </w:rPr>
    </w:lvl>
    <w:lvl w:ilvl="6">
      <w:start w:val="1"/>
      <w:numFmt w:val="decimal"/>
      <w:pStyle w:val="1336"/>
      <w:isLgl w:val="false"/>
      <w:suff w:val="nothing"/>
      <w:lvlText w:val=""/>
      <w:lvlJc w:val="left"/>
      <w:pPr>
        <w:ind w:left="0" w:firstLine="0"/>
      </w:pPr>
      <w:rPr>
        <w:rFonts w:hint="eastAsia"/>
      </w:rPr>
    </w:lvl>
    <w:lvl w:ilvl="7">
      <w:start w:val="1"/>
      <w:numFmt w:val="decimal"/>
      <w:pStyle w:val="1337"/>
      <w:isLgl w:val="false"/>
      <w:suff w:val="nothing"/>
      <w:lvlText w:val=""/>
      <w:lvlJc w:val="left"/>
      <w:pPr>
        <w:ind w:left="0" w:firstLine="0"/>
      </w:pPr>
      <w:rPr>
        <w:rFonts w:hint="eastAsia"/>
      </w:rPr>
    </w:lvl>
    <w:lvl w:ilvl="8">
      <w:start w:val="1"/>
      <w:numFmt w:val="decimal"/>
      <w:pStyle w:val="1338"/>
      <w:isLgl w:val="false"/>
      <w:suff w:val="nothing"/>
      <w:lvlText w:val=""/>
      <w:lvlJc w:val="left"/>
      <w:pPr>
        <w:ind w:left="0" w:firstLine="0"/>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3"/>
      <w:isLgl w:val="false"/>
      <w:suff w:val="nothing"/>
      <w:lvlText w:val=""/>
      <w:lvlJc w:val="left"/>
      <w:pPr>
        <w:ind w:left="0" w:firstLine="0"/>
      </w:pPr>
      <w:rPr>
        <w:rFonts w:hint="eastAsia"/>
      </w:rPr>
    </w:lvl>
    <w:lvl w:ilvl="6">
      <w:start w:val="1"/>
      <w:numFmt w:val="decimal"/>
      <w:pStyle w:val="1105"/>
      <w:isLgl w:val="false"/>
      <w:suff w:val="nothing"/>
      <w:lvlText w:val=""/>
      <w:lvlJc w:val="left"/>
      <w:pPr>
        <w:ind w:left="0" w:firstLine="0"/>
      </w:pPr>
      <w:rPr>
        <w:rFonts w:hint="eastAsia"/>
      </w:rPr>
    </w:lvl>
    <w:lvl w:ilvl="7">
      <w:start w:val="1"/>
      <w:numFmt w:val="decimal"/>
      <w:pStyle w:val="1107"/>
      <w:isLgl w:val="false"/>
      <w:suff w:val="nothing"/>
      <w:lvlText w:val=""/>
      <w:lvlJc w:val="left"/>
      <w:pPr>
        <w:ind w:left="0" w:firstLine="0"/>
      </w:pPr>
      <w:rPr>
        <w:rFonts w:hint="eastAsia"/>
      </w:rPr>
    </w:lvl>
    <w:lvl w:ilvl="8">
      <w:start w:val="1"/>
      <w:numFmt w:val="decimal"/>
      <w:pStyle w:val="1109"/>
      <w:isLgl w:val="false"/>
      <w:suff w:val="nothing"/>
      <w:lvlText w:val=""/>
      <w:lvlJc w:val="left"/>
      <w:pPr>
        <w:ind w:left="0" w:firstLine="0"/>
      </w:pPr>
      <w:rPr>
        <w:rFonts w:hint="eastAsia"/>
      </w:rPr>
    </w:lvl>
  </w:abstractNum>
  <w:abstractNum w:abstractNumId="2">
    <w:multiLevelType w:val="hybridMultilevel"/>
    <w:lvl w:ilvl="0">
      <w:start w:val="1"/>
      <w:numFmt w:val="upperLetter"/>
      <w:pStyle w:val="11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Caption Char"/>
    <w:basedOn w:val="843"/>
    <w:link w:val="859"/>
    <w:uiPriority w:val="99"/>
  </w:style>
  <w:style w:type="table" w:styleId="807">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6">
    <w:name w:val="TOC Heading"/>
    <w:uiPriority w:val="39"/>
    <w:unhideWhenUsed/>
  </w:style>
  <w:style w:type="paragraph" w:styleId="827" w:default="1">
    <w:name w:val="Normal"/>
    <w:qFormat/>
    <w:pPr>
      <w:jc w:val="both"/>
      <w:widowControl w:val="off"/>
    </w:pPr>
    <w:rPr>
      <w:sz w:val="21"/>
      <w:szCs w:val="22"/>
    </w:rPr>
  </w:style>
  <w:style w:type="paragraph" w:styleId="828">
    <w:name w:val="Heading 1"/>
    <w:basedOn w:val="827"/>
    <w:next w:val="827"/>
    <w:link w:val="932"/>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933"/>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934"/>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40"/>
    <w:link w:val="935"/>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936"/>
    <w:unhideWhenUsed/>
    <w:qFormat/>
    <w:pPr>
      <w:keepLines/>
      <w:keepNext/>
      <w:spacing w:before="320" w:after="200"/>
      <w:outlineLvl w:val="4"/>
    </w:pPr>
    <w:rPr>
      <w:rFonts w:ascii="Arial" w:hAnsi="Arial" w:eastAsia="Arial" w:cs="Arial"/>
      <w:b/>
      <w:bCs/>
      <w:sz w:val="24"/>
      <w:szCs w:val="24"/>
    </w:rPr>
  </w:style>
  <w:style w:type="paragraph" w:styleId="833">
    <w:name w:val="Heading 6"/>
    <w:basedOn w:val="827"/>
    <w:next w:val="827"/>
    <w:link w:val="937"/>
    <w:unhideWhenUsed/>
    <w:qFormat/>
    <w:pPr>
      <w:keepLines/>
      <w:keepNext/>
      <w:spacing w:before="320" w:after="200"/>
      <w:outlineLvl w:val="5"/>
    </w:pPr>
    <w:rPr>
      <w:rFonts w:ascii="Arial" w:hAnsi="Arial" w:eastAsia="Arial" w:cs="Arial"/>
      <w:b/>
      <w:bCs/>
      <w:sz w:val="22"/>
    </w:rPr>
  </w:style>
  <w:style w:type="paragraph" w:styleId="834">
    <w:name w:val="Heading 7"/>
    <w:basedOn w:val="827"/>
    <w:next w:val="827"/>
    <w:link w:val="938"/>
    <w:unhideWhenUsed/>
    <w:qFormat/>
    <w:pPr>
      <w:keepLines/>
      <w:keepNext/>
      <w:spacing w:before="320" w:after="200"/>
      <w:outlineLvl w:val="6"/>
    </w:pPr>
    <w:rPr>
      <w:rFonts w:ascii="Arial" w:hAnsi="Arial" w:eastAsia="Arial" w:cs="Arial"/>
      <w:b/>
      <w:bCs/>
      <w:i/>
      <w:iCs/>
      <w:sz w:val="22"/>
    </w:rPr>
  </w:style>
  <w:style w:type="paragraph" w:styleId="835">
    <w:name w:val="Heading 8"/>
    <w:basedOn w:val="827"/>
    <w:next w:val="827"/>
    <w:link w:val="939"/>
    <w:unhideWhenUsed/>
    <w:qFormat/>
    <w:pPr>
      <w:keepLines/>
      <w:keepNext/>
      <w:spacing w:before="320" w:after="200"/>
      <w:outlineLvl w:val="7"/>
    </w:pPr>
    <w:rPr>
      <w:rFonts w:ascii="Arial" w:hAnsi="Arial" w:eastAsia="Arial" w:cs="Arial"/>
      <w:i/>
      <w:iCs/>
      <w:sz w:val="22"/>
    </w:rPr>
  </w:style>
  <w:style w:type="paragraph" w:styleId="836">
    <w:name w:val="Heading 9"/>
    <w:basedOn w:val="827"/>
    <w:next w:val="827"/>
    <w:link w:val="940"/>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paragraph" w:styleId="840">
    <w:name w:val="Normal Indent"/>
    <w:basedOn w:val="827"/>
    <w:link w:val="1383"/>
    <w:qFormat/>
    <w:pPr>
      <w:ind w:firstLine="482"/>
      <w:spacing w:line="360" w:lineRule="atLeast"/>
    </w:pPr>
    <w:rPr>
      <w:szCs w:val="20"/>
    </w:rPr>
  </w:style>
  <w:style w:type="paragraph" w:styleId="841">
    <w:name w:val="List 3"/>
    <w:basedOn w:val="827"/>
    <w:qFormat/>
    <w:pPr>
      <w:ind w:left="100" w:hanging="200"/>
    </w:pPr>
    <w:rPr>
      <w:szCs w:val="21"/>
    </w:rPr>
  </w:style>
  <w:style w:type="paragraph" w:styleId="842">
    <w:name w:val="toc 7"/>
    <w:basedOn w:val="827"/>
    <w:next w:val="827"/>
    <w:unhideWhenUsed/>
    <w:qFormat/>
    <w:pPr>
      <w:ind w:left="1701"/>
      <w:spacing w:after="57"/>
    </w:pPr>
  </w:style>
  <w:style w:type="paragraph" w:styleId="843">
    <w:name w:val="Caption"/>
    <w:basedOn w:val="827"/>
    <w:next w:val="827"/>
    <w:uiPriority w:val="35"/>
    <w:semiHidden/>
    <w:unhideWhenUsed/>
    <w:qFormat/>
    <w:pPr>
      <w:spacing w:line="276" w:lineRule="auto"/>
    </w:pPr>
    <w:rPr>
      <w:b/>
      <w:bCs/>
      <w:color w:val="4f81bd" w:themeColor="accent1"/>
      <w:sz w:val="18"/>
      <w:szCs w:val="18"/>
    </w:rPr>
  </w:style>
  <w:style w:type="paragraph" w:styleId="844">
    <w:name w:val="Document Map"/>
    <w:basedOn w:val="827"/>
    <w:link w:val="1384"/>
    <w:semiHidden/>
    <w:qFormat/>
    <w:pPr>
      <w:shd w:val="clear" w:color="auto" w:fill="000080"/>
    </w:pPr>
    <w:rPr>
      <w:szCs w:val="21"/>
    </w:rPr>
  </w:style>
  <w:style w:type="paragraph" w:styleId="845">
    <w:name w:val="annotation text"/>
    <w:basedOn w:val="827"/>
    <w:link w:val="913"/>
    <w:unhideWhenUsed/>
    <w:qFormat/>
    <w:pPr>
      <w:jc w:val="left"/>
    </w:pPr>
  </w:style>
  <w:style w:type="paragraph" w:styleId="846">
    <w:name w:val="Body Text 3"/>
    <w:basedOn w:val="827"/>
    <w:link w:val="1385"/>
    <w:qFormat/>
    <w:rPr>
      <w:rFonts w:ascii="仿宋_GB2312" w:hAnsi="Arial" w:eastAsia="仿宋_GB2312"/>
      <w:sz w:val="32"/>
      <w:szCs w:val="32"/>
    </w:rPr>
  </w:style>
  <w:style w:type="paragraph" w:styleId="847">
    <w:name w:val="Body Text"/>
    <w:basedOn w:val="827"/>
    <w:link w:val="914"/>
    <w:unhideWhenUsed/>
    <w:qFormat/>
    <w:pPr>
      <w:spacing w:after="120"/>
    </w:pPr>
  </w:style>
  <w:style w:type="paragraph" w:styleId="848">
    <w:name w:val="Body Text Indent"/>
    <w:basedOn w:val="827"/>
    <w:next w:val="849"/>
    <w:link w:val="1376"/>
    <w:qFormat/>
    <w:pPr>
      <w:ind w:firstLine="645"/>
      <w:spacing w:line="300" w:lineRule="auto"/>
    </w:pPr>
    <w:rPr>
      <w:rFonts w:ascii="楷体_GB2312" w:hAnsi="Calibri" w:eastAsia="楷体_GB2312" w:cs="Calibri"/>
      <w:sz w:val="32"/>
      <w:szCs w:val="32"/>
    </w:rPr>
  </w:style>
  <w:style w:type="paragraph" w:styleId="849">
    <w:name w:val="envelope return"/>
    <w:basedOn w:val="827"/>
    <w:qFormat/>
    <w:pPr>
      <w:spacing w:line="300" w:lineRule="auto"/>
    </w:pPr>
    <w:rPr>
      <w:rFonts w:ascii="Arial" w:hAnsi="Arial" w:cs="宋体"/>
      <w:szCs w:val="21"/>
    </w:rPr>
  </w:style>
  <w:style w:type="paragraph" w:styleId="850">
    <w:name w:val="List 2"/>
    <w:basedOn w:val="827"/>
    <w:qFormat/>
    <w:pPr>
      <w:ind w:left="100" w:hanging="200"/>
    </w:pPr>
    <w:rPr>
      <w:szCs w:val="21"/>
    </w:rPr>
  </w:style>
  <w:style w:type="paragraph" w:styleId="851">
    <w:name w:val="toc 5"/>
    <w:basedOn w:val="827"/>
    <w:next w:val="827"/>
    <w:unhideWhenUsed/>
    <w:qFormat/>
    <w:pPr>
      <w:ind w:left="1134"/>
      <w:spacing w:after="57"/>
    </w:pPr>
  </w:style>
  <w:style w:type="paragraph" w:styleId="852">
    <w:name w:val="toc 3"/>
    <w:basedOn w:val="827"/>
    <w:next w:val="827"/>
    <w:unhideWhenUsed/>
    <w:qFormat/>
    <w:pPr>
      <w:ind w:left="567"/>
      <w:spacing w:after="57"/>
    </w:pPr>
  </w:style>
  <w:style w:type="paragraph" w:styleId="853">
    <w:name w:val="Plain Text"/>
    <w:basedOn w:val="827"/>
    <w:link w:val="915"/>
    <w:qFormat/>
    <w:rPr>
      <w:rFonts w:ascii="宋体" w:hAnsi="Courier New" w:cs="Courier New"/>
      <w:szCs w:val="21"/>
    </w:rPr>
  </w:style>
  <w:style w:type="paragraph" w:styleId="854">
    <w:name w:val="toc 8"/>
    <w:basedOn w:val="827"/>
    <w:next w:val="827"/>
    <w:unhideWhenUsed/>
    <w:qFormat/>
    <w:pPr>
      <w:ind w:left="1984"/>
      <w:spacing w:after="57"/>
    </w:pPr>
  </w:style>
  <w:style w:type="paragraph" w:styleId="855">
    <w:name w:val="Date"/>
    <w:basedOn w:val="827"/>
    <w:next w:val="827"/>
    <w:link w:val="1386"/>
    <w:qFormat/>
    <w:rPr>
      <w:sz w:val="24"/>
      <w:szCs w:val="24"/>
    </w:rPr>
  </w:style>
  <w:style w:type="paragraph" w:styleId="856">
    <w:name w:val="Body Text Indent 2"/>
    <w:basedOn w:val="827"/>
    <w:link w:val="916"/>
    <w:qFormat/>
    <w:pPr>
      <w:ind w:left="165"/>
    </w:pPr>
    <w:rPr>
      <w:sz w:val="28"/>
    </w:rPr>
  </w:style>
  <w:style w:type="paragraph" w:styleId="857">
    <w:name w:val="endnote text"/>
    <w:basedOn w:val="827"/>
    <w:link w:val="917"/>
    <w:uiPriority w:val="99"/>
    <w:unhideWhenUsed/>
    <w:qFormat/>
    <w:rPr>
      <w:sz w:val="20"/>
    </w:rPr>
  </w:style>
  <w:style w:type="paragraph" w:styleId="858">
    <w:name w:val="Balloon Text"/>
    <w:basedOn w:val="827"/>
    <w:link w:val="918"/>
    <w:unhideWhenUsed/>
    <w:qFormat/>
    <w:rPr>
      <w:sz w:val="18"/>
      <w:szCs w:val="18"/>
    </w:rPr>
  </w:style>
  <w:style w:type="paragraph" w:styleId="859">
    <w:name w:val="Footer"/>
    <w:basedOn w:val="827"/>
    <w:link w:val="962"/>
    <w:uiPriority w:val="99"/>
    <w:unhideWhenUsed/>
    <w:qFormat/>
    <w:pPr>
      <w:tabs>
        <w:tab w:val="center" w:pos="7143" w:leader="none"/>
        <w:tab w:val="right" w:pos="14287" w:leader="none"/>
      </w:tabs>
    </w:pPr>
  </w:style>
  <w:style w:type="paragraph" w:styleId="860">
    <w:name w:val="Header"/>
    <w:basedOn w:val="827"/>
    <w:unhideWhenUsed/>
    <w:qFormat/>
    <w:pPr>
      <w:tabs>
        <w:tab w:val="center" w:pos="7143" w:leader="none"/>
        <w:tab w:val="right" w:pos="14287" w:leader="none"/>
      </w:tabs>
    </w:pPr>
  </w:style>
  <w:style w:type="paragraph" w:styleId="861">
    <w:name w:val="toc 1"/>
    <w:basedOn w:val="827"/>
    <w:next w:val="827"/>
    <w:unhideWhenUsed/>
    <w:qFormat/>
    <w:pPr>
      <w:spacing w:after="57"/>
    </w:pPr>
  </w:style>
  <w:style w:type="paragraph" w:styleId="862">
    <w:name w:val="toc 4"/>
    <w:basedOn w:val="827"/>
    <w:next w:val="827"/>
    <w:unhideWhenUsed/>
    <w:qFormat/>
    <w:pPr>
      <w:ind w:left="850"/>
      <w:spacing w:after="57"/>
    </w:pPr>
  </w:style>
  <w:style w:type="paragraph" w:styleId="863">
    <w:name w:val="index heading"/>
    <w:basedOn w:val="827"/>
    <w:next w:val="864"/>
    <w:uiPriority w:val="99"/>
    <w:unhideWhenUsed/>
    <w:qFormat/>
    <w:pPr>
      <w:tabs>
        <w:tab w:val="left" w:pos="240" w:leader="none"/>
      </w:tabs>
    </w:pPr>
    <w:rPr>
      <w:szCs w:val="20"/>
    </w:rPr>
  </w:style>
  <w:style w:type="paragraph" w:styleId="864">
    <w:name w:val="index 1"/>
    <w:basedOn w:val="827"/>
    <w:next w:val="827"/>
    <w:unhideWhenUsed/>
    <w:qFormat/>
  </w:style>
  <w:style w:type="paragraph" w:styleId="865">
    <w:name w:val="Subtitle"/>
    <w:basedOn w:val="827"/>
    <w:next w:val="827"/>
    <w:link w:val="919"/>
    <w:uiPriority w:val="11"/>
    <w:qFormat/>
    <w:pPr>
      <w:spacing w:before="200" w:after="200"/>
    </w:pPr>
    <w:rPr>
      <w:sz w:val="24"/>
      <w:szCs w:val="24"/>
    </w:rPr>
  </w:style>
  <w:style w:type="paragraph" w:styleId="866">
    <w:name w:val="List"/>
    <w:basedOn w:val="827"/>
    <w:qFormat/>
    <w:pPr>
      <w:ind w:left="200" w:hanging="200"/>
    </w:pPr>
    <w:rPr>
      <w:szCs w:val="21"/>
    </w:rPr>
  </w:style>
  <w:style w:type="paragraph" w:styleId="867">
    <w:name w:val="footnote text"/>
    <w:basedOn w:val="827"/>
    <w:link w:val="920"/>
    <w:uiPriority w:val="99"/>
    <w:unhideWhenUsed/>
    <w:qFormat/>
    <w:pPr>
      <w:spacing w:after="40"/>
    </w:pPr>
    <w:rPr>
      <w:sz w:val="18"/>
    </w:rPr>
  </w:style>
  <w:style w:type="paragraph" w:styleId="868">
    <w:name w:val="toc 6"/>
    <w:basedOn w:val="827"/>
    <w:next w:val="827"/>
    <w:unhideWhenUsed/>
    <w:qFormat/>
    <w:pPr>
      <w:ind w:left="1417"/>
      <w:spacing w:after="57"/>
    </w:pPr>
  </w:style>
  <w:style w:type="paragraph" w:styleId="869">
    <w:name w:val="Body Text Indent 3"/>
    <w:basedOn w:val="827"/>
    <w:link w:val="1387"/>
    <w:qFormat/>
    <w:pPr>
      <w:ind w:left="645" w:firstLine="645"/>
    </w:pPr>
    <w:rPr>
      <w:rFonts w:ascii="Arial" w:hAnsi="Arial" w:eastAsia="仿宋_GB2312" w:cs="Arial"/>
      <w:color w:val="ffff00"/>
      <w:sz w:val="32"/>
      <w:szCs w:val="32"/>
    </w:rPr>
  </w:style>
  <w:style w:type="paragraph" w:styleId="870">
    <w:name w:val="table of figures"/>
    <w:basedOn w:val="827"/>
    <w:next w:val="827"/>
    <w:unhideWhenUsed/>
    <w:qFormat/>
  </w:style>
  <w:style w:type="paragraph" w:styleId="871">
    <w:name w:val="toc 2"/>
    <w:basedOn w:val="827"/>
    <w:next w:val="827"/>
    <w:unhideWhenUsed/>
    <w:qFormat/>
    <w:pPr>
      <w:ind w:left="283"/>
      <w:spacing w:after="57"/>
    </w:pPr>
  </w:style>
  <w:style w:type="paragraph" w:styleId="872">
    <w:name w:val="toc 9"/>
    <w:basedOn w:val="827"/>
    <w:next w:val="827"/>
    <w:unhideWhenUsed/>
    <w:qFormat/>
    <w:pPr>
      <w:ind w:left="2268"/>
      <w:spacing w:after="57"/>
    </w:pPr>
  </w:style>
  <w:style w:type="paragraph" w:styleId="873">
    <w:name w:val="Body Text 2"/>
    <w:basedOn w:val="827"/>
    <w:link w:val="1388"/>
    <w:qFormat/>
    <w:pPr>
      <w:jc w:val="center"/>
      <w:widowControl/>
    </w:pPr>
    <w:rPr>
      <w:rFonts w:ascii="楷体_GB2312" w:eastAsia="楷体_GB2312"/>
      <w:sz w:val="28"/>
      <w:szCs w:val="28"/>
    </w:rPr>
  </w:style>
  <w:style w:type="paragraph" w:styleId="874">
    <w:name w:val="HTML Preformatted"/>
    <w:basedOn w:val="827"/>
    <w:link w:val="1377"/>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75">
    <w:name w:val="Normal (Web)"/>
    <w:basedOn w:val="827"/>
    <w:uiPriority w:val="99"/>
    <w:qFormat/>
    <w:pPr>
      <w:jc w:val="left"/>
      <w:spacing w:before="100" w:beforeAutospacing="1" w:after="100" w:afterAutospacing="1"/>
      <w:widowControl/>
    </w:pPr>
    <w:rPr>
      <w:rFonts w:ascii="宋体" w:hAnsi="宋体" w:cs="宋体"/>
      <w:sz w:val="24"/>
      <w:szCs w:val="24"/>
    </w:rPr>
  </w:style>
  <w:style w:type="paragraph" w:styleId="876">
    <w:name w:val="Title"/>
    <w:basedOn w:val="827"/>
    <w:next w:val="827"/>
    <w:link w:val="921"/>
    <w:uiPriority w:val="10"/>
    <w:qFormat/>
    <w:pPr>
      <w:contextualSpacing/>
      <w:spacing w:before="300" w:after="200"/>
    </w:pPr>
    <w:rPr>
      <w:sz w:val="48"/>
      <w:szCs w:val="48"/>
    </w:rPr>
  </w:style>
  <w:style w:type="paragraph" w:styleId="877">
    <w:name w:val="annotation subject"/>
    <w:basedOn w:val="845"/>
    <w:next w:val="845"/>
    <w:link w:val="922"/>
    <w:unhideWhenUsed/>
    <w:qFormat/>
    <w:rPr>
      <w:b/>
      <w:bCs/>
    </w:rPr>
  </w:style>
  <w:style w:type="paragraph" w:styleId="878">
    <w:name w:val="Body Text First Indent"/>
    <w:basedOn w:val="847"/>
    <w:link w:val="1389"/>
    <w:qFormat/>
    <w:pPr>
      <w:ind w:firstLine="200"/>
      <w:spacing w:after="0" w:line="360" w:lineRule="auto"/>
    </w:pPr>
    <w:rPr>
      <w:rFonts w:ascii="仿宋_GB2312" w:hAnsi="Arial" w:eastAsia="仿宋_GB2312"/>
      <w:sz w:val="30"/>
      <w:szCs w:val="30"/>
    </w:rPr>
  </w:style>
  <w:style w:type="paragraph" w:styleId="879">
    <w:name w:val="Body Text First Indent 2"/>
    <w:basedOn w:val="848"/>
    <w:next w:val="827"/>
    <w:link w:val="1378"/>
    <w:qFormat/>
    <w:pPr>
      <w:ind w:firstLine="420"/>
      <w:spacing w:line="360" w:lineRule="auto"/>
    </w:pPr>
    <w:rPr>
      <w:rFonts w:ascii="宋体" w:hAnsi="宋体" w:eastAsia="宋体"/>
      <w:sz w:val="21"/>
      <w:szCs w:val="20"/>
    </w:rPr>
  </w:style>
  <w:style w:type="table" w:styleId="880">
    <w:name w:val="Table Grid"/>
    <w:uiPriority w:val="59"/>
    <w:qFormat/>
    <w:tblPr>
      <w:tblCellMar>
        <w:left w:w="0" w:type="dxa"/>
        <w:top w:w="0" w:type="dxa"/>
        <w:right w:w="0" w:type="dxa"/>
        <w:bottom w:w="0" w:type="dxa"/>
      </w:tblCellMar>
    </w:tblPr>
  </w:style>
  <w:style w:type="character" w:styleId="881">
    <w:name w:val="Strong"/>
    <w:qFormat/>
    <w:rPr>
      <w:b/>
    </w:rPr>
  </w:style>
  <w:style w:type="character" w:styleId="882">
    <w:name w:val="endnote reference"/>
    <w:uiPriority w:val="99"/>
    <w:unhideWhenUsed/>
    <w:qFormat/>
    <w:rPr>
      <w:vertAlign w:val="superscript"/>
    </w:rPr>
  </w:style>
  <w:style w:type="character" w:styleId="883">
    <w:name w:val="page number"/>
    <w:qFormat/>
  </w:style>
  <w:style w:type="character" w:styleId="884">
    <w:name w:val="FollowedHyperlink"/>
    <w:qFormat/>
    <w:rPr>
      <w:color w:val="800080"/>
      <w:u w:val="single"/>
    </w:rPr>
  </w:style>
  <w:style w:type="character" w:styleId="885">
    <w:name w:val="Emphasis"/>
    <w:qFormat/>
    <w:rPr>
      <w:i/>
    </w:rPr>
  </w:style>
  <w:style w:type="character" w:styleId="886">
    <w:name w:val="Hyperlink"/>
    <w:unhideWhenUsed/>
    <w:qFormat/>
    <w:rPr>
      <w:color w:val="0000ff"/>
      <w:u w:val="single"/>
    </w:rPr>
  </w:style>
  <w:style w:type="character" w:styleId="887">
    <w:name w:val="annotation reference"/>
    <w:unhideWhenUsed/>
    <w:qFormat/>
    <w:rPr>
      <w:sz w:val="21"/>
      <w:szCs w:val="21"/>
    </w:rPr>
  </w:style>
  <w:style w:type="character" w:styleId="888">
    <w:name w:val="footnote reference"/>
    <w:uiPriority w:val="99"/>
    <w:unhideWhenUsed/>
    <w:qFormat/>
    <w:rPr>
      <w:vertAlign w:val="superscript"/>
    </w:rPr>
  </w:style>
  <w:style w:type="paragraph" w:styleId="889">
    <w:name w:val="List Paragraph"/>
    <w:basedOn w:val="827"/>
    <w:qFormat/>
    <w:pPr>
      <w:contextualSpacing/>
      <w:ind w:left="720"/>
    </w:pPr>
  </w:style>
  <w:style w:type="paragraph" w:styleId="890">
    <w:name w:val="No Spacing"/>
    <w:uiPriority w:val="99"/>
    <w:qFormat/>
  </w:style>
  <w:style w:type="paragraph" w:styleId="891">
    <w:name w:val="Quote"/>
    <w:basedOn w:val="827"/>
    <w:next w:val="827"/>
    <w:link w:val="946"/>
    <w:uiPriority w:val="29"/>
    <w:qFormat/>
    <w:pPr>
      <w:ind w:left="720" w:right="720"/>
    </w:pPr>
    <w:rPr>
      <w:i/>
    </w:rPr>
  </w:style>
  <w:style w:type="paragraph" w:styleId="892">
    <w:name w:val="Intense Quote"/>
    <w:basedOn w:val="827"/>
    <w:next w:val="827"/>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3" w:customStyle="1">
    <w:name w:val="无格式表格 11"/>
    <w:basedOn w:val="838"/>
    <w:uiPriority w:val="59"/>
    <w:qFormat/>
    <w:tblPr>
      <w:tblCellMar>
        <w:left w:w="0" w:type="dxa"/>
        <w:right w:w="0" w:type="dxa"/>
      </w:tblCellMar>
    </w:tblPr>
  </w:style>
  <w:style w:type="table" w:styleId="894" w:customStyle="1">
    <w:name w:val="无格式表格 21"/>
    <w:basedOn w:val="838"/>
    <w:uiPriority w:val="59"/>
    <w:qFormat/>
    <w:tblPr>
      <w:tblCellMar>
        <w:left w:w="0" w:type="dxa"/>
        <w:right w:w="0" w:type="dxa"/>
      </w:tblCellMar>
    </w:tblPr>
  </w:style>
  <w:style w:type="table" w:styleId="895" w:customStyle="1">
    <w:name w:val="无格式表格 31"/>
    <w:basedOn w:val="838"/>
    <w:uiPriority w:val="99"/>
    <w:qFormat/>
    <w:tblPr>
      <w:tblCellMar>
        <w:left w:w="0" w:type="dxa"/>
        <w:right w:w="0" w:type="dxa"/>
      </w:tblCellMar>
    </w:tblPr>
  </w:style>
  <w:style w:type="table" w:styleId="896" w:customStyle="1">
    <w:name w:val="无格式表格 41"/>
    <w:basedOn w:val="838"/>
    <w:uiPriority w:val="99"/>
    <w:qFormat/>
    <w:tblPr>
      <w:tblCellMar>
        <w:left w:w="0" w:type="dxa"/>
        <w:right w:w="0" w:type="dxa"/>
      </w:tblCellMar>
    </w:tblPr>
  </w:style>
  <w:style w:type="table" w:styleId="897" w:customStyle="1">
    <w:name w:val="无格式表格 51"/>
    <w:basedOn w:val="838"/>
    <w:uiPriority w:val="99"/>
    <w:qFormat/>
    <w:tblPr>
      <w:tblCellMar>
        <w:left w:w="0" w:type="dxa"/>
        <w:right w:w="0" w:type="dxa"/>
      </w:tblCellMar>
    </w:tblPr>
  </w:style>
  <w:style w:type="table" w:styleId="898" w:customStyle="1">
    <w:name w:val="网格表 1 浅色1"/>
    <w:basedOn w:val="838"/>
    <w:uiPriority w:val="99"/>
    <w:qFormat/>
    <w:tblPr>
      <w:tblCellMar>
        <w:left w:w="0" w:type="dxa"/>
        <w:right w:w="0" w:type="dxa"/>
      </w:tblCellMar>
    </w:tblPr>
  </w:style>
  <w:style w:type="table" w:styleId="899" w:customStyle="1">
    <w:name w:val="网格表 21"/>
    <w:basedOn w:val="838"/>
    <w:uiPriority w:val="99"/>
    <w:qFormat/>
    <w:tblPr>
      <w:tblCellMar>
        <w:left w:w="0" w:type="dxa"/>
        <w:right w:w="0" w:type="dxa"/>
      </w:tblCellMar>
    </w:tblPr>
  </w:style>
  <w:style w:type="table" w:styleId="900" w:customStyle="1">
    <w:name w:val="网格表 31"/>
    <w:basedOn w:val="838"/>
    <w:uiPriority w:val="99"/>
    <w:qFormat/>
    <w:tblPr>
      <w:tblCellMar>
        <w:left w:w="0" w:type="dxa"/>
        <w:right w:w="0" w:type="dxa"/>
      </w:tblCellMar>
    </w:tblPr>
  </w:style>
  <w:style w:type="table" w:styleId="901" w:customStyle="1">
    <w:name w:val="网格表 41"/>
    <w:basedOn w:val="838"/>
    <w:uiPriority w:val="59"/>
    <w:qFormat/>
    <w:tblPr>
      <w:tblCellMar>
        <w:left w:w="0" w:type="dxa"/>
        <w:right w:w="0" w:type="dxa"/>
      </w:tblCellMar>
    </w:tblPr>
  </w:style>
  <w:style w:type="table" w:styleId="902" w:customStyle="1">
    <w:name w:val="网格表 5 深色1"/>
    <w:basedOn w:val="838"/>
    <w:uiPriority w:val="99"/>
    <w:qFormat/>
    <w:tblPr>
      <w:tblCellMar>
        <w:left w:w="0" w:type="dxa"/>
        <w:right w:w="0" w:type="dxa"/>
      </w:tblCellMar>
    </w:tblPr>
  </w:style>
  <w:style w:type="table" w:styleId="903" w:customStyle="1">
    <w:name w:val="网格表 6 彩色1"/>
    <w:basedOn w:val="838"/>
    <w:uiPriority w:val="99"/>
    <w:qFormat/>
    <w:tblPr>
      <w:tblCellMar>
        <w:left w:w="0" w:type="dxa"/>
        <w:right w:w="0" w:type="dxa"/>
      </w:tblCellMar>
    </w:tblPr>
  </w:style>
  <w:style w:type="table" w:styleId="904" w:customStyle="1">
    <w:name w:val="网格表 7 彩色1"/>
    <w:basedOn w:val="838"/>
    <w:uiPriority w:val="99"/>
    <w:qFormat/>
    <w:tblPr>
      <w:tblCellMar>
        <w:left w:w="0" w:type="dxa"/>
        <w:right w:w="0" w:type="dxa"/>
      </w:tblCellMar>
    </w:tblPr>
  </w:style>
  <w:style w:type="table" w:styleId="905" w:customStyle="1">
    <w:name w:val="清单表 1 浅色1"/>
    <w:basedOn w:val="838"/>
    <w:uiPriority w:val="99"/>
    <w:qFormat/>
    <w:tblPr>
      <w:tblCellMar>
        <w:left w:w="0" w:type="dxa"/>
        <w:right w:w="0" w:type="dxa"/>
      </w:tblCellMar>
    </w:tblPr>
  </w:style>
  <w:style w:type="table" w:styleId="906" w:customStyle="1">
    <w:name w:val="清单表 21"/>
    <w:basedOn w:val="838"/>
    <w:uiPriority w:val="99"/>
    <w:qFormat/>
    <w:tblPr>
      <w:tblCellMar>
        <w:left w:w="0" w:type="dxa"/>
        <w:right w:w="0" w:type="dxa"/>
      </w:tblCellMar>
    </w:tblPr>
  </w:style>
  <w:style w:type="table" w:styleId="907" w:customStyle="1">
    <w:name w:val="清单表 31"/>
    <w:basedOn w:val="838"/>
    <w:uiPriority w:val="99"/>
    <w:qFormat/>
    <w:tblPr>
      <w:tblCellMar>
        <w:left w:w="0" w:type="dxa"/>
        <w:right w:w="0" w:type="dxa"/>
      </w:tblCellMar>
    </w:tblPr>
  </w:style>
  <w:style w:type="table" w:styleId="908" w:customStyle="1">
    <w:name w:val="清单表 41"/>
    <w:basedOn w:val="838"/>
    <w:uiPriority w:val="99"/>
    <w:qFormat/>
    <w:tblPr>
      <w:tblCellMar>
        <w:left w:w="0" w:type="dxa"/>
        <w:right w:w="0" w:type="dxa"/>
      </w:tblCellMar>
    </w:tblPr>
  </w:style>
  <w:style w:type="table" w:styleId="909" w:customStyle="1">
    <w:name w:val="清单表 5 深色1"/>
    <w:basedOn w:val="838"/>
    <w:uiPriority w:val="99"/>
    <w:qFormat/>
    <w:tblPr>
      <w:tblCellMar>
        <w:left w:w="0" w:type="dxa"/>
        <w:right w:w="0" w:type="dxa"/>
      </w:tblCellMar>
    </w:tblPr>
  </w:style>
  <w:style w:type="table" w:styleId="910" w:customStyle="1">
    <w:name w:val="清单表 6 彩色1"/>
    <w:basedOn w:val="838"/>
    <w:uiPriority w:val="99"/>
    <w:qFormat/>
    <w:tblPr>
      <w:tblCellMar>
        <w:left w:w="0" w:type="dxa"/>
        <w:right w:w="0" w:type="dxa"/>
      </w:tblCellMar>
    </w:tblPr>
  </w:style>
  <w:style w:type="table" w:styleId="911" w:customStyle="1">
    <w:name w:val="清单表 7 彩色1"/>
    <w:basedOn w:val="838"/>
    <w:uiPriority w:val="99"/>
    <w:qFormat/>
    <w:tblPr>
      <w:tblCellMar>
        <w:left w:w="0" w:type="dxa"/>
        <w:right w:w="0" w:type="dxa"/>
      </w:tblCellMar>
    </w:tblPr>
  </w:style>
  <w:style w:type="paragraph" w:styleId="912" w:customStyle="1">
    <w:name w:val="TOC 标题1"/>
    <w:uiPriority w:val="39"/>
    <w:qFormat/>
  </w:style>
  <w:style w:type="character" w:styleId="913" w:customStyle="1">
    <w:name w:val="批注文字 字符"/>
    <w:link w:val="845"/>
    <w:qFormat/>
    <w:rPr>
      <w:sz w:val="21"/>
      <w:szCs w:val="22"/>
    </w:rPr>
  </w:style>
  <w:style w:type="character" w:styleId="914" w:customStyle="1">
    <w:name w:val="正文文本 字符"/>
    <w:link w:val="847"/>
    <w:qFormat/>
    <w:rPr>
      <w:sz w:val="21"/>
      <w:szCs w:val="22"/>
    </w:rPr>
  </w:style>
  <w:style w:type="character" w:styleId="915" w:customStyle="1">
    <w:name w:val="纯文本 字符"/>
    <w:link w:val="853"/>
    <w:qFormat/>
    <w:rPr>
      <w:rFonts w:ascii="宋体" w:hAnsi="Courier New" w:cs="Courier New"/>
      <w:sz w:val="21"/>
      <w:szCs w:val="21"/>
    </w:rPr>
  </w:style>
  <w:style w:type="character" w:styleId="916" w:customStyle="1">
    <w:name w:val="正文文本缩进 2 字符"/>
    <w:link w:val="856"/>
    <w:qFormat/>
    <w:rPr>
      <w:sz w:val="28"/>
      <w:szCs w:val="22"/>
    </w:rPr>
  </w:style>
  <w:style w:type="character" w:styleId="917" w:customStyle="1">
    <w:name w:val="尾注文本 字符"/>
    <w:link w:val="857"/>
    <w:uiPriority w:val="99"/>
    <w:qFormat/>
    <w:rPr>
      <w:sz w:val="20"/>
    </w:rPr>
  </w:style>
  <w:style w:type="character" w:styleId="918" w:customStyle="1">
    <w:name w:val="批注框文本 字符"/>
    <w:link w:val="858"/>
    <w:qFormat/>
    <w:rPr>
      <w:sz w:val="18"/>
      <w:szCs w:val="18"/>
    </w:rPr>
  </w:style>
  <w:style w:type="character" w:styleId="919" w:customStyle="1">
    <w:name w:val="副标题 字符"/>
    <w:link w:val="865"/>
    <w:uiPriority w:val="11"/>
    <w:qFormat/>
    <w:rPr>
      <w:sz w:val="24"/>
      <w:szCs w:val="24"/>
    </w:rPr>
  </w:style>
  <w:style w:type="character" w:styleId="920" w:customStyle="1">
    <w:name w:val="脚注文本 字符"/>
    <w:link w:val="867"/>
    <w:uiPriority w:val="99"/>
    <w:qFormat/>
    <w:rPr>
      <w:sz w:val="18"/>
    </w:rPr>
  </w:style>
  <w:style w:type="character" w:styleId="921" w:customStyle="1">
    <w:name w:val="标题 字符"/>
    <w:link w:val="876"/>
    <w:uiPriority w:val="10"/>
    <w:qFormat/>
    <w:rPr>
      <w:sz w:val="48"/>
      <w:szCs w:val="48"/>
    </w:rPr>
  </w:style>
  <w:style w:type="character" w:styleId="922" w:customStyle="1">
    <w:name w:val="批注主题 字符"/>
    <w:link w:val="877"/>
    <w:qFormat/>
    <w:rPr>
      <w:b/>
      <w:bCs/>
      <w:sz w:val="21"/>
      <w:szCs w:val="22"/>
    </w:rPr>
  </w:style>
  <w:style w:type="character" w:styleId="923" w:customStyle="1">
    <w:name w:val="Heading 1 Char"/>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Heading 3 Char"/>
    <w:uiPriority w:val="9"/>
    <w:qFormat/>
    <w:rPr>
      <w:rFonts w:ascii="Arial" w:hAnsi="Arial" w:eastAsia="Arial" w:cs="Arial"/>
      <w:sz w:val="30"/>
      <w:szCs w:val="30"/>
    </w:rPr>
  </w:style>
  <w:style w:type="character" w:styleId="926" w:customStyle="1">
    <w:name w:val="Heading 4 Char"/>
    <w:uiPriority w:val="9"/>
    <w:qFormat/>
    <w:rPr>
      <w:rFonts w:ascii="Arial" w:hAnsi="Arial" w:eastAsia="Arial" w:cs="Arial"/>
      <w:b/>
      <w:bCs/>
      <w:sz w:val="26"/>
      <w:szCs w:val="26"/>
    </w:rPr>
  </w:style>
  <w:style w:type="character" w:styleId="927" w:customStyle="1">
    <w:name w:val="Heading 5 Char"/>
    <w:uiPriority w:val="9"/>
    <w:qFormat/>
    <w:rPr>
      <w:rFonts w:ascii="Arial" w:hAnsi="Arial" w:eastAsia="Arial" w:cs="Arial"/>
      <w:b/>
      <w:bCs/>
      <w:sz w:val="24"/>
      <w:szCs w:val="24"/>
    </w:rPr>
  </w:style>
  <w:style w:type="character" w:styleId="928" w:customStyle="1">
    <w:name w:val="Heading 6 Char"/>
    <w:uiPriority w:val="9"/>
    <w:qFormat/>
    <w:rPr>
      <w:rFonts w:ascii="Arial" w:hAnsi="Arial" w:eastAsia="Arial" w:cs="Arial"/>
      <w:b/>
      <w:bCs/>
      <w:sz w:val="22"/>
      <w:szCs w:val="22"/>
    </w:rPr>
  </w:style>
  <w:style w:type="character" w:styleId="929" w:customStyle="1">
    <w:name w:val="Heading 7 Char"/>
    <w:uiPriority w:val="9"/>
    <w:qFormat/>
    <w:rPr>
      <w:rFonts w:ascii="Arial" w:hAnsi="Arial" w:eastAsia="Arial" w:cs="Arial"/>
      <w:b/>
      <w:bCs/>
      <w:i/>
      <w:iCs/>
      <w:sz w:val="22"/>
      <w:szCs w:val="22"/>
    </w:rPr>
  </w:style>
  <w:style w:type="character" w:styleId="930" w:customStyle="1">
    <w:name w:val="Heading 8 Char"/>
    <w:uiPriority w:val="9"/>
    <w:qFormat/>
    <w:rPr>
      <w:rFonts w:ascii="Arial" w:hAnsi="Arial" w:eastAsia="Arial" w:cs="Arial"/>
      <w:i/>
      <w:iCs/>
      <w:sz w:val="22"/>
      <w:szCs w:val="22"/>
    </w:rPr>
  </w:style>
  <w:style w:type="character" w:styleId="931" w:customStyle="1">
    <w:name w:val="Heading 9 Char"/>
    <w:uiPriority w:val="9"/>
    <w:qFormat/>
    <w:rPr>
      <w:rFonts w:ascii="Arial" w:hAnsi="Arial" w:eastAsia="Arial" w:cs="Arial"/>
      <w:i/>
      <w:iCs/>
      <w:sz w:val="21"/>
      <w:szCs w:val="21"/>
    </w:rPr>
  </w:style>
  <w:style w:type="character" w:styleId="932" w:customStyle="1">
    <w:name w:val="标题 1 字符1"/>
    <w:link w:val="828"/>
    <w:uiPriority w:val="9"/>
    <w:qFormat/>
    <w:rPr>
      <w:rFonts w:ascii="Arial" w:hAnsi="Arial" w:eastAsia="Arial" w:cs="Arial"/>
      <w:sz w:val="40"/>
      <w:szCs w:val="40"/>
    </w:rPr>
  </w:style>
  <w:style w:type="character" w:styleId="933" w:customStyle="1">
    <w:name w:val="标题 2 字符1"/>
    <w:link w:val="829"/>
    <w:uiPriority w:val="9"/>
    <w:qFormat/>
    <w:rPr>
      <w:rFonts w:ascii="Arial" w:hAnsi="Arial" w:eastAsia="Arial" w:cs="Arial"/>
      <w:sz w:val="34"/>
    </w:rPr>
  </w:style>
  <w:style w:type="character" w:styleId="934" w:customStyle="1">
    <w:name w:val="标题 3 字符1"/>
    <w:link w:val="830"/>
    <w:uiPriority w:val="9"/>
    <w:qFormat/>
    <w:rPr>
      <w:rFonts w:ascii="Arial" w:hAnsi="Arial" w:eastAsia="Arial" w:cs="Arial"/>
      <w:sz w:val="30"/>
      <w:szCs w:val="30"/>
    </w:rPr>
  </w:style>
  <w:style w:type="character" w:styleId="935" w:customStyle="1">
    <w:name w:val="标题 4 字符1"/>
    <w:link w:val="831"/>
    <w:uiPriority w:val="9"/>
    <w:qFormat/>
    <w:rPr>
      <w:rFonts w:ascii="Arial" w:hAnsi="Arial" w:eastAsia="Arial" w:cs="Arial"/>
      <w:b/>
      <w:bCs/>
      <w:sz w:val="26"/>
      <w:szCs w:val="26"/>
    </w:rPr>
  </w:style>
  <w:style w:type="character" w:styleId="936" w:customStyle="1">
    <w:name w:val="标题 5 字符1"/>
    <w:link w:val="832"/>
    <w:uiPriority w:val="9"/>
    <w:qFormat/>
    <w:rPr>
      <w:rFonts w:ascii="Arial" w:hAnsi="Arial" w:eastAsia="Arial" w:cs="Arial"/>
      <w:b/>
      <w:bCs/>
      <w:sz w:val="24"/>
      <w:szCs w:val="24"/>
    </w:rPr>
  </w:style>
  <w:style w:type="character" w:styleId="937" w:customStyle="1">
    <w:name w:val="标题 6 字符1"/>
    <w:link w:val="833"/>
    <w:uiPriority w:val="9"/>
    <w:qFormat/>
    <w:rPr>
      <w:rFonts w:ascii="Arial" w:hAnsi="Arial" w:eastAsia="Arial" w:cs="Arial"/>
      <w:b/>
      <w:bCs/>
      <w:sz w:val="22"/>
      <w:szCs w:val="22"/>
    </w:rPr>
  </w:style>
  <w:style w:type="character" w:styleId="938" w:customStyle="1">
    <w:name w:val="标题 7 字符1"/>
    <w:link w:val="834"/>
    <w:uiPriority w:val="9"/>
    <w:qFormat/>
    <w:rPr>
      <w:rFonts w:ascii="Arial" w:hAnsi="Arial" w:eastAsia="Arial" w:cs="Arial"/>
      <w:b/>
      <w:bCs/>
      <w:i/>
      <w:iCs/>
      <w:sz w:val="22"/>
      <w:szCs w:val="22"/>
    </w:rPr>
  </w:style>
  <w:style w:type="character" w:styleId="939" w:customStyle="1">
    <w:name w:val="标题 8 字符1"/>
    <w:link w:val="835"/>
    <w:uiPriority w:val="9"/>
    <w:qFormat/>
    <w:rPr>
      <w:rFonts w:ascii="Arial" w:hAnsi="Arial" w:eastAsia="Arial" w:cs="Arial"/>
      <w:i/>
      <w:iCs/>
      <w:sz w:val="22"/>
      <w:szCs w:val="22"/>
    </w:rPr>
  </w:style>
  <w:style w:type="character" w:styleId="940" w:customStyle="1">
    <w:name w:val="标题 9 字符1"/>
    <w:link w:val="836"/>
    <w:uiPriority w:val="9"/>
    <w:qFormat/>
    <w:rPr>
      <w:rFonts w:ascii="Arial" w:hAnsi="Arial" w:eastAsia="Arial" w:cs="Arial"/>
      <w:i/>
      <w:iCs/>
      <w:sz w:val="21"/>
      <w:szCs w:val="21"/>
    </w:rPr>
  </w:style>
  <w:style w:type="paragraph" w:styleId="941" w:customStyle="1">
    <w:name w:val="Caption1"/>
    <w:basedOn w:val="827"/>
    <w:next w:val="827"/>
    <w:uiPriority w:val="35"/>
    <w:qFormat/>
    <w:pPr>
      <w:spacing w:line="276" w:lineRule="auto"/>
    </w:pPr>
    <w:rPr>
      <w:b/>
      <w:bCs/>
      <w:color w:val="4f81bd"/>
      <w:sz w:val="18"/>
      <w:szCs w:val="18"/>
    </w:rPr>
  </w:style>
  <w:style w:type="paragraph" w:styleId="942" w:customStyle="1">
    <w:name w:val="Footer1"/>
    <w:basedOn w:val="827"/>
    <w:link w:val="943"/>
    <w:uiPriority w:val="99"/>
    <w:unhideWhenUsed/>
    <w:qFormat/>
    <w:pPr>
      <w:jc w:val="left"/>
      <w:tabs>
        <w:tab w:val="center" w:pos="4153" w:leader="none"/>
        <w:tab w:val="right" w:pos="8306" w:leader="none"/>
      </w:tabs>
    </w:pPr>
    <w:rPr>
      <w:sz w:val="18"/>
      <w:szCs w:val="18"/>
    </w:rPr>
  </w:style>
  <w:style w:type="character" w:styleId="943" w:customStyle="1">
    <w:name w:val="页脚 字符"/>
    <w:link w:val="942"/>
    <w:uiPriority w:val="99"/>
    <w:qFormat/>
    <w:rPr>
      <w:sz w:val="18"/>
      <w:szCs w:val="18"/>
    </w:rPr>
  </w:style>
  <w:style w:type="paragraph" w:styleId="944" w:customStyle="1">
    <w:name w:val="Header1"/>
    <w:basedOn w:val="827"/>
    <w:link w:val="945"/>
    <w:uiPriority w:val="99"/>
    <w:unhideWhenUsed/>
    <w:qFormat/>
    <w:pPr>
      <w:jc w:val="center"/>
      <w:tabs>
        <w:tab w:val="center" w:pos="4153" w:leader="none"/>
        <w:tab w:val="right" w:pos="8306" w:leader="none"/>
      </w:tabs>
    </w:pPr>
    <w:rPr>
      <w:sz w:val="18"/>
      <w:szCs w:val="18"/>
    </w:rPr>
  </w:style>
  <w:style w:type="character" w:styleId="945" w:customStyle="1">
    <w:name w:val="页眉 字符"/>
    <w:link w:val="944"/>
    <w:qFormat/>
    <w:rPr>
      <w:sz w:val="18"/>
      <w:szCs w:val="18"/>
    </w:rPr>
  </w:style>
  <w:style w:type="character" w:styleId="946" w:customStyle="1">
    <w:name w:val="引用 字符"/>
    <w:link w:val="891"/>
    <w:uiPriority w:val="29"/>
    <w:qFormat/>
    <w:rPr>
      <w:i/>
    </w:rPr>
  </w:style>
  <w:style w:type="character" w:styleId="947" w:customStyle="1">
    <w:name w:val="明显引用 字符"/>
    <w:link w:val="892"/>
    <w:uiPriority w:val="30"/>
    <w:qFormat/>
    <w:rPr>
      <w:i/>
    </w:rPr>
  </w:style>
  <w:style w:type="paragraph" w:styleId="948" w:customStyle="1">
    <w:name w:val="TOC 标题112"/>
    <w:uiPriority w:val="39"/>
    <w:qFormat/>
  </w:style>
  <w:style w:type="character" w:styleId="949" w:customStyle="1">
    <w:name w:val="标题 1 字符"/>
    <w:qFormat/>
    <w:rPr>
      <w:rFonts w:ascii="Arial" w:hAnsi="Arial" w:eastAsia="Arial" w:cs="Arial"/>
      <w:sz w:val="40"/>
      <w:szCs w:val="40"/>
    </w:rPr>
  </w:style>
  <w:style w:type="character" w:styleId="950" w:customStyle="1">
    <w:name w:val="标题 2 字符"/>
    <w:qFormat/>
    <w:rPr>
      <w:rFonts w:ascii="Arial" w:hAnsi="Arial" w:eastAsia="Arial" w:cs="Arial"/>
      <w:sz w:val="34"/>
      <w:szCs w:val="22"/>
    </w:rPr>
  </w:style>
  <w:style w:type="character" w:styleId="951" w:customStyle="1">
    <w:name w:val="标题 3 字符"/>
    <w:qFormat/>
    <w:rPr>
      <w:rFonts w:ascii="Arial" w:hAnsi="Arial" w:eastAsia="Arial" w:cs="Arial"/>
      <w:sz w:val="30"/>
      <w:szCs w:val="30"/>
    </w:rPr>
  </w:style>
  <w:style w:type="character" w:styleId="952" w:customStyle="1">
    <w:name w:val="标题 4 字符"/>
    <w:qFormat/>
    <w:rPr>
      <w:rFonts w:ascii="Arial" w:hAnsi="Arial" w:eastAsia="Arial" w:cs="Arial"/>
      <w:b/>
      <w:bCs/>
      <w:sz w:val="26"/>
      <w:szCs w:val="26"/>
    </w:rPr>
  </w:style>
  <w:style w:type="character" w:styleId="953" w:customStyle="1">
    <w:name w:val="标题 5 字符"/>
    <w:qFormat/>
    <w:rPr>
      <w:rFonts w:ascii="Arial" w:hAnsi="Arial" w:eastAsia="Arial" w:cs="Arial"/>
      <w:b/>
      <w:bCs/>
      <w:sz w:val="24"/>
      <w:szCs w:val="24"/>
    </w:rPr>
  </w:style>
  <w:style w:type="character" w:styleId="954" w:customStyle="1">
    <w:name w:val="标题 6 字符"/>
    <w:qFormat/>
    <w:rPr>
      <w:rFonts w:ascii="Arial" w:hAnsi="Arial" w:eastAsia="Arial" w:cs="Arial"/>
      <w:b/>
      <w:bCs/>
      <w:sz w:val="22"/>
      <w:szCs w:val="22"/>
    </w:rPr>
  </w:style>
  <w:style w:type="character" w:styleId="955" w:customStyle="1">
    <w:name w:val="标题 7 字符"/>
    <w:qFormat/>
    <w:rPr>
      <w:rFonts w:ascii="Arial" w:hAnsi="Arial" w:eastAsia="Arial" w:cs="Arial"/>
      <w:b/>
      <w:bCs/>
      <w:i/>
      <w:iCs/>
      <w:sz w:val="22"/>
      <w:szCs w:val="22"/>
    </w:rPr>
  </w:style>
  <w:style w:type="character" w:styleId="956" w:customStyle="1">
    <w:name w:val="标题 8 字符"/>
    <w:qFormat/>
    <w:rPr>
      <w:rFonts w:ascii="Arial" w:hAnsi="Arial" w:eastAsia="Arial" w:cs="Arial"/>
      <w:i/>
      <w:iCs/>
      <w:sz w:val="22"/>
      <w:szCs w:val="22"/>
    </w:rPr>
  </w:style>
  <w:style w:type="character" w:styleId="957" w:customStyle="1">
    <w:name w:val="标题 9 字符"/>
    <w:qFormat/>
    <w:rPr>
      <w:rFonts w:ascii="Arial" w:hAnsi="Arial" w:eastAsia="Arial" w:cs="Arial"/>
      <w:i/>
      <w:iCs/>
      <w:sz w:val="21"/>
      <w:szCs w:val="21"/>
    </w:rPr>
  </w:style>
  <w:style w:type="paragraph" w:styleId="958" w:customStyle="1">
    <w:name w:val="Header11"/>
    <w:basedOn w:val="827"/>
    <w:link w:val="959"/>
    <w:uiPriority w:val="99"/>
    <w:unhideWhenUsed/>
    <w:qFormat/>
    <w:pPr>
      <w:tabs>
        <w:tab w:val="center" w:pos="7143" w:leader="none"/>
        <w:tab w:val="right" w:pos="14287" w:leader="none"/>
      </w:tabs>
    </w:pPr>
  </w:style>
  <w:style w:type="character" w:styleId="959" w:customStyle="1">
    <w:name w:val="Header Char"/>
    <w:link w:val="958"/>
    <w:uiPriority w:val="99"/>
    <w:qFormat/>
  </w:style>
  <w:style w:type="paragraph" w:styleId="960" w:customStyle="1">
    <w:name w:val="Footer11"/>
    <w:basedOn w:val="827"/>
    <w:link w:val="961"/>
    <w:uiPriority w:val="99"/>
    <w:unhideWhenUsed/>
    <w:qFormat/>
    <w:pPr>
      <w:tabs>
        <w:tab w:val="center" w:pos="7143" w:leader="none"/>
        <w:tab w:val="right" w:pos="14287" w:leader="none"/>
      </w:tabs>
    </w:pPr>
  </w:style>
  <w:style w:type="character" w:styleId="961" w:customStyle="1">
    <w:name w:val="Footer Char"/>
    <w:link w:val="960"/>
    <w:uiPriority w:val="99"/>
    <w:qFormat/>
  </w:style>
  <w:style w:type="character" w:styleId="962" w:customStyle="1">
    <w:name w:val="页脚 字符1"/>
    <w:link w:val="859"/>
    <w:uiPriority w:val="99"/>
    <w:qFormat/>
  </w:style>
  <w:style w:type="paragraph" w:styleId="963" w:customStyle="1">
    <w:name w:val="Caption11"/>
    <w:basedOn w:val="827"/>
    <w:next w:val="827"/>
    <w:uiPriority w:val="35"/>
    <w:unhideWhenUsed/>
    <w:qFormat/>
    <w:pPr>
      <w:spacing w:line="276" w:lineRule="auto"/>
    </w:pPr>
    <w:rPr>
      <w:b/>
      <w:bCs/>
      <w:color w:val="4f81bd"/>
      <w:sz w:val="18"/>
      <w:szCs w:val="18"/>
    </w:rPr>
  </w:style>
  <w:style w:type="table" w:styleId="964" w:customStyle="1">
    <w:name w:val="Table Grid Light"/>
    <w:uiPriority w:val="59"/>
    <w:qFormat/>
    <w:tblPr>
      <w:tblCellMar>
        <w:left w:w="0" w:type="dxa"/>
        <w:top w:w="0" w:type="dxa"/>
        <w:right w:w="0" w:type="dxa"/>
        <w:bottom w:w="0" w:type="dxa"/>
      </w:tblCellMar>
    </w:tblPr>
  </w:style>
  <w:style w:type="table" w:styleId="965" w:customStyle="1">
    <w:name w:val="Grid Table 1 Light - Accent 1"/>
    <w:uiPriority w:val="99"/>
    <w:qFormat/>
    <w:tblPr>
      <w:tblCellMar>
        <w:left w:w="0" w:type="dxa"/>
        <w:top w:w="0" w:type="dxa"/>
        <w:right w:w="0" w:type="dxa"/>
        <w:bottom w:w="0" w:type="dxa"/>
      </w:tblCellMar>
    </w:tblPr>
  </w:style>
  <w:style w:type="table" w:styleId="966" w:customStyle="1">
    <w:name w:val="Grid Table 1 Light - Accent 2"/>
    <w:uiPriority w:val="99"/>
    <w:qFormat/>
    <w:tblPr>
      <w:tblCellMar>
        <w:left w:w="0" w:type="dxa"/>
        <w:top w:w="0" w:type="dxa"/>
        <w:right w:w="0" w:type="dxa"/>
        <w:bottom w:w="0" w:type="dxa"/>
      </w:tblCellMar>
    </w:tblPr>
  </w:style>
  <w:style w:type="table" w:styleId="967" w:customStyle="1">
    <w:name w:val="Grid Table 1 Light - Accent 3"/>
    <w:uiPriority w:val="99"/>
    <w:qFormat/>
    <w:tblPr>
      <w:tblCellMar>
        <w:left w:w="0" w:type="dxa"/>
        <w:top w:w="0" w:type="dxa"/>
        <w:right w:w="0" w:type="dxa"/>
        <w:bottom w:w="0" w:type="dxa"/>
      </w:tblCellMar>
    </w:tblPr>
  </w:style>
  <w:style w:type="table" w:styleId="968" w:customStyle="1">
    <w:name w:val="Grid Table 1 Light - Accent 4"/>
    <w:uiPriority w:val="99"/>
    <w:qFormat/>
    <w:tblPr>
      <w:tblCellMar>
        <w:left w:w="0" w:type="dxa"/>
        <w:top w:w="0" w:type="dxa"/>
        <w:right w:w="0" w:type="dxa"/>
        <w:bottom w:w="0" w:type="dxa"/>
      </w:tblCellMar>
    </w:tblPr>
  </w:style>
  <w:style w:type="table" w:styleId="969" w:customStyle="1">
    <w:name w:val="Grid Table 1 Light - Accent 5"/>
    <w:uiPriority w:val="99"/>
    <w:qFormat/>
    <w:tblPr>
      <w:tblCellMar>
        <w:left w:w="0" w:type="dxa"/>
        <w:top w:w="0" w:type="dxa"/>
        <w:right w:w="0" w:type="dxa"/>
        <w:bottom w:w="0" w:type="dxa"/>
      </w:tblCellMar>
    </w:tblPr>
  </w:style>
  <w:style w:type="table" w:styleId="970" w:customStyle="1">
    <w:name w:val="Grid Table 1 Light - Accent 6"/>
    <w:uiPriority w:val="99"/>
    <w:qFormat/>
    <w:tblPr>
      <w:tblCellMar>
        <w:left w:w="0" w:type="dxa"/>
        <w:top w:w="0" w:type="dxa"/>
        <w:right w:w="0" w:type="dxa"/>
        <w:bottom w:w="0" w:type="dxa"/>
      </w:tblCellMar>
    </w:tblPr>
  </w:style>
  <w:style w:type="table" w:styleId="971" w:customStyle="1">
    <w:name w:val="Grid Table 2 - Accent 1"/>
    <w:uiPriority w:val="99"/>
    <w:qFormat/>
    <w:tblPr>
      <w:tblCellMar>
        <w:left w:w="0" w:type="dxa"/>
        <w:top w:w="0" w:type="dxa"/>
        <w:right w:w="0" w:type="dxa"/>
        <w:bottom w:w="0" w:type="dxa"/>
      </w:tblCellMar>
    </w:tblPr>
  </w:style>
  <w:style w:type="table" w:styleId="972" w:customStyle="1">
    <w:name w:val="Grid Table 2 - Accent 2"/>
    <w:uiPriority w:val="99"/>
    <w:qFormat/>
    <w:tblPr>
      <w:tblCellMar>
        <w:left w:w="0" w:type="dxa"/>
        <w:top w:w="0" w:type="dxa"/>
        <w:right w:w="0" w:type="dxa"/>
        <w:bottom w:w="0" w:type="dxa"/>
      </w:tblCellMar>
    </w:tblPr>
  </w:style>
  <w:style w:type="table" w:styleId="973" w:customStyle="1">
    <w:name w:val="Grid Table 2 - Accent 3"/>
    <w:uiPriority w:val="99"/>
    <w:qFormat/>
    <w:tblPr>
      <w:tblCellMar>
        <w:left w:w="0" w:type="dxa"/>
        <w:top w:w="0" w:type="dxa"/>
        <w:right w:w="0" w:type="dxa"/>
        <w:bottom w:w="0" w:type="dxa"/>
      </w:tblCellMar>
    </w:tblPr>
  </w:style>
  <w:style w:type="table" w:styleId="974" w:customStyle="1">
    <w:name w:val="Grid Table 2 - Accent 4"/>
    <w:uiPriority w:val="99"/>
    <w:qFormat/>
    <w:tblPr>
      <w:tblCellMar>
        <w:left w:w="0" w:type="dxa"/>
        <w:top w:w="0" w:type="dxa"/>
        <w:right w:w="0" w:type="dxa"/>
        <w:bottom w:w="0" w:type="dxa"/>
      </w:tblCellMar>
    </w:tblPr>
  </w:style>
  <w:style w:type="table" w:styleId="975" w:customStyle="1">
    <w:name w:val="Grid Table 2 - Accent 5"/>
    <w:uiPriority w:val="99"/>
    <w:qFormat/>
    <w:tblPr>
      <w:tblCellMar>
        <w:left w:w="0" w:type="dxa"/>
        <w:top w:w="0" w:type="dxa"/>
        <w:right w:w="0" w:type="dxa"/>
        <w:bottom w:w="0" w:type="dxa"/>
      </w:tblCellMar>
    </w:tblPr>
  </w:style>
  <w:style w:type="table" w:styleId="976" w:customStyle="1">
    <w:name w:val="Grid Table 2 - Accent 6"/>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Grid Table 3 - Accent 2"/>
    <w:uiPriority w:val="99"/>
    <w:qFormat/>
    <w:tblPr>
      <w:tblCellMar>
        <w:left w:w="0" w:type="dxa"/>
        <w:top w:w="0" w:type="dxa"/>
        <w:right w:w="0" w:type="dxa"/>
        <w:bottom w:w="0" w:type="dxa"/>
      </w:tblCellMar>
    </w:tblPr>
  </w:style>
  <w:style w:type="table" w:styleId="979" w:customStyle="1">
    <w:name w:val="Grid Table 3 - Accent 3"/>
    <w:uiPriority w:val="99"/>
    <w:qFormat/>
    <w:tblPr>
      <w:tblCellMar>
        <w:left w:w="0" w:type="dxa"/>
        <w:top w:w="0" w:type="dxa"/>
        <w:right w:w="0" w:type="dxa"/>
        <w:bottom w:w="0" w:type="dxa"/>
      </w:tblCellMar>
    </w:tblPr>
  </w:style>
  <w:style w:type="table" w:styleId="980" w:customStyle="1">
    <w:name w:val="Grid Table 3 - Accent 4"/>
    <w:uiPriority w:val="99"/>
    <w:qFormat/>
    <w:tblPr>
      <w:tblCellMar>
        <w:left w:w="0" w:type="dxa"/>
        <w:top w:w="0" w:type="dxa"/>
        <w:right w:w="0" w:type="dxa"/>
        <w:bottom w:w="0" w:type="dxa"/>
      </w:tblCellMar>
    </w:tblPr>
  </w:style>
  <w:style w:type="table" w:styleId="981" w:customStyle="1">
    <w:name w:val="Grid Table 3 - Accent 5"/>
    <w:uiPriority w:val="99"/>
    <w:qFormat/>
    <w:tblPr>
      <w:tblCellMar>
        <w:left w:w="0" w:type="dxa"/>
        <w:top w:w="0" w:type="dxa"/>
        <w:right w:w="0" w:type="dxa"/>
        <w:bottom w:w="0" w:type="dxa"/>
      </w:tblCellMar>
    </w:tblPr>
  </w:style>
  <w:style w:type="table" w:styleId="982" w:customStyle="1">
    <w:name w:val="Grid Table 3 - Accent 6"/>
    <w:uiPriority w:val="99"/>
    <w:qFormat/>
    <w:tblPr>
      <w:tblCellMar>
        <w:left w:w="0" w:type="dxa"/>
        <w:top w:w="0" w:type="dxa"/>
        <w:right w:w="0" w:type="dxa"/>
        <w:bottom w:w="0" w:type="dxa"/>
      </w:tblCellMar>
    </w:tblPr>
  </w:style>
  <w:style w:type="table" w:styleId="983" w:customStyle="1">
    <w:name w:val="Grid Table 4 - Accent 1"/>
    <w:uiPriority w:val="59"/>
    <w:qFormat/>
    <w:tblPr>
      <w:tblCellMar>
        <w:left w:w="0" w:type="dxa"/>
        <w:top w:w="0" w:type="dxa"/>
        <w:right w:w="0" w:type="dxa"/>
        <w:bottom w:w="0" w:type="dxa"/>
      </w:tblCellMar>
    </w:tblPr>
  </w:style>
  <w:style w:type="table" w:styleId="984" w:customStyle="1">
    <w:name w:val="Grid Table 4 - Accent 2"/>
    <w:uiPriority w:val="59"/>
    <w:qFormat/>
    <w:tblPr>
      <w:tblCellMar>
        <w:left w:w="0" w:type="dxa"/>
        <w:top w:w="0" w:type="dxa"/>
        <w:right w:w="0" w:type="dxa"/>
        <w:bottom w:w="0" w:type="dxa"/>
      </w:tblCellMar>
    </w:tblPr>
  </w:style>
  <w:style w:type="table" w:styleId="985" w:customStyle="1">
    <w:name w:val="Grid Table 4 - Accent 3"/>
    <w:uiPriority w:val="59"/>
    <w:qFormat/>
    <w:tblPr>
      <w:tblCellMar>
        <w:left w:w="0" w:type="dxa"/>
        <w:top w:w="0" w:type="dxa"/>
        <w:right w:w="0" w:type="dxa"/>
        <w:bottom w:w="0" w:type="dxa"/>
      </w:tblCellMar>
    </w:tblPr>
  </w:style>
  <w:style w:type="table" w:styleId="986" w:customStyle="1">
    <w:name w:val="Grid Table 4 - Accent 4"/>
    <w:uiPriority w:val="59"/>
    <w:qFormat/>
    <w:tblPr>
      <w:tblCellMar>
        <w:left w:w="0" w:type="dxa"/>
        <w:top w:w="0" w:type="dxa"/>
        <w:right w:w="0" w:type="dxa"/>
        <w:bottom w:w="0" w:type="dxa"/>
      </w:tblCellMar>
    </w:tblPr>
  </w:style>
  <w:style w:type="table" w:styleId="987" w:customStyle="1">
    <w:name w:val="Grid Table 4 - Accent 5"/>
    <w:uiPriority w:val="59"/>
    <w:qFormat/>
    <w:tblPr>
      <w:tblCellMar>
        <w:left w:w="0" w:type="dxa"/>
        <w:top w:w="0" w:type="dxa"/>
        <w:right w:w="0" w:type="dxa"/>
        <w:bottom w:w="0" w:type="dxa"/>
      </w:tblCellMar>
    </w:tblPr>
  </w:style>
  <w:style w:type="table" w:styleId="988" w:customStyle="1">
    <w:name w:val="Grid Table 4 - Accent 6"/>
    <w:uiPriority w:val="59"/>
    <w:qFormat/>
    <w:tblPr>
      <w:tblCellMar>
        <w:left w:w="0" w:type="dxa"/>
        <w:top w:w="0" w:type="dxa"/>
        <w:right w:w="0" w:type="dxa"/>
        <w:bottom w:w="0" w:type="dxa"/>
      </w:tblCellMar>
    </w:tblPr>
  </w:style>
  <w:style w:type="table" w:styleId="989" w:customStyle="1">
    <w:name w:val="Grid Table 5 Dark- Accent 1"/>
    <w:uiPriority w:val="99"/>
    <w:qFormat/>
    <w:tblPr>
      <w:tblCellMar>
        <w:left w:w="0" w:type="dxa"/>
        <w:top w:w="0" w:type="dxa"/>
        <w:right w:w="0" w:type="dxa"/>
        <w:bottom w:w="0" w:type="dxa"/>
      </w:tblCellMar>
    </w:tblPr>
  </w:style>
  <w:style w:type="table" w:styleId="990" w:customStyle="1">
    <w:name w:val="Grid Table 5 Dark - Accent 2"/>
    <w:uiPriority w:val="99"/>
    <w:qFormat/>
    <w:tblPr>
      <w:tblCellMar>
        <w:left w:w="0" w:type="dxa"/>
        <w:top w:w="0" w:type="dxa"/>
        <w:right w:w="0" w:type="dxa"/>
        <w:bottom w:w="0" w:type="dxa"/>
      </w:tblCellMar>
    </w:tblPr>
  </w:style>
  <w:style w:type="table" w:styleId="991" w:customStyle="1">
    <w:name w:val="Grid Table 5 Dark - Accent 3"/>
    <w:uiPriority w:val="99"/>
    <w:qFormat/>
    <w:tblPr>
      <w:tblCellMar>
        <w:left w:w="0" w:type="dxa"/>
        <w:top w:w="0" w:type="dxa"/>
        <w:right w:w="0" w:type="dxa"/>
        <w:bottom w:w="0" w:type="dxa"/>
      </w:tblCellMar>
    </w:tblPr>
  </w:style>
  <w:style w:type="table" w:styleId="992" w:customStyle="1">
    <w:name w:val="Grid Table 5 Dark- Accent 4"/>
    <w:uiPriority w:val="99"/>
    <w:qFormat/>
    <w:tblPr>
      <w:tblCellMar>
        <w:left w:w="0" w:type="dxa"/>
        <w:top w:w="0" w:type="dxa"/>
        <w:right w:w="0" w:type="dxa"/>
        <w:bottom w:w="0" w:type="dxa"/>
      </w:tblCellMar>
    </w:tblPr>
  </w:style>
  <w:style w:type="table" w:styleId="993" w:customStyle="1">
    <w:name w:val="Grid Table 5 Dark - Accent 5"/>
    <w:uiPriority w:val="99"/>
    <w:qFormat/>
    <w:tblPr>
      <w:tblCellMar>
        <w:left w:w="0" w:type="dxa"/>
        <w:top w:w="0" w:type="dxa"/>
        <w:right w:w="0" w:type="dxa"/>
        <w:bottom w:w="0" w:type="dxa"/>
      </w:tblCellMar>
    </w:tblPr>
  </w:style>
  <w:style w:type="table" w:styleId="994" w:customStyle="1">
    <w:name w:val="Grid Table 5 Dark - Accent 6"/>
    <w:uiPriority w:val="99"/>
    <w:qFormat/>
    <w:tblPr>
      <w:tblCellMar>
        <w:left w:w="0" w:type="dxa"/>
        <w:top w:w="0" w:type="dxa"/>
        <w:right w:w="0" w:type="dxa"/>
        <w:bottom w:w="0" w:type="dxa"/>
      </w:tblCellMar>
    </w:tblPr>
  </w:style>
  <w:style w:type="table" w:styleId="995" w:customStyle="1">
    <w:name w:val="Grid Table 6 Colorful - Accent 1"/>
    <w:uiPriority w:val="99"/>
    <w:qFormat/>
    <w:tblPr>
      <w:tblCellMar>
        <w:left w:w="0" w:type="dxa"/>
        <w:top w:w="0" w:type="dxa"/>
        <w:right w:w="0" w:type="dxa"/>
        <w:bottom w:w="0" w:type="dxa"/>
      </w:tblCellMar>
    </w:tblPr>
  </w:style>
  <w:style w:type="table" w:styleId="996" w:customStyle="1">
    <w:name w:val="Grid Table 6 Colorful - Accent 2"/>
    <w:uiPriority w:val="99"/>
    <w:qFormat/>
    <w:tblPr>
      <w:tblCellMar>
        <w:left w:w="0" w:type="dxa"/>
        <w:top w:w="0" w:type="dxa"/>
        <w:right w:w="0" w:type="dxa"/>
        <w:bottom w:w="0" w:type="dxa"/>
      </w:tblCellMar>
    </w:tblPr>
  </w:style>
  <w:style w:type="table" w:styleId="997" w:customStyle="1">
    <w:name w:val="Grid Table 6 Colorful - Accent 3"/>
    <w:uiPriority w:val="99"/>
    <w:qFormat/>
    <w:tblPr>
      <w:tblCellMar>
        <w:left w:w="0" w:type="dxa"/>
        <w:top w:w="0" w:type="dxa"/>
        <w:right w:w="0" w:type="dxa"/>
        <w:bottom w:w="0" w:type="dxa"/>
      </w:tblCellMar>
    </w:tblPr>
  </w:style>
  <w:style w:type="table" w:styleId="998" w:customStyle="1">
    <w:name w:val="Grid Table 6 Colorful - Accent 4"/>
    <w:uiPriority w:val="99"/>
    <w:qFormat/>
    <w:tblPr>
      <w:tblCellMar>
        <w:left w:w="0" w:type="dxa"/>
        <w:top w:w="0" w:type="dxa"/>
        <w:right w:w="0" w:type="dxa"/>
        <w:bottom w:w="0" w:type="dxa"/>
      </w:tblCellMar>
    </w:tblPr>
  </w:style>
  <w:style w:type="table" w:styleId="999" w:customStyle="1">
    <w:name w:val="Grid Table 6 Colorful - Accent 5"/>
    <w:uiPriority w:val="99"/>
    <w:qFormat/>
    <w:tblPr>
      <w:tblCellMar>
        <w:left w:w="0" w:type="dxa"/>
        <w:top w:w="0" w:type="dxa"/>
        <w:right w:w="0" w:type="dxa"/>
        <w:bottom w:w="0" w:type="dxa"/>
      </w:tblCellMar>
    </w:tblPr>
  </w:style>
  <w:style w:type="table" w:styleId="1000" w:customStyle="1">
    <w:name w:val="Grid Table 6 Colorful - Accent 6"/>
    <w:uiPriority w:val="99"/>
    <w:qFormat/>
    <w:tblPr>
      <w:tblCellMar>
        <w:left w:w="0" w:type="dxa"/>
        <w:top w:w="0" w:type="dxa"/>
        <w:right w:w="0" w:type="dxa"/>
        <w:bottom w:w="0" w:type="dxa"/>
      </w:tblCellMar>
    </w:tblPr>
  </w:style>
  <w:style w:type="table" w:styleId="1001" w:customStyle="1">
    <w:name w:val="Grid Table 7 Colorful - Accent 1"/>
    <w:uiPriority w:val="99"/>
    <w:qFormat/>
    <w:tblPr>
      <w:tblCellMar>
        <w:left w:w="0" w:type="dxa"/>
        <w:top w:w="0" w:type="dxa"/>
        <w:right w:w="0" w:type="dxa"/>
        <w:bottom w:w="0" w:type="dxa"/>
      </w:tblCellMar>
    </w:tblPr>
  </w:style>
  <w:style w:type="table" w:styleId="1002" w:customStyle="1">
    <w:name w:val="Grid Table 7 Colorful - Accent 2"/>
    <w:uiPriority w:val="99"/>
    <w:qFormat/>
    <w:tblPr>
      <w:tblCellMar>
        <w:left w:w="0" w:type="dxa"/>
        <w:top w:w="0" w:type="dxa"/>
        <w:right w:w="0" w:type="dxa"/>
        <w:bottom w:w="0" w:type="dxa"/>
      </w:tblCellMar>
    </w:tblPr>
  </w:style>
  <w:style w:type="table" w:styleId="1003" w:customStyle="1">
    <w:name w:val="Grid Table 7 Colorful - Accent 3"/>
    <w:uiPriority w:val="99"/>
    <w:qFormat/>
    <w:tblPr>
      <w:tblCellMar>
        <w:left w:w="0" w:type="dxa"/>
        <w:top w:w="0" w:type="dxa"/>
        <w:right w:w="0" w:type="dxa"/>
        <w:bottom w:w="0" w:type="dxa"/>
      </w:tblCellMar>
    </w:tblPr>
  </w:style>
  <w:style w:type="table" w:styleId="1004" w:customStyle="1">
    <w:name w:val="Grid Table 7 Colorful - Accent 4"/>
    <w:uiPriority w:val="99"/>
    <w:qFormat/>
    <w:tblPr>
      <w:tblCellMar>
        <w:left w:w="0" w:type="dxa"/>
        <w:top w:w="0" w:type="dxa"/>
        <w:right w:w="0" w:type="dxa"/>
        <w:bottom w:w="0" w:type="dxa"/>
      </w:tblCellMar>
    </w:tblPr>
  </w:style>
  <w:style w:type="table" w:styleId="1005" w:customStyle="1">
    <w:name w:val="Grid Table 7 Colorful - Accent 5"/>
    <w:uiPriority w:val="99"/>
    <w:qFormat/>
    <w:tblPr>
      <w:tblCellMar>
        <w:left w:w="0" w:type="dxa"/>
        <w:top w:w="0" w:type="dxa"/>
        <w:right w:w="0" w:type="dxa"/>
        <w:bottom w:w="0" w:type="dxa"/>
      </w:tblCellMar>
    </w:tblPr>
  </w:style>
  <w:style w:type="table" w:styleId="1006" w:customStyle="1">
    <w:name w:val="Grid Table 7 Colorful - Accent 6"/>
    <w:uiPriority w:val="99"/>
    <w:qFormat/>
    <w:tblPr>
      <w:tblCellMar>
        <w:left w:w="0" w:type="dxa"/>
        <w:top w:w="0" w:type="dxa"/>
        <w:right w:w="0" w:type="dxa"/>
        <w:bottom w:w="0" w:type="dxa"/>
      </w:tblCellMar>
    </w:tblPr>
  </w:style>
  <w:style w:type="table" w:styleId="1007" w:customStyle="1">
    <w:name w:val="List Table 1 Light - Accent 1"/>
    <w:uiPriority w:val="99"/>
    <w:qFormat/>
    <w:tblPr>
      <w:tblCellMar>
        <w:left w:w="0" w:type="dxa"/>
        <w:top w:w="0" w:type="dxa"/>
        <w:right w:w="0" w:type="dxa"/>
        <w:bottom w:w="0" w:type="dxa"/>
      </w:tblCellMar>
    </w:tblPr>
  </w:style>
  <w:style w:type="table" w:styleId="1008" w:customStyle="1">
    <w:name w:val="List Table 1 Light - Accent 2"/>
    <w:uiPriority w:val="99"/>
    <w:qFormat/>
    <w:tblPr>
      <w:tblCellMar>
        <w:left w:w="0" w:type="dxa"/>
        <w:top w:w="0" w:type="dxa"/>
        <w:right w:w="0" w:type="dxa"/>
        <w:bottom w:w="0" w:type="dxa"/>
      </w:tblCellMar>
    </w:tblPr>
  </w:style>
  <w:style w:type="table" w:styleId="1009" w:customStyle="1">
    <w:name w:val="List Table 1 Light - Accent 3"/>
    <w:uiPriority w:val="99"/>
    <w:qFormat/>
    <w:tblPr>
      <w:tblCellMar>
        <w:left w:w="0" w:type="dxa"/>
        <w:top w:w="0" w:type="dxa"/>
        <w:right w:w="0" w:type="dxa"/>
        <w:bottom w:w="0" w:type="dxa"/>
      </w:tblCellMar>
    </w:tblPr>
  </w:style>
  <w:style w:type="table" w:styleId="1010" w:customStyle="1">
    <w:name w:val="List Table 1 Light - Accent 4"/>
    <w:uiPriority w:val="99"/>
    <w:qFormat/>
    <w:tblPr>
      <w:tblCellMar>
        <w:left w:w="0" w:type="dxa"/>
        <w:top w:w="0" w:type="dxa"/>
        <w:right w:w="0" w:type="dxa"/>
        <w:bottom w:w="0" w:type="dxa"/>
      </w:tblCellMar>
    </w:tblPr>
  </w:style>
  <w:style w:type="table" w:styleId="1011" w:customStyle="1">
    <w:name w:val="List Table 1 Light - Accent 5"/>
    <w:uiPriority w:val="99"/>
    <w:qFormat/>
    <w:tblPr>
      <w:tblCellMar>
        <w:left w:w="0" w:type="dxa"/>
        <w:top w:w="0" w:type="dxa"/>
        <w:right w:w="0" w:type="dxa"/>
        <w:bottom w:w="0" w:type="dxa"/>
      </w:tblCellMar>
    </w:tblPr>
  </w:style>
  <w:style w:type="table" w:styleId="1012" w:customStyle="1">
    <w:name w:val="List Table 1 Light - Accent 6"/>
    <w:uiPriority w:val="99"/>
    <w:qFormat/>
    <w:tblPr>
      <w:tblCellMar>
        <w:left w:w="0" w:type="dxa"/>
        <w:top w:w="0" w:type="dxa"/>
        <w:right w:w="0" w:type="dxa"/>
        <w:bottom w:w="0" w:type="dxa"/>
      </w:tblCellMar>
    </w:tblPr>
  </w:style>
  <w:style w:type="table" w:styleId="1013" w:customStyle="1">
    <w:name w:val="List Table 2 - Accent 1"/>
    <w:uiPriority w:val="99"/>
    <w:qFormat/>
    <w:tblPr>
      <w:tblCellMar>
        <w:left w:w="0" w:type="dxa"/>
        <w:top w:w="0" w:type="dxa"/>
        <w:right w:w="0" w:type="dxa"/>
        <w:bottom w:w="0" w:type="dxa"/>
      </w:tblCellMar>
    </w:tblPr>
  </w:style>
  <w:style w:type="table" w:styleId="1014" w:customStyle="1">
    <w:name w:val="List Table 2 - Accent 2"/>
    <w:uiPriority w:val="99"/>
    <w:qFormat/>
    <w:tblPr>
      <w:tblCellMar>
        <w:left w:w="0" w:type="dxa"/>
        <w:top w:w="0" w:type="dxa"/>
        <w:right w:w="0" w:type="dxa"/>
        <w:bottom w:w="0" w:type="dxa"/>
      </w:tblCellMar>
    </w:tblPr>
  </w:style>
  <w:style w:type="table" w:styleId="1015" w:customStyle="1">
    <w:name w:val="List Table 2 - Accent 3"/>
    <w:uiPriority w:val="99"/>
    <w:qFormat/>
    <w:tblPr>
      <w:tblCellMar>
        <w:left w:w="0" w:type="dxa"/>
        <w:top w:w="0" w:type="dxa"/>
        <w:right w:w="0" w:type="dxa"/>
        <w:bottom w:w="0" w:type="dxa"/>
      </w:tblCellMar>
    </w:tblPr>
  </w:style>
  <w:style w:type="table" w:styleId="1016" w:customStyle="1">
    <w:name w:val="List Table 2 - Accent 4"/>
    <w:uiPriority w:val="99"/>
    <w:qFormat/>
    <w:tblPr>
      <w:tblCellMar>
        <w:left w:w="0" w:type="dxa"/>
        <w:top w:w="0" w:type="dxa"/>
        <w:right w:w="0" w:type="dxa"/>
        <w:bottom w:w="0" w:type="dxa"/>
      </w:tblCellMar>
    </w:tblPr>
  </w:style>
  <w:style w:type="table" w:styleId="1017" w:customStyle="1">
    <w:name w:val="List Table 2 - Accent 5"/>
    <w:uiPriority w:val="99"/>
    <w:qFormat/>
    <w:tblPr>
      <w:tblCellMar>
        <w:left w:w="0" w:type="dxa"/>
        <w:top w:w="0" w:type="dxa"/>
        <w:right w:w="0" w:type="dxa"/>
        <w:bottom w:w="0" w:type="dxa"/>
      </w:tblCellMar>
    </w:tblPr>
  </w:style>
  <w:style w:type="table" w:styleId="1018" w:customStyle="1">
    <w:name w:val="List Table 2 - Accent 6"/>
    <w:uiPriority w:val="99"/>
    <w:qFormat/>
    <w:tblPr>
      <w:tblCellMar>
        <w:left w:w="0" w:type="dxa"/>
        <w:top w:w="0" w:type="dxa"/>
        <w:right w:w="0" w:type="dxa"/>
        <w:bottom w:w="0" w:type="dxa"/>
      </w:tblCellMar>
    </w:tblPr>
  </w:style>
  <w:style w:type="table" w:styleId="1019" w:customStyle="1">
    <w:name w:val="List Table 3 - Accent 1"/>
    <w:uiPriority w:val="99"/>
    <w:qFormat/>
    <w:tblPr>
      <w:tblCellMar>
        <w:left w:w="0" w:type="dxa"/>
        <w:top w:w="0" w:type="dxa"/>
        <w:right w:w="0" w:type="dxa"/>
        <w:bottom w:w="0" w:type="dxa"/>
      </w:tblCellMar>
    </w:tblPr>
  </w:style>
  <w:style w:type="table" w:styleId="1020" w:customStyle="1">
    <w:name w:val="List Table 3 - Accent 2"/>
    <w:uiPriority w:val="99"/>
    <w:qFormat/>
    <w:tblPr>
      <w:tblCellMar>
        <w:left w:w="0" w:type="dxa"/>
        <w:top w:w="0" w:type="dxa"/>
        <w:right w:w="0" w:type="dxa"/>
        <w:bottom w:w="0" w:type="dxa"/>
      </w:tblCellMar>
    </w:tblPr>
  </w:style>
  <w:style w:type="table" w:styleId="1021" w:customStyle="1">
    <w:name w:val="List Table 3 - Accent 3"/>
    <w:uiPriority w:val="99"/>
    <w:qFormat/>
    <w:tblPr>
      <w:tblCellMar>
        <w:left w:w="0" w:type="dxa"/>
        <w:top w:w="0" w:type="dxa"/>
        <w:right w:w="0" w:type="dxa"/>
        <w:bottom w:w="0" w:type="dxa"/>
      </w:tblCellMar>
    </w:tblPr>
  </w:style>
  <w:style w:type="table" w:styleId="1022" w:customStyle="1">
    <w:name w:val="List Table 3 - Accent 4"/>
    <w:uiPriority w:val="99"/>
    <w:qFormat/>
    <w:tblPr>
      <w:tblCellMar>
        <w:left w:w="0" w:type="dxa"/>
        <w:top w:w="0" w:type="dxa"/>
        <w:right w:w="0" w:type="dxa"/>
        <w:bottom w:w="0" w:type="dxa"/>
      </w:tblCellMar>
    </w:tblPr>
  </w:style>
  <w:style w:type="table" w:styleId="1023" w:customStyle="1">
    <w:name w:val="List Table 3 - Accent 5"/>
    <w:uiPriority w:val="99"/>
    <w:qFormat/>
    <w:tblPr>
      <w:tblCellMar>
        <w:left w:w="0" w:type="dxa"/>
        <w:top w:w="0" w:type="dxa"/>
        <w:right w:w="0" w:type="dxa"/>
        <w:bottom w:w="0" w:type="dxa"/>
      </w:tblCellMar>
    </w:tblPr>
  </w:style>
  <w:style w:type="table" w:styleId="1024" w:customStyle="1">
    <w:name w:val="List Table 3 - Accent 6"/>
    <w:uiPriority w:val="99"/>
    <w:qFormat/>
    <w:tblPr>
      <w:tblCellMar>
        <w:left w:w="0" w:type="dxa"/>
        <w:top w:w="0" w:type="dxa"/>
        <w:right w:w="0" w:type="dxa"/>
        <w:bottom w:w="0" w:type="dxa"/>
      </w:tblCellMar>
    </w:tblPr>
  </w:style>
  <w:style w:type="table" w:styleId="1025" w:customStyle="1">
    <w:name w:val="List Table 4 - Accent 1"/>
    <w:uiPriority w:val="99"/>
    <w:qFormat/>
    <w:tblPr>
      <w:tblCellMar>
        <w:left w:w="0" w:type="dxa"/>
        <w:top w:w="0" w:type="dxa"/>
        <w:right w:w="0" w:type="dxa"/>
        <w:bottom w:w="0" w:type="dxa"/>
      </w:tblCellMar>
    </w:tblPr>
  </w:style>
  <w:style w:type="table" w:styleId="1026" w:customStyle="1">
    <w:name w:val="List Table 4 - Accent 2"/>
    <w:uiPriority w:val="99"/>
    <w:qFormat/>
    <w:tblPr>
      <w:tblCellMar>
        <w:left w:w="0" w:type="dxa"/>
        <w:top w:w="0" w:type="dxa"/>
        <w:right w:w="0" w:type="dxa"/>
        <w:bottom w:w="0" w:type="dxa"/>
      </w:tblCellMar>
    </w:tblPr>
  </w:style>
  <w:style w:type="table" w:styleId="1027" w:customStyle="1">
    <w:name w:val="List Table 4 - Accent 3"/>
    <w:uiPriority w:val="99"/>
    <w:qFormat/>
    <w:tblPr>
      <w:tblCellMar>
        <w:left w:w="0" w:type="dxa"/>
        <w:top w:w="0" w:type="dxa"/>
        <w:right w:w="0" w:type="dxa"/>
        <w:bottom w:w="0" w:type="dxa"/>
      </w:tblCellMar>
    </w:tblPr>
  </w:style>
  <w:style w:type="table" w:styleId="1028" w:customStyle="1">
    <w:name w:val="List Table 4 - Accent 4"/>
    <w:uiPriority w:val="99"/>
    <w:qFormat/>
    <w:tblPr>
      <w:tblCellMar>
        <w:left w:w="0" w:type="dxa"/>
        <w:top w:w="0" w:type="dxa"/>
        <w:right w:w="0" w:type="dxa"/>
        <w:bottom w:w="0" w:type="dxa"/>
      </w:tblCellMar>
    </w:tblPr>
  </w:style>
  <w:style w:type="table" w:styleId="1029" w:customStyle="1">
    <w:name w:val="List Table 4 - Accent 5"/>
    <w:uiPriority w:val="99"/>
    <w:qFormat/>
    <w:tblPr>
      <w:tblCellMar>
        <w:left w:w="0" w:type="dxa"/>
        <w:top w:w="0" w:type="dxa"/>
        <w:right w:w="0" w:type="dxa"/>
        <w:bottom w:w="0" w:type="dxa"/>
      </w:tblCellMar>
    </w:tblPr>
  </w:style>
  <w:style w:type="table" w:styleId="1030" w:customStyle="1">
    <w:name w:val="List Table 4 - Accent 6"/>
    <w:uiPriority w:val="99"/>
    <w:qFormat/>
    <w:tblPr>
      <w:tblCellMar>
        <w:left w:w="0" w:type="dxa"/>
        <w:top w:w="0" w:type="dxa"/>
        <w:right w:w="0" w:type="dxa"/>
        <w:bottom w:w="0" w:type="dxa"/>
      </w:tblCellMar>
    </w:tblPr>
  </w:style>
  <w:style w:type="table" w:styleId="1031" w:customStyle="1">
    <w:name w:val="List Table 5 Dark - Accent 1"/>
    <w:uiPriority w:val="99"/>
    <w:qFormat/>
    <w:tblPr>
      <w:tblCellMar>
        <w:left w:w="0" w:type="dxa"/>
        <w:top w:w="0" w:type="dxa"/>
        <w:right w:w="0" w:type="dxa"/>
        <w:bottom w:w="0" w:type="dxa"/>
      </w:tblCellMar>
    </w:tblPr>
  </w:style>
  <w:style w:type="table" w:styleId="1032" w:customStyle="1">
    <w:name w:val="List Table 5 Dark - Accent 2"/>
    <w:uiPriority w:val="99"/>
    <w:qFormat/>
    <w:tblPr>
      <w:tblCellMar>
        <w:left w:w="0" w:type="dxa"/>
        <w:top w:w="0" w:type="dxa"/>
        <w:right w:w="0" w:type="dxa"/>
        <w:bottom w:w="0" w:type="dxa"/>
      </w:tblCellMar>
    </w:tblPr>
  </w:style>
  <w:style w:type="table" w:styleId="1033" w:customStyle="1">
    <w:name w:val="List Table 5 Dark - Accent 3"/>
    <w:uiPriority w:val="99"/>
    <w:qFormat/>
    <w:tblPr>
      <w:tblCellMar>
        <w:left w:w="0" w:type="dxa"/>
        <w:top w:w="0" w:type="dxa"/>
        <w:right w:w="0" w:type="dxa"/>
        <w:bottom w:w="0" w:type="dxa"/>
      </w:tblCellMar>
    </w:tblPr>
  </w:style>
  <w:style w:type="table" w:styleId="1034" w:customStyle="1">
    <w:name w:val="List Table 5 Dark - Accent 4"/>
    <w:uiPriority w:val="99"/>
    <w:qFormat/>
    <w:tblPr>
      <w:tblCellMar>
        <w:left w:w="0" w:type="dxa"/>
        <w:top w:w="0" w:type="dxa"/>
        <w:right w:w="0" w:type="dxa"/>
        <w:bottom w:w="0" w:type="dxa"/>
      </w:tblCellMar>
    </w:tblPr>
  </w:style>
  <w:style w:type="table" w:styleId="1035" w:customStyle="1">
    <w:name w:val="List Table 5 Dark - Accent 5"/>
    <w:uiPriority w:val="99"/>
    <w:qFormat/>
    <w:tblPr>
      <w:tblCellMar>
        <w:left w:w="0" w:type="dxa"/>
        <w:top w:w="0" w:type="dxa"/>
        <w:right w:w="0" w:type="dxa"/>
        <w:bottom w:w="0" w:type="dxa"/>
      </w:tblCellMar>
    </w:tblPr>
  </w:style>
  <w:style w:type="table" w:styleId="1036" w:customStyle="1">
    <w:name w:val="List Table 5 Dark - Accent 6"/>
    <w:uiPriority w:val="99"/>
    <w:qFormat/>
    <w:tblPr>
      <w:tblCellMar>
        <w:left w:w="0" w:type="dxa"/>
        <w:top w:w="0" w:type="dxa"/>
        <w:right w:w="0" w:type="dxa"/>
        <w:bottom w:w="0" w:type="dxa"/>
      </w:tblCellMar>
    </w:tblPr>
  </w:style>
  <w:style w:type="table" w:styleId="1037" w:customStyle="1">
    <w:name w:val="List Table 6 Colorful - Accent 1"/>
    <w:uiPriority w:val="99"/>
    <w:qFormat/>
    <w:tblPr>
      <w:tblCellMar>
        <w:left w:w="0" w:type="dxa"/>
        <w:top w:w="0" w:type="dxa"/>
        <w:right w:w="0" w:type="dxa"/>
        <w:bottom w:w="0" w:type="dxa"/>
      </w:tblCellMar>
    </w:tblPr>
  </w:style>
  <w:style w:type="table" w:styleId="1038" w:customStyle="1">
    <w:name w:val="List Table 6 Colorful - Accent 2"/>
    <w:uiPriority w:val="99"/>
    <w:qFormat/>
    <w:tblPr>
      <w:tblCellMar>
        <w:left w:w="0" w:type="dxa"/>
        <w:top w:w="0" w:type="dxa"/>
        <w:right w:w="0" w:type="dxa"/>
        <w:bottom w:w="0" w:type="dxa"/>
      </w:tblCellMar>
    </w:tblPr>
  </w:style>
  <w:style w:type="table" w:styleId="1039" w:customStyle="1">
    <w:name w:val="List Table 6 Colorful - Accent 3"/>
    <w:uiPriority w:val="99"/>
    <w:qFormat/>
    <w:tblPr>
      <w:tblCellMar>
        <w:left w:w="0" w:type="dxa"/>
        <w:top w:w="0" w:type="dxa"/>
        <w:right w:w="0" w:type="dxa"/>
        <w:bottom w:w="0" w:type="dxa"/>
      </w:tblCellMar>
    </w:tblPr>
  </w:style>
  <w:style w:type="table" w:styleId="1040" w:customStyle="1">
    <w:name w:val="List Table 6 Colorful - Accent 4"/>
    <w:uiPriority w:val="99"/>
    <w:qFormat/>
    <w:tblPr>
      <w:tblCellMar>
        <w:left w:w="0" w:type="dxa"/>
        <w:top w:w="0" w:type="dxa"/>
        <w:right w:w="0" w:type="dxa"/>
        <w:bottom w:w="0" w:type="dxa"/>
      </w:tblCellMar>
    </w:tblPr>
  </w:style>
  <w:style w:type="table" w:styleId="1041" w:customStyle="1">
    <w:name w:val="List Table 6 Colorful - Accent 5"/>
    <w:uiPriority w:val="99"/>
    <w:qFormat/>
    <w:tblPr>
      <w:tblCellMar>
        <w:left w:w="0" w:type="dxa"/>
        <w:top w:w="0" w:type="dxa"/>
        <w:right w:w="0" w:type="dxa"/>
        <w:bottom w:w="0" w:type="dxa"/>
      </w:tblCellMar>
    </w:tblPr>
  </w:style>
  <w:style w:type="table" w:styleId="1042" w:customStyle="1">
    <w:name w:val="List Table 6 Colorful - Accent 6"/>
    <w:uiPriority w:val="99"/>
    <w:qFormat/>
    <w:tblPr>
      <w:tblCellMar>
        <w:left w:w="0" w:type="dxa"/>
        <w:top w:w="0" w:type="dxa"/>
        <w:right w:w="0" w:type="dxa"/>
        <w:bottom w:w="0" w:type="dxa"/>
      </w:tblCellMar>
    </w:tblPr>
  </w:style>
  <w:style w:type="table" w:styleId="1043" w:customStyle="1">
    <w:name w:val="List Table 7 Colorful - Accent 1"/>
    <w:uiPriority w:val="99"/>
    <w:qFormat/>
    <w:tblPr>
      <w:tblCellMar>
        <w:left w:w="0" w:type="dxa"/>
        <w:top w:w="0" w:type="dxa"/>
        <w:right w:w="0" w:type="dxa"/>
        <w:bottom w:w="0" w:type="dxa"/>
      </w:tblCellMar>
    </w:tblPr>
  </w:style>
  <w:style w:type="table" w:styleId="1044" w:customStyle="1">
    <w:name w:val="List Table 7 Colorful - Accent 2"/>
    <w:uiPriority w:val="99"/>
    <w:qFormat/>
    <w:tblPr>
      <w:tblCellMar>
        <w:left w:w="0" w:type="dxa"/>
        <w:top w:w="0" w:type="dxa"/>
        <w:right w:w="0" w:type="dxa"/>
        <w:bottom w:w="0" w:type="dxa"/>
      </w:tblCellMar>
    </w:tblPr>
  </w:style>
  <w:style w:type="table" w:styleId="1045" w:customStyle="1">
    <w:name w:val="List Table 7 Colorful - Accent 3"/>
    <w:uiPriority w:val="99"/>
    <w:qFormat/>
    <w:tblPr>
      <w:tblCellMar>
        <w:left w:w="0" w:type="dxa"/>
        <w:top w:w="0" w:type="dxa"/>
        <w:right w:w="0" w:type="dxa"/>
        <w:bottom w:w="0" w:type="dxa"/>
      </w:tblCellMar>
    </w:tblPr>
  </w:style>
  <w:style w:type="table" w:styleId="1046" w:customStyle="1">
    <w:name w:val="List Table 7 Colorful - Accent 4"/>
    <w:uiPriority w:val="99"/>
    <w:qFormat/>
    <w:tblPr>
      <w:tblCellMar>
        <w:left w:w="0" w:type="dxa"/>
        <w:top w:w="0" w:type="dxa"/>
        <w:right w:w="0" w:type="dxa"/>
        <w:bottom w:w="0" w:type="dxa"/>
      </w:tblCellMar>
    </w:tblPr>
  </w:style>
  <w:style w:type="table" w:styleId="1047" w:customStyle="1">
    <w:name w:val="List Table 7 Colorful - Accent 5"/>
    <w:uiPriority w:val="99"/>
    <w:qFormat/>
    <w:tblPr>
      <w:tblCellMar>
        <w:left w:w="0" w:type="dxa"/>
        <w:top w:w="0" w:type="dxa"/>
        <w:right w:w="0" w:type="dxa"/>
        <w:bottom w:w="0" w:type="dxa"/>
      </w:tblCellMar>
    </w:tblPr>
  </w:style>
  <w:style w:type="table" w:styleId="1048" w:customStyle="1">
    <w:name w:val="List Table 7 Colorful - Accent 6"/>
    <w:uiPriority w:val="99"/>
    <w:qFormat/>
    <w:tblPr>
      <w:tblCellMar>
        <w:left w:w="0" w:type="dxa"/>
        <w:top w:w="0" w:type="dxa"/>
        <w:right w:w="0" w:type="dxa"/>
        <w:bottom w:w="0" w:type="dxa"/>
      </w:tblCellMar>
    </w:tblPr>
  </w:style>
  <w:style w:type="table" w:styleId="1049" w:customStyle="1">
    <w:name w:val="Lined - Accent"/>
    <w:uiPriority w:val="99"/>
    <w:qFormat/>
    <w:rPr>
      <w:color w:val="404040"/>
    </w:rPr>
    <w:tblPr>
      <w:tblCellMar>
        <w:left w:w="0" w:type="dxa"/>
        <w:top w:w="0" w:type="dxa"/>
        <w:right w:w="0" w:type="dxa"/>
        <w:bottom w:w="0" w:type="dxa"/>
      </w:tblCellMar>
    </w:tblPr>
  </w:style>
  <w:style w:type="table" w:styleId="1050" w:customStyle="1">
    <w:name w:val="Lined - Accent 1"/>
    <w:uiPriority w:val="99"/>
    <w:qFormat/>
    <w:rPr>
      <w:color w:val="404040"/>
    </w:rPr>
    <w:tblPr>
      <w:tblCellMar>
        <w:left w:w="0" w:type="dxa"/>
        <w:top w:w="0" w:type="dxa"/>
        <w:right w:w="0" w:type="dxa"/>
        <w:bottom w:w="0" w:type="dxa"/>
      </w:tblCellMar>
    </w:tblPr>
  </w:style>
  <w:style w:type="table" w:styleId="1051" w:customStyle="1">
    <w:name w:val="Lined - Accent 2"/>
    <w:uiPriority w:val="99"/>
    <w:qFormat/>
    <w:rPr>
      <w:color w:val="404040"/>
    </w:rPr>
    <w:tblPr>
      <w:tblCellMar>
        <w:left w:w="0" w:type="dxa"/>
        <w:top w:w="0" w:type="dxa"/>
        <w:right w:w="0" w:type="dxa"/>
        <w:bottom w:w="0" w:type="dxa"/>
      </w:tblCellMar>
    </w:tblPr>
  </w:style>
  <w:style w:type="table" w:styleId="1052" w:customStyle="1">
    <w:name w:val="Lined - Accent 3"/>
    <w:uiPriority w:val="99"/>
    <w:qFormat/>
    <w:rPr>
      <w:color w:val="404040"/>
    </w:rPr>
    <w:tblPr>
      <w:tblCellMar>
        <w:left w:w="0" w:type="dxa"/>
        <w:top w:w="0" w:type="dxa"/>
        <w:right w:w="0" w:type="dxa"/>
        <w:bottom w:w="0" w:type="dxa"/>
      </w:tblCellMar>
    </w:tblPr>
  </w:style>
  <w:style w:type="table" w:styleId="1053" w:customStyle="1">
    <w:name w:val="Lined - Accent 4"/>
    <w:uiPriority w:val="99"/>
    <w:qFormat/>
    <w:rPr>
      <w:color w:val="404040"/>
    </w:rPr>
    <w:tblPr>
      <w:tblCellMar>
        <w:left w:w="0" w:type="dxa"/>
        <w:top w:w="0" w:type="dxa"/>
        <w:right w:w="0" w:type="dxa"/>
        <w:bottom w:w="0" w:type="dxa"/>
      </w:tblCellMar>
    </w:tblPr>
  </w:style>
  <w:style w:type="table" w:styleId="1054" w:customStyle="1">
    <w:name w:val="Lined - Accent 5"/>
    <w:uiPriority w:val="99"/>
    <w:qFormat/>
    <w:rPr>
      <w:color w:val="404040"/>
    </w:rPr>
    <w:tblPr>
      <w:tblCellMar>
        <w:left w:w="0" w:type="dxa"/>
        <w:top w:w="0" w:type="dxa"/>
        <w:right w:w="0" w:type="dxa"/>
        <w:bottom w:w="0" w:type="dxa"/>
      </w:tblCellMar>
    </w:tblPr>
  </w:style>
  <w:style w:type="table" w:styleId="1055" w:customStyle="1">
    <w:name w:val="Lined - Accent 6"/>
    <w:uiPriority w:val="99"/>
    <w:qFormat/>
    <w:rPr>
      <w:color w:val="404040"/>
    </w:rPr>
    <w:tblPr>
      <w:tblCellMar>
        <w:left w:w="0" w:type="dxa"/>
        <w:top w:w="0" w:type="dxa"/>
        <w:right w:w="0" w:type="dxa"/>
        <w:bottom w:w="0" w:type="dxa"/>
      </w:tblCellMar>
    </w:tblPr>
  </w:style>
  <w:style w:type="table" w:styleId="1056" w:customStyle="1">
    <w:name w:val="Bordered &amp; Lined - Accent"/>
    <w:uiPriority w:val="99"/>
    <w:qFormat/>
    <w:rPr>
      <w:color w:val="404040"/>
    </w:rPr>
    <w:tblPr>
      <w:tblCellMar>
        <w:left w:w="0" w:type="dxa"/>
        <w:top w:w="0" w:type="dxa"/>
        <w:right w:w="0" w:type="dxa"/>
        <w:bottom w:w="0" w:type="dxa"/>
      </w:tblCellMar>
    </w:tblPr>
  </w:style>
  <w:style w:type="table" w:styleId="1057" w:customStyle="1">
    <w:name w:val="Bordered &amp; Lined - Accent 1"/>
    <w:uiPriority w:val="99"/>
    <w:qFormat/>
    <w:rPr>
      <w:color w:val="404040"/>
    </w:rPr>
    <w:tblPr>
      <w:tblCellMar>
        <w:left w:w="0" w:type="dxa"/>
        <w:top w:w="0" w:type="dxa"/>
        <w:right w:w="0" w:type="dxa"/>
        <w:bottom w:w="0" w:type="dxa"/>
      </w:tblCellMar>
    </w:tblPr>
  </w:style>
  <w:style w:type="table" w:styleId="1058" w:customStyle="1">
    <w:name w:val="Bordered &amp; Lined - Accent 2"/>
    <w:uiPriority w:val="99"/>
    <w:qFormat/>
    <w:rPr>
      <w:color w:val="404040"/>
    </w:rPr>
    <w:tblPr>
      <w:tblCellMar>
        <w:left w:w="0" w:type="dxa"/>
        <w:top w:w="0" w:type="dxa"/>
        <w:right w:w="0" w:type="dxa"/>
        <w:bottom w:w="0" w:type="dxa"/>
      </w:tblCellMar>
    </w:tblPr>
  </w:style>
  <w:style w:type="table" w:styleId="1059" w:customStyle="1">
    <w:name w:val="Bordered &amp; Lined - Accent 3"/>
    <w:uiPriority w:val="99"/>
    <w:qFormat/>
    <w:rPr>
      <w:color w:val="404040"/>
    </w:rPr>
    <w:tblPr>
      <w:tblCellMar>
        <w:left w:w="0" w:type="dxa"/>
        <w:top w:w="0" w:type="dxa"/>
        <w:right w:w="0" w:type="dxa"/>
        <w:bottom w:w="0" w:type="dxa"/>
      </w:tblCellMar>
    </w:tblPr>
  </w:style>
  <w:style w:type="table" w:styleId="1060" w:customStyle="1">
    <w:name w:val="Bordered &amp; Lined - Accent 4"/>
    <w:uiPriority w:val="99"/>
    <w:qFormat/>
    <w:rPr>
      <w:color w:val="404040"/>
    </w:rPr>
    <w:tblPr>
      <w:tblCellMar>
        <w:left w:w="0" w:type="dxa"/>
        <w:top w:w="0" w:type="dxa"/>
        <w:right w:w="0" w:type="dxa"/>
        <w:bottom w:w="0" w:type="dxa"/>
      </w:tblCellMar>
    </w:tblPr>
  </w:style>
  <w:style w:type="table" w:styleId="1061" w:customStyle="1">
    <w:name w:val="Bordered &amp; Lined - Accent 5"/>
    <w:uiPriority w:val="99"/>
    <w:qFormat/>
    <w:rPr>
      <w:color w:val="404040"/>
    </w:rPr>
    <w:tblPr>
      <w:tblCellMar>
        <w:left w:w="0" w:type="dxa"/>
        <w:top w:w="0" w:type="dxa"/>
        <w:right w:w="0" w:type="dxa"/>
        <w:bottom w:w="0" w:type="dxa"/>
      </w:tblCellMar>
    </w:tblPr>
  </w:style>
  <w:style w:type="table" w:styleId="1062" w:customStyle="1">
    <w:name w:val="Bordered &amp; Lined - Accent 6"/>
    <w:uiPriority w:val="99"/>
    <w:qFormat/>
    <w:rPr>
      <w:color w:val="404040"/>
    </w:rPr>
    <w:tblPr>
      <w:tblCellMar>
        <w:left w:w="0" w:type="dxa"/>
        <w:top w:w="0" w:type="dxa"/>
        <w:right w:w="0" w:type="dxa"/>
        <w:bottom w:w="0" w:type="dxa"/>
      </w:tblCellMar>
    </w:tblPr>
  </w:style>
  <w:style w:type="table" w:styleId="1063" w:customStyle="1">
    <w:name w:val="Bordered"/>
    <w:uiPriority w:val="99"/>
    <w:qFormat/>
    <w:tblPr>
      <w:tblCellMar>
        <w:left w:w="0" w:type="dxa"/>
        <w:top w:w="0" w:type="dxa"/>
        <w:right w:w="0" w:type="dxa"/>
        <w:bottom w:w="0" w:type="dxa"/>
      </w:tblCellMar>
    </w:tblPr>
  </w:style>
  <w:style w:type="table" w:styleId="1064" w:customStyle="1">
    <w:name w:val="Bordered - Accent 1"/>
    <w:uiPriority w:val="99"/>
    <w:qFormat/>
    <w:tblPr>
      <w:tblCellMar>
        <w:left w:w="0" w:type="dxa"/>
        <w:top w:w="0" w:type="dxa"/>
        <w:right w:w="0" w:type="dxa"/>
        <w:bottom w:w="0" w:type="dxa"/>
      </w:tblCellMar>
    </w:tblPr>
  </w:style>
  <w:style w:type="table" w:styleId="1065" w:customStyle="1">
    <w:name w:val="Bordered - Accent 2"/>
    <w:uiPriority w:val="99"/>
    <w:qFormat/>
    <w:tblPr>
      <w:tblCellMar>
        <w:left w:w="0" w:type="dxa"/>
        <w:top w:w="0" w:type="dxa"/>
        <w:right w:w="0" w:type="dxa"/>
        <w:bottom w:w="0" w:type="dxa"/>
      </w:tblCellMar>
    </w:tblPr>
  </w:style>
  <w:style w:type="table" w:styleId="1066" w:customStyle="1">
    <w:name w:val="Bordered - Accent 3"/>
    <w:uiPriority w:val="99"/>
    <w:qFormat/>
    <w:tblPr>
      <w:tblCellMar>
        <w:left w:w="0" w:type="dxa"/>
        <w:top w:w="0" w:type="dxa"/>
        <w:right w:w="0" w:type="dxa"/>
        <w:bottom w:w="0" w:type="dxa"/>
      </w:tblCellMar>
    </w:tblPr>
  </w:style>
  <w:style w:type="table" w:styleId="1067" w:customStyle="1">
    <w:name w:val="Bordered - Accent 4"/>
    <w:uiPriority w:val="99"/>
    <w:qFormat/>
    <w:tblPr>
      <w:tblCellMar>
        <w:left w:w="0" w:type="dxa"/>
        <w:top w:w="0" w:type="dxa"/>
        <w:right w:w="0" w:type="dxa"/>
        <w:bottom w:w="0" w:type="dxa"/>
      </w:tblCellMar>
    </w:tblPr>
  </w:style>
  <w:style w:type="table" w:styleId="1068" w:customStyle="1">
    <w:name w:val="Bordered - Accent 5"/>
    <w:uiPriority w:val="99"/>
    <w:qFormat/>
    <w:tblPr>
      <w:tblCellMar>
        <w:left w:w="0" w:type="dxa"/>
        <w:top w:w="0" w:type="dxa"/>
        <w:right w:w="0" w:type="dxa"/>
        <w:bottom w:w="0" w:type="dxa"/>
      </w:tblCellMar>
    </w:tblPr>
  </w:style>
  <w:style w:type="table" w:styleId="1069" w:customStyle="1">
    <w:name w:val="Bordered - Accent 6"/>
    <w:uiPriority w:val="99"/>
    <w:qFormat/>
    <w:tblPr>
      <w:tblCellMar>
        <w:left w:w="0" w:type="dxa"/>
        <w:top w:w="0" w:type="dxa"/>
        <w:right w:w="0" w:type="dxa"/>
        <w:bottom w:w="0" w:type="dxa"/>
      </w:tblCellMar>
    </w:tblPr>
  </w:style>
  <w:style w:type="paragraph" w:styleId="1070" w:customStyle="1">
    <w:name w:val="标题 32"/>
    <w:basedOn w:val="827"/>
    <w:next w:val="1071"/>
    <w:link w:val="1072"/>
    <w:qFormat/>
    <w:pPr>
      <w:keepLines/>
      <w:keepNext/>
      <w:spacing w:before="260" w:after="260" w:line="416" w:lineRule="auto"/>
      <w:outlineLvl w:val="2"/>
    </w:pPr>
    <w:rPr>
      <w:b/>
      <w:bCs/>
      <w:sz w:val="32"/>
      <w:szCs w:val="32"/>
    </w:rPr>
  </w:style>
  <w:style w:type="paragraph" w:styleId="1071" w:customStyle="1">
    <w:name w:val="正文缩进2"/>
    <w:basedOn w:val="827"/>
    <w:link w:val="1073"/>
    <w:qFormat/>
    <w:pPr>
      <w:ind w:firstLine="420"/>
    </w:pPr>
    <w:rPr>
      <w:szCs w:val="21"/>
    </w:rPr>
  </w:style>
  <w:style w:type="character" w:styleId="1072" w:customStyle="1">
    <w:name w:val="标题 3 Char"/>
    <w:link w:val="1070"/>
    <w:qFormat/>
    <w:rPr>
      <w:rFonts w:ascii="Times New Roman" w:hAnsi="Times New Roman"/>
      <w:b/>
      <w:bCs/>
      <w:sz w:val="32"/>
      <w:szCs w:val="32"/>
    </w:rPr>
  </w:style>
  <w:style w:type="character" w:styleId="1073" w:customStyle="1">
    <w:name w:val="正文缩进 Char"/>
    <w:link w:val="1071"/>
    <w:qFormat/>
    <w:rPr>
      <w:rFonts w:ascii="Times New Roman" w:hAnsi="Times New Roman"/>
      <w:sz w:val="21"/>
      <w:szCs w:val="21"/>
    </w:rPr>
  </w:style>
  <w:style w:type="paragraph" w:styleId="1074" w:customStyle="1">
    <w:name w:val="标题 41"/>
    <w:basedOn w:val="827"/>
    <w:next w:val="1071"/>
    <w:link w:val="1075"/>
    <w:qFormat/>
    <w:pPr>
      <w:keepLines/>
      <w:keepNext/>
      <w:spacing w:before="280" w:after="290" w:line="376" w:lineRule="auto"/>
      <w:outlineLvl w:val="3"/>
    </w:pPr>
    <w:rPr>
      <w:rFonts w:ascii="Arial" w:hAnsi="Arial" w:eastAsia="黑体" w:cs="Arial"/>
      <w:b/>
      <w:bCs/>
      <w:sz w:val="28"/>
      <w:szCs w:val="28"/>
    </w:rPr>
  </w:style>
  <w:style w:type="character" w:styleId="1075" w:customStyle="1">
    <w:name w:val="标题 4 Char"/>
    <w:link w:val="1074"/>
    <w:qFormat/>
    <w:rPr>
      <w:rFonts w:ascii="Arial" w:hAnsi="Arial" w:eastAsia="黑体" w:cs="Arial"/>
      <w:b/>
      <w:bCs/>
      <w:sz w:val="28"/>
      <w:szCs w:val="28"/>
    </w:rPr>
  </w:style>
  <w:style w:type="character" w:styleId="1076" w:customStyle="1">
    <w:name w:val="默认段落字体1"/>
    <w:uiPriority w:val="1"/>
    <w:unhideWhenUsed/>
    <w:qFormat/>
  </w:style>
  <w:style w:type="table" w:styleId="1077" w:customStyle="1">
    <w:name w:val="普通表格1"/>
    <w:uiPriority w:val="99"/>
    <w:unhideWhenUsed/>
    <w:qFormat/>
    <w:tblPr>
      <w:tblCellMar>
        <w:left w:w="0" w:type="dxa"/>
        <w:top w:w="0" w:type="dxa"/>
        <w:right w:w="0" w:type="dxa"/>
        <w:bottom w:w="0" w:type="dxa"/>
      </w:tblCellMar>
    </w:tblPr>
  </w:style>
  <w:style w:type="paragraph" w:styleId="1078" w:customStyle="1">
    <w:name w:val="批注文字1"/>
    <w:basedOn w:val="827"/>
    <w:link w:val="1079"/>
    <w:uiPriority w:val="99"/>
    <w:unhideWhenUsed/>
    <w:qFormat/>
    <w:pPr>
      <w:jc w:val="left"/>
    </w:pPr>
  </w:style>
  <w:style w:type="character" w:styleId="1079" w:customStyle="1">
    <w:name w:val="批注文字 Char"/>
    <w:link w:val="1078"/>
    <w:uiPriority w:val="99"/>
    <w:semiHidden/>
    <w:qFormat/>
  </w:style>
  <w:style w:type="paragraph" w:styleId="1080" w:customStyle="1">
    <w:name w:val="批注框文本1"/>
    <w:basedOn w:val="827"/>
    <w:link w:val="1081"/>
    <w:unhideWhenUsed/>
    <w:qFormat/>
    <w:rPr>
      <w:sz w:val="18"/>
      <w:szCs w:val="18"/>
    </w:rPr>
  </w:style>
  <w:style w:type="character" w:styleId="1081" w:customStyle="1">
    <w:name w:val="批注框文本 Char"/>
    <w:link w:val="1080"/>
    <w:semiHidden/>
    <w:qFormat/>
    <w:rPr>
      <w:sz w:val="18"/>
      <w:szCs w:val="18"/>
    </w:rPr>
  </w:style>
  <w:style w:type="paragraph" w:styleId="1082" w:customStyle="1">
    <w:name w:val="页脚1"/>
    <w:basedOn w:val="827"/>
    <w:uiPriority w:val="99"/>
    <w:unhideWhenUsed/>
    <w:qFormat/>
    <w:pPr>
      <w:jc w:val="left"/>
      <w:tabs>
        <w:tab w:val="center" w:pos="4153" w:leader="none"/>
        <w:tab w:val="right" w:pos="8306" w:leader="none"/>
      </w:tabs>
    </w:pPr>
    <w:rPr>
      <w:sz w:val="18"/>
    </w:rPr>
  </w:style>
  <w:style w:type="paragraph" w:styleId="1083" w:customStyle="1">
    <w:name w:val="页眉1"/>
    <w:basedOn w:val="827"/>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84" w:customStyle="1">
    <w:name w:val="批注主题1"/>
    <w:basedOn w:val="1078"/>
    <w:next w:val="1078"/>
    <w:link w:val="1085"/>
    <w:unhideWhenUsed/>
    <w:qFormat/>
    <w:rPr>
      <w:b/>
      <w:bCs/>
    </w:rPr>
  </w:style>
  <w:style w:type="character" w:styleId="1085" w:customStyle="1">
    <w:name w:val="批注主题 Char"/>
    <w:link w:val="1084"/>
    <w:semiHidden/>
    <w:qFormat/>
    <w:rPr>
      <w:b/>
      <w:bCs/>
    </w:rPr>
  </w:style>
  <w:style w:type="character" w:styleId="1086" w:customStyle="1">
    <w:name w:val="批注引用1"/>
    <w:unhideWhenUsed/>
    <w:qFormat/>
    <w:rPr>
      <w:sz w:val="21"/>
      <w:szCs w:val="21"/>
    </w:rPr>
  </w:style>
  <w:style w:type="paragraph" w:styleId="1087" w:customStyle="1">
    <w:name w:val="标题 31"/>
    <w:basedOn w:val="827"/>
    <w:next w:val="1088"/>
    <w:qFormat/>
    <w:pPr>
      <w:keepLines/>
      <w:keepNext/>
      <w:spacing w:before="260" w:after="260" w:line="416" w:lineRule="auto"/>
      <w:outlineLvl w:val="2"/>
    </w:pPr>
    <w:rPr>
      <w:b/>
      <w:bCs/>
      <w:sz w:val="32"/>
      <w:szCs w:val="32"/>
    </w:rPr>
  </w:style>
  <w:style w:type="paragraph" w:styleId="1088" w:customStyle="1">
    <w:name w:val="正文缩进1"/>
    <w:basedOn w:val="827"/>
    <w:qFormat/>
    <w:pPr>
      <w:ind w:firstLine="420"/>
    </w:pPr>
  </w:style>
  <w:style w:type="paragraph" w:styleId="1089" w:customStyle="1">
    <w:name w:val="无间隔1"/>
    <w:uiPriority w:val="1"/>
    <w:qFormat/>
    <w:pPr>
      <w:jc w:val="both"/>
      <w:widowControl w:val="off"/>
    </w:pPr>
    <w:rPr>
      <w:sz w:val="21"/>
      <w:szCs w:val="21"/>
    </w:rPr>
  </w:style>
  <w:style w:type="paragraph" w:styleId="1090" w:customStyle="1">
    <w:name w:val="普通正文"/>
    <w:basedOn w:val="827"/>
    <w:qFormat/>
    <w:pPr>
      <w:ind w:firstLine="640"/>
      <w:jc w:val="left"/>
      <w:spacing w:before="120" w:after="120" w:line="560" w:lineRule="exact"/>
    </w:pPr>
    <w:rPr>
      <w:rFonts w:ascii="宋体" w:hAnsi="宋体" w:cs="方正仿宋_GBK"/>
      <w:bCs/>
      <w:sz w:val="32"/>
      <w:szCs w:val="32"/>
    </w:rPr>
  </w:style>
  <w:style w:type="table" w:styleId="1091" w:customStyle="1">
    <w:name w:val="网格型1"/>
    <w:uiPriority w:val="59"/>
    <w:qFormat/>
    <w:tblPr>
      <w:tblCellMar>
        <w:left w:w="0" w:type="dxa"/>
        <w:top w:w="0" w:type="dxa"/>
        <w:right w:w="0" w:type="dxa"/>
        <w:bottom w:w="0" w:type="dxa"/>
      </w:tblCellMar>
    </w:tblPr>
  </w:style>
  <w:style w:type="paragraph" w:styleId="1092" w:customStyle="1">
    <w:name w:val="索引 41"/>
    <w:basedOn w:val="827"/>
    <w:next w:val="827"/>
    <w:uiPriority w:val="99"/>
    <w:unhideWhenUsed/>
    <w:qFormat/>
    <w:pPr>
      <w:ind w:left="600"/>
    </w:pPr>
    <w:rPr>
      <w:rFonts w:ascii="宋体"/>
      <w:b/>
      <w:position w:val="-10"/>
      <w:sz w:val="24"/>
      <w:szCs w:val="20"/>
    </w:rPr>
  </w:style>
  <w:style w:type="paragraph" w:styleId="1093" w:customStyle="1">
    <w:name w:val="TOC 标题111"/>
    <w:uiPriority w:val="39"/>
    <w:unhideWhenUsed/>
    <w:qFormat/>
  </w:style>
  <w:style w:type="paragraph" w:styleId="1094" w:customStyle="1">
    <w:name w:val="标题 111"/>
    <w:basedOn w:val="827"/>
    <w:next w:val="827"/>
    <w:link w:val="1095"/>
    <w:qFormat/>
    <w:pPr>
      <w:jc w:val="center"/>
      <w:keepNext/>
      <w:outlineLvl w:val="0"/>
    </w:pPr>
    <w:rPr>
      <w:rFonts w:ascii="楷体_GB2312" w:eastAsia="楷体_GB2312"/>
      <w:sz w:val="28"/>
      <w:szCs w:val="28"/>
      <w:lang w:eastAsia="en-US"/>
    </w:rPr>
  </w:style>
  <w:style w:type="character" w:styleId="1095" w:customStyle="1">
    <w:name w:val="标题 1 Char"/>
    <w:link w:val="1094"/>
    <w:qFormat/>
    <w:rPr>
      <w:rFonts w:ascii="楷体_GB2312" w:hAnsi="Times New Roman" w:eastAsia="楷体_GB2312"/>
      <w:sz w:val="28"/>
      <w:szCs w:val="28"/>
      <w:lang w:eastAsia="en-US"/>
    </w:rPr>
  </w:style>
  <w:style w:type="paragraph" w:styleId="1096" w:customStyle="1">
    <w:name w:val="标题 211"/>
    <w:basedOn w:val="827"/>
    <w:next w:val="1097"/>
    <w:link w:val="1098"/>
    <w:qFormat/>
    <w:pPr>
      <w:jc w:val="center"/>
      <w:keepLines/>
      <w:keepNext/>
      <w:spacing w:before="260" w:after="260" w:line="416" w:lineRule="auto"/>
      <w:outlineLvl w:val="1"/>
    </w:pPr>
    <w:rPr>
      <w:rFonts w:ascii="Arial" w:hAnsi="Arial" w:eastAsia="幼圆"/>
      <w:b/>
      <w:bCs/>
      <w:sz w:val="44"/>
      <w:szCs w:val="44"/>
      <w:lang w:eastAsia="en-US"/>
    </w:rPr>
  </w:style>
  <w:style w:type="paragraph" w:styleId="1097" w:customStyle="1">
    <w:name w:val="正文缩进11"/>
    <w:basedOn w:val="827"/>
    <w:qFormat/>
    <w:pPr>
      <w:ind w:firstLine="420"/>
    </w:pPr>
    <w:rPr>
      <w:sz w:val="20"/>
      <w:szCs w:val="21"/>
      <w:lang w:eastAsia="en-US"/>
    </w:rPr>
  </w:style>
  <w:style w:type="character" w:styleId="1098" w:customStyle="1">
    <w:name w:val="标题 2 Char"/>
    <w:link w:val="1096"/>
    <w:qFormat/>
    <w:rPr>
      <w:rFonts w:ascii="Arial" w:hAnsi="Arial" w:eastAsia="幼圆"/>
      <w:b/>
      <w:bCs/>
      <w:sz w:val="44"/>
      <w:szCs w:val="44"/>
      <w:lang w:eastAsia="en-US"/>
    </w:rPr>
  </w:style>
  <w:style w:type="paragraph" w:styleId="1099" w:customStyle="1">
    <w:name w:val="标题 311"/>
    <w:basedOn w:val="827"/>
    <w:next w:val="1097"/>
    <w:qFormat/>
    <w:pPr>
      <w:keepLines/>
      <w:keepNext/>
      <w:spacing w:before="260" w:after="260" w:line="416" w:lineRule="auto"/>
      <w:outlineLvl w:val="2"/>
    </w:pPr>
    <w:rPr>
      <w:b/>
      <w:bCs/>
      <w:sz w:val="32"/>
      <w:szCs w:val="32"/>
      <w:lang w:eastAsia="en-US"/>
    </w:rPr>
  </w:style>
  <w:style w:type="paragraph" w:styleId="1100" w:customStyle="1">
    <w:name w:val="标题 411"/>
    <w:basedOn w:val="827"/>
    <w:next w:val="1097"/>
    <w:qFormat/>
    <w:pPr>
      <w:keepLines/>
      <w:keepNext/>
      <w:spacing w:before="280" w:after="290" w:line="376" w:lineRule="auto"/>
      <w:outlineLvl w:val="3"/>
    </w:pPr>
    <w:rPr>
      <w:rFonts w:ascii="Arial" w:hAnsi="Arial" w:eastAsia="黑体"/>
      <w:b/>
      <w:bCs/>
      <w:sz w:val="28"/>
      <w:szCs w:val="28"/>
      <w:lang w:eastAsia="en-US"/>
    </w:rPr>
  </w:style>
  <w:style w:type="paragraph" w:styleId="1101" w:customStyle="1">
    <w:name w:val="标题 511"/>
    <w:basedOn w:val="827"/>
    <w:next w:val="1097"/>
    <w:link w:val="1102"/>
    <w:qFormat/>
    <w:pPr>
      <w:keepNext/>
      <w:outlineLvl w:val="4"/>
    </w:pPr>
    <w:rPr>
      <w:rFonts w:ascii="宋体"/>
      <w:color w:val="000000"/>
      <w:sz w:val="28"/>
      <w:szCs w:val="28"/>
      <w:lang w:eastAsia="en-US"/>
    </w:rPr>
  </w:style>
  <w:style w:type="character" w:styleId="1102" w:customStyle="1">
    <w:name w:val="标题 5 Char"/>
    <w:link w:val="1101"/>
    <w:qFormat/>
    <w:rPr>
      <w:rFonts w:ascii="宋体" w:hAnsi="Times New Roman"/>
      <w:color w:val="000000"/>
      <w:sz w:val="28"/>
      <w:szCs w:val="28"/>
      <w:lang w:eastAsia="en-US"/>
    </w:rPr>
  </w:style>
  <w:style w:type="paragraph" w:styleId="1103" w:customStyle="1">
    <w:name w:val="标题 611"/>
    <w:basedOn w:val="827"/>
    <w:next w:val="827"/>
    <w:link w:val="1104"/>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104" w:customStyle="1">
    <w:name w:val="标题 6 Char"/>
    <w:link w:val="1103"/>
    <w:qFormat/>
    <w:rPr>
      <w:rFonts w:ascii="Arial" w:hAnsi="Arial" w:eastAsia="黑体"/>
      <w:b/>
      <w:bCs/>
      <w:sz w:val="24"/>
      <w:szCs w:val="24"/>
      <w:lang w:eastAsia="en-US"/>
    </w:rPr>
  </w:style>
  <w:style w:type="paragraph" w:styleId="1105" w:customStyle="1">
    <w:name w:val="标题 711"/>
    <w:basedOn w:val="827"/>
    <w:next w:val="827"/>
    <w:link w:val="1106"/>
    <w:qFormat/>
    <w:pPr>
      <w:numPr>
        <w:ilvl w:val="6"/>
        <w:numId w:val="1"/>
      </w:numPr>
      <w:keepLines/>
      <w:keepNext/>
      <w:spacing w:before="240" w:after="64" w:line="320" w:lineRule="auto"/>
      <w:outlineLvl w:val="6"/>
    </w:pPr>
    <w:rPr>
      <w:b/>
      <w:bCs/>
      <w:sz w:val="24"/>
      <w:szCs w:val="24"/>
      <w:lang w:eastAsia="en-US"/>
    </w:rPr>
  </w:style>
  <w:style w:type="character" w:styleId="1106" w:customStyle="1">
    <w:name w:val="标题 7 Char"/>
    <w:link w:val="1105"/>
    <w:qFormat/>
    <w:rPr>
      <w:rFonts w:ascii="Times New Roman" w:hAnsi="Times New Roman"/>
      <w:b/>
      <w:bCs/>
      <w:sz w:val="24"/>
      <w:szCs w:val="24"/>
      <w:lang w:eastAsia="en-US"/>
    </w:rPr>
  </w:style>
  <w:style w:type="paragraph" w:styleId="1107" w:customStyle="1">
    <w:name w:val="标题 811"/>
    <w:basedOn w:val="827"/>
    <w:next w:val="827"/>
    <w:link w:val="1108"/>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108" w:customStyle="1">
    <w:name w:val="标题 8 Char"/>
    <w:link w:val="1107"/>
    <w:qFormat/>
    <w:rPr>
      <w:rFonts w:ascii="Arial" w:hAnsi="Arial" w:eastAsia="黑体"/>
      <w:sz w:val="24"/>
      <w:szCs w:val="24"/>
      <w:lang w:eastAsia="en-US"/>
    </w:rPr>
  </w:style>
  <w:style w:type="paragraph" w:styleId="1109" w:customStyle="1">
    <w:name w:val="标题 911"/>
    <w:basedOn w:val="827"/>
    <w:next w:val="827"/>
    <w:link w:val="111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110" w:customStyle="1">
    <w:name w:val="标题 9 Char"/>
    <w:link w:val="1109"/>
    <w:qFormat/>
    <w:rPr>
      <w:rFonts w:ascii="Arial" w:hAnsi="Arial" w:eastAsia="黑体"/>
      <w:szCs w:val="21"/>
      <w:lang w:eastAsia="en-US"/>
    </w:rPr>
  </w:style>
  <w:style w:type="character" w:styleId="1111" w:customStyle="1">
    <w:name w:val="默认段落字体11"/>
    <w:uiPriority w:val="1"/>
    <w:unhideWhenUsed/>
    <w:qFormat/>
  </w:style>
  <w:style w:type="table" w:styleId="1112" w:customStyle="1">
    <w:name w:val="普通表格11"/>
    <w:uiPriority w:val="99"/>
    <w:unhideWhenUsed/>
    <w:qFormat/>
    <w:tblPr>
      <w:tblCellMar>
        <w:left w:w="0" w:type="dxa"/>
        <w:top w:w="0" w:type="dxa"/>
        <w:right w:w="0" w:type="dxa"/>
        <w:bottom w:w="0" w:type="dxa"/>
      </w:tblCellMar>
    </w:tblPr>
  </w:style>
  <w:style w:type="paragraph" w:styleId="1113" w:customStyle="1">
    <w:name w:val="列表 311"/>
    <w:basedOn w:val="827"/>
    <w:qFormat/>
    <w:pPr>
      <w:ind w:left="100" w:hanging="200"/>
    </w:pPr>
    <w:rPr>
      <w:szCs w:val="21"/>
    </w:rPr>
  </w:style>
  <w:style w:type="paragraph" w:styleId="1114" w:customStyle="1">
    <w:name w:val="目录 71"/>
    <w:basedOn w:val="827"/>
    <w:next w:val="827"/>
    <w:uiPriority w:val="39"/>
    <w:qFormat/>
    <w:pPr>
      <w:ind w:left="1260"/>
      <w:jc w:val="left"/>
    </w:pPr>
    <w:rPr>
      <w:szCs w:val="21"/>
    </w:rPr>
  </w:style>
  <w:style w:type="paragraph" w:styleId="1115" w:customStyle="1">
    <w:name w:val="文档结构图11"/>
    <w:basedOn w:val="827"/>
    <w:link w:val="1116"/>
    <w:semiHidden/>
    <w:qFormat/>
    <w:pPr>
      <w:shd w:val="clear" w:color="auto" w:fill="000080"/>
    </w:pPr>
    <w:rPr>
      <w:sz w:val="20"/>
      <w:szCs w:val="21"/>
      <w:lang w:eastAsia="en-US"/>
    </w:rPr>
  </w:style>
  <w:style w:type="character" w:styleId="1116" w:customStyle="1">
    <w:name w:val="文档结构图 Char"/>
    <w:link w:val="1115"/>
    <w:semiHidden/>
    <w:qFormat/>
    <w:rPr>
      <w:rFonts w:ascii="Times New Roman" w:hAnsi="Times New Roman"/>
      <w:szCs w:val="21"/>
      <w:shd w:val="clear" w:color="auto" w:fill="000080"/>
      <w:lang w:eastAsia="en-US"/>
    </w:rPr>
  </w:style>
  <w:style w:type="paragraph" w:styleId="1117" w:customStyle="1">
    <w:name w:val="批注文字11"/>
    <w:basedOn w:val="827"/>
    <w:uiPriority w:val="99"/>
    <w:unhideWhenUsed/>
    <w:qFormat/>
    <w:pPr>
      <w:jc w:val="left"/>
    </w:pPr>
  </w:style>
  <w:style w:type="paragraph" w:styleId="1118" w:customStyle="1">
    <w:name w:val="正文文本 311"/>
    <w:basedOn w:val="827"/>
    <w:link w:val="1119"/>
    <w:qFormat/>
    <w:rPr>
      <w:rFonts w:ascii="仿宋_GB2312" w:hAnsi="Arial" w:eastAsia="仿宋_GB2312"/>
      <w:sz w:val="32"/>
      <w:szCs w:val="32"/>
      <w:lang w:eastAsia="en-US"/>
    </w:rPr>
  </w:style>
  <w:style w:type="character" w:styleId="1119" w:customStyle="1">
    <w:name w:val="正文文本 3 Char"/>
    <w:link w:val="1118"/>
    <w:qFormat/>
    <w:rPr>
      <w:rFonts w:ascii="仿宋_GB2312" w:hAnsi="Arial" w:eastAsia="仿宋_GB2312"/>
      <w:sz w:val="32"/>
      <w:szCs w:val="32"/>
      <w:lang w:eastAsia="en-US"/>
    </w:rPr>
  </w:style>
  <w:style w:type="paragraph" w:styleId="1120" w:customStyle="1">
    <w:name w:val="正文文本11"/>
    <w:basedOn w:val="827"/>
    <w:link w:val="1121"/>
    <w:qFormat/>
    <w:rPr>
      <w:rFonts w:ascii="楷体_GB2312" w:hAnsi="Arial" w:eastAsia="楷体_GB2312"/>
      <w:sz w:val="28"/>
      <w:szCs w:val="28"/>
      <w:lang w:eastAsia="en-US"/>
    </w:rPr>
  </w:style>
  <w:style w:type="character" w:styleId="1121" w:customStyle="1">
    <w:name w:val="正文文本 Char"/>
    <w:link w:val="1120"/>
    <w:qFormat/>
    <w:rPr>
      <w:rFonts w:ascii="楷体_GB2312" w:hAnsi="Arial" w:eastAsia="楷体_GB2312"/>
      <w:sz w:val="28"/>
      <w:szCs w:val="28"/>
      <w:lang w:eastAsia="en-US"/>
    </w:rPr>
  </w:style>
  <w:style w:type="paragraph" w:styleId="1122" w:customStyle="1">
    <w:name w:val="正文文本缩进11"/>
    <w:basedOn w:val="827"/>
    <w:link w:val="1123"/>
    <w:uiPriority w:val="99"/>
    <w:unhideWhenUsed/>
    <w:qFormat/>
    <w:pPr>
      <w:ind w:left="420"/>
      <w:spacing w:after="120"/>
    </w:pPr>
  </w:style>
  <w:style w:type="character" w:styleId="1123" w:customStyle="1">
    <w:name w:val="正文文本缩进 Char"/>
    <w:link w:val="1122"/>
    <w:qFormat/>
    <w:rPr>
      <w:sz w:val="21"/>
      <w:szCs w:val="22"/>
    </w:rPr>
  </w:style>
  <w:style w:type="paragraph" w:styleId="1124" w:customStyle="1">
    <w:name w:val="列表 211"/>
    <w:basedOn w:val="827"/>
    <w:qFormat/>
    <w:pPr>
      <w:ind w:left="100" w:hanging="200"/>
    </w:pPr>
    <w:rPr>
      <w:szCs w:val="21"/>
    </w:rPr>
  </w:style>
  <w:style w:type="paragraph" w:styleId="1125" w:customStyle="1">
    <w:name w:val="目录 51"/>
    <w:basedOn w:val="827"/>
    <w:next w:val="827"/>
    <w:uiPriority w:val="39"/>
    <w:qFormat/>
    <w:pPr>
      <w:ind w:left="840"/>
      <w:jc w:val="left"/>
    </w:pPr>
    <w:rPr>
      <w:szCs w:val="21"/>
    </w:rPr>
  </w:style>
  <w:style w:type="paragraph" w:styleId="1126" w:customStyle="1">
    <w:name w:val="目录 31"/>
    <w:basedOn w:val="827"/>
    <w:next w:val="827"/>
    <w:uiPriority w:val="39"/>
    <w:qFormat/>
    <w:pPr>
      <w:ind w:left="420"/>
      <w:jc w:val="left"/>
    </w:pPr>
    <w:rPr>
      <w:i/>
      <w:iCs/>
      <w:szCs w:val="24"/>
    </w:rPr>
  </w:style>
  <w:style w:type="paragraph" w:styleId="1127" w:customStyle="1">
    <w:name w:val="纯文本11"/>
    <w:basedOn w:val="827"/>
    <w:link w:val="1128"/>
    <w:qFormat/>
    <w:rPr>
      <w:rFonts w:ascii="宋体" w:hAnsi="Courier New"/>
      <w:sz w:val="20"/>
      <w:szCs w:val="21"/>
      <w:lang w:eastAsia="en-US"/>
    </w:rPr>
  </w:style>
  <w:style w:type="character" w:styleId="1128" w:customStyle="1">
    <w:name w:val="纯文本 Char"/>
    <w:link w:val="1127"/>
    <w:qFormat/>
    <w:rPr>
      <w:rFonts w:ascii="宋体" w:hAnsi="Courier New"/>
      <w:szCs w:val="21"/>
      <w:lang w:eastAsia="en-US"/>
    </w:rPr>
  </w:style>
  <w:style w:type="paragraph" w:styleId="1129" w:customStyle="1">
    <w:name w:val="目录 81"/>
    <w:basedOn w:val="827"/>
    <w:next w:val="827"/>
    <w:uiPriority w:val="39"/>
    <w:qFormat/>
    <w:pPr>
      <w:ind w:left="1470"/>
      <w:jc w:val="left"/>
    </w:pPr>
    <w:rPr>
      <w:szCs w:val="21"/>
    </w:rPr>
  </w:style>
  <w:style w:type="paragraph" w:styleId="1130" w:customStyle="1">
    <w:name w:val="日期11"/>
    <w:basedOn w:val="827"/>
    <w:next w:val="827"/>
    <w:link w:val="1131"/>
    <w:qFormat/>
    <w:rPr>
      <w:sz w:val="24"/>
      <w:szCs w:val="24"/>
      <w:lang w:eastAsia="en-US"/>
    </w:rPr>
  </w:style>
  <w:style w:type="character" w:styleId="1131" w:customStyle="1">
    <w:name w:val="日期 Char"/>
    <w:link w:val="1130"/>
    <w:qFormat/>
    <w:rPr>
      <w:rFonts w:ascii="Times New Roman" w:hAnsi="Times New Roman"/>
      <w:sz w:val="24"/>
      <w:szCs w:val="24"/>
      <w:lang w:eastAsia="en-US"/>
    </w:rPr>
  </w:style>
  <w:style w:type="paragraph" w:styleId="1132" w:customStyle="1">
    <w:name w:val="正文文本缩进 211"/>
    <w:basedOn w:val="827"/>
    <w:link w:val="1133"/>
    <w:qFormat/>
    <w:pPr>
      <w:ind w:left="630" w:firstLine="645"/>
    </w:pPr>
    <w:rPr>
      <w:rFonts w:ascii="Arial" w:hAnsi="Arial" w:eastAsia="仿宋_GB2312"/>
      <w:sz w:val="32"/>
      <w:szCs w:val="32"/>
      <w:lang w:eastAsia="en-US"/>
    </w:rPr>
  </w:style>
  <w:style w:type="character" w:styleId="1133" w:customStyle="1">
    <w:name w:val="正文文本缩进 2 Char"/>
    <w:link w:val="1132"/>
    <w:qFormat/>
    <w:rPr>
      <w:rFonts w:ascii="Arial" w:hAnsi="Arial" w:eastAsia="仿宋_GB2312"/>
      <w:sz w:val="32"/>
      <w:szCs w:val="32"/>
      <w:lang w:eastAsia="en-US"/>
    </w:rPr>
  </w:style>
  <w:style w:type="paragraph" w:styleId="1134" w:customStyle="1">
    <w:name w:val="页脚11"/>
    <w:basedOn w:val="827"/>
    <w:link w:val="1135"/>
    <w:uiPriority w:val="99"/>
    <w:qFormat/>
    <w:pPr>
      <w:jc w:val="left"/>
      <w:tabs>
        <w:tab w:val="center" w:pos="4153" w:leader="none"/>
        <w:tab w:val="right" w:pos="8306" w:leader="none"/>
      </w:tabs>
    </w:pPr>
    <w:rPr>
      <w:sz w:val="18"/>
      <w:szCs w:val="18"/>
      <w:lang w:eastAsia="en-US"/>
    </w:rPr>
  </w:style>
  <w:style w:type="character" w:styleId="1135" w:customStyle="1">
    <w:name w:val="页脚 Char"/>
    <w:link w:val="1134"/>
    <w:uiPriority w:val="99"/>
    <w:qFormat/>
    <w:rPr>
      <w:rFonts w:ascii="Times New Roman" w:hAnsi="Times New Roman"/>
      <w:sz w:val="18"/>
      <w:szCs w:val="18"/>
      <w:lang w:eastAsia="en-US"/>
    </w:rPr>
  </w:style>
  <w:style w:type="paragraph" w:styleId="1136" w:customStyle="1">
    <w:name w:val="页眉11"/>
    <w:basedOn w:val="827"/>
    <w:link w:val="1137"/>
    <w:qFormat/>
    <w:pPr>
      <w:jc w:val="center"/>
      <w:tabs>
        <w:tab w:val="center" w:pos="4153" w:leader="none"/>
        <w:tab w:val="right" w:pos="8306" w:leader="none"/>
      </w:tabs>
      <w:pBdr>
        <w:bottom w:val="single" w:color="000000" w:sz="6" w:space="1"/>
      </w:pBdr>
    </w:pPr>
    <w:rPr>
      <w:sz w:val="18"/>
      <w:szCs w:val="18"/>
      <w:lang w:eastAsia="en-US"/>
    </w:rPr>
  </w:style>
  <w:style w:type="character" w:styleId="1137" w:customStyle="1">
    <w:name w:val="页眉 Char"/>
    <w:link w:val="1136"/>
    <w:qFormat/>
    <w:rPr>
      <w:rFonts w:ascii="Times New Roman" w:hAnsi="Times New Roman"/>
      <w:sz w:val="18"/>
      <w:szCs w:val="18"/>
      <w:lang w:eastAsia="en-US"/>
    </w:rPr>
  </w:style>
  <w:style w:type="paragraph" w:styleId="1138" w:customStyle="1">
    <w:name w:val="目录 11"/>
    <w:basedOn w:val="827"/>
    <w:next w:val="827"/>
    <w:uiPriority w:val="39"/>
    <w:qFormat/>
    <w:pPr>
      <w:jc w:val="left"/>
      <w:spacing w:before="120" w:after="120" w:line="400" w:lineRule="exact"/>
      <w:tabs>
        <w:tab w:val="right" w:pos="8720" w:leader="dot"/>
      </w:tabs>
    </w:pPr>
    <w:rPr>
      <w:rFonts w:ascii="宋体" w:hAnsi="宋体"/>
      <w:caps/>
      <w:sz w:val="24"/>
      <w:szCs w:val="24"/>
    </w:rPr>
  </w:style>
  <w:style w:type="paragraph" w:styleId="1139" w:customStyle="1">
    <w:name w:val="目录 41"/>
    <w:basedOn w:val="827"/>
    <w:next w:val="827"/>
    <w:uiPriority w:val="39"/>
    <w:qFormat/>
    <w:pPr>
      <w:ind w:left="630"/>
      <w:jc w:val="left"/>
    </w:pPr>
    <w:rPr>
      <w:szCs w:val="21"/>
    </w:rPr>
  </w:style>
  <w:style w:type="paragraph" w:styleId="1140" w:customStyle="1">
    <w:name w:val="列表11"/>
    <w:basedOn w:val="827"/>
    <w:qFormat/>
    <w:pPr>
      <w:ind w:left="200" w:hanging="200"/>
    </w:pPr>
    <w:rPr>
      <w:szCs w:val="21"/>
    </w:rPr>
  </w:style>
  <w:style w:type="paragraph" w:styleId="1141" w:customStyle="1">
    <w:name w:val="目录 61"/>
    <w:basedOn w:val="827"/>
    <w:next w:val="827"/>
    <w:uiPriority w:val="39"/>
    <w:qFormat/>
    <w:pPr>
      <w:ind w:left="1050"/>
      <w:jc w:val="left"/>
    </w:pPr>
    <w:rPr>
      <w:szCs w:val="21"/>
    </w:rPr>
  </w:style>
  <w:style w:type="paragraph" w:styleId="1142" w:customStyle="1">
    <w:name w:val="正文文本缩进 311"/>
    <w:basedOn w:val="827"/>
    <w:link w:val="1143"/>
    <w:qFormat/>
    <w:pPr>
      <w:ind w:left="645" w:firstLine="645"/>
    </w:pPr>
    <w:rPr>
      <w:rFonts w:ascii="Arial" w:hAnsi="Arial" w:eastAsia="仿宋_GB2312"/>
      <w:color w:val="ffff00"/>
      <w:sz w:val="32"/>
      <w:szCs w:val="32"/>
      <w:lang w:eastAsia="en-US"/>
    </w:rPr>
  </w:style>
  <w:style w:type="character" w:styleId="1143" w:customStyle="1">
    <w:name w:val="正文文本缩进 3 Char"/>
    <w:link w:val="1142"/>
    <w:qFormat/>
    <w:rPr>
      <w:rFonts w:ascii="Arial" w:hAnsi="Arial" w:eastAsia="仿宋_GB2312"/>
      <w:color w:val="ffff00"/>
      <w:sz w:val="32"/>
      <w:szCs w:val="32"/>
      <w:lang w:eastAsia="en-US"/>
    </w:rPr>
  </w:style>
  <w:style w:type="paragraph" w:styleId="1144" w:customStyle="1">
    <w:name w:val="图表目录1"/>
    <w:basedOn w:val="827"/>
    <w:next w:val="827"/>
    <w:uiPriority w:val="99"/>
    <w:qFormat/>
    <w:pPr>
      <w:ind w:left="840" w:hanging="420"/>
    </w:pPr>
    <w:rPr>
      <w:szCs w:val="21"/>
    </w:rPr>
  </w:style>
  <w:style w:type="paragraph" w:styleId="1145" w:customStyle="1">
    <w:name w:val="目录 21"/>
    <w:basedOn w:val="827"/>
    <w:next w:val="827"/>
    <w:uiPriority w:val="39"/>
    <w:qFormat/>
    <w:pPr>
      <w:ind w:left="210"/>
      <w:jc w:val="left"/>
    </w:pPr>
    <w:rPr>
      <w:smallCaps/>
      <w:szCs w:val="24"/>
    </w:rPr>
  </w:style>
  <w:style w:type="paragraph" w:styleId="1146" w:customStyle="1">
    <w:name w:val="目录 91"/>
    <w:basedOn w:val="827"/>
    <w:next w:val="827"/>
    <w:uiPriority w:val="39"/>
    <w:qFormat/>
    <w:pPr>
      <w:ind w:left="1680"/>
      <w:jc w:val="left"/>
    </w:pPr>
    <w:rPr>
      <w:szCs w:val="21"/>
    </w:rPr>
  </w:style>
  <w:style w:type="paragraph" w:styleId="1147" w:customStyle="1">
    <w:name w:val="正文文本 211"/>
    <w:basedOn w:val="827"/>
    <w:link w:val="1148"/>
    <w:qFormat/>
    <w:pPr>
      <w:jc w:val="center"/>
      <w:widowControl/>
    </w:pPr>
    <w:rPr>
      <w:rFonts w:ascii="楷体_GB2312" w:eastAsia="楷体_GB2312"/>
      <w:sz w:val="28"/>
      <w:szCs w:val="28"/>
      <w:lang w:eastAsia="en-US"/>
    </w:rPr>
  </w:style>
  <w:style w:type="character" w:styleId="1148" w:customStyle="1">
    <w:name w:val="正文文本 2 Char"/>
    <w:link w:val="1147"/>
    <w:qFormat/>
    <w:rPr>
      <w:rFonts w:ascii="楷体_GB2312" w:hAnsi="Times New Roman" w:eastAsia="楷体_GB2312"/>
      <w:sz w:val="28"/>
      <w:szCs w:val="28"/>
      <w:lang w:eastAsia="en-US"/>
    </w:rPr>
  </w:style>
  <w:style w:type="paragraph" w:styleId="1149" w:customStyle="1">
    <w:name w:val="普通(网站)11"/>
    <w:basedOn w:val="827"/>
    <w:uiPriority w:val="99"/>
    <w:qFormat/>
    <w:pPr>
      <w:jc w:val="left"/>
      <w:spacing w:before="100" w:beforeAutospacing="1" w:after="100" w:afterAutospacing="1"/>
      <w:widowControl/>
    </w:pPr>
    <w:rPr>
      <w:rFonts w:ascii="宋体" w:hAnsi="宋体" w:cs="宋体"/>
      <w:sz w:val="24"/>
      <w:szCs w:val="24"/>
    </w:rPr>
  </w:style>
  <w:style w:type="paragraph" w:styleId="1150" w:customStyle="1">
    <w:name w:val="索引 11"/>
    <w:basedOn w:val="827"/>
    <w:next w:val="827"/>
    <w:semiHidden/>
    <w:qFormat/>
    <w:pPr>
      <w:spacing w:line="240" w:lineRule="atLeast"/>
    </w:pPr>
    <w:rPr>
      <w:b/>
      <w:bCs/>
      <w:szCs w:val="21"/>
    </w:rPr>
  </w:style>
  <w:style w:type="paragraph" w:styleId="1151" w:customStyle="1">
    <w:name w:val="正文首行缩进11"/>
    <w:basedOn w:val="827"/>
    <w:link w:val="1152"/>
    <w:qFormat/>
    <w:pPr>
      <w:ind w:firstLine="200"/>
      <w:spacing w:line="360" w:lineRule="auto"/>
    </w:pPr>
    <w:rPr>
      <w:rFonts w:ascii="仿宋_GB2312" w:eastAsia="仿宋_GB2312"/>
      <w:sz w:val="30"/>
      <w:szCs w:val="30"/>
      <w:lang w:eastAsia="en-US"/>
    </w:rPr>
  </w:style>
  <w:style w:type="character" w:styleId="1152" w:customStyle="1">
    <w:name w:val="正文首行缩进 Char"/>
    <w:link w:val="1151"/>
    <w:qFormat/>
    <w:rPr>
      <w:rFonts w:ascii="仿宋_GB2312" w:hAnsi="Times New Roman" w:eastAsia="仿宋_GB2312"/>
      <w:sz w:val="30"/>
      <w:szCs w:val="30"/>
      <w:lang w:eastAsia="en-US"/>
    </w:rPr>
  </w:style>
  <w:style w:type="paragraph" w:styleId="1153" w:customStyle="1">
    <w:name w:val="正文首行缩进 211"/>
    <w:basedOn w:val="1122"/>
    <w:link w:val="1154"/>
    <w:qFormat/>
    <w:pPr>
      <w:ind w:left="0" w:firstLine="420"/>
      <w:spacing w:after="0" w:line="360" w:lineRule="auto"/>
    </w:pPr>
    <w:rPr>
      <w:rFonts w:ascii="宋体" w:hAnsi="宋体"/>
      <w:sz w:val="20"/>
      <w:szCs w:val="20"/>
      <w:lang w:eastAsia="en-US"/>
    </w:rPr>
  </w:style>
  <w:style w:type="character" w:styleId="1154" w:customStyle="1">
    <w:name w:val="正文首行缩进 2 Char"/>
    <w:link w:val="1153"/>
    <w:qFormat/>
    <w:rPr>
      <w:rFonts w:ascii="宋体" w:hAnsi="宋体"/>
      <w:lang w:eastAsia="en-US"/>
    </w:rPr>
  </w:style>
  <w:style w:type="table" w:styleId="1155" w:customStyle="1">
    <w:name w:val="网格型11"/>
    <w:basedOn w:val="1112"/>
    <w:uiPriority w:val="59"/>
    <w:qFormat/>
    <w:pPr>
      <w:jc w:val="both"/>
      <w:widowControl w:val="off"/>
    </w:pPr>
    <w:tblPr/>
  </w:style>
  <w:style w:type="character" w:styleId="1156" w:customStyle="1">
    <w:name w:val="要点11"/>
    <w:qFormat/>
    <w:rPr>
      <w:b/>
      <w:bCs/>
    </w:rPr>
  </w:style>
  <w:style w:type="character" w:styleId="1157" w:customStyle="1">
    <w:name w:val="页码11"/>
    <w:qFormat/>
  </w:style>
  <w:style w:type="character" w:styleId="1158" w:customStyle="1">
    <w:name w:val="已访问的超链接11"/>
    <w:uiPriority w:val="99"/>
    <w:qFormat/>
    <w:rPr>
      <w:color w:val="800080"/>
      <w:u w:val="single"/>
    </w:rPr>
  </w:style>
  <w:style w:type="character" w:styleId="1159" w:customStyle="1">
    <w:name w:val="超链接11"/>
    <w:uiPriority w:val="99"/>
    <w:qFormat/>
    <w:rPr>
      <w:color w:val="0000ff"/>
      <w:u w:val="single"/>
    </w:rPr>
  </w:style>
  <w:style w:type="character" w:styleId="1160" w:customStyle="1">
    <w:name w:val="批注引用11"/>
    <w:uiPriority w:val="99"/>
    <w:semiHidden/>
    <w:qFormat/>
    <w:rPr>
      <w:sz w:val="21"/>
      <w:szCs w:val="21"/>
    </w:rPr>
  </w:style>
  <w:style w:type="character" w:styleId="1161" w:customStyle="1">
    <w:name w:val="font5 Char"/>
    <w:qFormat/>
    <w:rPr>
      <w:rFonts w:ascii="宋体" w:hAnsi="宋体" w:eastAsia="宋体"/>
      <w:sz w:val="28"/>
      <w:szCs w:val="28"/>
      <w:lang w:val="en-US" w:eastAsia="zh-CN" w:bidi="ar-SA"/>
    </w:rPr>
  </w:style>
  <w:style w:type="character" w:styleId="1162" w:customStyle="1">
    <w:name w:val="二级目录 Char"/>
    <w:link w:val="1163"/>
    <w:qFormat/>
    <w:rPr>
      <w:b/>
      <w:sz w:val="30"/>
      <w:szCs w:val="28"/>
    </w:rPr>
  </w:style>
  <w:style w:type="paragraph" w:styleId="1163" w:customStyle="1">
    <w:name w:val="二级目录"/>
    <w:next w:val="827"/>
    <w:link w:val="1162"/>
    <w:qFormat/>
    <w:pPr>
      <w:ind w:left="907" w:hanging="907"/>
      <w:tabs>
        <w:tab w:val="left" w:pos="907" w:leader="none"/>
        <w:tab w:val="left" w:pos="1145" w:leader="none"/>
      </w:tabs>
      <w:outlineLvl w:val="1"/>
    </w:pPr>
    <w:rPr>
      <w:b/>
      <w:sz w:val="30"/>
      <w:szCs w:val="28"/>
    </w:rPr>
  </w:style>
  <w:style w:type="character" w:styleId="1164" w:customStyle="1">
    <w:name w:val="列出段落 Char"/>
    <w:link w:val="1165"/>
    <w:qFormat/>
    <w:rPr>
      <w:sz w:val="24"/>
      <w:szCs w:val="24"/>
      <w:lang w:eastAsia="en-US" w:bidi="en-US"/>
    </w:rPr>
  </w:style>
  <w:style w:type="paragraph" w:styleId="1165" w:customStyle="1">
    <w:name w:val="列出段落1"/>
    <w:basedOn w:val="827"/>
    <w:link w:val="1164"/>
    <w:qFormat/>
    <w:pPr>
      <w:contextualSpacing/>
      <w:ind w:left="720"/>
      <w:jc w:val="left"/>
      <w:widowControl/>
    </w:pPr>
    <w:rPr>
      <w:sz w:val="24"/>
      <w:szCs w:val="24"/>
      <w:lang w:eastAsia="en-US" w:bidi="en-US"/>
    </w:rPr>
  </w:style>
  <w:style w:type="paragraph" w:styleId="1166" w:customStyle="1">
    <w:name w:val="Body Text(ch)"/>
    <w:basedOn w:val="827"/>
    <w:next w:val="1120"/>
    <w:qFormat/>
    <w:pPr>
      <w:spacing w:after="120"/>
    </w:pPr>
    <w:rPr>
      <w:rFonts w:ascii="宋体" w:hAnsi="Arial"/>
      <w:bCs/>
      <w:iCs/>
      <w:szCs w:val="24"/>
    </w:rPr>
  </w:style>
  <w:style w:type="paragraph" w:styleId="1167" w:customStyle="1">
    <w:name w:val="xl27"/>
    <w:basedOn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customStyle="1">
    <w:name w:val="xl26"/>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9" w:customStyle="1">
    <w:name w:val="Char"/>
    <w:basedOn w:val="827"/>
    <w:qFormat/>
    <w:pPr>
      <w:ind w:firstLine="200"/>
      <w:tabs>
        <w:tab w:val="left" w:pos="360" w:leader="none"/>
      </w:tabs>
    </w:pPr>
    <w:rPr>
      <w:sz w:val="28"/>
      <w:szCs w:val="30"/>
    </w:rPr>
  </w:style>
  <w:style w:type="paragraph" w:styleId="1170" w:customStyle="1">
    <w:name w:val="Char11"/>
    <w:basedOn w:val="1115"/>
    <w:qFormat/>
    <w:rPr>
      <w:rFonts w:ascii="Tahoma" w:hAnsi="Tahoma"/>
      <w:sz w:val="24"/>
      <w:szCs w:val="24"/>
    </w:rPr>
  </w:style>
  <w:style w:type="paragraph" w:styleId="1171" w:customStyle="1">
    <w:name w:val="table_lines"/>
    <w:basedOn w:val="827"/>
    <w:qFormat/>
    <w:pPr>
      <w:jc w:val="left"/>
      <w:widowControl/>
    </w:pPr>
    <w:rPr>
      <w:sz w:val="20"/>
      <w:szCs w:val="20"/>
      <w:lang w:val="de-DE" w:eastAsia="de-DE"/>
    </w:rPr>
  </w:style>
  <w:style w:type="paragraph" w:styleId="1172" w:customStyle="1">
    <w:name w:val="附录1"/>
    <w:qFormat/>
    <w:pPr>
      <w:numPr>
        <w:numId w:val="2"/>
      </w:numPr>
      <w:spacing w:before="240" w:line="600" w:lineRule="atLeast"/>
    </w:pPr>
    <w:rPr>
      <w:b/>
      <w:i/>
      <w:sz w:val="28"/>
    </w:rPr>
  </w:style>
  <w:style w:type="paragraph" w:styleId="1173" w:customStyle="1">
    <w:name w:val="font7"/>
    <w:basedOn w:val="827"/>
    <w:qFormat/>
    <w:pPr>
      <w:jc w:val="left"/>
      <w:spacing w:before="100" w:beforeAutospacing="1" w:after="100" w:afterAutospacing="1"/>
      <w:widowControl/>
    </w:pPr>
    <w:rPr>
      <w:rFonts w:hint="eastAsia" w:ascii="宋体" w:hAnsi="宋体"/>
      <w:sz w:val="18"/>
      <w:szCs w:val="18"/>
    </w:rPr>
  </w:style>
  <w:style w:type="paragraph" w:styleId="1174" w:customStyle="1">
    <w:name w:val="Char Char Char Char"/>
    <w:basedOn w:val="1115"/>
    <w:qFormat/>
    <w:pPr>
      <w:spacing w:line="360" w:lineRule="auto"/>
    </w:pPr>
    <w:rPr>
      <w:rFonts w:ascii="Tahoma" w:hAnsi="Tahoma"/>
      <w:sz w:val="24"/>
      <w:szCs w:val="24"/>
    </w:rPr>
  </w:style>
  <w:style w:type="paragraph" w:styleId="1175" w:customStyle="1">
    <w:name w:val="列出段落2"/>
    <w:basedOn w:val="827"/>
    <w:uiPriority w:val="34"/>
    <w:qFormat/>
    <w:pPr>
      <w:contextualSpacing/>
      <w:ind w:left="720"/>
      <w:jc w:val="left"/>
      <w:widowControl/>
    </w:pPr>
    <w:rPr>
      <w:sz w:val="24"/>
      <w:szCs w:val="24"/>
      <w:lang w:eastAsia="en-US" w:bidi="en-US"/>
    </w:rPr>
  </w:style>
  <w:style w:type="paragraph" w:styleId="1176" w:customStyle="1">
    <w:name w:val="4"/>
    <w:basedOn w:val="827"/>
    <w:next w:val="1142"/>
    <w:qFormat/>
    <w:pPr>
      <w:ind w:firstLine="420"/>
      <w:spacing w:line="360" w:lineRule="auto"/>
    </w:pPr>
    <w:rPr>
      <w:color w:val="ff0000"/>
      <w:sz w:val="24"/>
      <w:szCs w:val="24"/>
    </w:rPr>
  </w:style>
  <w:style w:type="paragraph" w:styleId="1177" w:customStyle="1">
    <w:name w:val="普通 (Web)"/>
    <w:basedOn w:val="827"/>
    <w:qFormat/>
    <w:pPr>
      <w:jc w:val="left"/>
      <w:spacing w:before="100" w:beforeAutospacing="1" w:after="100" w:afterAutospacing="1"/>
      <w:widowControl/>
    </w:pPr>
    <w:rPr>
      <w:rFonts w:ascii="宋体" w:hAnsi="宋体"/>
      <w:sz w:val="24"/>
      <w:szCs w:val="24"/>
    </w:rPr>
  </w:style>
  <w:style w:type="paragraph" w:styleId="1178" w:customStyle="1">
    <w:name w:val="Char Char Char Char Char Char Char Char Char Char"/>
    <w:basedOn w:val="827"/>
    <w:qFormat/>
    <w:pPr>
      <w:spacing w:line="360" w:lineRule="auto"/>
    </w:pPr>
    <w:rPr>
      <w:sz w:val="24"/>
      <w:szCs w:val="20"/>
    </w:rPr>
  </w:style>
  <w:style w:type="paragraph" w:styleId="1179" w:customStyle="1">
    <w:name w:val="样式1"/>
    <w:basedOn w:val="827"/>
    <w:qFormat/>
    <w:pPr>
      <w:numPr>
        <w:numId w:val="3"/>
      </w:numPr>
    </w:pPr>
    <w:rPr>
      <w:rFonts w:ascii="宋体" w:hAnsi="宋体"/>
      <w:szCs w:val="21"/>
    </w:rPr>
  </w:style>
  <w:style w:type="paragraph" w:styleId="1180" w:customStyle="1">
    <w:name w:val="font6"/>
    <w:basedOn w:val="827"/>
    <w:qFormat/>
    <w:pPr>
      <w:jc w:val="left"/>
      <w:spacing w:before="100" w:beforeAutospacing="1" w:after="100" w:afterAutospacing="1"/>
      <w:widowControl/>
    </w:pPr>
    <w:rPr>
      <w:rFonts w:hint="eastAsia" w:ascii="宋体" w:hAnsi="宋体"/>
      <w:sz w:val="28"/>
      <w:szCs w:val="28"/>
      <w:u w:val="single"/>
    </w:rPr>
  </w:style>
  <w:style w:type="paragraph" w:styleId="1181" w:customStyle="1">
    <w:name w:val="xl25"/>
    <w:basedOn w:val="8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2" w:customStyle="1">
    <w:name w:val="图标"/>
    <w:basedOn w:val="827"/>
    <w:next w:val="82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3" w:customStyle="1">
    <w:name w:val="标题3"/>
    <w:basedOn w:val="827"/>
    <w:next w:val="827"/>
    <w:qFormat/>
    <w:pPr>
      <w:ind w:firstLine="624"/>
      <w:spacing w:line="590" w:lineRule="atLeast"/>
    </w:pPr>
    <w:rPr>
      <w:rFonts w:ascii="方正黑体_GBK" w:eastAsia="方正黑体_GBK"/>
      <w:sz w:val="32"/>
      <w:szCs w:val="32"/>
    </w:rPr>
  </w:style>
  <w:style w:type="paragraph" w:styleId="1184" w:customStyle="1">
    <w:name w:val="xl24"/>
    <w:basedOn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5" w:customStyle="1">
    <w:name w:val="xl29"/>
    <w:basedOn w:val="8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6" w:customStyle="1">
    <w:name w:val="Char Char Char Char Char Char Char Char"/>
    <w:basedOn w:val="827"/>
    <w:qFormat/>
    <w:pPr>
      <w:jc w:val="left"/>
      <w:spacing w:after="160" w:line="240" w:lineRule="exact"/>
      <w:widowControl/>
    </w:pPr>
    <w:rPr>
      <w:rFonts w:ascii="Verdana" w:hAnsi="Verdana"/>
      <w:sz w:val="20"/>
      <w:szCs w:val="20"/>
      <w:lang w:eastAsia="en-US"/>
    </w:rPr>
  </w:style>
  <w:style w:type="paragraph" w:styleId="1187" w:customStyle="1">
    <w:name w:val="xl28"/>
    <w:basedOn w:val="8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88" w:customStyle="1">
    <w:name w:val="Char Char Char Char Char Char Char Char11"/>
    <w:basedOn w:val="827"/>
    <w:qFormat/>
    <w:pPr>
      <w:jc w:val="left"/>
      <w:spacing w:after="160" w:line="240" w:lineRule="exact"/>
      <w:widowControl/>
    </w:pPr>
    <w:rPr>
      <w:rFonts w:ascii="Verdana" w:hAnsi="Verdana"/>
      <w:sz w:val="20"/>
      <w:szCs w:val="20"/>
      <w:lang w:eastAsia="en-US"/>
    </w:rPr>
  </w:style>
  <w:style w:type="paragraph" w:styleId="1189" w:customStyle="1">
    <w:name w:val="xl30"/>
    <w:basedOn w:val="827"/>
    <w:qFormat/>
    <w:pPr>
      <w:jc w:val="center"/>
      <w:spacing w:before="100" w:beforeAutospacing="1" w:after="100" w:afterAutospacing="1"/>
      <w:widowControl/>
    </w:pPr>
    <w:rPr>
      <w:rFonts w:ascii="宋体" w:hAnsi="宋体"/>
      <w:b/>
      <w:bCs/>
      <w:sz w:val="36"/>
      <w:szCs w:val="36"/>
    </w:rPr>
  </w:style>
  <w:style w:type="paragraph" w:styleId="1190" w:customStyle="1">
    <w:name w:val="Char Char Char Char11"/>
    <w:basedOn w:val="1115"/>
    <w:qFormat/>
    <w:pPr>
      <w:spacing w:line="360" w:lineRule="auto"/>
    </w:pPr>
    <w:rPr>
      <w:rFonts w:ascii="Tahoma" w:hAnsi="Tahoma"/>
      <w:sz w:val="24"/>
      <w:szCs w:val="24"/>
    </w:rPr>
  </w:style>
  <w:style w:type="paragraph" w:styleId="1191" w:customStyle="1">
    <w:name w:val="table_1stline"/>
    <w:basedOn w:val="827"/>
    <w:qFormat/>
    <w:pPr>
      <w:jc w:val="left"/>
      <w:spacing w:before="120"/>
      <w:widowControl/>
    </w:pPr>
    <w:rPr>
      <w:bCs/>
      <w:sz w:val="20"/>
      <w:szCs w:val="20"/>
      <w:lang w:val="de-DE" w:eastAsia="de-DE"/>
    </w:rPr>
  </w:style>
  <w:style w:type="paragraph" w:styleId="1192" w:customStyle="1">
    <w:name w:val="font5"/>
    <w:basedOn w:val="827"/>
    <w:qFormat/>
    <w:pPr>
      <w:jc w:val="left"/>
      <w:spacing w:before="100" w:beforeAutospacing="1" w:after="100" w:afterAutospacing="1"/>
      <w:widowControl/>
    </w:pPr>
    <w:rPr>
      <w:rFonts w:hint="eastAsia" w:ascii="宋体" w:hAnsi="宋体"/>
      <w:sz w:val="28"/>
      <w:szCs w:val="28"/>
    </w:rPr>
  </w:style>
  <w:style w:type="paragraph" w:styleId="1193" w:customStyle="1">
    <w:name w:val="标题1"/>
    <w:basedOn w:val="827"/>
    <w:next w:val="8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4" w:customStyle="1">
    <w:name w:val="修订1"/>
    <w:uiPriority w:val="99"/>
    <w:semiHidden/>
    <w:qFormat/>
    <w:rPr>
      <w:sz w:val="21"/>
      <w:szCs w:val="21"/>
    </w:rPr>
  </w:style>
  <w:style w:type="paragraph" w:styleId="1195" w:customStyle="1">
    <w:name w:val="AONormal"/>
    <w:qFormat/>
    <w:pPr>
      <w:ind w:firstLine="440"/>
      <w:spacing w:line="400" w:lineRule="exact"/>
    </w:pPr>
    <w:rPr>
      <w:rFonts w:ascii="华文楷体" w:hAnsi="华文楷体" w:eastAsia="华文楷体" w:cs="华文楷体"/>
      <w:sz w:val="22"/>
      <w:szCs w:val="21"/>
    </w:rPr>
  </w:style>
  <w:style w:type="character" w:styleId="1196" w:customStyle="1">
    <w:name w:val="尾注文本 Char"/>
    <w:link w:val="1197"/>
    <w:uiPriority w:val="99"/>
    <w:semiHidden/>
    <w:qFormat/>
    <w:rPr>
      <w:rFonts w:ascii="Times New Roman" w:hAnsi="Times New Roman"/>
      <w:szCs w:val="22"/>
    </w:rPr>
  </w:style>
  <w:style w:type="paragraph" w:styleId="1197" w:customStyle="1">
    <w:name w:val="尾注文本1"/>
    <w:basedOn w:val="827"/>
    <w:link w:val="1196"/>
    <w:uiPriority w:val="99"/>
    <w:unhideWhenUsed/>
    <w:qFormat/>
    <w:rPr>
      <w:sz w:val="20"/>
    </w:rPr>
  </w:style>
  <w:style w:type="paragraph" w:styleId="1198" w:customStyle="1">
    <w:name w:val="副标题1"/>
    <w:basedOn w:val="827"/>
    <w:next w:val="827"/>
    <w:link w:val="1199"/>
    <w:uiPriority w:val="11"/>
    <w:qFormat/>
    <w:pPr>
      <w:spacing w:before="200" w:after="200"/>
    </w:pPr>
    <w:rPr>
      <w:sz w:val="24"/>
      <w:szCs w:val="24"/>
      <w:lang w:eastAsia="en-US"/>
    </w:rPr>
  </w:style>
  <w:style w:type="character" w:styleId="1199" w:customStyle="1">
    <w:name w:val="副标题 Char"/>
    <w:link w:val="1198"/>
    <w:uiPriority w:val="11"/>
    <w:qFormat/>
    <w:rPr>
      <w:rFonts w:ascii="Times New Roman" w:hAnsi="Times New Roman"/>
      <w:sz w:val="24"/>
      <w:szCs w:val="24"/>
      <w:lang w:eastAsia="en-US"/>
    </w:rPr>
  </w:style>
  <w:style w:type="character" w:styleId="1200" w:customStyle="1">
    <w:name w:val="脚注文本 Char"/>
    <w:link w:val="1201"/>
    <w:uiPriority w:val="99"/>
    <w:semiHidden/>
    <w:qFormat/>
    <w:rPr>
      <w:rFonts w:ascii="Times New Roman" w:hAnsi="Times New Roman"/>
      <w:sz w:val="18"/>
      <w:szCs w:val="22"/>
    </w:rPr>
  </w:style>
  <w:style w:type="paragraph" w:styleId="1201" w:customStyle="1">
    <w:name w:val="脚注文本1"/>
    <w:basedOn w:val="827"/>
    <w:link w:val="1200"/>
    <w:uiPriority w:val="99"/>
    <w:unhideWhenUsed/>
    <w:qFormat/>
    <w:pPr>
      <w:spacing w:after="40"/>
    </w:pPr>
    <w:rPr>
      <w:sz w:val="18"/>
    </w:rPr>
  </w:style>
  <w:style w:type="paragraph" w:styleId="1202" w:customStyle="1">
    <w:name w:val="标题2"/>
    <w:basedOn w:val="827"/>
    <w:next w:val="827"/>
    <w:link w:val="1203"/>
    <w:uiPriority w:val="10"/>
    <w:qFormat/>
    <w:pPr>
      <w:contextualSpacing/>
      <w:spacing w:before="300" w:after="200"/>
    </w:pPr>
    <w:rPr>
      <w:sz w:val="48"/>
      <w:szCs w:val="48"/>
      <w:lang w:eastAsia="en-US"/>
    </w:rPr>
  </w:style>
  <w:style w:type="character" w:styleId="1203" w:customStyle="1">
    <w:name w:val="标题 Char"/>
    <w:link w:val="1202"/>
    <w:uiPriority w:val="10"/>
    <w:qFormat/>
    <w:rPr>
      <w:rFonts w:ascii="Times New Roman" w:hAnsi="Times New Roman"/>
      <w:sz w:val="48"/>
      <w:szCs w:val="48"/>
      <w:lang w:eastAsia="en-US"/>
    </w:rPr>
  </w:style>
  <w:style w:type="character" w:styleId="1204" w:customStyle="1">
    <w:name w:val="尾注引用1"/>
    <w:uiPriority w:val="99"/>
    <w:unhideWhenUsed/>
    <w:qFormat/>
    <w:rPr>
      <w:vertAlign w:val="superscript"/>
    </w:rPr>
  </w:style>
  <w:style w:type="character" w:styleId="1205" w:customStyle="1">
    <w:name w:val="脚注引用1"/>
    <w:uiPriority w:val="99"/>
    <w:unhideWhenUsed/>
    <w:qFormat/>
    <w:rPr>
      <w:vertAlign w:val="superscript"/>
    </w:rPr>
  </w:style>
  <w:style w:type="character" w:styleId="1206" w:customStyle="1">
    <w:name w:val="Title Char"/>
    <w:uiPriority w:val="10"/>
    <w:qFormat/>
    <w:rPr>
      <w:sz w:val="48"/>
      <w:szCs w:val="48"/>
    </w:rPr>
  </w:style>
  <w:style w:type="character" w:styleId="1207" w:customStyle="1">
    <w:name w:val="Subtitle Char"/>
    <w:uiPriority w:val="11"/>
    <w:qFormat/>
    <w:rPr>
      <w:sz w:val="24"/>
      <w:szCs w:val="24"/>
    </w:rPr>
  </w:style>
  <w:style w:type="character" w:styleId="1208" w:customStyle="1">
    <w:name w:val="Quote Char"/>
    <w:uiPriority w:val="29"/>
    <w:qFormat/>
    <w:rPr>
      <w:i/>
    </w:rPr>
  </w:style>
  <w:style w:type="character" w:styleId="1209" w:customStyle="1">
    <w:name w:val="Intense Quote Char"/>
    <w:uiPriority w:val="30"/>
    <w:qFormat/>
    <w:rPr>
      <w:i/>
    </w:rPr>
  </w:style>
  <w:style w:type="character" w:styleId="1210" w:customStyle="1">
    <w:name w:val="Footnote Text Char"/>
    <w:uiPriority w:val="99"/>
    <w:qFormat/>
    <w:rPr>
      <w:sz w:val="18"/>
    </w:rPr>
  </w:style>
  <w:style w:type="character" w:styleId="1211" w:customStyle="1">
    <w:name w:val="Endnote Text Char"/>
    <w:uiPriority w:val="99"/>
    <w:qFormat/>
    <w:rPr>
      <w:sz w:val="20"/>
    </w:rPr>
  </w:style>
  <w:style w:type="paragraph" w:styleId="1212" w:customStyle="1">
    <w:name w:val="TOC 标题11"/>
    <w:uiPriority w:val="39"/>
    <w:unhideWhenUsed/>
    <w:qFormat/>
  </w:style>
  <w:style w:type="character" w:styleId="1213" w:customStyle="1">
    <w:name w:val="标题 1 Char1"/>
    <w:uiPriority w:val="9"/>
    <w:qFormat/>
    <w:rPr>
      <w:rFonts w:ascii="Arial" w:hAnsi="Arial" w:eastAsia="Arial" w:cs="Arial"/>
      <w:sz w:val="40"/>
      <w:szCs w:val="40"/>
    </w:rPr>
  </w:style>
  <w:style w:type="character" w:styleId="1214" w:customStyle="1">
    <w:name w:val="标题 2 Char1"/>
    <w:uiPriority w:val="9"/>
    <w:qFormat/>
    <w:rPr>
      <w:rFonts w:ascii="Arial" w:hAnsi="Arial" w:eastAsia="Arial" w:cs="Arial"/>
      <w:sz w:val="34"/>
      <w:szCs w:val="22"/>
    </w:rPr>
  </w:style>
  <w:style w:type="character" w:styleId="1215" w:customStyle="1">
    <w:name w:val="标题 3 Char1"/>
    <w:uiPriority w:val="9"/>
    <w:qFormat/>
    <w:rPr>
      <w:rFonts w:ascii="Arial" w:hAnsi="Arial" w:eastAsia="Arial" w:cs="Arial"/>
      <w:sz w:val="30"/>
      <w:szCs w:val="30"/>
    </w:rPr>
  </w:style>
  <w:style w:type="character" w:styleId="1216" w:customStyle="1">
    <w:name w:val="标题 4 Char1"/>
    <w:uiPriority w:val="9"/>
    <w:qFormat/>
    <w:rPr>
      <w:rFonts w:ascii="Arial" w:hAnsi="Arial" w:eastAsia="Arial" w:cs="Arial"/>
      <w:b/>
      <w:bCs/>
      <w:sz w:val="26"/>
      <w:szCs w:val="26"/>
    </w:rPr>
  </w:style>
  <w:style w:type="character" w:styleId="1217" w:customStyle="1">
    <w:name w:val="标题 5 Char1"/>
    <w:uiPriority w:val="9"/>
    <w:qFormat/>
    <w:rPr>
      <w:rFonts w:ascii="Arial" w:hAnsi="Arial" w:eastAsia="Arial" w:cs="Arial"/>
      <w:b/>
      <w:bCs/>
      <w:sz w:val="24"/>
      <w:szCs w:val="24"/>
    </w:rPr>
  </w:style>
  <w:style w:type="character" w:styleId="1218" w:customStyle="1">
    <w:name w:val="标题 6 Char1"/>
    <w:uiPriority w:val="9"/>
    <w:qFormat/>
    <w:rPr>
      <w:rFonts w:ascii="Arial" w:hAnsi="Arial" w:eastAsia="Arial" w:cs="Arial"/>
      <w:b/>
      <w:bCs/>
      <w:sz w:val="22"/>
      <w:szCs w:val="22"/>
    </w:rPr>
  </w:style>
  <w:style w:type="character" w:styleId="1219" w:customStyle="1">
    <w:name w:val="标题 7 Char1"/>
    <w:uiPriority w:val="9"/>
    <w:qFormat/>
    <w:rPr>
      <w:rFonts w:ascii="Arial" w:hAnsi="Arial" w:eastAsia="Arial" w:cs="Arial"/>
      <w:b/>
      <w:bCs/>
      <w:i/>
      <w:iCs/>
      <w:sz w:val="22"/>
      <w:szCs w:val="22"/>
    </w:rPr>
  </w:style>
  <w:style w:type="character" w:styleId="1220" w:customStyle="1">
    <w:name w:val="标题 8 Char1"/>
    <w:uiPriority w:val="9"/>
    <w:qFormat/>
    <w:rPr>
      <w:rFonts w:ascii="Arial" w:hAnsi="Arial" w:eastAsia="Arial" w:cs="Arial"/>
      <w:i/>
      <w:iCs/>
      <w:sz w:val="22"/>
      <w:szCs w:val="22"/>
    </w:rPr>
  </w:style>
  <w:style w:type="character" w:styleId="1221" w:customStyle="1">
    <w:name w:val="标题 9 Char1"/>
    <w:uiPriority w:val="9"/>
    <w:qFormat/>
    <w:rPr>
      <w:rFonts w:ascii="Arial" w:hAnsi="Arial" w:eastAsia="Arial" w:cs="Arial"/>
      <w:i/>
      <w:iCs/>
      <w:sz w:val="21"/>
      <w:szCs w:val="21"/>
    </w:rPr>
  </w:style>
  <w:style w:type="paragraph" w:styleId="1222" w:customStyle="1">
    <w:name w:val="引用1"/>
    <w:basedOn w:val="827"/>
    <w:next w:val="827"/>
    <w:link w:val="1223"/>
    <w:uiPriority w:val="29"/>
    <w:qFormat/>
    <w:pPr>
      <w:ind w:left="720" w:right="720"/>
    </w:pPr>
    <w:rPr>
      <w:i/>
      <w:lang w:eastAsia="en-US"/>
    </w:rPr>
  </w:style>
  <w:style w:type="character" w:styleId="1223" w:customStyle="1">
    <w:name w:val="引用 Char"/>
    <w:link w:val="1222"/>
    <w:uiPriority w:val="29"/>
    <w:qFormat/>
    <w:rPr>
      <w:rFonts w:ascii="Times New Roman" w:hAnsi="Times New Roman"/>
      <w:i/>
      <w:sz w:val="21"/>
      <w:szCs w:val="22"/>
      <w:lang w:eastAsia="en-US"/>
    </w:rPr>
  </w:style>
  <w:style w:type="paragraph" w:styleId="1224" w:customStyle="1">
    <w:name w:val="明显引用1"/>
    <w:basedOn w:val="827"/>
    <w:next w:val="827"/>
    <w:link w:val="12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225" w:customStyle="1">
    <w:name w:val="明显引用 Char"/>
    <w:link w:val="1224"/>
    <w:uiPriority w:val="30"/>
    <w:qFormat/>
    <w:rPr>
      <w:rFonts w:ascii="Times New Roman" w:hAnsi="Times New Roman"/>
      <w:i/>
      <w:sz w:val="21"/>
      <w:szCs w:val="22"/>
      <w:shd w:val="clear" w:color="auto" w:fill="f2f2f2"/>
      <w:lang w:eastAsia="en-US"/>
    </w:rPr>
  </w:style>
  <w:style w:type="character" w:styleId="1226" w:customStyle="1">
    <w:name w:val="页眉 Char1"/>
    <w:uiPriority w:val="99"/>
    <w:qFormat/>
    <w:rPr>
      <w:sz w:val="21"/>
      <w:szCs w:val="22"/>
    </w:rPr>
  </w:style>
  <w:style w:type="character" w:styleId="1227" w:customStyle="1">
    <w:name w:val="页脚 Char1"/>
    <w:uiPriority w:val="99"/>
    <w:qFormat/>
    <w:rPr>
      <w:sz w:val="21"/>
      <w:szCs w:val="22"/>
    </w:rPr>
  </w:style>
  <w:style w:type="table" w:styleId="1228" w:customStyle="1">
    <w:name w:val="Table Grid Light1"/>
    <w:uiPriority w:val="59"/>
    <w:qFormat/>
    <w:tblPr>
      <w:tblCellMar>
        <w:left w:w="0" w:type="dxa"/>
        <w:top w:w="0" w:type="dxa"/>
        <w:right w:w="0" w:type="dxa"/>
        <w:bottom w:w="0" w:type="dxa"/>
      </w:tblCellMar>
    </w:tblPr>
  </w:style>
  <w:style w:type="table" w:styleId="1229" w:customStyle="1">
    <w:name w:val="Grid Table 1 Light - Accent 11"/>
    <w:uiPriority w:val="99"/>
    <w:qFormat/>
    <w:tblPr>
      <w:tblCellMar>
        <w:left w:w="0" w:type="dxa"/>
        <w:top w:w="0" w:type="dxa"/>
        <w:right w:w="0" w:type="dxa"/>
        <w:bottom w:w="0" w:type="dxa"/>
      </w:tblCellMar>
    </w:tblPr>
  </w:style>
  <w:style w:type="table" w:styleId="1230" w:customStyle="1">
    <w:name w:val="Grid Table 1 Light - Accent 21"/>
    <w:uiPriority w:val="99"/>
    <w:qFormat/>
    <w:tblPr>
      <w:tblCellMar>
        <w:left w:w="0" w:type="dxa"/>
        <w:top w:w="0" w:type="dxa"/>
        <w:right w:w="0" w:type="dxa"/>
        <w:bottom w:w="0" w:type="dxa"/>
      </w:tblCellMar>
    </w:tblPr>
  </w:style>
  <w:style w:type="table" w:styleId="1231" w:customStyle="1">
    <w:name w:val="Grid Table 1 Light - Accent 31"/>
    <w:uiPriority w:val="99"/>
    <w:qFormat/>
    <w:tblPr>
      <w:tblCellMar>
        <w:left w:w="0" w:type="dxa"/>
        <w:top w:w="0" w:type="dxa"/>
        <w:right w:w="0" w:type="dxa"/>
        <w:bottom w:w="0" w:type="dxa"/>
      </w:tblCellMar>
    </w:tblPr>
  </w:style>
  <w:style w:type="table" w:styleId="1232" w:customStyle="1">
    <w:name w:val="Grid Table 1 Light - Accent 41"/>
    <w:uiPriority w:val="99"/>
    <w:qFormat/>
    <w:tblPr>
      <w:tblCellMar>
        <w:left w:w="0" w:type="dxa"/>
        <w:top w:w="0" w:type="dxa"/>
        <w:right w:w="0" w:type="dxa"/>
        <w:bottom w:w="0" w:type="dxa"/>
      </w:tblCellMar>
    </w:tblPr>
  </w:style>
  <w:style w:type="table" w:styleId="1233" w:customStyle="1">
    <w:name w:val="Grid Table 1 Light - Accent 51"/>
    <w:uiPriority w:val="99"/>
    <w:qFormat/>
    <w:tblPr>
      <w:tblCellMar>
        <w:left w:w="0" w:type="dxa"/>
        <w:top w:w="0" w:type="dxa"/>
        <w:right w:w="0" w:type="dxa"/>
        <w:bottom w:w="0" w:type="dxa"/>
      </w:tblCellMar>
    </w:tblPr>
  </w:style>
  <w:style w:type="table" w:styleId="1234" w:customStyle="1">
    <w:name w:val="Grid Table 1 Light - Accent 61"/>
    <w:uiPriority w:val="99"/>
    <w:qFormat/>
    <w:tblPr>
      <w:tblCellMar>
        <w:left w:w="0" w:type="dxa"/>
        <w:top w:w="0" w:type="dxa"/>
        <w:right w:w="0" w:type="dxa"/>
        <w:bottom w:w="0" w:type="dxa"/>
      </w:tblCellMar>
    </w:tblPr>
  </w:style>
  <w:style w:type="table" w:styleId="1235" w:customStyle="1">
    <w:name w:val="Grid Table 2 - Accent 11"/>
    <w:uiPriority w:val="99"/>
    <w:qFormat/>
    <w:tblPr>
      <w:tblCellMar>
        <w:left w:w="0" w:type="dxa"/>
        <w:top w:w="0" w:type="dxa"/>
        <w:right w:w="0" w:type="dxa"/>
        <w:bottom w:w="0" w:type="dxa"/>
      </w:tblCellMar>
    </w:tblPr>
  </w:style>
  <w:style w:type="table" w:styleId="1236" w:customStyle="1">
    <w:name w:val="Grid Table 2 - Accent 21"/>
    <w:uiPriority w:val="99"/>
    <w:qFormat/>
    <w:tblPr>
      <w:tblCellMar>
        <w:left w:w="0" w:type="dxa"/>
        <w:top w:w="0" w:type="dxa"/>
        <w:right w:w="0" w:type="dxa"/>
        <w:bottom w:w="0" w:type="dxa"/>
      </w:tblCellMar>
    </w:tblPr>
  </w:style>
  <w:style w:type="table" w:styleId="1237" w:customStyle="1">
    <w:name w:val="Grid Table 2 - Accent 31"/>
    <w:uiPriority w:val="99"/>
    <w:qFormat/>
    <w:tblPr>
      <w:tblCellMar>
        <w:left w:w="0" w:type="dxa"/>
        <w:top w:w="0" w:type="dxa"/>
        <w:right w:w="0" w:type="dxa"/>
        <w:bottom w:w="0" w:type="dxa"/>
      </w:tblCellMar>
    </w:tblPr>
  </w:style>
  <w:style w:type="table" w:styleId="1238" w:customStyle="1">
    <w:name w:val="Grid Table 2 - Accent 41"/>
    <w:uiPriority w:val="99"/>
    <w:qFormat/>
    <w:tblPr>
      <w:tblCellMar>
        <w:left w:w="0" w:type="dxa"/>
        <w:top w:w="0" w:type="dxa"/>
        <w:right w:w="0" w:type="dxa"/>
        <w:bottom w:w="0" w:type="dxa"/>
      </w:tblCellMar>
    </w:tblPr>
  </w:style>
  <w:style w:type="table" w:styleId="1239" w:customStyle="1">
    <w:name w:val="Grid Table 2 - Accent 51"/>
    <w:uiPriority w:val="99"/>
    <w:qFormat/>
    <w:tblPr>
      <w:tblCellMar>
        <w:left w:w="0" w:type="dxa"/>
        <w:top w:w="0" w:type="dxa"/>
        <w:right w:w="0" w:type="dxa"/>
        <w:bottom w:w="0" w:type="dxa"/>
      </w:tblCellMar>
    </w:tblPr>
  </w:style>
  <w:style w:type="table" w:styleId="1240" w:customStyle="1">
    <w:name w:val="Grid Table 2 - Accent 61"/>
    <w:uiPriority w:val="99"/>
    <w:qFormat/>
    <w:tblPr>
      <w:tblCellMar>
        <w:left w:w="0" w:type="dxa"/>
        <w:top w:w="0" w:type="dxa"/>
        <w:right w:w="0" w:type="dxa"/>
        <w:bottom w:w="0" w:type="dxa"/>
      </w:tblCellMar>
    </w:tblPr>
  </w:style>
  <w:style w:type="table" w:styleId="1241" w:customStyle="1">
    <w:name w:val="Grid Table 3 - Accent 11"/>
    <w:uiPriority w:val="99"/>
    <w:qFormat/>
    <w:tblPr>
      <w:tblCellMar>
        <w:left w:w="0" w:type="dxa"/>
        <w:top w:w="0" w:type="dxa"/>
        <w:right w:w="0" w:type="dxa"/>
        <w:bottom w:w="0" w:type="dxa"/>
      </w:tblCellMar>
    </w:tblPr>
  </w:style>
  <w:style w:type="table" w:styleId="1242" w:customStyle="1">
    <w:name w:val="Grid Table 3 - Accent 21"/>
    <w:uiPriority w:val="99"/>
    <w:qFormat/>
    <w:tblPr>
      <w:tblCellMar>
        <w:left w:w="0" w:type="dxa"/>
        <w:top w:w="0" w:type="dxa"/>
        <w:right w:w="0" w:type="dxa"/>
        <w:bottom w:w="0" w:type="dxa"/>
      </w:tblCellMar>
    </w:tblPr>
  </w:style>
  <w:style w:type="table" w:styleId="1243" w:customStyle="1">
    <w:name w:val="Grid Table 3 - Accent 31"/>
    <w:uiPriority w:val="99"/>
    <w:qFormat/>
    <w:tblPr>
      <w:tblCellMar>
        <w:left w:w="0" w:type="dxa"/>
        <w:top w:w="0" w:type="dxa"/>
        <w:right w:w="0" w:type="dxa"/>
        <w:bottom w:w="0" w:type="dxa"/>
      </w:tblCellMar>
    </w:tblPr>
  </w:style>
  <w:style w:type="table" w:styleId="1244" w:customStyle="1">
    <w:name w:val="Grid Table 3 - Accent 41"/>
    <w:uiPriority w:val="99"/>
    <w:qFormat/>
    <w:tblPr>
      <w:tblCellMar>
        <w:left w:w="0" w:type="dxa"/>
        <w:top w:w="0" w:type="dxa"/>
        <w:right w:w="0" w:type="dxa"/>
        <w:bottom w:w="0" w:type="dxa"/>
      </w:tblCellMar>
    </w:tblPr>
  </w:style>
  <w:style w:type="table" w:styleId="1245" w:customStyle="1">
    <w:name w:val="Grid Table 3 - Accent 51"/>
    <w:uiPriority w:val="99"/>
    <w:qFormat/>
    <w:tblPr>
      <w:tblCellMar>
        <w:left w:w="0" w:type="dxa"/>
        <w:top w:w="0" w:type="dxa"/>
        <w:right w:w="0" w:type="dxa"/>
        <w:bottom w:w="0" w:type="dxa"/>
      </w:tblCellMar>
    </w:tblPr>
  </w:style>
  <w:style w:type="table" w:styleId="1246" w:customStyle="1">
    <w:name w:val="Grid Table 3 - Accent 61"/>
    <w:uiPriority w:val="99"/>
    <w:qFormat/>
    <w:tblPr>
      <w:tblCellMar>
        <w:left w:w="0" w:type="dxa"/>
        <w:top w:w="0" w:type="dxa"/>
        <w:right w:w="0" w:type="dxa"/>
        <w:bottom w:w="0" w:type="dxa"/>
      </w:tblCellMar>
    </w:tblPr>
  </w:style>
  <w:style w:type="table" w:styleId="1247" w:customStyle="1">
    <w:name w:val="Grid Table 4 - Accent 11"/>
    <w:uiPriority w:val="59"/>
    <w:qFormat/>
    <w:tblPr>
      <w:tblCellMar>
        <w:left w:w="0" w:type="dxa"/>
        <w:top w:w="0" w:type="dxa"/>
        <w:right w:w="0" w:type="dxa"/>
        <w:bottom w:w="0" w:type="dxa"/>
      </w:tblCellMar>
    </w:tblPr>
  </w:style>
  <w:style w:type="table" w:styleId="1248" w:customStyle="1">
    <w:name w:val="Grid Table 4 - Accent 21"/>
    <w:uiPriority w:val="59"/>
    <w:qFormat/>
    <w:tblPr>
      <w:tblCellMar>
        <w:left w:w="0" w:type="dxa"/>
        <w:top w:w="0" w:type="dxa"/>
        <w:right w:w="0" w:type="dxa"/>
        <w:bottom w:w="0" w:type="dxa"/>
      </w:tblCellMar>
    </w:tblPr>
  </w:style>
  <w:style w:type="table" w:styleId="1249" w:customStyle="1">
    <w:name w:val="Grid Table 4 - Accent 31"/>
    <w:uiPriority w:val="59"/>
    <w:qFormat/>
    <w:tblPr>
      <w:tblCellMar>
        <w:left w:w="0" w:type="dxa"/>
        <w:top w:w="0" w:type="dxa"/>
        <w:right w:w="0" w:type="dxa"/>
        <w:bottom w:w="0" w:type="dxa"/>
      </w:tblCellMar>
    </w:tblPr>
  </w:style>
  <w:style w:type="table" w:styleId="1250" w:customStyle="1">
    <w:name w:val="Grid Table 4 - Accent 41"/>
    <w:uiPriority w:val="59"/>
    <w:qFormat/>
    <w:tblPr>
      <w:tblCellMar>
        <w:left w:w="0" w:type="dxa"/>
        <w:top w:w="0" w:type="dxa"/>
        <w:right w:w="0" w:type="dxa"/>
        <w:bottom w:w="0" w:type="dxa"/>
      </w:tblCellMar>
    </w:tblPr>
  </w:style>
  <w:style w:type="table" w:styleId="1251" w:customStyle="1">
    <w:name w:val="Grid Table 4 - Accent 51"/>
    <w:uiPriority w:val="59"/>
    <w:qFormat/>
    <w:tblPr>
      <w:tblCellMar>
        <w:left w:w="0" w:type="dxa"/>
        <w:top w:w="0" w:type="dxa"/>
        <w:right w:w="0" w:type="dxa"/>
        <w:bottom w:w="0" w:type="dxa"/>
      </w:tblCellMar>
    </w:tblPr>
  </w:style>
  <w:style w:type="table" w:styleId="1252" w:customStyle="1">
    <w:name w:val="Grid Table 4 - Accent 61"/>
    <w:uiPriority w:val="59"/>
    <w:qFormat/>
    <w:tblPr>
      <w:tblCellMar>
        <w:left w:w="0" w:type="dxa"/>
        <w:top w:w="0" w:type="dxa"/>
        <w:right w:w="0" w:type="dxa"/>
        <w:bottom w:w="0" w:type="dxa"/>
      </w:tblCellMar>
    </w:tblPr>
  </w:style>
  <w:style w:type="table" w:styleId="1253" w:customStyle="1">
    <w:name w:val="Grid Table 5 Dark- Accent 11"/>
    <w:uiPriority w:val="99"/>
    <w:qFormat/>
    <w:tblPr>
      <w:tblCellMar>
        <w:left w:w="0" w:type="dxa"/>
        <w:top w:w="0" w:type="dxa"/>
        <w:right w:w="0" w:type="dxa"/>
        <w:bottom w:w="0" w:type="dxa"/>
      </w:tblCellMar>
    </w:tblPr>
  </w:style>
  <w:style w:type="table" w:styleId="1254" w:customStyle="1">
    <w:name w:val="Grid Table 5 Dark - Accent 21"/>
    <w:uiPriority w:val="99"/>
    <w:qFormat/>
    <w:tblPr>
      <w:tblCellMar>
        <w:left w:w="0" w:type="dxa"/>
        <w:top w:w="0" w:type="dxa"/>
        <w:right w:w="0" w:type="dxa"/>
        <w:bottom w:w="0" w:type="dxa"/>
      </w:tblCellMar>
    </w:tblPr>
  </w:style>
  <w:style w:type="table" w:styleId="1255" w:customStyle="1">
    <w:name w:val="Grid Table 5 Dark - Accent 31"/>
    <w:uiPriority w:val="99"/>
    <w:qFormat/>
    <w:tblPr>
      <w:tblCellMar>
        <w:left w:w="0" w:type="dxa"/>
        <w:top w:w="0" w:type="dxa"/>
        <w:right w:w="0" w:type="dxa"/>
        <w:bottom w:w="0" w:type="dxa"/>
      </w:tblCellMar>
    </w:tblPr>
  </w:style>
  <w:style w:type="table" w:styleId="1256" w:customStyle="1">
    <w:name w:val="Grid Table 5 Dark- Accent 41"/>
    <w:uiPriority w:val="99"/>
    <w:qFormat/>
    <w:tblPr>
      <w:tblCellMar>
        <w:left w:w="0" w:type="dxa"/>
        <w:top w:w="0" w:type="dxa"/>
        <w:right w:w="0" w:type="dxa"/>
        <w:bottom w:w="0" w:type="dxa"/>
      </w:tblCellMar>
    </w:tblPr>
  </w:style>
  <w:style w:type="table" w:styleId="1257" w:customStyle="1">
    <w:name w:val="Grid Table 5 Dark - Accent 51"/>
    <w:uiPriority w:val="99"/>
    <w:qFormat/>
    <w:tblPr>
      <w:tblCellMar>
        <w:left w:w="0" w:type="dxa"/>
        <w:top w:w="0" w:type="dxa"/>
        <w:right w:w="0" w:type="dxa"/>
        <w:bottom w:w="0" w:type="dxa"/>
      </w:tblCellMar>
    </w:tblPr>
  </w:style>
  <w:style w:type="table" w:styleId="1258" w:customStyle="1">
    <w:name w:val="Grid Table 5 Dark - Accent 61"/>
    <w:uiPriority w:val="99"/>
    <w:qFormat/>
    <w:tblPr>
      <w:tblCellMar>
        <w:left w:w="0" w:type="dxa"/>
        <w:top w:w="0" w:type="dxa"/>
        <w:right w:w="0" w:type="dxa"/>
        <w:bottom w:w="0" w:type="dxa"/>
      </w:tblCellMar>
    </w:tblPr>
  </w:style>
  <w:style w:type="table" w:styleId="1259" w:customStyle="1">
    <w:name w:val="Grid Table 6 Colorful - Accent 11"/>
    <w:uiPriority w:val="99"/>
    <w:qFormat/>
    <w:tblPr>
      <w:tblCellMar>
        <w:left w:w="0" w:type="dxa"/>
        <w:top w:w="0" w:type="dxa"/>
        <w:right w:w="0" w:type="dxa"/>
        <w:bottom w:w="0" w:type="dxa"/>
      </w:tblCellMar>
    </w:tblPr>
  </w:style>
  <w:style w:type="table" w:styleId="1260" w:customStyle="1">
    <w:name w:val="Grid Table 6 Colorful - Accent 21"/>
    <w:uiPriority w:val="99"/>
    <w:qFormat/>
    <w:tblPr>
      <w:tblCellMar>
        <w:left w:w="0" w:type="dxa"/>
        <w:top w:w="0" w:type="dxa"/>
        <w:right w:w="0" w:type="dxa"/>
        <w:bottom w:w="0" w:type="dxa"/>
      </w:tblCellMar>
    </w:tblPr>
  </w:style>
  <w:style w:type="table" w:styleId="1261" w:customStyle="1">
    <w:name w:val="Grid Table 6 Colorful - Accent 31"/>
    <w:uiPriority w:val="99"/>
    <w:qFormat/>
    <w:tblPr>
      <w:tblCellMar>
        <w:left w:w="0" w:type="dxa"/>
        <w:top w:w="0" w:type="dxa"/>
        <w:right w:w="0" w:type="dxa"/>
        <w:bottom w:w="0" w:type="dxa"/>
      </w:tblCellMar>
    </w:tblPr>
  </w:style>
  <w:style w:type="table" w:styleId="1262" w:customStyle="1">
    <w:name w:val="Grid Table 6 Colorful - Accent 41"/>
    <w:uiPriority w:val="99"/>
    <w:qFormat/>
    <w:tblPr>
      <w:tblCellMar>
        <w:left w:w="0" w:type="dxa"/>
        <w:top w:w="0" w:type="dxa"/>
        <w:right w:w="0" w:type="dxa"/>
        <w:bottom w:w="0" w:type="dxa"/>
      </w:tblCellMar>
    </w:tblPr>
  </w:style>
  <w:style w:type="table" w:styleId="1263" w:customStyle="1">
    <w:name w:val="Grid Table 6 Colorful - Accent 51"/>
    <w:uiPriority w:val="99"/>
    <w:qFormat/>
    <w:tblPr>
      <w:tblCellMar>
        <w:left w:w="0" w:type="dxa"/>
        <w:top w:w="0" w:type="dxa"/>
        <w:right w:w="0" w:type="dxa"/>
        <w:bottom w:w="0" w:type="dxa"/>
      </w:tblCellMar>
    </w:tblPr>
  </w:style>
  <w:style w:type="table" w:styleId="1264" w:customStyle="1">
    <w:name w:val="Grid Table 6 Colorful - Accent 61"/>
    <w:uiPriority w:val="99"/>
    <w:qFormat/>
    <w:tblPr>
      <w:tblCellMar>
        <w:left w:w="0" w:type="dxa"/>
        <w:top w:w="0" w:type="dxa"/>
        <w:right w:w="0" w:type="dxa"/>
        <w:bottom w:w="0" w:type="dxa"/>
      </w:tblCellMar>
    </w:tblPr>
  </w:style>
  <w:style w:type="table" w:styleId="1265" w:customStyle="1">
    <w:name w:val="Grid Table 7 Colorful - Accent 11"/>
    <w:uiPriority w:val="99"/>
    <w:qFormat/>
    <w:tblPr>
      <w:tblCellMar>
        <w:left w:w="0" w:type="dxa"/>
        <w:top w:w="0" w:type="dxa"/>
        <w:right w:w="0" w:type="dxa"/>
        <w:bottom w:w="0" w:type="dxa"/>
      </w:tblCellMar>
    </w:tblPr>
  </w:style>
  <w:style w:type="table" w:styleId="1266" w:customStyle="1">
    <w:name w:val="Grid Table 7 Colorful - Accent 21"/>
    <w:uiPriority w:val="99"/>
    <w:qFormat/>
    <w:tblPr>
      <w:tblCellMar>
        <w:left w:w="0" w:type="dxa"/>
        <w:top w:w="0" w:type="dxa"/>
        <w:right w:w="0" w:type="dxa"/>
        <w:bottom w:w="0" w:type="dxa"/>
      </w:tblCellMar>
    </w:tblPr>
  </w:style>
  <w:style w:type="table" w:styleId="1267" w:customStyle="1">
    <w:name w:val="Grid Table 7 Colorful - Accent 31"/>
    <w:uiPriority w:val="99"/>
    <w:qFormat/>
    <w:tblPr>
      <w:tblCellMar>
        <w:left w:w="0" w:type="dxa"/>
        <w:top w:w="0" w:type="dxa"/>
        <w:right w:w="0" w:type="dxa"/>
        <w:bottom w:w="0" w:type="dxa"/>
      </w:tblCellMar>
    </w:tblPr>
  </w:style>
  <w:style w:type="table" w:styleId="1268" w:customStyle="1">
    <w:name w:val="Grid Table 7 Colorful - Accent 41"/>
    <w:uiPriority w:val="99"/>
    <w:qFormat/>
    <w:tblPr>
      <w:tblCellMar>
        <w:left w:w="0" w:type="dxa"/>
        <w:top w:w="0" w:type="dxa"/>
        <w:right w:w="0" w:type="dxa"/>
        <w:bottom w:w="0" w:type="dxa"/>
      </w:tblCellMar>
    </w:tblPr>
  </w:style>
  <w:style w:type="table" w:styleId="1269" w:customStyle="1">
    <w:name w:val="Grid Table 7 Colorful - Accent 51"/>
    <w:uiPriority w:val="99"/>
    <w:qFormat/>
    <w:tblPr>
      <w:tblCellMar>
        <w:left w:w="0" w:type="dxa"/>
        <w:top w:w="0" w:type="dxa"/>
        <w:right w:w="0" w:type="dxa"/>
        <w:bottom w:w="0" w:type="dxa"/>
      </w:tblCellMar>
    </w:tblPr>
  </w:style>
  <w:style w:type="table" w:styleId="1270" w:customStyle="1">
    <w:name w:val="Grid Table 7 Colorful - Accent 61"/>
    <w:uiPriority w:val="99"/>
    <w:qFormat/>
    <w:tblPr>
      <w:tblCellMar>
        <w:left w:w="0" w:type="dxa"/>
        <w:top w:w="0" w:type="dxa"/>
        <w:right w:w="0" w:type="dxa"/>
        <w:bottom w:w="0" w:type="dxa"/>
      </w:tblCellMar>
    </w:tblPr>
  </w:style>
  <w:style w:type="table" w:styleId="1271" w:customStyle="1">
    <w:name w:val="List Table 1 Light - Accent 11"/>
    <w:uiPriority w:val="99"/>
    <w:qFormat/>
    <w:tblPr>
      <w:tblCellMar>
        <w:left w:w="0" w:type="dxa"/>
        <w:top w:w="0" w:type="dxa"/>
        <w:right w:w="0" w:type="dxa"/>
        <w:bottom w:w="0" w:type="dxa"/>
      </w:tblCellMar>
    </w:tblPr>
  </w:style>
  <w:style w:type="table" w:styleId="1272" w:customStyle="1">
    <w:name w:val="List Table 1 Light - Accent 21"/>
    <w:uiPriority w:val="99"/>
    <w:qFormat/>
    <w:tblPr>
      <w:tblCellMar>
        <w:left w:w="0" w:type="dxa"/>
        <w:top w:w="0" w:type="dxa"/>
        <w:right w:w="0" w:type="dxa"/>
        <w:bottom w:w="0" w:type="dxa"/>
      </w:tblCellMar>
    </w:tblPr>
  </w:style>
  <w:style w:type="table" w:styleId="1273" w:customStyle="1">
    <w:name w:val="List Table 1 Light - Accent 31"/>
    <w:uiPriority w:val="99"/>
    <w:qFormat/>
    <w:tblPr>
      <w:tblCellMar>
        <w:left w:w="0" w:type="dxa"/>
        <w:top w:w="0" w:type="dxa"/>
        <w:right w:w="0" w:type="dxa"/>
        <w:bottom w:w="0" w:type="dxa"/>
      </w:tblCellMar>
    </w:tblPr>
  </w:style>
  <w:style w:type="table" w:styleId="1274" w:customStyle="1">
    <w:name w:val="List Table 1 Light - Accent 41"/>
    <w:uiPriority w:val="99"/>
    <w:qFormat/>
    <w:tblPr>
      <w:tblCellMar>
        <w:left w:w="0" w:type="dxa"/>
        <w:top w:w="0" w:type="dxa"/>
        <w:right w:w="0" w:type="dxa"/>
        <w:bottom w:w="0" w:type="dxa"/>
      </w:tblCellMar>
    </w:tblPr>
  </w:style>
  <w:style w:type="table" w:styleId="1275" w:customStyle="1">
    <w:name w:val="List Table 1 Light - Accent 51"/>
    <w:uiPriority w:val="99"/>
    <w:qFormat/>
    <w:tblPr>
      <w:tblCellMar>
        <w:left w:w="0" w:type="dxa"/>
        <w:top w:w="0" w:type="dxa"/>
        <w:right w:w="0" w:type="dxa"/>
        <w:bottom w:w="0" w:type="dxa"/>
      </w:tblCellMar>
    </w:tblPr>
  </w:style>
  <w:style w:type="table" w:styleId="1276" w:customStyle="1">
    <w:name w:val="List Table 1 Light - Accent 61"/>
    <w:uiPriority w:val="99"/>
    <w:qFormat/>
    <w:tblPr>
      <w:tblCellMar>
        <w:left w:w="0" w:type="dxa"/>
        <w:top w:w="0" w:type="dxa"/>
        <w:right w:w="0" w:type="dxa"/>
        <w:bottom w:w="0" w:type="dxa"/>
      </w:tblCellMar>
    </w:tblPr>
  </w:style>
  <w:style w:type="table" w:styleId="1277" w:customStyle="1">
    <w:name w:val="List Table 2 - Accent 11"/>
    <w:uiPriority w:val="99"/>
    <w:qFormat/>
    <w:tblPr>
      <w:tblCellMar>
        <w:left w:w="0" w:type="dxa"/>
        <w:top w:w="0" w:type="dxa"/>
        <w:right w:w="0" w:type="dxa"/>
        <w:bottom w:w="0" w:type="dxa"/>
      </w:tblCellMar>
    </w:tblPr>
  </w:style>
  <w:style w:type="table" w:styleId="1278" w:customStyle="1">
    <w:name w:val="List Table 2 - Accent 21"/>
    <w:uiPriority w:val="99"/>
    <w:qFormat/>
    <w:tblPr>
      <w:tblCellMar>
        <w:left w:w="0" w:type="dxa"/>
        <w:top w:w="0" w:type="dxa"/>
        <w:right w:w="0" w:type="dxa"/>
        <w:bottom w:w="0" w:type="dxa"/>
      </w:tblCellMar>
    </w:tblPr>
  </w:style>
  <w:style w:type="table" w:styleId="1279" w:customStyle="1">
    <w:name w:val="List Table 2 - Accent 31"/>
    <w:uiPriority w:val="99"/>
    <w:qFormat/>
    <w:tblPr>
      <w:tblCellMar>
        <w:left w:w="0" w:type="dxa"/>
        <w:top w:w="0" w:type="dxa"/>
        <w:right w:w="0" w:type="dxa"/>
        <w:bottom w:w="0" w:type="dxa"/>
      </w:tblCellMar>
    </w:tblPr>
  </w:style>
  <w:style w:type="table" w:styleId="1280" w:customStyle="1">
    <w:name w:val="List Table 2 - Accent 41"/>
    <w:uiPriority w:val="99"/>
    <w:qFormat/>
    <w:tblPr>
      <w:tblCellMar>
        <w:left w:w="0" w:type="dxa"/>
        <w:top w:w="0" w:type="dxa"/>
        <w:right w:w="0" w:type="dxa"/>
        <w:bottom w:w="0" w:type="dxa"/>
      </w:tblCellMar>
    </w:tblPr>
  </w:style>
  <w:style w:type="table" w:styleId="1281" w:customStyle="1">
    <w:name w:val="List Table 2 - Accent 51"/>
    <w:uiPriority w:val="99"/>
    <w:qFormat/>
    <w:tblPr>
      <w:tblCellMar>
        <w:left w:w="0" w:type="dxa"/>
        <w:top w:w="0" w:type="dxa"/>
        <w:right w:w="0" w:type="dxa"/>
        <w:bottom w:w="0" w:type="dxa"/>
      </w:tblCellMar>
    </w:tblPr>
  </w:style>
  <w:style w:type="table" w:styleId="1282" w:customStyle="1">
    <w:name w:val="List Table 2 - Accent 61"/>
    <w:uiPriority w:val="99"/>
    <w:qFormat/>
    <w:tblPr>
      <w:tblCellMar>
        <w:left w:w="0" w:type="dxa"/>
        <w:top w:w="0" w:type="dxa"/>
        <w:right w:w="0" w:type="dxa"/>
        <w:bottom w:w="0" w:type="dxa"/>
      </w:tblCellMar>
    </w:tblPr>
  </w:style>
  <w:style w:type="table" w:styleId="1283" w:customStyle="1">
    <w:name w:val="List Table 3 - Accent 11"/>
    <w:uiPriority w:val="99"/>
    <w:qFormat/>
    <w:tblPr>
      <w:tblCellMar>
        <w:left w:w="0" w:type="dxa"/>
        <w:top w:w="0" w:type="dxa"/>
        <w:right w:w="0" w:type="dxa"/>
        <w:bottom w:w="0" w:type="dxa"/>
      </w:tblCellMar>
    </w:tblPr>
  </w:style>
  <w:style w:type="table" w:styleId="1284" w:customStyle="1">
    <w:name w:val="List Table 3 - Accent 21"/>
    <w:uiPriority w:val="99"/>
    <w:qFormat/>
    <w:tblPr>
      <w:tblCellMar>
        <w:left w:w="0" w:type="dxa"/>
        <w:top w:w="0" w:type="dxa"/>
        <w:right w:w="0" w:type="dxa"/>
        <w:bottom w:w="0" w:type="dxa"/>
      </w:tblCellMar>
    </w:tblPr>
  </w:style>
  <w:style w:type="table" w:styleId="1285" w:customStyle="1">
    <w:name w:val="List Table 3 - Accent 31"/>
    <w:uiPriority w:val="99"/>
    <w:qFormat/>
    <w:tblPr>
      <w:tblCellMar>
        <w:left w:w="0" w:type="dxa"/>
        <w:top w:w="0" w:type="dxa"/>
        <w:right w:w="0" w:type="dxa"/>
        <w:bottom w:w="0" w:type="dxa"/>
      </w:tblCellMar>
    </w:tblPr>
  </w:style>
  <w:style w:type="table" w:styleId="1286" w:customStyle="1">
    <w:name w:val="List Table 3 - Accent 41"/>
    <w:uiPriority w:val="99"/>
    <w:qFormat/>
    <w:tblPr>
      <w:tblCellMar>
        <w:left w:w="0" w:type="dxa"/>
        <w:top w:w="0" w:type="dxa"/>
        <w:right w:w="0" w:type="dxa"/>
        <w:bottom w:w="0" w:type="dxa"/>
      </w:tblCellMar>
    </w:tblPr>
  </w:style>
  <w:style w:type="table" w:styleId="1287" w:customStyle="1">
    <w:name w:val="List Table 3 - Accent 51"/>
    <w:uiPriority w:val="99"/>
    <w:qFormat/>
    <w:tblPr>
      <w:tblCellMar>
        <w:left w:w="0" w:type="dxa"/>
        <w:top w:w="0" w:type="dxa"/>
        <w:right w:w="0" w:type="dxa"/>
        <w:bottom w:w="0" w:type="dxa"/>
      </w:tblCellMar>
    </w:tblPr>
  </w:style>
  <w:style w:type="table" w:styleId="1288" w:customStyle="1">
    <w:name w:val="List Table 3 - Accent 61"/>
    <w:uiPriority w:val="99"/>
    <w:qFormat/>
    <w:tblPr>
      <w:tblCellMar>
        <w:left w:w="0" w:type="dxa"/>
        <w:top w:w="0" w:type="dxa"/>
        <w:right w:w="0" w:type="dxa"/>
        <w:bottom w:w="0" w:type="dxa"/>
      </w:tblCellMar>
    </w:tblPr>
  </w:style>
  <w:style w:type="table" w:styleId="1289" w:customStyle="1">
    <w:name w:val="List Table 4 - Accent 11"/>
    <w:uiPriority w:val="99"/>
    <w:qFormat/>
    <w:tblPr>
      <w:tblCellMar>
        <w:left w:w="0" w:type="dxa"/>
        <w:top w:w="0" w:type="dxa"/>
        <w:right w:w="0" w:type="dxa"/>
        <w:bottom w:w="0" w:type="dxa"/>
      </w:tblCellMar>
    </w:tblPr>
  </w:style>
  <w:style w:type="table" w:styleId="1290" w:customStyle="1">
    <w:name w:val="List Table 4 - Accent 21"/>
    <w:uiPriority w:val="99"/>
    <w:qFormat/>
    <w:tblPr>
      <w:tblCellMar>
        <w:left w:w="0" w:type="dxa"/>
        <w:top w:w="0" w:type="dxa"/>
        <w:right w:w="0" w:type="dxa"/>
        <w:bottom w:w="0" w:type="dxa"/>
      </w:tblCellMar>
    </w:tblPr>
  </w:style>
  <w:style w:type="table" w:styleId="1291" w:customStyle="1">
    <w:name w:val="List Table 4 - Accent 31"/>
    <w:uiPriority w:val="99"/>
    <w:qFormat/>
    <w:tblPr>
      <w:tblCellMar>
        <w:left w:w="0" w:type="dxa"/>
        <w:top w:w="0" w:type="dxa"/>
        <w:right w:w="0" w:type="dxa"/>
        <w:bottom w:w="0" w:type="dxa"/>
      </w:tblCellMar>
    </w:tblPr>
  </w:style>
  <w:style w:type="table" w:styleId="1292" w:customStyle="1">
    <w:name w:val="List Table 4 - Accent 41"/>
    <w:uiPriority w:val="99"/>
    <w:qFormat/>
    <w:tblPr>
      <w:tblCellMar>
        <w:left w:w="0" w:type="dxa"/>
        <w:top w:w="0" w:type="dxa"/>
        <w:right w:w="0" w:type="dxa"/>
        <w:bottom w:w="0" w:type="dxa"/>
      </w:tblCellMar>
    </w:tblPr>
  </w:style>
  <w:style w:type="table" w:styleId="1293" w:customStyle="1">
    <w:name w:val="List Table 4 - Accent 51"/>
    <w:uiPriority w:val="99"/>
    <w:qFormat/>
    <w:tblPr>
      <w:tblCellMar>
        <w:left w:w="0" w:type="dxa"/>
        <w:top w:w="0" w:type="dxa"/>
        <w:right w:w="0" w:type="dxa"/>
        <w:bottom w:w="0" w:type="dxa"/>
      </w:tblCellMar>
    </w:tblPr>
  </w:style>
  <w:style w:type="table" w:styleId="1294" w:customStyle="1">
    <w:name w:val="List Table 4 - Accent 61"/>
    <w:uiPriority w:val="99"/>
    <w:qFormat/>
    <w:tblPr>
      <w:tblCellMar>
        <w:left w:w="0" w:type="dxa"/>
        <w:top w:w="0" w:type="dxa"/>
        <w:right w:w="0" w:type="dxa"/>
        <w:bottom w:w="0" w:type="dxa"/>
      </w:tblCellMar>
    </w:tblPr>
  </w:style>
  <w:style w:type="table" w:styleId="1295" w:customStyle="1">
    <w:name w:val="List Table 5 Dark - Accent 11"/>
    <w:uiPriority w:val="99"/>
    <w:qFormat/>
    <w:tblPr>
      <w:tblCellMar>
        <w:left w:w="0" w:type="dxa"/>
        <w:top w:w="0" w:type="dxa"/>
        <w:right w:w="0" w:type="dxa"/>
        <w:bottom w:w="0" w:type="dxa"/>
      </w:tblCellMar>
    </w:tblPr>
  </w:style>
  <w:style w:type="table" w:styleId="1296" w:customStyle="1">
    <w:name w:val="List Table 5 Dark - Accent 21"/>
    <w:uiPriority w:val="99"/>
    <w:qFormat/>
    <w:tblPr>
      <w:tblCellMar>
        <w:left w:w="0" w:type="dxa"/>
        <w:top w:w="0" w:type="dxa"/>
        <w:right w:w="0" w:type="dxa"/>
        <w:bottom w:w="0" w:type="dxa"/>
      </w:tblCellMar>
    </w:tblPr>
  </w:style>
  <w:style w:type="table" w:styleId="1297" w:customStyle="1">
    <w:name w:val="List Table 5 Dark - Accent 31"/>
    <w:uiPriority w:val="99"/>
    <w:qFormat/>
    <w:tblPr>
      <w:tblCellMar>
        <w:left w:w="0" w:type="dxa"/>
        <w:top w:w="0" w:type="dxa"/>
        <w:right w:w="0" w:type="dxa"/>
        <w:bottom w:w="0" w:type="dxa"/>
      </w:tblCellMar>
    </w:tblPr>
  </w:style>
  <w:style w:type="table" w:styleId="1298" w:customStyle="1">
    <w:name w:val="List Table 5 Dark - Accent 41"/>
    <w:uiPriority w:val="99"/>
    <w:qFormat/>
    <w:tblPr>
      <w:tblCellMar>
        <w:left w:w="0" w:type="dxa"/>
        <w:top w:w="0" w:type="dxa"/>
        <w:right w:w="0" w:type="dxa"/>
        <w:bottom w:w="0" w:type="dxa"/>
      </w:tblCellMar>
    </w:tblPr>
  </w:style>
  <w:style w:type="table" w:styleId="1299" w:customStyle="1">
    <w:name w:val="List Table 5 Dark - Accent 51"/>
    <w:uiPriority w:val="99"/>
    <w:qFormat/>
    <w:tblPr>
      <w:tblCellMar>
        <w:left w:w="0" w:type="dxa"/>
        <w:top w:w="0" w:type="dxa"/>
        <w:right w:w="0" w:type="dxa"/>
        <w:bottom w:w="0" w:type="dxa"/>
      </w:tblCellMar>
    </w:tblPr>
  </w:style>
  <w:style w:type="table" w:styleId="1300" w:customStyle="1">
    <w:name w:val="List Table 5 Dark - Accent 61"/>
    <w:uiPriority w:val="99"/>
    <w:qFormat/>
    <w:tblPr>
      <w:tblCellMar>
        <w:left w:w="0" w:type="dxa"/>
        <w:top w:w="0" w:type="dxa"/>
        <w:right w:w="0" w:type="dxa"/>
        <w:bottom w:w="0" w:type="dxa"/>
      </w:tblCellMar>
    </w:tblPr>
  </w:style>
  <w:style w:type="table" w:styleId="1301" w:customStyle="1">
    <w:name w:val="List Table 6 Colorful - Accent 11"/>
    <w:uiPriority w:val="99"/>
    <w:qFormat/>
    <w:tblPr>
      <w:tblCellMar>
        <w:left w:w="0" w:type="dxa"/>
        <w:top w:w="0" w:type="dxa"/>
        <w:right w:w="0" w:type="dxa"/>
        <w:bottom w:w="0" w:type="dxa"/>
      </w:tblCellMar>
    </w:tblPr>
  </w:style>
  <w:style w:type="table" w:styleId="1302" w:customStyle="1">
    <w:name w:val="List Table 6 Colorful - Accent 21"/>
    <w:uiPriority w:val="99"/>
    <w:qFormat/>
    <w:tblPr>
      <w:tblCellMar>
        <w:left w:w="0" w:type="dxa"/>
        <w:top w:w="0" w:type="dxa"/>
        <w:right w:w="0" w:type="dxa"/>
        <w:bottom w:w="0" w:type="dxa"/>
      </w:tblCellMar>
    </w:tblPr>
  </w:style>
  <w:style w:type="table" w:styleId="1303" w:customStyle="1">
    <w:name w:val="List Table 6 Colorful - Accent 31"/>
    <w:uiPriority w:val="99"/>
    <w:qFormat/>
    <w:tblPr>
      <w:tblCellMar>
        <w:left w:w="0" w:type="dxa"/>
        <w:top w:w="0" w:type="dxa"/>
        <w:right w:w="0" w:type="dxa"/>
        <w:bottom w:w="0" w:type="dxa"/>
      </w:tblCellMar>
    </w:tblPr>
  </w:style>
  <w:style w:type="table" w:styleId="1304" w:customStyle="1">
    <w:name w:val="List Table 6 Colorful - Accent 41"/>
    <w:uiPriority w:val="99"/>
    <w:qFormat/>
    <w:tblPr>
      <w:tblCellMar>
        <w:left w:w="0" w:type="dxa"/>
        <w:top w:w="0" w:type="dxa"/>
        <w:right w:w="0" w:type="dxa"/>
        <w:bottom w:w="0" w:type="dxa"/>
      </w:tblCellMar>
    </w:tblPr>
  </w:style>
  <w:style w:type="table" w:styleId="1305" w:customStyle="1">
    <w:name w:val="List Table 6 Colorful - Accent 51"/>
    <w:uiPriority w:val="99"/>
    <w:qFormat/>
    <w:tblPr>
      <w:tblCellMar>
        <w:left w:w="0" w:type="dxa"/>
        <w:top w:w="0" w:type="dxa"/>
        <w:right w:w="0" w:type="dxa"/>
        <w:bottom w:w="0" w:type="dxa"/>
      </w:tblCellMar>
    </w:tblPr>
  </w:style>
  <w:style w:type="table" w:styleId="1306" w:customStyle="1">
    <w:name w:val="List Table 6 Colorful - Accent 61"/>
    <w:uiPriority w:val="99"/>
    <w:qFormat/>
    <w:tblPr>
      <w:tblCellMar>
        <w:left w:w="0" w:type="dxa"/>
        <w:top w:w="0" w:type="dxa"/>
        <w:right w:w="0" w:type="dxa"/>
        <w:bottom w:w="0" w:type="dxa"/>
      </w:tblCellMar>
    </w:tblPr>
  </w:style>
  <w:style w:type="table" w:styleId="1307" w:customStyle="1">
    <w:name w:val="List Table 7 Colorful - Accent 11"/>
    <w:uiPriority w:val="99"/>
    <w:qFormat/>
    <w:tblPr>
      <w:tblCellMar>
        <w:left w:w="0" w:type="dxa"/>
        <w:top w:w="0" w:type="dxa"/>
        <w:right w:w="0" w:type="dxa"/>
        <w:bottom w:w="0" w:type="dxa"/>
      </w:tblCellMar>
    </w:tblPr>
  </w:style>
  <w:style w:type="table" w:styleId="1308" w:customStyle="1">
    <w:name w:val="List Table 7 Colorful - Accent 21"/>
    <w:uiPriority w:val="99"/>
    <w:qFormat/>
    <w:tblPr>
      <w:tblCellMar>
        <w:left w:w="0" w:type="dxa"/>
        <w:top w:w="0" w:type="dxa"/>
        <w:right w:w="0" w:type="dxa"/>
        <w:bottom w:w="0" w:type="dxa"/>
      </w:tblCellMar>
    </w:tblPr>
  </w:style>
  <w:style w:type="table" w:styleId="1309" w:customStyle="1">
    <w:name w:val="List Table 7 Colorful - Accent 31"/>
    <w:uiPriority w:val="99"/>
    <w:qFormat/>
    <w:tblPr>
      <w:tblCellMar>
        <w:left w:w="0" w:type="dxa"/>
        <w:top w:w="0" w:type="dxa"/>
        <w:right w:w="0" w:type="dxa"/>
        <w:bottom w:w="0" w:type="dxa"/>
      </w:tblCellMar>
    </w:tblPr>
  </w:style>
  <w:style w:type="table" w:styleId="1310" w:customStyle="1">
    <w:name w:val="List Table 7 Colorful - Accent 41"/>
    <w:uiPriority w:val="99"/>
    <w:qFormat/>
    <w:tblPr>
      <w:tblCellMar>
        <w:left w:w="0" w:type="dxa"/>
        <w:top w:w="0" w:type="dxa"/>
        <w:right w:w="0" w:type="dxa"/>
        <w:bottom w:w="0" w:type="dxa"/>
      </w:tblCellMar>
    </w:tblPr>
  </w:style>
  <w:style w:type="table" w:styleId="1311" w:customStyle="1">
    <w:name w:val="List Table 7 Colorful - Accent 51"/>
    <w:uiPriority w:val="99"/>
    <w:qFormat/>
    <w:tblPr>
      <w:tblCellMar>
        <w:left w:w="0" w:type="dxa"/>
        <w:top w:w="0" w:type="dxa"/>
        <w:right w:w="0" w:type="dxa"/>
        <w:bottom w:w="0" w:type="dxa"/>
      </w:tblCellMar>
    </w:tblPr>
  </w:style>
  <w:style w:type="table" w:styleId="1312" w:customStyle="1">
    <w:name w:val="List Table 7 Colorful - Accent 61"/>
    <w:uiPriority w:val="99"/>
    <w:qFormat/>
    <w:tblPr>
      <w:tblCellMar>
        <w:left w:w="0" w:type="dxa"/>
        <w:top w:w="0" w:type="dxa"/>
        <w:right w:w="0" w:type="dxa"/>
        <w:bottom w:w="0" w:type="dxa"/>
      </w:tblCellMar>
    </w:tblPr>
  </w:style>
  <w:style w:type="table" w:styleId="1313" w:customStyle="1">
    <w:name w:val="Lined - Accent 11"/>
    <w:uiPriority w:val="99"/>
    <w:qFormat/>
    <w:rPr>
      <w:color w:val="404040"/>
    </w:rPr>
    <w:tblPr>
      <w:tblCellMar>
        <w:left w:w="0" w:type="dxa"/>
        <w:top w:w="0" w:type="dxa"/>
        <w:right w:w="0" w:type="dxa"/>
        <w:bottom w:w="0" w:type="dxa"/>
      </w:tblCellMar>
    </w:tblPr>
  </w:style>
  <w:style w:type="table" w:styleId="1314" w:customStyle="1">
    <w:name w:val="Lined - Accent 21"/>
    <w:uiPriority w:val="99"/>
    <w:qFormat/>
    <w:rPr>
      <w:color w:val="404040"/>
    </w:rPr>
    <w:tblPr>
      <w:tblCellMar>
        <w:left w:w="0" w:type="dxa"/>
        <w:top w:w="0" w:type="dxa"/>
        <w:right w:w="0" w:type="dxa"/>
        <w:bottom w:w="0" w:type="dxa"/>
      </w:tblCellMar>
    </w:tblPr>
  </w:style>
  <w:style w:type="table" w:styleId="1315" w:customStyle="1">
    <w:name w:val="Lined - Accent 31"/>
    <w:uiPriority w:val="99"/>
    <w:qFormat/>
    <w:rPr>
      <w:color w:val="404040"/>
    </w:rPr>
    <w:tblPr>
      <w:tblCellMar>
        <w:left w:w="0" w:type="dxa"/>
        <w:top w:w="0" w:type="dxa"/>
        <w:right w:w="0" w:type="dxa"/>
        <w:bottom w:w="0" w:type="dxa"/>
      </w:tblCellMar>
    </w:tblPr>
  </w:style>
  <w:style w:type="table" w:styleId="1316" w:customStyle="1">
    <w:name w:val="Lined - Accent 41"/>
    <w:uiPriority w:val="99"/>
    <w:qFormat/>
    <w:rPr>
      <w:color w:val="404040"/>
    </w:rPr>
    <w:tblPr>
      <w:tblCellMar>
        <w:left w:w="0" w:type="dxa"/>
        <w:top w:w="0" w:type="dxa"/>
        <w:right w:w="0" w:type="dxa"/>
        <w:bottom w:w="0" w:type="dxa"/>
      </w:tblCellMar>
    </w:tblPr>
  </w:style>
  <w:style w:type="table" w:styleId="1317" w:customStyle="1">
    <w:name w:val="Lined - Accent 51"/>
    <w:uiPriority w:val="99"/>
    <w:qFormat/>
    <w:rPr>
      <w:color w:val="404040"/>
    </w:rPr>
    <w:tblPr>
      <w:tblCellMar>
        <w:left w:w="0" w:type="dxa"/>
        <w:top w:w="0" w:type="dxa"/>
        <w:right w:w="0" w:type="dxa"/>
        <w:bottom w:w="0" w:type="dxa"/>
      </w:tblCellMar>
    </w:tblPr>
  </w:style>
  <w:style w:type="table" w:styleId="1318" w:customStyle="1">
    <w:name w:val="Lined - Accent 61"/>
    <w:uiPriority w:val="99"/>
    <w:qFormat/>
    <w:rPr>
      <w:color w:val="404040"/>
    </w:rPr>
    <w:tblPr>
      <w:tblCellMar>
        <w:left w:w="0" w:type="dxa"/>
        <w:top w:w="0" w:type="dxa"/>
        <w:right w:w="0" w:type="dxa"/>
        <w:bottom w:w="0" w:type="dxa"/>
      </w:tblCellMar>
    </w:tblPr>
  </w:style>
  <w:style w:type="table" w:styleId="1319" w:customStyle="1">
    <w:name w:val="Bordered &amp; Lined - Accent 11"/>
    <w:uiPriority w:val="99"/>
    <w:qFormat/>
    <w:rPr>
      <w:color w:val="404040"/>
    </w:rPr>
    <w:tblPr>
      <w:tblCellMar>
        <w:left w:w="0" w:type="dxa"/>
        <w:top w:w="0" w:type="dxa"/>
        <w:right w:w="0" w:type="dxa"/>
        <w:bottom w:w="0" w:type="dxa"/>
      </w:tblCellMar>
    </w:tblPr>
  </w:style>
  <w:style w:type="table" w:styleId="1320" w:customStyle="1">
    <w:name w:val="Bordered &amp; Lined - Accent 21"/>
    <w:uiPriority w:val="99"/>
    <w:qFormat/>
    <w:rPr>
      <w:color w:val="404040"/>
    </w:rPr>
    <w:tblPr>
      <w:tblCellMar>
        <w:left w:w="0" w:type="dxa"/>
        <w:top w:w="0" w:type="dxa"/>
        <w:right w:w="0" w:type="dxa"/>
        <w:bottom w:w="0" w:type="dxa"/>
      </w:tblCellMar>
    </w:tblPr>
  </w:style>
  <w:style w:type="table" w:styleId="1321" w:customStyle="1">
    <w:name w:val="Bordered &amp; Lined - Accent 31"/>
    <w:uiPriority w:val="99"/>
    <w:qFormat/>
    <w:rPr>
      <w:color w:val="404040"/>
    </w:rPr>
    <w:tblPr>
      <w:tblCellMar>
        <w:left w:w="0" w:type="dxa"/>
        <w:top w:w="0" w:type="dxa"/>
        <w:right w:w="0" w:type="dxa"/>
        <w:bottom w:w="0" w:type="dxa"/>
      </w:tblCellMar>
    </w:tblPr>
  </w:style>
  <w:style w:type="table" w:styleId="1322" w:customStyle="1">
    <w:name w:val="Bordered &amp; Lined - Accent 41"/>
    <w:uiPriority w:val="99"/>
    <w:qFormat/>
    <w:rPr>
      <w:color w:val="404040"/>
    </w:rPr>
    <w:tblPr>
      <w:tblCellMar>
        <w:left w:w="0" w:type="dxa"/>
        <w:top w:w="0" w:type="dxa"/>
        <w:right w:w="0" w:type="dxa"/>
        <w:bottom w:w="0" w:type="dxa"/>
      </w:tblCellMar>
    </w:tblPr>
  </w:style>
  <w:style w:type="table" w:styleId="1323" w:customStyle="1">
    <w:name w:val="Bordered &amp; Lined - Accent 51"/>
    <w:uiPriority w:val="99"/>
    <w:qFormat/>
    <w:rPr>
      <w:color w:val="404040"/>
    </w:rPr>
    <w:tblPr>
      <w:tblCellMar>
        <w:left w:w="0" w:type="dxa"/>
        <w:top w:w="0" w:type="dxa"/>
        <w:right w:w="0" w:type="dxa"/>
        <w:bottom w:w="0" w:type="dxa"/>
      </w:tblCellMar>
    </w:tblPr>
  </w:style>
  <w:style w:type="table" w:styleId="1324" w:customStyle="1">
    <w:name w:val="Bordered &amp; Lined - Accent 61"/>
    <w:uiPriority w:val="99"/>
    <w:qFormat/>
    <w:rPr>
      <w:color w:val="404040"/>
    </w:rPr>
    <w:tblPr>
      <w:tblCellMar>
        <w:left w:w="0" w:type="dxa"/>
        <w:top w:w="0" w:type="dxa"/>
        <w:right w:w="0" w:type="dxa"/>
        <w:bottom w:w="0" w:type="dxa"/>
      </w:tblCellMar>
    </w:tblPr>
  </w:style>
  <w:style w:type="table" w:styleId="1325" w:customStyle="1">
    <w:name w:val="Bordered1"/>
    <w:uiPriority w:val="99"/>
    <w:qFormat/>
    <w:tblPr>
      <w:tblCellMar>
        <w:left w:w="0" w:type="dxa"/>
        <w:top w:w="0" w:type="dxa"/>
        <w:right w:w="0" w:type="dxa"/>
        <w:bottom w:w="0" w:type="dxa"/>
      </w:tblCellMar>
    </w:tblPr>
  </w:style>
  <w:style w:type="table" w:styleId="1326" w:customStyle="1">
    <w:name w:val="Bordered - Accent 11"/>
    <w:uiPriority w:val="99"/>
    <w:qFormat/>
    <w:tblPr>
      <w:tblCellMar>
        <w:left w:w="0" w:type="dxa"/>
        <w:top w:w="0" w:type="dxa"/>
        <w:right w:w="0" w:type="dxa"/>
        <w:bottom w:w="0" w:type="dxa"/>
      </w:tblCellMar>
    </w:tblPr>
  </w:style>
  <w:style w:type="table" w:styleId="1327" w:customStyle="1">
    <w:name w:val="Bordered - Accent 21"/>
    <w:uiPriority w:val="99"/>
    <w:qFormat/>
    <w:tblPr>
      <w:tblCellMar>
        <w:left w:w="0" w:type="dxa"/>
        <w:top w:w="0" w:type="dxa"/>
        <w:right w:w="0" w:type="dxa"/>
        <w:bottom w:w="0" w:type="dxa"/>
      </w:tblCellMar>
    </w:tblPr>
  </w:style>
  <w:style w:type="table" w:styleId="1328" w:customStyle="1">
    <w:name w:val="Bordered - Accent 31"/>
    <w:uiPriority w:val="99"/>
    <w:qFormat/>
    <w:tblPr>
      <w:tblCellMar>
        <w:left w:w="0" w:type="dxa"/>
        <w:top w:w="0" w:type="dxa"/>
        <w:right w:w="0" w:type="dxa"/>
        <w:bottom w:w="0" w:type="dxa"/>
      </w:tblCellMar>
    </w:tblPr>
  </w:style>
  <w:style w:type="table" w:styleId="1329" w:customStyle="1">
    <w:name w:val="Bordered - Accent 41"/>
    <w:uiPriority w:val="99"/>
    <w:qFormat/>
    <w:tblPr>
      <w:tblCellMar>
        <w:left w:w="0" w:type="dxa"/>
        <w:top w:w="0" w:type="dxa"/>
        <w:right w:w="0" w:type="dxa"/>
        <w:bottom w:w="0" w:type="dxa"/>
      </w:tblCellMar>
    </w:tblPr>
  </w:style>
  <w:style w:type="table" w:styleId="1330" w:customStyle="1">
    <w:name w:val="Bordered - Accent 51"/>
    <w:uiPriority w:val="99"/>
    <w:qFormat/>
    <w:tblPr>
      <w:tblCellMar>
        <w:left w:w="0" w:type="dxa"/>
        <w:top w:w="0" w:type="dxa"/>
        <w:right w:w="0" w:type="dxa"/>
        <w:bottom w:w="0" w:type="dxa"/>
      </w:tblCellMar>
    </w:tblPr>
  </w:style>
  <w:style w:type="table" w:styleId="1331" w:customStyle="1">
    <w:name w:val="Bordered - Accent 61"/>
    <w:uiPriority w:val="99"/>
    <w:qFormat/>
    <w:tblPr>
      <w:tblCellMar>
        <w:left w:w="0" w:type="dxa"/>
        <w:top w:w="0" w:type="dxa"/>
        <w:right w:w="0" w:type="dxa"/>
        <w:bottom w:w="0" w:type="dxa"/>
      </w:tblCellMar>
    </w:tblPr>
  </w:style>
  <w:style w:type="paragraph" w:styleId="1332" w:customStyle="1">
    <w:name w:val="标题 11"/>
    <w:basedOn w:val="827"/>
    <w:next w:val="827"/>
    <w:qFormat/>
    <w:pPr>
      <w:jc w:val="center"/>
      <w:keepNext/>
      <w:outlineLvl w:val="0"/>
    </w:pPr>
    <w:rPr>
      <w:b/>
      <w:bCs/>
      <w:sz w:val="44"/>
      <w:szCs w:val="44"/>
    </w:rPr>
  </w:style>
  <w:style w:type="paragraph" w:styleId="1333" w:customStyle="1">
    <w:name w:val="标题 21"/>
    <w:basedOn w:val="827"/>
    <w:next w:val="1088"/>
    <w:uiPriority w:val="9"/>
    <w:qFormat/>
    <w:pPr>
      <w:jc w:val="center"/>
      <w:keepLines/>
      <w:keepNext/>
      <w:spacing w:before="260" w:after="260" w:line="416" w:lineRule="auto"/>
      <w:outlineLvl w:val="1"/>
    </w:pPr>
    <w:rPr>
      <w:rFonts w:ascii="Cambria" w:hAnsi="Cambria"/>
      <w:b/>
      <w:bCs/>
      <w:sz w:val="32"/>
      <w:szCs w:val="32"/>
    </w:rPr>
  </w:style>
  <w:style w:type="paragraph" w:styleId="1334" w:customStyle="1">
    <w:name w:val="标题 51"/>
    <w:basedOn w:val="827"/>
    <w:next w:val="1088"/>
    <w:qFormat/>
    <w:pPr>
      <w:keepNext/>
      <w:outlineLvl w:val="4"/>
    </w:pPr>
    <w:rPr>
      <w:b/>
      <w:bCs/>
      <w:sz w:val="28"/>
      <w:szCs w:val="28"/>
    </w:rPr>
  </w:style>
  <w:style w:type="paragraph" w:styleId="1335" w:customStyle="1">
    <w:name w:val="标题 61"/>
    <w:basedOn w:val="827"/>
    <w:next w:val="827"/>
    <w:qFormat/>
    <w:pPr>
      <w:numPr>
        <w:ilvl w:val="5"/>
        <w:numId w:val="4"/>
      </w:numPr>
      <w:keepLines/>
      <w:keepNext/>
      <w:spacing w:before="240" w:after="64" w:line="320" w:lineRule="auto"/>
      <w:outlineLvl w:val="5"/>
    </w:pPr>
    <w:rPr>
      <w:rFonts w:ascii="Cambria" w:hAnsi="Cambria"/>
      <w:b/>
      <w:bCs/>
      <w:sz w:val="24"/>
      <w:szCs w:val="24"/>
    </w:rPr>
  </w:style>
  <w:style w:type="paragraph" w:styleId="1336" w:customStyle="1">
    <w:name w:val="标题 71"/>
    <w:basedOn w:val="827"/>
    <w:next w:val="827"/>
    <w:qFormat/>
    <w:pPr>
      <w:numPr>
        <w:ilvl w:val="6"/>
        <w:numId w:val="4"/>
      </w:numPr>
      <w:keepLines/>
      <w:keepNext/>
      <w:spacing w:before="240" w:after="64" w:line="320" w:lineRule="auto"/>
      <w:outlineLvl w:val="6"/>
    </w:pPr>
    <w:rPr>
      <w:b/>
      <w:bCs/>
      <w:sz w:val="24"/>
      <w:szCs w:val="24"/>
    </w:rPr>
  </w:style>
  <w:style w:type="paragraph" w:styleId="1337" w:customStyle="1">
    <w:name w:val="标题 81"/>
    <w:basedOn w:val="827"/>
    <w:next w:val="827"/>
    <w:qFormat/>
    <w:pPr>
      <w:numPr>
        <w:ilvl w:val="7"/>
        <w:numId w:val="4"/>
      </w:numPr>
      <w:keepLines/>
      <w:keepNext/>
      <w:spacing w:before="240" w:after="64" w:line="320" w:lineRule="auto"/>
      <w:outlineLvl w:val="7"/>
    </w:pPr>
    <w:rPr>
      <w:rFonts w:ascii="Cambria" w:hAnsi="Cambria"/>
      <w:sz w:val="24"/>
      <w:szCs w:val="24"/>
    </w:rPr>
  </w:style>
  <w:style w:type="paragraph" w:styleId="1338" w:customStyle="1">
    <w:name w:val="标题 91"/>
    <w:basedOn w:val="827"/>
    <w:next w:val="827"/>
    <w:qFormat/>
    <w:pPr>
      <w:numPr>
        <w:ilvl w:val="8"/>
        <w:numId w:val="4"/>
      </w:numPr>
      <w:keepLines/>
      <w:keepNext/>
      <w:spacing w:before="240" w:after="64" w:line="320" w:lineRule="auto"/>
      <w:outlineLvl w:val="8"/>
    </w:pPr>
    <w:rPr>
      <w:rFonts w:ascii="Cambria" w:hAnsi="Cambria"/>
      <w:szCs w:val="21"/>
    </w:rPr>
  </w:style>
  <w:style w:type="table" w:styleId="1339" w:customStyle="1">
    <w:name w:val="普通表格12"/>
    <w:uiPriority w:val="99"/>
    <w:unhideWhenUsed/>
    <w:qFormat/>
    <w:tblPr>
      <w:tblCellMar>
        <w:left w:w="0" w:type="dxa"/>
        <w:top w:w="0" w:type="dxa"/>
        <w:right w:w="0" w:type="dxa"/>
        <w:bottom w:w="0" w:type="dxa"/>
      </w:tblCellMar>
    </w:tblPr>
  </w:style>
  <w:style w:type="paragraph" w:styleId="1340" w:customStyle="1">
    <w:name w:val="列表 31"/>
    <w:basedOn w:val="827"/>
    <w:qFormat/>
    <w:pPr>
      <w:ind w:left="100" w:hanging="200"/>
    </w:pPr>
    <w:rPr>
      <w:szCs w:val="21"/>
    </w:rPr>
  </w:style>
  <w:style w:type="paragraph" w:styleId="1341" w:customStyle="1">
    <w:name w:val="文档结构图1"/>
    <w:basedOn w:val="827"/>
    <w:semiHidden/>
    <w:qFormat/>
    <w:pPr>
      <w:shd w:val="clear" w:color="auto" w:fill="000080"/>
    </w:pPr>
    <w:rPr>
      <w:szCs w:val="21"/>
    </w:rPr>
  </w:style>
  <w:style w:type="paragraph" w:styleId="1342" w:customStyle="1">
    <w:name w:val="正文文本 31"/>
    <w:basedOn w:val="827"/>
    <w:qFormat/>
    <w:rPr>
      <w:rFonts w:ascii="仿宋_GB2312" w:hAnsi="Arial" w:eastAsia="仿宋_GB2312"/>
      <w:sz w:val="32"/>
      <w:szCs w:val="32"/>
    </w:rPr>
  </w:style>
  <w:style w:type="paragraph" w:styleId="1343" w:customStyle="1">
    <w:name w:val="正文文本1"/>
    <w:basedOn w:val="827"/>
    <w:qFormat/>
    <w:rPr>
      <w:rFonts w:ascii="楷体_GB2312" w:hAnsi="Arial" w:eastAsia="楷体_GB2312"/>
      <w:sz w:val="28"/>
      <w:szCs w:val="28"/>
    </w:rPr>
  </w:style>
  <w:style w:type="paragraph" w:styleId="1344" w:customStyle="1">
    <w:name w:val="正文文本缩进1"/>
    <w:basedOn w:val="827"/>
    <w:unhideWhenUsed/>
    <w:qFormat/>
    <w:pPr>
      <w:ind w:left="420"/>
      <w:spacing w:after="120"/>
    </w:pPr>
  </w:style>
  <w:style w:type="paragraph" w:styleId="1345" w:customStyle="1">
    <w:name w:val="列表 21"/>
    <w:basedOn w:val="827"/>
    <w:qFormat/>
    <w:pPr>
      <w:ind w:left="100" w:hanging="200"/>
    </w:pPr>
    <w:rPr>
      <w:szCs w:val="21"/>
    </w:rPr>
  </w:style>
  <w:style w:type="paragraph" w:styleId="1346" w:customStyle="1">
    <w:name w:val="纯文本1"/>
    <w:basedOn w:val="827"/>
    <w:qFormat/>
    <w:rPr>
      <w:rFonts w:ascii="宋体" w:hAnsi="Courier New" w:cs="Courier New"/>
      <w:szCs w:val="21"/>
    </w:rPr>
  </w:style>
  <w:style w:type="paragraph" w:styleId="1347" w:customStyle="1">
    <w:name w:val="日期1"/>
    <w:basedOn w:val="827"/>
    <w:next w:val="827"/>
    <w:qFormat/>
  </w:style>
  <w:style w:type="paragraph" w:styleId="1348" w:customStyle="1">
    <w:name w:val="正文文本缩进 21"/>
    <w:basedOn w:val="827"/>
    <w:qFormat/>
    <w:pPr>
      <w:ind w:left="630" w:firstLine="645"/>
    </w:pPr>
    <w:rPr>
      <w:rFonts w:ascii="Arial" w:hAnsi="Arial" w:eastAsia="仿宋_GB2312" w:cs="Arial"/>
      <w:sz w:val="32"/>
      <w:szCs w:val="32"/>
    </w:rPr>
  </w:style>
  <w:style w:type="paragraph" w:styleId="1349" w:customStyle="1">
    <w:name w:val="列表1"/>
    <w:basedOn w:val="827"/>
    <w:qFormat/>
    <w:pPr>
      <w:ind w:left="200" w:hanging="200"/>
    </w:pPr>
    <w:rPr>
      <w:szCs w:val="21"/>
    </w:rPr>
  </w:style>
  <w:style w:type="paragraph" w:styleId="1350" w:customStyle="1">
    <w:name w:val="正文文本缩进 31"/>
    <w:basedOn w:val="827"/>
    <w:qFormat/>
    <w:pPr>
      <w:ind w:left="645" w:firstLine="645"/>
    </w:pPr>
    <w:rPr>
      <w:rFonts w:ascii="Arial" w:hAnsi="Arial" w:eastAsia="仿宋_GB2312" w:cs="Arial"/>
      <w:color w:val="ffff00"/>
      <w:sz w:val="32"/>
      <w:szCs w:val="32"/>
    </w:rPr>
  </w:style>
  <w:style w:type="paragraph" w:styleId="1351" w:customStyle="1">
    <w:name w:val="正文文本 21"/>
    <w:basedOn w:val="827"/>
    <w:qFormat/>
    <w:pPr>
      <w:jc w:val="center"/>
      <w:widowControl/>
    </w:pPr>
    <w:rPr>
      <w:rFonts w:ascii="楷体_GB2312" w:eastAsia="楷体_GB2312"/>
      <w:sz w:val="28"/>
      <w:szCs w:val="28"/>
    </w:rPr>
  </w:style>
  <w:style w:type="paragraph" w:styleId="1352" w:customStyle="1">
    <w:name w:val="普通(网站)1"/>
    <w:basedOn w:val="827"/>
    <w:uiPriority w:val="99"/>
    <w:qFormat/>
    <w:pPr>
      <w:jc w:val="left"/>
      <w:spacing w:before="100" w:beforeAutospacing="1" w:after="100" w:afterAutospacing="1"/>
      <w:widowControl/>
    </w:pPr>
    <w:rPr>
      <w:rFonts w:ascii="宋体" w:hAnsi="宋体" w:cs="宋体"/>
      <w:sz w:val="24"/>
      <w:szCs w:val="24"/>
    </w:rPr>
  </w:style>
  <w:style w:type="paragraph" w:styleId="1353" w:customStyle="1">
    <w:name w:val="正文首行缩进1"/>
    <w:basedOn w:val="1343"/>
    <w:qFormat/>
    <w:pPr>
      <w:ind w:firstLine="200"/>
      <w:spacing w:line="360" w:lineRule="auto"/>
    </w:pPr>
    <w:rPr>
      <w:rFonts w:ascii="仿宋_GB2312" w:hAnsi="Times New Roman" w:eastAsia="仿宋_GB2312"/>
      <w:sz w:val="30"/>
      <w:szCs w:val="30"/>
    </w:rPr>
  </w:style>
  <w:style w:type="paragraph" w:styleId="1354" w:customStyle="1">
    <w:name w:val="正文首行缩进 21"/>
    <w:basedOn w:val="1344"/>
    <w:qFormat/>
    <w:pPr>
      <w:ind w:left="0" w:firstLine="420"/>
      <w:spacing w:after="0" w:line="360" w:lineRule="auto"/>
    </w:pPr>
    <w:rPr>
      <w:rFonts w:ascii="宋体" w:hAnsi="宋体"/>
      <w:szCs w:val="20"/>
    </w:rPr>
  </w:style>
  <w:style w:type="character" w:styleId="1355" w:customStyle="1">
    <w:name w:val="要点1"/>
    <w:qFormat/>
    <w:rPr>
      <w:b/>
      <w:bCs/>
    </w:rPr>
  </w:style>
  <w:style w:type="character" w:styleId="1356" w:customStyle="1">
    <w:name w:val="页码1"/>
    <w:qFormat/>
  </w:style>
  <w:style w:type="character" w:styleId="1357" w:customStyle="1">
    <w:name w:val="已访问的超链接1"/>
    <w:qFormat/>
    <w:rPr>
      <w:color w:val="800080"/>
      <w:u w:val="single"/>
    </w:rPr>
  </w:style>
  <w:style w:type="character" w:styleId="1358" w:customStyle="1">
    <w:name w:val="超链接1"/>
    <w:qFormat/>
    <w:rPr>
      <w:color w:val="0000ff"/>
      <w:u w:val="single"/>
    </w:rPr>
  </w:style>
  <w:style w:type="paragraph" w:styleId="1359" w:customStyle="1">
    <w:name w:val="Char1"/>
    <w:basedOn w:val="1341"/>
    <w:qFormat/>
    <w:rPr>
      <w:rFonts w:ascii="Tahoma" w:hAnsi="Tahoma"/>
      <w:sz w:val="24"/>
      <w:szCs w:val="24"/>
    </w:rPr>
  </w:style>
  <w:style w:type="paragraph" w:styleId="1360" w:customStyle="1">
    <w:name w:val="列出段落21"/>
    <w:basedOn w:val="827"/>
    <w:qFormat/>
    <w:pPr>
      <w:contextualSpacing/>
      <w:ind w:left="720"/>
      <w:jc w:val="left"/>
      <w:widowControl/>
    </w:pPr>
    <w:rPr>
      <w:sz w:val="24"/>
      <w:szCs w:val="24"/>
      <w:lang w:eastAsia="en-US" w:bidi="en-US"/>
    </w:rPr>
  </w:style>
  <w:style w:type="paragraph" w:styleId="1361" w:customStyle="1">
    <w:name w:val="Char Char Char Char Char Char Char Char Char Char1"/>
    <w:basedOn w:val="827"/>
    <w:qFormat/>
    <w:pPr>
      <w:spacing w:line="360" w:lineRule="auto"/>
    </w:pPr>
    <w:rPr>
      <w:sz w:val="24"/>
      <w:szCs w:val="20"/>
    </w:rPr>
  </w:style>
  <w:style w:type="paragraph" w:styleId="1362" w:customStyle="1">
    <w:name w:val="Char Char Char Char Char Char Char Char1"/>
    <w:basedOn w:val="827"/>
    <w:qFormat/>
    <w:pPr>
      <w:jc w:val="left"/>
      <w:spacing w:after="160" w:line="240" w:lineRule="exact"/>
      <w:widowControl/>
    </w:pPr>
    <w:rPr>
      <w:rFonts w:ascii="Verdana" w:hAnsi="Verdana"/>
      <w:sz w:val="20"/>
      <w:szCs w:val="20"/>
      <w:lang w:eastAsia="en-US"/>
    </w:rPr>
  </w:style>
  <w:style w:type="paragraph" w:styleId="1363" w:customStyle="1">
    <w:name w:val="Char Char Char Char1"/>
    <w:basedOn w:val="1341"/>
    <w:qFormat/>
    <w:pPr>
      <w:spacing w:line="360" w:lineRule="auto"/>
    </w:pPr>
    <w:rPr>
      <w:rFonts w:ascii="Tahoma" w:hAnsi="Tahoma"/>
      <w:sz w:val="24"/>
      <w:szCs w:val="24"/>
    </w:rPr>
  </w:style>
  <w:style w:type="paragraph" w:styleId="1364" w:customStyle="1">
    <w:name w:val="修订11"/>
    <w:uiPriority w:val="99"/>
    <w:semiHidden/>
    <w:qFormat/>
    <w:rPr>
      <w:sz w:val="21"/>
      <w:szCs w:val="21"/>
    </w:rPr>
  </w:style>
  <w:style w:type="paragraph" w:styleId="1365" w:customStyle="1">
    <w:name w:val="无间隔11"/>
    <w:uiPriority w:val="99"/>
    <w:qFormat/>
    <w:pPr>
      <w:jc w:val="both"/>
      <w:widowControl w:val="off"/>
    </w:pPr>
    <w:rPr>
      <w:sz w:val="21"/>
      <w:szCs w:val="21"/>
    </w:rPr>
  </w:style>
  <w:style w:type="paragraph" w:styleId="1366" w:customStyle="1">
    <w:name w:val="修订2"/>
    <w:uiPriority w:val="99"/>
    <w:unhideWhenUsed/>
    <w:qFormat/>
    <w:rPr>
      <w:sz w:val="21"/>
      <w:szCs w:val="22"/>
    </w:rPr>
  </w:style>
  <w:style w:type="character" w:styleId="1367" w:customStyle="1">
    <w:name w:val="批注文字 Char1"/>
    <w:uiPriority w:val="99"/>
    <w:qFormat/>
    <w:rPr>
      <w:sz w:val="21"/>
      <w:szCs w:val="22"/>
    </w:rPr>
  </w:style>
  <w:style w:type="paragraph" w:styleId="1368" w:customStyle="1">
    <w:name w:val="修订3"/>
    <w:uiPriority w:val="99"/>
    <w:semiHidden/>
    <w:qFormat/>
    <w:rPr>
      <w:sz w:val="21"/>
      <w:szCs w:val="22"/>
    </w:rPr>
  </w:style>
  <w:style w:type="paragraph" w:styleId="1369" w:customStyle="1">
    <w:name w:val="修订4"/>
    <w:uiPriority w:val="99"/>
    <w:semiHidden/>
    <w:qFormat/>
    <w:rPr>
      <w:sz w:val="21"/>
      <w:szCs w:val="22"/>
    </w:rPr>
  </w:style>
  <w:style w:type="character" w:styleId="1370" w:customStyle="1">
    <w:name w:val="font11"/>
    <w:qFormat/>
    <w:rPr>
      <w:rFonts w:hint="eastAsia" w:ascii="宋体" w:hAnsi="宋体" w:eastAsia="宋体" w:cs="宋体"/>
      <w:color w:val="000000"/>
      <w:sz w:val="19"/>
      <w:szCs w:val="19"/>
      <w:u w:val="none"/>
    </w:rPr>
  </w:style>
  <w:style w:type="character" w:styleId="1371" w:customStyle="1">
    <w:name w:val="font21"/>
    <w:qFormat/>
    <w:rPr>
      <w:rFonts w:ascii="Times New Roman" w:hAnsi="Times New Roman" w:cs="Times New Roman"/>
      <w:color w:val="000000"/>
      <w:sz w:val="19"/>
      <w:szCs w:val="19"/>
      <w:u w:val="none"/>
    </w:rPr>
  </w:style>
  <w:style w:type="paragraph" w:styleId="1372" w:customStyle="1">
    <w:name w:val="修订5"/>
    <w:uiPriority w:val="99"/>
    <w:unhideWhenUsed/>
    <w:qFormat/>
    <w:rPr>
      <w:sz w:val="21"/>
      <w:szCs w:val="22"/>
    </w:rPr>
  </w:style>
  <w:style w:type="paragraph" w:styleId="1373" w:customStyle="1">
    <w:name w:val="修订6"/>
    <w:uiPriority w:val="99"/>
    <w:semiHidden/>
    <w:qFormat/>
    <w:rPr>
      <w:sz w:val="21"/>
      <w:szCs w:val="22"/>
    </w:rPr>
  </w:style>
  <w:style w:type="paragraph" w:styleId="1374" w:customStyle="1">
    <w:name w:val="修订7"/>
    <w:uiPriority w:val="99"/>
    <w:unhideWhenUsed/>
    <w:qFormat/>
    <w:rPr>
      <w:sz w:val="21"/>
      <w:szCs w:val="22"/>
    </w:rPr>
  </w:style>
  <w:style w:type="paragraph" w:styleId="1375" w:customStyle="1">
    <w:name w:val="修订8"/>
    <w:uiPriority w:val="99"/>
    <w:unhideWhenUsed/>
    <w:qFormat/>
    <w:rPr>
      <w:sz w:val="21"/>
      <w:szCs w:val="22"/>
    </w:rPr>
  </w:style>
  <w:style w:type="character" w:styleId="1376" w:customStyle="1">
    <w:name w:val="正文文本缩进 字符"/>
    <w:basedOn w:val="837"/>
    <w:link w:val="848"/>
    <w:qFormat/>
    <w:rPr>
      <w:rFonts w:ascii="楷体_GB2312" w:hAnsi="Calibri" w:eastAsia="楷体_GB2312" w:cs="Calibri"/>
      <w:sz w:val="32"/>
      <w:szCs w:val="32"/>
    </w:rPr>
  </w:style>
  <w:style w:type="character" w:styleId="1377" w:customStyle="1">
    <w:name w:val="HTML 预设格式 字符"/>
    <w:basedOn w:val="837"/>
    <w:link w:val="874"/>
    <w:qFormat/>
    <w:rPr>
      <w:rFonts w:ascii="宋体" w:hAnsi="宋体"/>
      <w:sz w:val="24"/>
      <w:szCs w:val="24"/>
    </w:rPr>
  </w:style>
  <w:style w:type="character" w:styleId="1378" w:customStyle="1">
    <w:name w:val="正文文本首行缩进 2 字符"/>
    <w:basedOn w:val="1376"/>
    <w:link w:val="879"/>
    <w:qFormat/>
    <w:rPr>
      <w:rFonts w:ascii="宋体" w:hAnsi="宋体" w:eastAsia="楷体_GB2312" w:cs="Calibri"/>
      <w:sz w:val="21"/>
      <w:szCs w:val="32"/>
    </w:rPr>
  </w:style>
  <w:style w:type="table" w:styleId="1379" w:customStyle="1">
    <w:name w:val="网格型2"/>
    <w:basedOn w:val="8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0" w:customStyle="1">
    <w:name w:val="Table Normal"/>
    <w:unhideWhenUsed/>
    <w:qFormat/>
    <w:tblPr>
      <w:tblCellMar>
        <w:left w:w="0" w:type="dxa"/>
        <w:top w:w="0" w:type="dxa"/>
        <w:right w:w="0" w:type="dxa"/>
        <w:bottom w:w="0" w:type="dxa"/>
      </w:tblCellMar>
    </w:tblPr>
  </w:style>
  <w:style w:type="paragraph" w:styleId="1381" w:customStyle="1">
    <w:name w:val="正文文本121"/>
    <w:basedOn w:val="827"/>
    <w:qFormat/>
    <w:pPr>
      <w:ind w:left="120"/>
      <w:spacing w:line="300" w:lineRule="auto"/>
    </w:pPr>
    <w:rPr>
      <w:rFonts w:ascii="宋体" w:hAnsi="Calibri" w:cs="宋体"/>
      <w:szCs w:val="21"/>
      <w:lang w:val="zh-CN" w:bidi="zh-CN"/>
    </w:rPr>
  </w:style>
  <w:style w:type="character" w:styleId="1382" w:customStyle="1">
    <w:name w:val="纯文本 字符1"/>
    <w:qFormat/>
    <w:rPr>
      <w:rFonts w:ascii="宋体" w:hAnsi="Courier New" w:eastAsia="宋体" w:cs="Courier New"/>
      <w:szCs w:val="21"/>
    </w:rPr>
  </w:style>
  <w:style w:type="character" w:styleId="1383" w:customStyle="1">
    <w:name w:val="正文缩进 字符"/>
    <w:link w:val="840"/>
    <w:qFormat/>
    <w:rPr>
      <w:sz w:val="21"/>
    </w:rPr>
  </w:style>
  <w:style w:type="character" w:styleId="1384" w:customStyle="1">
    <w:name w:val="文档结构图 字符"/>
    <w:basedOn w:val="837"/>
    <w:link w:val="844"/>
    <w:semiHidden/>
    <w:qFormat/>
    <w:rPr>
      <w:sz w:val="21"/>
      <w:szCs w:val="21"/>
      <w:shd w:val="clear" w:color="auto" w:fill="000080"/>
    </w:rPr>
  </w:style>
  <w:style w:type="character" w:styleId="1385" w:customStyle="1">
    <w:name w:val="正文文本 3 字符"/>
    <w:basedOn w:val="837"/>
    <w:link w:val="846"/>
    <w:qFormat/>
    <w:rPr>
      <w:rFonts w:ascii="仿宋_GB2312" w:hAnsi="Arial" w:eastAsia="仿宋_GB2312"/>
      <w:sz w:val="32"/>
      <w:szCs w:val="32"/>
    </w:rPr>
  </w:style>
  <w:style w:type="character" w:styleId="1386" w:customStyle="1">
    <w:name w:val="日期 字符"/>
    <w:basedOn w:val="837"/>
    <w:link w:val="855"/>
    <w:qFormat/>
    <w:rPr>
      <w:sz w:val="24"/>
      <w:szCs w:val="24"/>
    </w:rPr>
  </w:style>
  <w:style w:type="character" w:styleId="1387" w:customStyle="1">
    <w:name w:val="正文文本缩进 3 字符"/>
    <w:basedOn w:val="837"/>
    <w:link w:val="869"/>
    <w:qFormat/>
    <w:rPr>
      <w:rFonts w:ascii="Arial" w:hAnsi="Arial" w:eastAsia="仿宋_GB2312" w:cs="Arial"/>
      <w:color w:val="ffff00"/>
      <w:sz w:val="32"/>
      <w:szCs w:val="32"/>
    </w:rPr>
  </w:style>
  <w:style w:type="character" w:styleId="1388" w:customStyle="1">
    <w:name w:val="正文文本 2 字符"/>
    <w:basedOn w:val="837"/>
    <w:link w:val="873"/>
    <w:qFormat/>
    <w:rPr>
      <w:rFonts w:ascii="楷体_GB2312" w:eastAsia="楷体_GB2312"/>
      <w:sz w:val="28"/>
      <w:szCs w:val="28"/>
    </w:rPr>
  </w:style>
  <w:style w:type="character" w:styleId="1389" w:customStyle="1">
    <w:name w:val="正文文本首行缩进 字符"/>
    <w:basedOn w:val="914"/>
    <w:link w:val="878"/>
    <w:qFormat/>
    <w:rPr>
      <w:rFonts w:ascii="仿宋_GB2312" w:hAnsi="Arial" w:eastAsia="仿宋_GB2312"/>
      <w:sz w:val="30"/>
      <w:szCs w:val="30"/>
    </w:rPr>
  </w:style>
  <w:style w:type="table" w:styleId="1390" w:customStyle="1">
    <w:name w:val="网格型3"/>
    <w:basedOn w:val="8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1" w:customStyle="1">
    <w:name w:val="Char2"/>
    <w:basedOn w:val="844"/>
    <w:qFormat/>
    <w:rPr>
      <w:rFonts w:ascii="Tahoma" w:hAnsi="Tahoma"/>
      <w:sz w:val="24"/>
      <w:szCs w:val="24"/>
    </w:rPr>
  </w:style>
  <w:style w:type="paragraph" w:styleId="1392" w:customStyle="1">
    <w:name w:val="Char Char Char Char2"/>
    <w:basedOn w:val="844"/>
    <w:qFormat/>
    <w:pPr>
      <w:spacing w:line="360" w:lineRule="auto"/>
    </w:pPr>
    <w:rPr>
      <w:rFonts w:ascii="Tahoma" w:hAnsi="Tahoma"/>
      <w:sz w:val="24"/>
      <w:szCs w:val="24"/>
    </w:rPr>
  </w:style>
  <w:style w:type="paragraph" w:styleId="1393" w:customStyle="1">
    <w:name w:val="Char Char Char Char Char Char Char Char Char Char2"/>
    <w:basedOn w:val="827"/>
    <w:qFormat/>
    <w:pPr>
      <w:spacing w:line="360" w:lineRule="auto"/>
    </w:pPr>
    <w:rPr>
      <w:sz w:val="24"/>
      <w:szCs w:val="20"/>
    </w:rPr>
  </w:style>
  <w:style w:type="paragraph" w:styleId="1394" w:customStyle="1">
    <w:name w:val="Char Char Char Char Char Char Char Char2"/>
    <w:basedOn w:val="827"/>
    <w:qFormat/>
    <w:pPr>
      <w:jc w:val="left"/>
      <w:spacing w:after="160" w:line="240" w:lineRule="exact"/>
      <w:widowControl/>
    </w:pPr>
    <w:rPr>
      <w:rFonts w:ascii="Verdana" w:hAnsi="Verdana"/>
      <w:sz w:val="20"/>
      <w:szCs w:val="20"/>
      <w:lang w:eastAsia="en-US"/>
    </w:rPr>
  </w:style>
  <w:style w:type="paragraph" w:styleId="1395" w:customStyle="1">
    <w:name w:val="标题 22"/>
    <w:basedOn w:val="827"/>
    <w:next w:val="827"/>
    <w:uiPriority w:val="9"/>
    <w:unhideWhenUsed/>
    <w:qFormat/>
    <w:pPr>
      <w:keepLines/>
      <w:keepNext/>
      <w:spacing w:before="360" w:after="200"/>
      <w:outlineLvl w:val="1"/>
    </w:pPr>
    <w:rPr>
      <w:rFonts w:ascii="Arial" w:hAnsi="Arial" w:eastAsia="Arial" w:cs="Arial"/>
      <w:sz w:val="34"/>
      <w:szCs w:val="21"/>
    </w:rPr>
  </w:style>
  <w:style w:type="paragraph" w:styleId="1396" w:customStyle="1">
    <w:name w:val="标题 33"/>
    <w:basedOn w:val="827"/>
    <w:next w:val="827"/>
    <w:uiPriority w:val="9"/>
    <w:unhideWhenUsed/>
    <w:qFormat/>
    <w:pPr>
      <w:keepLines/>
      <w:keepNext/>
      <w:spacing w:before="320" w:after="200"/>
      <w:outlineLvl w:val="2"/>
    </w:pPr>
    <w:rPr>
      <w:rFonts w:ascii="Arial" w:hAnsi="Arial" w:eastAsia="Arial" w:cs="Arial"/>
      <w:sz w:val="30"/>
      <w:szCs w:val="30"/>
    </w:rPr>
  </w:style>
  <w:style w:type="paragraph" w:styleId="1397" w:customStyle="1">
    <w:name w:val="列表段落1"/>
    <w:basedOn w:val="827"/>
    <w:uiPriority w:val="99"/>
    <w:qFormat/>
    <w:pPr>
      <w:ind w:firstLine="420"/>
    </w:pPr>
    <w:rPr>
      <w:szCs w:val="20"/>
    </w:rPr>
  </w:style>
  <w:style w:type="paragraph" w:styleId="1398" w:customStyle="1">
    <w:name w:val="修订9"/>
    <w:hidden/>
    <w:uiPriority w:val="99"/>
    <w:unhideWhenUsed/>
    <w:qFormat/>
    <w:rPr>
      <w:sz w:val="21"/>
      <w:szCs w:val="22"/>
    </w:rPr>
  </w:style>
  <w:style w:type="paragraph" w:styleId="1399">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 Id="rId15"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35</cp:revision>
  <dcterms:created xsi:type="dcterms:W3CDTF">2026-05-13T08:59:00Z</dcterms:created>
  <dcterms:modified xsi:type="dcterms:W3CDTF">2026-09-16T06:44:23Z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2F4A0974471D4CCC971CAE6EC814394D_13</vt:lpwstr>
  </property>
  <property fmtid="{D5CDD505-2E9C-101B-9397-08002B2CF9AE}" pid="4" name="KSOTemplateDocerSaveRecord">
    <vt:lpwstr>eyJoZGlkIjoiZTIwODJiYzYwOTAwYTA4ODZiODkyNTNjYTdmNzEwODAiLCJ1c2VySWQiOiIyNTUxMjE1NjEifQ==</vt:lpwstr>
  </property>
</Properties>
</file>