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电子胃肠镜</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eastAsia="zh-CN"/>
        </w:rPr>
        <w:t xml:space="preserve">9月3日</w:t>
      </w:r>
      <w:r/>
      <w:r>
        <w:rPr>
          <w:rFonts w:hint="eastAsia" w:ascii="宋体" w:hAnsi="宋体"/>
          <w:color w:val="auto"/>
          <w:szCs w:val="24"/>
          <w:highlight w:val="none"/>
          <w:u w:val="single"/>
          <w:lang w:eastAsia="zh-CN"/>
        </w:rPr>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w:t>
      </w:r>
      <w:r>
        <w:rPr>
          <w:rFonts w:hint="eastAsia" w:ascii="宋体" w:hAnsi="宋体"/>
          <w:color w:val="auto"/>
          <w:szCs w:val="24"/>
          <w:highlight w:val="none"/>
          <w:u w:val="single"/>
          <w:lang w:eastAsia="zh-CN"/>
        </w:rPr>
        <w:t xml:space="preserve">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JSZC-320585-SZWK-G2026-0231</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电子胃肠镜</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390万元；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386.4万元；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内容为电子胃肠镜一套。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（2）质保期：提供至少5年的原厂（制造商）整体免费质保服务，并提供证明文件，</w:t>
      </w:r>
      <w:r>
        <w:rPr>
          <w:rFonts w:hint="eastAsia" w:ascii="宋体" w:hAnsi="宋体"/>
          <w:color w:val="auto"/>
          <w:highlight w:val="none"/>
          <w:lang w:eastAsia="zh-CN"/>
        </w:rPr>
        <w:t xml:space="preserve">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2026年9月3日</w:t>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w:t>
      </w:r>
      <w:r>
        <w:rPr>
          <w:rFonts w:hint="eastAsia" w:ascii="宋体" w:hAnsi="宋体"/>
          <w:color w:val="auto"/>
          <w:szCs w:val="24"/>
          <w:highlight w:val="none"/>
          <w:u w:val="single"/>
          <w:lang w:eastAsia="zh-CN"/>
        </w:rPr>
        <w:t xml:space="preserve">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2026年9月3日</w:t>
      </w:r>
      <w:r>
        <w:rPr>
          <w:rFonts w:hint="eastAsia" w:ascii="宋体" w:hAnsi="宋体"/>
          <w:color w:val="auto"/>
          <w:szCs w:val="24"/>
          <w:highlight w:val="none"/>
          <w:u w:val="single"/>
          <w:lang w:val="en-US" w:eastAsia="zh-CN"/>
        </w:rPr>
        <w:t xml:space="preserve">14</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0</w:t>
      </w:r>
      <w:r>
        <w:rPr>
          <w:rFonts w:hint="eastAsia" w:ascii="宋体" w:hAnsi="宋体"/>
          <w:color w:val="auto"/>
          <w:szCs w:val="24"/>
          <w:highlight w:val="none"/>
          <w:u w:val="single"/>
          <w:lang w:eastAsia="zh-CN"/>
        </w:rPr>
        <w:t xml:space="preserve">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JSZC-320585-SZWK-G2026-0231</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电子胃肠镜</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20"/>
        <w:rPr>
          <w:color w:val="auto"/>
          <w:highlight w:val="none"/>
        </w:rPr>
      </w:pPr>
      <w:r>
        <w:rPr>
          <w:color w:val="auto"/>
          <w:highlight w:val="none"/>
        </w:rPr>
      </w:r>
      <w:r/>
    </w:p>
    <w:p>
      <w:pPr>
        <w:pStyle w:val="920"/>
        <w:rPr>
          <w:color w:val="auto"/>
          <w:highlight w:val="none"/>
        </w:rPr>
      </w:pPr>
      <w:r>
        <w:rPr>
          <w:color w:val="auto"/>
          <w:highlight w:val="none"/>
        </w:rPr>
      </w:r>
      <w:r/>
    </w:p>
    <w:p>
      <w:pPr>
        <w:spacing w:line="360" w:lineRule="auto"/>
        <w:rPr>
          <w:rFonts w:hint="eastAsia" w:ascii="宋体" w:hAnsi="宋体"/>
          <w:color w:val="auto"/>
          <w:sz w:val="30"/>
          <w:highlight w:val="none"/>
        </w:rPr>
      </w:pPr>
      <w:r>
        <w:rPr>
          <w:rFonts w:hint="eastAsia" w:ascii="宋体" w:hAnsi="宋体"/>
          <w:color w:val="auto"/>
          <w:sz w:val="30"/>
          <w:highlight w:val="none"/>
        </w:rPr>
      </w:r>
      <w:r/>
    </w:p>
    <w:p>
      <w:pPr>
        <w:spacing w:line="360" w:lineRule="auto"/>
        <w:rPr>
          <w:rFonts w:hint="eastAsia" w:ascii="宋体" w:hAnsi="宋体"/>
          <w:color w:val="auto"/>
          <w:sz w:val="30"/>
          <w:highlight w:val="none"/>
        </w:rPr>
      </w:pPr>
      <w:r>
        <w:rPr>
          <w:rFonts w:hint="eastAsia" w:ascii="宋体" w:hAnsi="宋体"/>
          <w:color w:val="auto"/>
          <w:sz w:val="30"/>
          <w:highlight w:val="none"/>
        </w:rPr>
      </w:r>
      <w:r/>
    </w:p>
    <w:p>
      <w:pPr>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JSZC-320585-SZWK-G2026-0231</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电子胃肠镜</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eastAsia="zh-CN"/>
              </w:rPr>
              <w:t xml:space="preserve">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95"/>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24"/>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8月19日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2026年9月3日</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lang w:eastAsia="zh-CN"/>
              </w:rPr>
              <w:t xml:space="preserve">点</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lang w:eastAsia="zh-CN"/>
              </w:rPr>
              <w:t xml:space="preserve">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2026年9月3日</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lang w:eastAsia="zh-CN"/>
              </w:rPr>
              <w:t xml:space="preserve">点</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lang w:eastAsia="zh-CN"/>
              </w:rPr>
              <w:t xml:space="preserve">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本项目招标代理服务费由采购单位支付：代理服务费：32830元；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3"/>
              <w:spacing w:line="400" w:lineRule="exact"/>
              <w:rPr>
                <w:rFonts w:hint="eastAsia"/>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JSZC-320585-SZWK-G2026-0231</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电子胃肠镜</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3、采购预算及最高限价：采购预算：390万元；最高限价：386.4万元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8月19日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2026年9月3日</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lang w:eastAsia="zh-CN"/>
        </w:rPr>
        <w:t xml:space="preserve">点</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lang w:eastAsia="zh-CN"/>
        </w:rPr>
        <w:t xml:space="preserve">0分</w:t>
      </w:r>
      <w:bookmarkStart w:id="16" w:name="_GoBack"/>
      <w:r/>
      <w:bookmarkEnd w:id="16"/>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2026年9月3日</w:t>
      </w:r>
      <w:r>
        <w:rPr>
          <w:rFonts w:hint="eastAsia" w:ascii="宋体" w:hAnsi="宋体"/>
          <w:color w:val="auto"/>
          <w:sz w:val="21"/>
          <w:szCs w:val="21"/>
          <w:highlight w:val="none"/>
          <w:lang w:val="en-US" w:eastAsia="zh-CN"/>
        </w:rPr>
        <w:t xml:space="preserve">14</w:t>
      </w:r>
      <w:r>
        <w:rPr>
          <w:rFonts w:hint="eastAsia" w:ascii="宋体" w:hAnsi="宋体"/>
          <w:color w:val="auto"/>
          <w:sz w:val="21"/>
          <w:szCs w:val="21"/>
          <w:highlight w:val="none"/>
          <w:lang w:eastAsia="zh-CN"/>
        </w:rPr>
        <w:t xml:space="preserve">点</w:t>
      </w:r>
      <w:r>
        <w:rPr>
          <w:rFonts w:hint="eastAsia" w:ascii="宋体" w:hAnsi="宋体"/>
          <w:color w:val="auto"/>
          <w:sz w:val="21"/>
          <w:szCs w:val="21"/>
          <w:highlight w:val="none"/>
          <w:lang w:val="en-US" w:eastAsia="zh-CN"/>
        </w:rPr>
        <w:t xml:space="preserve">0</w:t>
      </w:r>
      <w:r>
        <w:rPr>
          <w:rFonts w:hint="eastAsia" w:ascii="宋体" w:hAnsi="宋体"/>
          <w:color w:val="auto"/>
          <w:sz w:val="21"/>
          <w:szCs w:val="21"/>
          <w:highlight w:val="none"/>
          <w:lang w:eastAsia="zh-CN"/>
        </w:rPr>
        <w:t xml:space="preserve">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eastAsia="zh-CN"/>
        </w:rPr>
        <w:t xml:space="preserve">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b/>
          <w:bCs/>
          <w:color w:val="auto"/>
          <w:sz w:val="21"/>
          <w:szCs w:val="21"/>
          <w:highlight w:val="none"/>
          <w:lang w:val="en-US" w:eastAsia="zh-CN"/>
        </w:rPr>
        <w:outlineLvl w:val="0"/>
      </w:pPr>
      <w:r/>
      <w:bookmarkStart w:id="5" w:name="_Hlk124939226"/>
      <w:r>
        <w:rPr>
          <w:rFonts w:hint="eastAsia" w:ascii="宋体" w:hAnsi="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sz w:val="21"/>
          <w:szCs w:val="21"/>
          <w:lang w:val="en-US" w:eastAsia="zh-CN"/>
        </w:rPr>
      </w:pPr>
      <w:r>
        <w:rPr>
          <w:rFonts w:hint="eastAsia"/>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center"/>
        <w:rPr>
          <w:rFonts w:hint="eastAsia" w:eastAsiaTheme="minorEastAsia"/>
          <w:b/>
          <w:sz w:val="40"/>
          <w:szCs w:val="40"/>
          <w:lang w:eastAsia="zh"/>
        </w:rPr>
      </w:pPr>
      <w:r>
        <w:rPr>
          <w:rFonts w:hint="eastAsia"/>
          <w:b/>
          <w:sz w:val="40"/>
          <w:szCs w:val="40"/>
          <w:lang w:eastAsia="zh"/>
        </w:rPr>
        <w:t xml:space="preserve">信息安全风险告知承诺函</w:t>
      </w:r>
      <w:r/>
    </w:p>
    <w:p>
      <w:pPr>
        <w:rPr>
          <w:rFonts w:hint="eastAsia" w:asciiTheme="minorEastAsia" w:hAnsiTheme="minorEastAsia"/>
          <w:b/>
          <w:sz w:val="28"/>
          <w:szCs w:val="28"/>
          <w:lang w:eastAsia="zh"/>
        </w:rPr>
      </w:pPr>
      <w:r>
        <w:rPr>
          <w:rFonts w:hint="eastAsia"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jc w:val="right"/>
        <w:rPr>
          <w:rFonts w:hint="eastAsia" w:ascii="仿宋" w:hAnsi="仿宋" w:eastAsia="仿宋" w:cs="仿宋"/>
          <w:sz w:val="24"/>
          <w:szCs w:val="24"/>
          <w:lang w:val="en-US" w:eastAsia="zh-CN"/>
        </w:rPr>
      </w:pP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电子胃肠镜</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JSZC-320585-SZWK-G2026-0231</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电子胃肠镜</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电子胃肠镜</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7"/>
        <w:tblW w:w="7726" w:type="dxa"/>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53"/>
        <w:gridCol w:w="6173"/>
      </w:tblGrid>
      <w:tr>
        <w:trPr>
          <w:trHeight w:val="90"/>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电子图像处理装置1台</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主机为LED光源≥5路</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支持12G-SDI输出</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支持≥3种物理特殊光观察功能</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图像处理装置可选配超声主机和超声内镜</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电子上消化道内窥镜3根</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具备副送水功能</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视野场≥140°</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先端部外径≤9.9mm</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钳道内径≥2.8mm</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有效长度≥1030mm、总长≥1350mm</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角度范围;上≥210°，下≥90°，左≥100°，右≥100°</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景深≥2-100mm</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（三）</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cs="宋体"/>
                <w:color w:val="auto"/>
                <w:sz w:val="21"/>
                <w:szCs w:val="21"/>
                <w:lang w:val="en-US" w:eastAsia="zh-CN"/>
              </w:rPr>
              <w:t xml:space="preserve">电子下消化道内窥镜2根</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i w:val="0"/>
                <w:iCs w:val="0"/>
                <w:color w:val="000000"/>
                <w:sz w:val="21"/>
                <w:szCs w:val="21"/>
                <w:u w:val="none"/>
                <w:lang w:val="en-US" w:eastAsia="zh-CN" w:bidi="ar"/>
              </w:rPr>
              <w:t xml:space="preserve">12</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具备副送水功能</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i w:val="0"/>
                <w:iCs w:val="0"/>
                <w:color w:val="000000"/>
                <w:sz w:val="21"/>
                <w:szCs w:val="21"/>
                <w:u w:val="none"/>
                <w:lang w:val="en-US" w:eastAsia="zh-CN" w:bidi="ar"/>
              </w:rPr>
              <w:t xml:space="preserve">13</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视野场≥170°</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14</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插入部外径≤12.8mm</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15</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钳道内径≥3.7mm</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i w:val="0"/>
                <w:iCs w:val="0"/>
                <w:color w:val="000000"/>
                <w:sz w:val="21"/>
                <w:szCs w:val="21"/>
                <w:u w:val="none"/>
                <w:lang w:val="en-US" w:eastAsia="zh-CN" w:bidi="ar"/>
              </w:rPr>
              <w:t xml:space="preserve">16</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有效长度≥1330mm、总长≥1655mm</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7</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角度范围;上≥180°，下≥180°，左≥160°，右≥160°</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8</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景深≥2-100mm</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（四）</w:t>
            </w:r>
            <w:r/>
          </w:p>
        </w:tc>
        <w:tc>
          <w:tcPr>
            <w:shd w:val="clear" w:color="auto" w:fill="auto"/>
            <w:tcW w:w="6173" w:type="dxa"/>
            <w:vAlign w:val="top"/>
            <w:textDirection w:val="lrTb"/>
            <w:noWrap w:val="false"/>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加长电子下消化道内窥镜1根</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★19</w:t>
            </w:r>
            <w:r/>
          </w:p>
        </w:tc>
        <w:tc>
          <w:tcPr>
            <w:shd w:val="clear" w:color="auto" w:fill="auto"/>
            <w:tcW w:w="6173" w:type="dxa"/>
            <w:vAlign w:val="top"/>
            <w:textDirection w:val="lrTb"/>
            <w:noWrap w:val="false"/>
          </w:tcPr>
          <w:p>
            <w:pPr>
              <w:jc w:val="left"/>
              <w:keepLines w:val="0"/>
              <w:keepNext w:val="0"/>
              <w:pageBreakBefore w:val="0"/>
              <w:widowControl/>
              <w:rPr>
                <w:rFonts w:hint="default" w:ascii="宋体" w:hAnsi="宋体" w:cs="宋体"/>
                <w:b w:val="0"/>
                <w:bCs w:val="0"/>
                <w:i w:val="0"/>
                <w:iCs w:val="0"/>
                <w:color w:val="000000"/>
                <w:sz w:val="21"/>
                <w:szCs w:val="21"/>
                <w:u w:val="none"/>
                <w:lang w:val="en-US" w:eastAsia="zh-CN" w:bidi="ar"/>
              </w:rPr>
              <w:suppressLineNumbers w:val="0"/>
            </w:pPr>
            <w:r>
              <w:rPr>
                <w:rFonts w:hint="default" w:ascii="宋体" w:hAnsi="宋体" w:cs="宋体"/>
                <w:b w:val="0"/>
                <w:bCs w:val="0"/>
                <w:i w:val="0"/>
                <w:iCs w:val="0"/>
                <w:color w:val="000000"/>
                <w:sz w:val="21"/>
                <w:szCs w:val="21"/>
                <w:u w:val="none"/>
                <w:lang w:val="en-US" w:eastAsia="zh-CN" w:bidi="ar"/>
              </w:rPr>
              <w:t xml:space="preserve">插入部外径≤12.8mm、钳道内径≥3.7mm、有效工作长度≥1650mm提供厂家盖章的证明材料</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20</w:t>
            </w:r>
            <w:r/>
          </w:p>
        </w:tc>
        <w:tc>
          <w:tcPr>
            <w:shd w:val="clear" w:color="auto" w:fill="auto"/>
            <w:tcW w:w="6173" w:type="dxa"/>
            <w:vAlign w:val="top"/>
            <w:textDirection w:val="lrTb"/>
            <w:noWrap w:val="false"/>
          </w:tcPr>
          <w:p>
            <w:pPr>
              <w:jc w:val="left"/>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default" w:ascii="宋体" w:hAnsi="宋体" w:cs="宋体"/>
                <w:b w:val="0"/>
                <w:bCs w:val="0"/>
                <w:i w:val="0"/>
                <w:iCs w:val="0"/>
                <w:color w:val="000000"/>
                <w:sz w:val="21"/>
                <w:szCs w:val="21"/>
                <w:u w:val="none"/>
                <w:lang w:val="en-US" w:eastAsia="zh-CN" w:bidi="ar"/>
              </w:rPr>
              <w:t xml:space="preserve">弯曲角度上≥180°</w:t>
            </w:r>
            <w:r>
              <w:rPr>
                <w:rFonts w:hint="eastAsia" w:ascii="宋体" w:hAnsi="宋体" w:cs="宋体"/>
                <w:b w:val="0"/>
                <w:bCs w:val="0"/>
                <w:i w:val="0"/>
                <w:iCs w:val="0"/>
                <w:color w:val="000000"/>
                <w:sz w:val="21"/>
                <w:szCs w:val="21"/>
                <w:u w:val="none"/>
                <w:lang w:val="en-US" w:eastAsia="zh-CN" w:bidi="ar"/>
              </w:rPr>
              <w:t xml:space="preserve">，</w:t>
            </w:r>
            <w:r>
              <w:rPr>
                <w:rFonts w:hint="default" w:ascii="宋体" w:hAnsi="宋体" w:cs="宋体"/>
                <w:b w:val="0"/>
                <w:bCs w:val="0"/>
                <w:i w:val="0"/>
                <w:iCs w:val="0"/>
                <w:color w:val="000000"/>
                <w:sz w:val="21"/>
                <w:szCs w:val="21"/>
                <w:u w:val="none"/>
                <w:lang w:val="en-US" w:eastAsia="zh-CN" w:bidi="ar"/>
              </w:rPr>
              <w:t xml:space="preserve">下≥180°</w:t>
            </w:r>
            <w:r>
              <w:rPr>
                <w:rFonts w:hint="eastAsia" w:ascii="宋体" w:hAnsi="宋体" w:cs="宋体"/>
                <w:b w:val="0"/>
                <w:bCs w:val="0"/>
                <w:i w:val="0"/>
                <w:iCs w:val="0"/>
                <w:color w:val="000000"/>
                <w:sz w:val="21"/>
                <w:szCs w:val="21"/>
                <w:u w:val="none"/>
                <w:lang w:val="en-US" w:eastAsia="zh-CN" w:bidi="ar"/>
              </w:rPr>
              <w:t xml:space="preserve">，</w:t>
            </w:r>
            <w:r>
              <w:rPr>
                <w:rFonts w:hint="default" w:ascii="宋体" w:hAnsi="宋体" w:cs="宋体"/>
                <w:b w:val="0"/>
                <w:bCs w:val="0"/>
                <w:i w:val="0"/>
                <w:iCs w:val="0"/>
                <w:color w:val="000000"/>
                <w:sz w:val="21"/>
                <w:szCs w:val="21"/>
                <w:u w:val="none"/>
                <w:lang w:val="en-US" w:eastAsia="zh-CN" w:bidi="ar"/>
              </w:rPr>
              <w:t xml:space="preserve">左≥160°</w:t>
            </w:r>
            <w:r>
              <w:rPr>
                <w:rFonts w:hint="eastAsia" w:ascii="宋体" w:hAnsi="宋体" w:cs="宋体"/>
                <w:b w:val="0"/>
                <w:bCs w:val="0"/>
                <w:i w:val="0"/>
                <w:iCs w:val="0"/>
                <w:color w:val="000000"/>
                <w:sz w:val="21"/>
                <w:szCs w:val="21"/>
                <w:u w:val="none"/>
                <w:lang w:val="en-US" w:eastAsia="zh-CN" w:bidi="ar"/>
              </w:rPr>
              <w:t xml:space="preserve">，</w:t>
            </w:r>
            <w:r>
              <w:rPr>
                <w:rFonts w:hint="default" w:ascii="宋体" w:hAnsi="宋体" w:cs="宋体"/>
                <w:b w:val="0"/>
                <w:bCs w:val="0"/>
                <w:i w:val="0"/>
                <w:iCs w:val="0"/>
                <w:color w:val="000000"/>
                <w:sz w:val="21"/>
                <w:szCs w:val="21"/>
                <w:u w:val="none"/>
                <w:lang w:val="en-US" w:eastAsia="zh-CN" w:bidi="ar"/>
              </w:rPr>
              <w:t xml:space="preserve">右≥160°</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★21</w:t>
            </w:r>
            <w:r/>
          </w:p>
        </w:tc>
        <w:tc>
          <w:tcPr>
            <w:shd w:val="clear" w:color="auto" w:fill="auto"/>
            <w:tcW w:w="6173" w:type="dxa"/>
            <w:vAlign w:val="top"/>
            <w:textDirection w:val="lrTb"/>
            <w:noWrap w:val="false"/>
          </w:tcPr>
          <w:p>
            <w:pPr>
              <w:jc w:val="left"/>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default" w:ascii="宋体" w:hAnsi="宋体" w:cs="宋体"/>
                <w:b w:val="0"/>
                <w:bCs w:val="0"/>
                <w:i w:val="0"/>
                <w:iCs w:val="0"/>
                <w:color w:val="000000"/>
                <w:sz w:val="21"/>
                <w:szCs w:val="21"/>
                <w:u w:val="none"/>
                <w:lang w:val="en-US" w:eastAsia="zh-CN" w:bidi="ar"/>
              </w:rPr>
              <w:t xml:space="preserve">普通观察：景深≥3-100mm</w:t>
            </w:r>
            <w:r>
              <w:rPr>
                <w:rFonts w:hint="eastAsia" w:ascii="宋体" w:hAnsi="宋体" w:cs="宋体"/>
                <w:b w:val="0"/>
                <w:bCs w:val="0"/>
                <w:i w:val="0"/>
                <w:iCs w:val="0"/>
                <w:color w:val="000000"/>
                <w:sz w:val="21"/>
                <w:szCs w:val="21"/>
                <w:u w:val="none"/>
                <w:lang w:val="en-US" w:eastAsia="zh-CN" w:bidi="ar"/>
              </w:rPr>
              <w:t xml:space="preserve">；</w:t>
            </w:r>
            <w:r>
              <w:rPr>
                <w:rFonts w:hint="default" w:ascii="宋体" w:hAnsi="宋体" w:cs="宋体"/>
                <w:b w:val="0"/>
                <w:bCs w:val="0"/>
                <w:i w:val="0"/>
                <w:iCs w:val="0"/>
                <w:color w:val="000000"/>
                <w:sz w:val="21"/>
                <w:szCs w:val="21"/>
                <w:u w:val="none"/>
                <w:lang w:val="en-US" w:eastAsia="zh-CN" w:bidi="ar"/>
              </w:rPr>
              <w:t xml:space="preserve">视场角≥170°</w:t>
            </w:r>
            <w:r>
              <w:rPr>
                <w:rFonts w:hint="eastAsia" w:ascii="宋体" w:hAnsi="宋体" w:cs="宋体"/>
                <w:b w:val="0"/>
                <w:bCs w:val="0"/>
                <w:i w:val="0"/>
                <w:iCs w:val="0"/>
                <w:color w:val="000000"/>
                <w:sz w:val="21"/>
                <w:szCs w:val="21"/>
                <w:u w:val="none"/>
                <w:lang w:val="en-US" w:eastAsia="zh-CN" w:bidi="ar"/>
              </w:rPr>
              <w:t xml:space="preserve">；</w:t>
            </w:r>
            <w:r>
              <w:rPr>
                <w:rFonts w:hint="default" w:ascii="宋体" w:hAnsi="宋体" w:cs="宋体"/>
                <w:b w:val="0"/>
                <w:bCs w:val="0"/>
                <w:i w:val="0"/>
                <w:iCs w:val="0"/>
                <w:color w:val="000000"/>
                <w:sz w:val="21"/>
                <w:szCs w:val="21"/>
                <w:u w:val="none"/>
                <w:lang w:val="en-US" w:eastAsia="zh-CN" w:bidi="ar"/>
              </w:rPr>
              <w:t xml:space="preserve">放大观察：景深≥1.5-3.5mm、视场角≥95°、放大倍数≥80倍；提供厂家盖章的证明材料</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22</w:t>
            </w:r>
            <w:r/>
          </w:p>
        </w:tc>
        <w:tc>
          <w:tcPr>
            <w:shd w:val="clear" w:color="auto" w:fill="auto"/>
            <w:tcW w:w="6173" w:type="dxa"/>
            <w:vAlign w:val="top"/>
            <w:textDirection w:val="lrTb"/>
            <w:noWrap w:val="false"/>
          </w:tcPr>
          <w:p>
            <w:pPr>
              <w:jc w:val="both"/>
              <w:keepLines w:val="0"/>
              <w:keepNext w:val="0"/>
              <w:widowControl/>
              <w:rPr>
                <w:rFonts w:hint="default" w:ascii="宋体" w:hAnsi="宋体" w:cs="宋体"/>
                <w:b w:val="0"/>
                <w:bCs w:val="0"/>
                <w:i w:val="0"/>
                <w:iCs w:val="0"/>
                <w:color w:val="000000"/>
                <w:sz w:val="21"/>
                <w:szCs w:val="21"/>
                <w:u w:val="none"/>
                <w:lang w:val="en-US" w:eastAsia="zh-CN" w:bidi="ar"/>
              </w:rPr>
              <w:suppressLineNumbers w:val="0"/>
            </w:pPr>
            <w:r>
              <w:rPr>
                <w:rFonts w:hint="default" w:ascii="宋体" w:hAnsi="宋体" w:eastAsia="宋体" w:cs="宋体"/>
                <w:b w:val="0"/>
                <w:bCs w:val="0"/>
                <w:i w:val="0"/>
                <w:iCs w:val="0"/>
                <w:color w:val="000000"/>
                <w:sz w:val="21"/>
                <w:szCs w:val="21"/>
                <w:u w:val="none"/>
                <w:lang w:val="en-US" w:eastAsia="zh-CN" w:bidi="ar"/>
              </w:rPr>
              <w:t xml:space="preserve">全身防水、具备副送水、支持电烧器械</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（五）</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default" w:ascii="宋体" w:hAnsi="宋体" w:cs="宋体"/>
                <w:sz w:val="21"/>
                <w:szCs w:val="21"/>
                <w:lang w:val="en-US" w:eastAsia="zh-CN"/>
              </w:rPr>
              <w:t xml:space="preserve">医用监视器</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23</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分辨率≥3940x2160，尺寸≥31寸</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w:t>
            </w:r>
            <w:r/>
          </w:p>
        </w:tc>
        <w:tc>
          <w:tcPr>
            <w:shd w:val="clear" w:color="auto" w:fill="auto"/>
            <w:tcW w:w="6173" w:type="dxa"/>
            <w:vAlign w:val="center"/>
            <w:textDirection w:val="lrTb"/>
            <w:noWrap w:val="false"/>
          </w:tcPr>
          <w:p>
            <w:pPr>
              <w:numPr>
                <w:ilvl w:val="0"/>
                <w:numId w:val="0"/>
              </w:numPr>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配置</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★24</w:t>
            </w:r>
            <w:r/>
          </w:p>
        </w:tc>
        <w:tc>
          <w:tcPr>
            <w:shd w:val="clear" w:color="auto" w:fill="auto"/>
            <w:tcW w:w="6173" w:type="dxa"/>
            <w:vAlign w:val="center"/>
            <w:textDirection w:val="lrTb"/>
            <w:noWrap w:val="false"/>
          </w:tcPr>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电子图像处理装置 1台</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电子上消化道内镜 3根</w:t>
            </w:r>
            <w:r>
              <w:rPr>
                <w:rFonts w:hint="eastAsia" w:ascii="宋体" w:hAnsi="宋体" w:cs="宋体"/>
                <w:sz w:val="21"/>
                <w:szCs w:val="21"/>
                <w:lang w:val="en-US" w:eastAsia="zh-CN"/>
              </w:rPr>
              <w:t xml:space="preserve">；</w:t>
            </w:r>
            <w:r/>
          </w:p>
          <w:p>
            <w:pPr>
              <w:numPr>
                <w:ilvl w:val="0"/>
                <w:numId w:val="0"/>
              </w:numPr>
              <w:jc w:val="both"/>
              <w:rPr>
                <w:rFonts w:hint="eastAsia" w:ascii="宋体" w:hAnsi="宋体" w:cs="宋体"/>
                <w:sz w:val="21"/>
                <w:szCs w:val="21"/>
                <w:lang w:val="en-US" w:eastAsia="zh-CN"/>
              </w:rPr>
            </w:pPr>
            <w:r>
              <w:rPr>
                <w:rFonts w:hint="default" w:ascii="宋体" w:hAnsi="宋体" w:cs="宋体"/>
                <w:sz w:val="21"/>
                <w:szCs w:val="21"/>
                <w:lang w:val="en-US" w:eastAsia="zh-CN"/>
              </w:rPr>
              <w:t xml:space="preserve">电子下消化道内镜 </w:t>
            </w:r>
            <w:r>
              <w:rPr>
                <w:rFonts w:hint="eastAsia" w:ascii="宋体" w:hAnsi="宋体" w:cs="宋体"/>
                <w:sz w:val="21"/>
                <w:szCs w:val="21"/>
                <w:lang w:val="en-US" w:eastAsia="zh-CN"/>
              </w:rPr>
              <w:t xml:space="preserve">2</w:t>
            </w:r>
            <w:r>
              <w:rPr>
                <w:rFonts w:hint="default" w:ascii="宋体" w:hAnsi="宋体" w:cs="宋体"/>
                <w:sz w:val="21"/>
                <w:szCs w:val="21"/>
                <w:lang w:val="en-US" w:eastAsia="zh-CN"/>
              </w:rPr>
              <w:t xml:space="preserve">根</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eastAsia" w:ascii="宋体" w:hAnsi="宋体" w:cs="宋体"/>
                <w:b w:val="0"/>
                <w:bCs w:val="0"/>
                <w:i w:val="0"/>
                <w:iCs w:val="0"/>
                <w:color w:val="000000"/>
                <w:sz w:val="21"/>
                <w:szCs w:val="21"/>
                <w:u w:val="none"/>
                <w:lang w:val="en-US" w:eastAsia="zh-CN" w:bidi="ar"/>
              </w:rPr>
              <w:t xml:space="preserve">加长电子下消化道内窥镜1根</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医用监视器 1台</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医用台车 1台</w:t>
            </w:r>
            <w:r>
              <w:rPr>
                <w:rFonts w:hint="eastAsia" w:ascii="宋体" w:hAnsi="宋体" w:cs="宋体"/>
                <w:sz w:val="21"/>
                <w:szCs w:val="21"/>
                <w:lang w:val="en-US" w:eastAsia="zh-CN"/>
              </w:rPr>
              <w:t xml:space="preserve">；</w:t>
            </w:r>
            <w:r/>
          </w:p>
        </w:tc>
      </w:tr>
    </w:tbl>
    <w:p>
      <w:pPr>
        <w:ind w:firstLine="420"/>
        <w:spacing w:line="400" w:lineRule="exact"/>
        <w:rPr>
          <w:rFonts w:hint="eastAsia"/>
          <w:color w:val="auto"/>
          <w:sz w:val="21"/>
          <w:szCs w:val="21"/>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注：</w:t>
      </w:r>
      <w:r>
        <w:rPr>
          <w:rFonts w:hint="eastAsia" w:ascii="宋体" w:hAnsi="宋体" w:eastAsia="宋体" w:cs="Times New Roman"/>
          <w:color w:val="auto"/>
          <w:sz w:val="21"/>
          <w:szCs w:val="21"/>
          <w:highlight w:val="none"/>
          <w:lang w:val="en-US" w:eastAsia="zh-CN"/>
        </w:rPr>
        <w:t xml:space="preserve">上述证明材料是指：</w:t>
      </w:r>
      <w:r>
        <w:rPr>
          <w:rFonts w:hint="default" w:ascii="宋体" w:hAnsi="宋体" w:eastAsia="宋体" w:cs="Times New Roman"/>
          <w:color w:val="auto"/>
          <w:sz w:val="21"/>
          <w:szCs w:val="21"/>
          <w:highlight w:val="none"/>
          <w:lang w:val="en-US" w:eastAsia="zh-CN"/>
        </w:rPr>
        <w:t xml:space="preserve">产品说明书或实物操作界面或彩页或医疗器械注册证之附件《产品技术要求》</w:t>
      </w:r>
      <w:r>
        <w:rPr>
          <w:rFonts w:hint="eastAsia" w:ascii="宋体" w:hAnsi="宋体" w:eastAsia="宋体" w:cs="Times New Roman"/>
          <w:color w:val="auto"/>
          <w:sz w:val="21"/>
          <w:szCs w:val="21"/>
          <w:highlight w:val="none"/>
          <w:lang w:val="en-US" w:eastAsia="zh-CN"/>
        </w:rPr>
        <w:t xml:space="preserve">。</w:t>
      </w:r>
      <w:r/>
    </w:p>
    <w:p>
      <w:pPr>
        <w:ind w:firstLine="420"/>
        <w:spacing w:line="400" w:lineRule="exact"/>
        <w:rPr>
          <w:rFonts w:hint="eastAsia"/>
          <w:color w:val="auto"/>
          <w:sz w:val="21"/>
          <w:szCs w:val="21"/>
        </w:rPr>
      </w:pPr>
      <w:r>
        <w:rPr>
          <w:rFonts w:hint="eastAsia"/>
          <w:color w:val="auto"/>
          <w:sz w:val="21"/>
          <w:szCs w:val="21"/>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7、产品需符合《医疗器械网络安全注册技术审查指导原则》要求，提供医疗器械相应网络安全注册申报资料。</w:t>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8、参考IEC80001系列标准及技术报告、IEC 60601-1第三版、IEC 82304-1、IEC 27000系列标准及技术报告、ISO/DIS 27799等技术标准，要求所投医疗器械设备具备安全更新、恶意软件监测防护、抗网络攻击功能力。</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9、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详见招标文件第三章格式</w:t>
      </w:r>
      <w:r>
        <w:rPr>
          <w:rFonts w:hint="eastAsia" w:ascii="宋体" w:hAnsi="宋体" w:cs="宋体"/>
          <w:bCs/>
          <w:color w:val="auto"/>
          <w:sz w:val="21"/>
          <w:szCs w:val="21"/>
          <w:highlight w:val="none"/>
          <w:lang w:eastAsia="zh-CN"/>
        </w:rPr>
        <w:t xml:space="preserve">）。</w:t>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b w:val="0"/>
          <w:bCs/>
          <w:color w:val="auto"/>
          <w:sz w:val="21"/>
          <w:szCs w:val="21"/>
          <w:highlight w:val="none"/>
          <w:lang w:val="zh-CN"/>
        </w:rPr>
        <w:t xml:space="preserve">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4"/>
      <w:r/>
      <w:bookmarkStart w:id="9"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w:t>
      </w:r>
      <w:r>
        <w:rPr>
          <w:rFonts w:hint="eastAsia" w:hAnsi="宋体" w:eastAsia="宋体" w:cs="宋体"/>
          <w:b/>
          <w:bCs/>
          <w:color w:val="auto"/>
          <w:sz w:val="21"/>
          <w:szCs w:val="21"/>
          <w:highlight w:val="none"/>
          <w:lang w:val="en-US" w:eastAsia="zh-CN"/>
        </w:rPr>
        <w:t xml:space="preserve">符合性</w:t>
      </w: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39</w:t>
      </w:r>
      <w:r>
        <w:rPr>
          <w:rFonts w:hint="eastAsia"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▲参数5项，</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参数3项，其余技术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16</w:t>
      </w:r>
      <w:r>
        <w:rPr>
          <w:rFonts w:hint="eastAsia" w:hAnsi="宋体" w:eastAsia="宋体" w:cs="宋体"/>
          <w:color w:val="auto"/>
          <w:sz w:val="21"/>
          <w:szCs w:val="21"/>
          <w:highlight w:val="none"/>
        </w:rPr>
        <w:t xml:space="preserve">项。</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条技术参数符合得1.5分，最高24</w:t>
      </w:r>
      <w:r>
        <w:rPr>
          <w:rFonts w:hint="eastAsia" w:hAnsi="宋体" w:eastAsia="宋体" w:cs="宋体"/>
          <w:color w:val="auto"/>
          <w:sz w:val="21"/>
          <w:szCs w:val="21"/>
          <w:highlight w:val="none"/>
        </w:rPr>
        <w:t xml:space="preserve">分。上述参数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技术参数响应对照表并加盖投标人公章作为</w:t>
      </w:r>
      <w:r>
        <w:rPr>
          <w:rFonts w:hint="eastAsia" w:ascii="宋体" w:hAnsi="宋体" w:eastAsia="宋体" w:cs="Times New Roman"/>
          <w:color w:val="auto"/>
          <w:sz w:val="21"/>
          <w:szCs w:val="21"/>
          <w:highlight w:val="none"/>
          <w:lang w:val="en-US" w:eastAsia="zh-CN"/>
        </w:rPr>
        <w:t xml:space="preserve">证明材料</w:t>
      </w:r>
      <w:r>
        <w:rPr>
          <w:rFonts w:hint="eastAsia" w:hAnsi="宋体" w:eastAsia="宋体" w:cs="宋体"/>
          <w:color w:val="auto"/>
          <w:sz w:val="21"/>
          <w:szCs w:val="21"/>
          <w:highlight w:val="none"/>
        </w:rPr>
        <w:t xml:space="preserve">，否则视为负偏离</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条技术参数符合得3</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最高15分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ascii="宋体" w:hAnsi="宋体" w:eastAsia="宋体" w:cs="Times New Roman"/>
          <w:color w:val="auto"/>
          <w:sz w:val="21"/>
          <w:szCs w:val="21"/>
          <w:highlight w:val="none"/>
          <w:lang w:val="en-US" w:eastAsia="zh-CN"/>
        </w:rPr>
        <w:t xml:space="preserve">证明材料（</w:t>
      </w:r>
      <w:r>
        <w:rPr>
          <w:rFonts w:hint="default" w:ascii="宋体" w:hAnsi="宋体" w:eastAsia="宋体" w:cs="Times New Roman"/>
          <w:color w:val="auto"/>
          <w:sz w:val="21"/>
          <w:szCs w:val="21"/>
          <w:highlight w:val="none"/>
          <w:lang w:val="en-US" w:eastAsia="zh-CN"/>
        </w:rPr>
        <w:t xml:space="preserve">产品说明书或实物操作界面或彩页或医疗器械注册证之附件《产品技术要求》</w:t>
      </w:r>
      <w:r>
        <w:rPr>
          <w:rFonts w:hint="eastAsia" w:ascii="宋体" w:hAnsi="宋体" w:eastAsia="宋体" w:cs="Times New Roman"/>
          <w:color w:val="auto"/>
          <w:sz w:val="21"/>
          <w:szCs w:val="21"/>
          <w:highlight w:val="none"/>
          <w:lang w:val="en-US" w:eastAsia="zh-CN"/>
        </w:rPr>
        <w:t xml:space="preserve">）</w:t>
      </w:r>
      <w:r>
        <w:rPr>
          <w:rFonts w:hint="eastAsia" w:hAnsi="宋体" w:eastAsia="宋体" w:cs="宋体"/>
          <w:color w:val="auto"/>
          <w:sz w:val="21"/>
          <w:szCs w:val="21"/>
          <w:highlight w:val="none"/>
          <w:lang w:val="en-US" w:eastAsia="zh-CN"/>
        </w:rPr>
        <w:t xml:space="preserve">且</w:t>
      </w:r>
      <w:r>
        <w:rPr>
          <w:rFonts w:hint="eastAsia" w:hAnsi="宋体" w:eastAsia="宋体" w:cs="宋体"/>
          <w:color w:val="auto"/>
          <w:sz w:val="21"/>
          <w:szCs w:val="21"/>
          <w:highlight w:val="none"/>
        </w:rPr>
        <w:t xml:space="preserve">加盖厂家公章，否则视为负偏离</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否则视为负偏离。</w:t>
      </w:r>
      <w:r/>
    </w:p>
    <w:p>
      <w:pPr>
        <w:pStyle w:val="1169"/>
        <w:ind w:firstLine="422"/>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16</w:t>
      </w:r>
      <w:r>
        <w:rPr>
          <w:rFonts w:hint="eastAsia"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5</w:t>
      </w:r>
      <w:r>
        <w:rPr>
          <w:rFonts w:hint="eastAsia"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方案内容满足第四章中方案要求得4分；无方案或方案内容漏项或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w:t>
    </w:r>
    <w:r>
      <w:rPr>
        <w:rFonts w:hint="eastAsia" w:ascii="宋体" w:hAnsi="宋体" w:eastAsia="宋体"/>
        <w:sz w:val="21"/>
        <w:szCs w:val="21"/>
        <w:u w:val="single"/>
        <w:lang w:val="en-US" w:eastAsia="zh-CN"/>
      </w:rPr>
      <w:t xml:space="preserve">231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next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11</cp:revision>
  <dcterms:created xsi:type="dcterms:W3CDTF">2025-01-03T07:16:00Z</dcterms:created>
  <dcterms:modified xsi:type="dcterms:W3CDTF">2026-08-11T00:37:38Z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E58726D1F97A48D9930FF04E8855106F_13</vt:lpwstr>
  </property>
</Properties>
</file>