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48"/>
          <w:szCs w:val="48"/>
        </w:rPr>
      </w:pPr>
      <w:r>
        <w:rPr>
          <w:rFonts w:eastAsia="隶书"/>
          <w:b/>
          <w:bCs/>
          <w:color w:val="000000"/>
          <w:sz w:val="48"/>
          <w:szCs w:val="48"/>
        </w:rPr>
      </w:r>
      <w:r>
        <w:rPr>
          <w:sz w:val="48"/>
          <w:szCs w:val="48"/>
        </w:rP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52"/>
          <w:szCs w:val="52"/>
        </w:rPr>
      </w:pPr>
      <w:r>
        <w:rPr>
          <w:rFonts w:eastAsia="隶书"/>
          <w:color w:val="000000"/>
          <w:sz w:val="52"/>
          <w:szCs w:val="52"/>
        </w:rPr>
      </w:r>
      <w:r>
        <w:rPr>
          <w:sz w:val="52"/>
          <w:szCs w:val="52"/>
        </w:rPr>
      </w:r>
    </w:p>
    <w:p>
      <w:pPr>
        <w:jc w:val="center"/>
        <w:spacing w:line="360" w:lineRule="auto"/>
        <w:rPr>
          <w:rFonts w:eastAsia="隶书"/>
          <w:color w:val="000000"/>
          <w:sz w:val="72"/>
        </w:rPr>
      </w:pPr>
      <w:r>
        <w:rPr>
          <w:rFonts w:hint="eastAsia" w:eastAsia="隶书"/>
          <w:sz w:val="48"/>
          <w:szCs w:val="48"/>
        </w:rPr>
        <w:t xml:space="preserve">原子吸收光谱仪等18项设备</w:t>
      </w:r>
      <w:r/>
    </w:p>
    <w:p>
      <w:pPr>
        <w:jc w:val="center"/>
        <w:spacing w:line="360" w:lineRule="auto"/>
        <w:rPr>
          <w:color w:val="000000"/>
          <w:sz w:val="44"/>
          <w:szCs w:val="44"/>
        </w:rPr>
      </w:pPr>
      <w:r>
        <w:rPr>
          <w:color w:val="000000"/>
          <w:sz w:val="44"/>
          <w:szCs w:val="44"/>
        </w:rPr>
      </w:r>
      <w:r>
        <w:rPr>
          <w:sz w:val="44"/>
          <w:szCs w:val="44"/>
        </w:rP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56"/>
          <w:szCs w:val="56"/>
        </w:rPr>
      </w:pPr>
      <w:r>
        <w:rPr>
          <w:rFonts w:eastAsia="隶书"/>
          <w:color w:val="000000"/>
          <w:sz w:val="56"/>
          <w:szCs w:val="56"/>
        </w:rPr>
      </w:r>
      <w:r>
        <w:rPr>
          <w:sz w:val="56"/>
          <w:szCs w:val="56"/>
        </w:rPr>
      </w:r>
    </w:p>
    <w:p>
      <w:pPr>
        <w:jc w:val="center"/>
        <w:spacing w:line="360" w:lineRule="auto"/>
        <w:rPr>
          <w:rFonts w:hint="eastAsia" w:eastAsia="隶书"/>
          <w:color w:val="000000"/>
          <w:sz w:val="36"/>
          <w:lang w:eastAsia="zh-CN"/>
        </w:rPr>
      </w:pPr>
      <w:r>
        <w:rPr>
          <w:rFonts w:eastAsia="隶书"/>
          <w:color w:val="000000"/>
          <w:sz w:val="36"/>
        </w:rPr>
        <w:t xml:space="preserve">招标编号：</w:t>
      </w:r>
      <w:r>
        <w:rPr>
          <w:rFonts w:hint="eastAsia" w:eastAsia="隶书"/>
          <w:color w:val="000000"/>
          <w:sz w:val="36"/>
          <w:lang w:eastAsia="zh-CN"/>
        </w:rPr>
        <w:t xml:space="preserve">4297-2641SUMEC309</w:t>
      </w:r>
      <w:r/>
    </w:p>
    <w:p>
      <w:pPr>
        <w:jc w:val="center"/>
        <w:spacing w:line="360" w:lineRule="auto"/>
        <w:rPr>
          <w:rFonts w:eastAsia="隶书"/>
          <w:color w:val="000000"/>
          <w:sz w:val="36"/>
        </w:rPr>
      </w:pPr>
      <w:r>
        <w:rPr>
          <w:rFonts w:eastAsia="隶书"/>
          <w:color w:val="000000"/>
          <w:sz w:val="36"/>
        </w:rPr>
        <w:t xml:space="preserve">（</w:t>
      </w:r>
      <w:r>
        <w:rPr>
          <w:rFonts w:hint="eastAsia" w:eastAsia="隶书"/>
          <w:color w:val="000000"/>
          <w:sz w:val="36"/>
          <w:lang w:eastAsia="zh-CN"/>
        </w:rPr>
        <w:t xml:space="preserve">公告编号：JSZC-320000-JSSB-G2026-000</w:t>
      </w:r>
      <w:r>
        <w:rPr>
          <w:rFonts w:hint="eastAsia" w:eastAsia="隶书"/>
          <w:color w:val="000000"/>
          <w:sz w:val="36"/>
          <w:lang w:val="en-US" w:eastAsia="zh-CN"/>
        </w:rPr>
        <w:t xml:space="preserve">7</w:t>
      </w:r>
      <w:r>
        <w:rPr>
          <w:rFonts w:eastAsia="隶书"/>
          <w:color w:val="000000"/>
          <w:sz w:val="36"/>
        </w:rPr>
        <w:t xml:space="preserve"> ）</w:t>
      </w:r>
      <w:r/>
      <w:r>
        <w:rPr>
          <w:rFonts w:eastAsia="隶书"/>
          <w:color w:val="000000"/>
          <w:szCs w:val="21"/>
        </w:rPr>
      </w:r>
      <w:r/>
      <w:r>
        <w:rPr>
          <w:rFonts w:eastAsia="隶书"/>
          <w:color w:val="000000"/>
          <w:sz w:val="36"/>
        </w:rP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w:t>
      </w:r>
      <w:r>
        <w:rPr>
          <w:rFonts w:hint="eastAsia" w:eastAsia="隶书"/>
          <w:color w:val="000000"/>
          <w:sz w:val="32"/>
        </w:rPr>
        <w:t xml:space="preserve">6</w:t>
      </w:r>
      <w:r>
        <w:rPr>
          <w:rFonts w:eastAsia="隶书"/>
          <w:color w:val="000000"/>
          <w:sz w:val="32"/>
        </w:rPr>
        <w:t xml:space="preserve">年0</w:t>
      </w:r>
      <w:r>
        <w:rPr>
          <w:rFonts w:hint="eastAsia" w:eastAsia="隶书"/>
          <w:color w:val="000000"/>
          <w:sz w:val="32"/>
          <w:lang w:val="en-US" w:eastAsia="zh-CN"/>
        </w:rPr>
        <w:t xml:space="preserve">9</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460"/>
        <w:tabs>
          <w:tab w:val="right" w:pos="9406" w:leader="dot"/>
        </w:tabs>
        <w:rPr>
          <w:rFonts w:eastAsiaTheme="minorEastAsia"/>
          <w:sz w:val="24"/>
          <w:szCs w:val="24"/>
          <w14:ligatures w14:val="standardContextual"/>
        </w:rPr>
      </w:pPr>
      <w:r>
        <w:rPr>
          <w:rFonts w:eastAsia="黑体"/>
          <w:bCs/>
          <w:color w:val="000000"/>
          <w:sz w:val="24"/>
          <w:szCs w:val="24"/>
        </w:rPr>
        <w:fldChar w:fldCharType="begin"/>
      </w:r>
      <w:r>
        <w:rPr>
          <w:rFonts w:eastAsia="黑体"/>
          <w:bCs/>
          <w:color w:val="000000"/>
          <w:sz w:val="24"/>
          <w:szCs w:val="24"/>
        </w:rPr>
        <w:instrText xml:space="preserve">TOC \o "1-3" \h \u </w:instrText>
      </w:r>
      <w:r>
        <w:rPr>
          <w:rFonts w:eastAsia="黑体"/>
          <w:bCs/>
          <w:color w:val="000000"/>
          <w:sz w:val="24"/>
          <w:szCs w:val="24"/>
        </w:rPr>
        <w:fldChar w:fldCharType="separate"/>
      </w:r>
      <w:r>
        <w:fldChar w:fldCharType="begin"/>
      </w:r>
      <w:r>
        <w:instrText xml:space="preserve"> HYPERLINK \l "_Toc231822725" </w:instrText>
      </w:r>
      <w:r>
        <w:fldChar w:fldCharType="separate"/>
      </w:r>
      <w:r>
        <w:rPr>
          <w:rStyle w:val="1476"/>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"_Toc231822726" </w:instrText>
      </w:r>
      <w:r>
        <w:fldChar w:fldCharType="separate"/>
      </w:r>
      <w:r>
        <w:rPr>
          <w:rStyle w:val="1476"/>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"_Toc231822727" </w:instrText>
      </w:r>
      <w:r>
        <w:fldChar w:fldCharType="separate"/>
      </w:r>
      <w:r>
        <w:rPr>
          <w:rStyle w:val="1476"/>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"_Toc231822728" </w:instrText>
      </w:r>
      <w:r>
        <w:fldChar w:fldCharType="separate"/>
      </w:r>
      <w:r>
        <w:rPr>
          <w:rStyle w:val="1476"/>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"_Toc231822729" </w:instrText>
      </w:r>
      <w:r>
        <w:fldChar w:fldCharType="separate"/>
      </w:r>
      <w:r>
        <w:rPr>
          <w:rStyle w:val="1476"/>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"_Toc231822730" </w:instrText>
      </w:r>
      <w:r>
        <w:fldChar w:fldCharType="separate"/>
      </w:r>
      <w:r>
        <w:rPr>
          <w:rStyle w:val="1476"/>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"_Toc231822731" </w:instrText>
      </w:r>
      <w:r>
        <w:fldChar w:fldCharType="separate"/>
      </w:r>
      <w:r>
        <w:rPr>
          <w:rStyle w:val="1476"/>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"_Toc231822732" </w:instrText>
      </w:r>
      <w:r>
        <w:fldChar w:fldCharType="separate"/>
      </w:r>
      <w:r>
        <w:rPr>
          <w:rStyle w:val="1476"/>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460"/>
        <w:tabs>
          <w:tab w:val="right" w:pos="9406" w:leader="dot"/>
        </w:tabs>
        <w:rPr>
          <w:rFonts w:eastAsiaTheme="minorEastAsia"/>
          <w:sz w:val="24"/>
          <w:szCs w:val="24"/>
          <w14:ligatures w14:val="standardContextual"/>
        </w:rPr>
      </w:pPr>
      <w:r>
        <w:fldChar w:fldCharType="begin"/>
      </w:r>
      <w:r>
        <w:instrText xml:space="preserve"> HYPERLINK \l "_Toc231822733" </w:instrText>
      </w:r>
      <w:r>
        <w:fldChar w:fldCharType="separate"/>
      </w:r>
      <w:r>
        <w:rPr>
          <w:rStyle w:val="1476"/>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"_Toc231822734" </w:instrText>
      </w:r>
      <w:r>
        <w:fldChar w:fldCharType="separate"/>
      </w:r>
      <w:r>
        <w:rPr>
          <w:rStyle w:val="1476"/>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"_Toc231822735" </w:instrText>
      </w:r>
      <w:r>
        <w:fldChar w:fldCharType="separate"/>
      </w:r>
      <w:r>
        <w:rPr>
          <w:rStyle w:val="1476"/>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10</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"_Toc231822736" </w:instrText>
      </w:r>
      <w:r>
        <w:fldChar w:fldCharType="separate"/>
      </w:r>
      <w:r>
        <w:rPr>
          <w:rStyle w:val="1476"/>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"_Toc231822737" </w:instrText>
      </w:r>
      <w:r>
        <w:fldChar w:fldCharType="separate"/>
      </w:r>
      <w:r>
        <w:rPr>
          <w:rStyle w:val="1476"/>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"_Toc231822738" </w:instrText>
      </w:r>
      <w:r>
        <w:fldChar w:fldCharType="separate"/>
      </w:r>
      <w:r>
        <w:rPr>
          <w:rStyle w:val="1476"/>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"_Toc231822739" </w:instrText>
      </w:r>
      <w:r>
        <w:fldChar w:fldCharType="separate"/>
      </w:r>
      <w:r>
        <w:rPr>
          <w:rStyle w:val="1476"/>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"_Toc231822740" </w:instrText>
      </w:r>
      <w:r>
        <w:fldChar w:fldCharType="separate"/>
      </w:r>
      <w:r>
        <w:rPr>
          <w:rStyle w:val="1476"/>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20</w:t>
      </w:r>
      <w:r>
        <w:rPr>
          <w:sz w:val="24"/>
          <w:szCs w:val="24"/>
        </w:rPr>
        <w:fldChar w:fldCharType="end"/>
      </w:r>
      <w:r>
        <w:rPr>
          <w:sz w:val="24"/>
          <w:szCs w:val="24"/>
        </w:rPr>
        <w:fldChar w:fldCharType="end"/>
      </w:r>
      <w:r/>
    </w:p>
    <w:p>
      <w:pPr>
        <w:pStyle w:val="1460"/>
        <w:tabs>
          <w:tab w:val="right" w:pos="9406" w:leader="dot"/>
        </w:tabs>
        <w:rPr>
          <w:rFonts w:eastAsiaTheme="minorEastAsia"/>
          <w:sz w:val="24"/>
          <w:szCs w:val="24"/>
          <w14:ligatures w14:val="standardContextual"/>
        </w:rPr>
      </w:pPr>
      <w:r>
        <w:fldChar w:fldCharType="begin"/>
      </w:r>
      <w:r>
        <w:instrText xml:space="preserve"> HYPERLINK \l "_Toc231822741" </w:instrText>
      </w:r>
      <w:r>
        <w:fldChar w:fldCharType="separate"/>
      </w:r>
      <w:r>
        <w:rPr>
          <w:rStyle w:val="1476"/>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22</w:t>
      </w:r>
      <w:r>
        <w:rPr>
          <w:sz w:val="24"/>
          <w:szCs w:val="24"/>
        </w:rPr>
        <w:fldChar w:fldCharType="end"/>
      </w:r>
      <w:r>
        <w:rPr>
          <w:sz w:val="24"/>
          <w:szCs w:val="24"/>
        </w:rPr>
        <w:fldChar w:fldCharType="end"/>
      </w:r>
      <w:r/>
    </w:p>
    <w:p>
      <w:pPr>
        <w:pStyle w:val="1460"/>
        <w:tabs>
          <w:tab w:val="right" w:pos="9406" w:leader="dot"/>
        </w:tabs>
        <w:rPr>
          <w:rFonts w:eastAsiaTheme="minorEastAsia"/>
          <w:sz w:val="24"/>
          <w:szCs w:val="24"/>
          <w14:ligatures w14:val="standardContextual"/>
        </w:rPr>
      </w:pPr>
      <w:r>
        <w:fldChar w:fldCharType="begin"/>
      </w:r>
      <w:r>
        <w:instrText xml:space="preserve"> HYPERLINK \l "_Toc231822742" </w:instrText>
      </w:r>
      <w:r>
        <w:fldChar w:fldCharType="separate"/>
      </w:r>
      <w:r>
        <w:rPr>
          <w:rStyle w:val="1476"/>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1460"/>
        <w:tabs>
          <w:tab w:val="right" w:pos="9406" w:leader="dot"/>
        </w:tabs>
        <w:rPr>
          <w:rFonts w:eastAsiaTheme="minorEastAsia"/>
          <w:sz w:val="24"/>
          <w:szCs w:val="24"/>
          <w14:ligatures w14:val="standardContextual"/>
        </w:rPr>
      </w:pPr>
      <w:r>
        <w:fldChar w:fldCharType="begin"/>
      </w:r>
      <w:r>
        <w:instrText xml:space="preserve"> HYPERLINK \l "_Toc231822743" </w:instrText>
      </w:r>
      <w:r>
        <w:fldChar w:fldCharType="separate"/>
      </w:r>
      <w:r>
        <w:rPr>
          <w:rStyle w:val="1476"/>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45</w:t>
      </w:r>
      <w:r>
        <w:rPr>
          <w:sz w:val="24"/>
          <w:szCs w:val="24"/>
        </w:rPr>
        <w:fldChar w:fldCharType="end"/>
      </w:r>
      <w:r>
        <w:rPr>
          <w:sz w:val="24"/>
          <w:szCs w:val="24"/>
        </w:rPr>
        <w:fldChar w:fldCharType="end"/>
      </w:r>
      <w:r/>
    </w:p>
    <w:p>
      <w:pPr>
        <w:pStyle w:val="1460"/>
        <w:tabs>
          <w:tab w:val="right" w:pos="9406" w:leader="dot"/>
        </w:tabs>
        <w:rPr>
          <w:rFonts w:eastAsiaTheme="minorEastAsia"/>
          <w:sz w:val="24"/>
          <w:szCs w:val="24"/>
          <w14:ligatures w14:val="standardContextual"/>
        </w:rPr>
      </w:pPr>
      <w:r>
        <w:fldChar w:fldCharType="begin"/>
      </w:r>
      <w:r>
        <w:instrText xml:space="preserve"> HYPERLINK \l "_Toc231822744" </w:instrText>
      </w:r>
      <w:r>
        <w:fldChar w:fldCharType="separate"/>
      </w:r>
      <w:r>
        <w:rPr>
          <w:rStyle w:val="1476"/>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52</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"_Toc231822745" </w:instrText>
      </w:r>
      <w:r>
        <w:fldChar w:fldCharType="separate"/>
      </w:r>
      <w:r>
        <w:rPr>
          <w:rStyle w:val="1476"/>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54</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"_Toc231822746" </w:instrText>
      </w:r>
      <w:r>
        <w:fldChar w:fldCharType="separate"/>
      </w:r>
      <w:r>
        <w:rPr>
          <w:rStyle w:val="1476"/>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55</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"_Toc231822747" </w:instrText>
      </w:r>
      <w:r>
        <w:fldChar w:fldCharType="separate"/>
      </w:r>
      <w:r>
        <w:rPr>
          <w:rStyle w:val="1476"/>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56</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"_Toc231822748" </w:instrText>
      </w:r>
      <w:r>
        <w:fldChar w:fldCharType="separate"/>
      </w:r>
      <w:r>
        <w:rPr>
          <w:rStyle w:val="1476"/>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57</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"_Toc231822749" </w:instrText>
      </w:r>
      <w:r>
        <w:fldChar w:fldCharType="separate"/>
      </w:r>
      <w:r>
        <w:rPr>
          <w:rStyle w:val="1476"/>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58</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"_Toc231822750" </w:instrText>
      </w:r>
      <w:r>
        <w:fldChar w:fldCharType="separate"/>
      </w:r>
      <w:r>
        <w:rPr>
          <w:rStyle w:val="1476"/>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59</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"_Toc231822751" </w:instrText>
      </w:r>
      <w:r>
        <w:fldChar w:fldCharType="separate"/>
      </w:r>
      <w:r>
        <w:rPr>
          <w:rStyle w:val="1476"/>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60</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"_Toc231822752" </w:instrText>
      </w:r>
      <w:r>
        <w:fldChar w:fldCharType="separate"/>
      </w:r>
      <w:r>
        <w:rPr>
          <w:rStyle w:val="1476"/>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61</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"_Toc231822753" </w:instrText>
      </w:r>
      <w:r>
        <w:fldChar w:fldCharType="separate"/>
      </w:r>
      <w:r>
        <w:rPr>
          <w:rStyle w:val="1476"/>
          <w:sz w:val="24"/>
          <w:szCs w:val="24"/>
          <w:lang w:val="zh-CN"/>
        </w:rPr>
        <w:t xml:space="preserve">附件</w:t>
      </w:r>
      <w:r>
        <w:rPr>
          <w:rStyle w:val="1476"/>
          <w:sz w:val="24"/>
          <w:szCs w:val="24"/>
        </w:rPr>
        <w:t xml:space="preserve">九</w:t>
      </w:r>
      <w:r>
        <w:rPr>
          <w:rStyle w:val="1476"/>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64</w:t>
      </w:r>
      <w:r>
        <w:rPr>
          <w:sz w:val="24"/>
          <w:szCs w:val="24"/>
        </w:rPr>
        <w:fldChar w:fldCharType="end"/>
      </w:r>
      <w:r>
        <w:rPr>
          <w:sz w:val="24"/>
          <w:szCs w:val="24"/>
        </w:rPr>
        <w:fldChar w:fldCharType="end"/>
      </w:r>
      <w:r/>
    </w:p>
    <w:p>
      <w:pPr>
        <w:pStyle w:val="1465"/>
        <w:ind w:left="420"/>
        <w:tabs>
          <w:tab w:val="right" w:pos="9406" w:leader="dot"/>
        </w:tabs>
        <w:rPr>
          <w:rFonts w:eastAsiaTheme="minorEastAsia"/>
          <w:sz w:val="24"/>
          <w:szCs w:val="24"/>
          <w14:ligatures w14:val="standardContextual"/>
        </w:rPr>
      </w:pPr>
      <w:r>
        <w:fldChar w:fldCharType="begin"/>
      </w:r>
      <w:r>
        <w:instrText xml:space="preserve"> HYPERLINK \l "_Toc231822754" </w:instrText>
      </w:r>
      <w:r>
        <w:fldChar w:fldCharType="separate"/>
      </w:r>
      <w:r>
        <w:rPr>
          <w:rStyle w:val="1476"/>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75</w:t>
      </w:r>
      <w:r>
        <w:rPr>
          <w:sz w:val="24"/>
          <w:szCs w:val="24"/>
        </w:rPr>
        <w:fldChar w:fldCharType="end"/>
      </w:r>
      <w:r>
        <w:rPr>
          <w:sz w:val="24"/>
          <w:szCs w:val="24"/>
        </w:rPr>
        <w:fldChar w:fldCharType="end"/>
      </w:r>
      <w:r/>
    </w:p>
    <w:p>
      <w:pPr>
        <w:jc w:val="center"/>
        <w:spacing w:line="440" w:lineRule="exact"/>
        <w:rPr>
          <w:rFonts w:eastAsia="黑体"/>
          <w:bCs/>
          <w:color w:val="000000"/>
        </w:rPr>
      </w:pPr>
      <w:r>
        <w:rPr>
          <w:rFonts w:eastAsia="黑体"/>
          <w:bCs/>
          <w:color w:val="000000"/>
          <w:sz w:val="24"/>
          <w:szCs w:val="24"/>
        </w:rPr>
        <w:fldChar w:fldCharType="end"/>
      </w:r>
      <w:bookmarkStart w:id="0" w:name="_Toc20619"/>
      <w:r/>
      <w:bookmarkStart w:id="1" w:name="_Toc4696384"/>
      <w:r/>
      <w:bookmarkStart w:id="2" w:name="_Toc11991"/>
      <w:r/>
      <w:bookmarkStart w:id="3" w:name="_Toc22298"/>
      <w:r/>
      <w:bookmarkStart w:id="4" w:name="_Toc20112"/>
      <w:r/>
      <w:bookmarkStart w:id="5" w:name="_Toc24606"/>
      <w:r/>
      <w:bookmarkStart w:id="6" w:name="_Toc15509"/>
      <w:r/>
      <w:bookmarkStart w:id="7" w:name="_Toc13535"/>
      <w:r/>
      <w:bookmarkStart w:id="8" w:name="_Toc19726"/>
      <w:r/>
      <w:bookmarkStart w:id="9" w:name="_Toc7777"/>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28359079"/>
      <w:r/>
      <w:bookmarkStart w:id="13" w:name="_Toc35393621"/>
      <w:r/>
      <w:bookmarkStart w:id="14" w:name="_Toc35393790"/>
      <w:r/>
      <w:bookmarkStart w:id="15" w:name="_Toc15613"/>
      <w:r/>
      <w:bookmarkStart w:id="16" w:name="_Hlk24379207"/>
      <w:r/>
      <w:bookmarkStart w:id="17" w:name="_Toc20859"/>
      <w:r/>
      <w:bookmarkStart w:id="18" w:name="_Toc28359002"/>
      <w:r>
        <w:rPr>
          <w:szCs w:val="21"/>
          <w:u w:val="single"/>
        </w:rPr>
        <w:t xml:space="preserve">江苏省特种设备安全监督检验研究院 </w:t>
      </w:r>
      <w:r>
        <w:rPr>
          <w:rFonts w:hint="eastAsia"/>
          <w:szCs w:val="21"/>
          <w:u w:val="single"/>
        </w:rPr>
        <w:t xml:space="preserve">原子吸收光谱仪等18项设备</w:t>
      </w:r>
      <w:r>
        <w:rPr>
          <w:szCs w:val="21"/>
          <w:u w:val="single"/>
        </w:rPr>
        <w:t xml:space="preserve">招标项目</w:t>
      </w:r>
      <w:r>
        <w:rPr>
          <w:rFonts w:hint="eastAsia"/>
          <w:szCs w:val="21"/>
          <w:u w:val="single"/>
          <w:lang w:val="en-US" w:eastAsia="zh-CN"/>
        </w:rPr>
        <w:t xml:space="preserve"> </w:t>
      </w:r>
      <w:r>
        <w:rPr>
          <w:szCs w:val="21"/>
          <w:u w:val="single"/>
        </w:rPr>
        <w:t xml:space="preserve">的潜在投标人应在江苏省南京市长江路198号苏美达大厦6楼西获取招标文件，并于202</w:t>
      </w:r>
      <w:r>
        <w:rPr>
          <w:rFonts w:hint="eastAsia"/>
          <w:szCs w:val="21"/>
          <w:u w:val="single"/>
        </w:rPr>
        <w:t xml:space="preserve">6</w:t>
      </w:r>
      <w:r>
        <w:rPr>
          <w:szCs w:val="21"/>
          <w:u w:val="single"/>
        </w:rPr>
        <w:t xml:space="preserve">年</w:t>
      </w:r>
      <w:r>
        <w:rPr>
          <w:rFonts w:hint="eastAsia"/>
          <w:szCs w:val="21"/>
          <w:u w:val="single"/>
          <w:lang w:val="en-US" w:eastAsia="zh-CN"/>
        </w:rPr>
        <w:t xml:space="preserve">09</w:t>
      </w:r>
      <w:r>
        <w:rPr>
          <w:szCs w:val="21"/>
          <w:u w:val="single"/>
        </w:rPr>
        <w:t xml:space="preserve">月</w:t>
      </w:r>
      <w:r>
        <w:rPr>
          <w:rFonts w:hint="eastAsia"/>
          <w:szCs w:val="21"/>
          <w:u w:val="single"/>
          <w:lang w:val="en-US" w:eastAsia="zh-CN"/>
        </w:rPr>
        <w:t xml:space="preserve">28</w:t>
      </w:r>
      <w:r>
        <w:rPr>
          <w:szCs w:val="21"/>
          <w:u w:val="single"/>
        </w:rPr>
        <w:t xml:space="preserve">日09点30分（北京时间）前递交投标文件。</w:t>
      </w:r>
      <w:bookmarkEnd w:id="12"/>
      <w:r/>
      <w:bookmarkEnd w:id="13"/>
      <w:r/>
      <w:bookmarkEnd w:id="14"/>
      <w:r/>
      <w:bookmarkEnd w:id="15"/>
      <w:r/>
      <w:bookmarkEnd w:id="16"/>
      <w:r/>
      <w:bookmarkEnd w:id="17"/>
      <w:r/>
      <w:bookmarkEnd w:id="18"/>
      <w:r/>
      <w:r/>
    </w:p>
    <w:p>
      <w:pPr>
        <w:pStyle w:val="1430"/>
      </w:pPr>
      <w:r/>
      <w:bookmarkStart w:id="19" w:name="_Toc231822726"/>
      <w:r/>
      <w:bookmarkStart w:id="20" w:name="_Toc35393791"/>
      <w:r/>
      <w:bookmarkStart w:id="21" w:name="_Toc5396"/>
      <w:r/>
      <w:bookmarkStart w:id="22" w:name="_Toc28359003"/>
      <w:r/>
      <w:bookmarkStart w:id="23" w:name="_Toc35393622"/>
      <w:r/>
      <w:bookmarkStart w:id="24" w:name="_Toc28359080"/>
      <w:r/>
      <w:bookmarkStart w:id="25" w:name="_Toc3342"/>
      <w:r>
        <w:t xml:space="preserve">一、项目基本情况</w:t>
      </w:r>
      <w:bookmarkEnd w:id="19"/>
      <w:r/>
      <w:r/>
    </w:p>
    <w:p>
      <w:pPr>
        <w:ind w:firstLine="210"/>
        <w:spacing w:line="360" w:lineRule="auto"/>
        <w:rPr>
          <w:szCs w:val="21"/>
        </w:rPr>
      </w:pPr>
      <w:r>
        <w:rPr>
          <w:szCs w:val="21"/>
        </w:rPr>
        <w:t xml:space="preserve">1、项目编号：</w:t>
      </w:r>
      <w:r>
        <w:rPr>
          <w:rFonts w:hint="eastAsia"/>
          <w:szCs w:val="21"/>
          <w:lang w:eastAsia="zh-CN"/>
        </w:rPr>
        <w:t xml:space="preserve">4297-2641SUMEC309</w:t>
      </w:r>
      <w:r>
        <w:rPr>
          <w:rFonts w:hint="eastAsia"/>
          <w:szCs w:val="21"/>
        </w:rPr>
        <w:t xml:space="preserve">（公告编号：JSZC-320000-JSSB-G2026-0007 ）</w:t>
      </w:r>
      <w:r/>
    </w:p>
    <w:p>
      <w:pPr>
        <w:ind w:firstLine="210"/>
        <w:spacing w:line="360" w:lineRule="auto"/>
        <w:rPr>
          <w:szCs w:val="21"/>
        </w:rPr>
      </w:pPr>
      <w:r>
        <w:rPr>
          <w:szCs w:val="21"/>
        </w:rPr>
        <w:t xml:space="preserve">2、项目名称：</w:t>
      </w:r>
      <w:r>
        <w:rPr>
          <w:rFonts w:hint="eastAsia"/>
          <w:szCs w:val="21"/>
        </w:rPr>
        <w:t xml:space="preserve">原子吸收光谱仪等18项设备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w:t>
      </w:r>
      <w:r>
        <w:rPr>
          <w:rFonts w:hint="eastAsia"/>
          <w:szCs w:val="21"/>
        </w:rPr>
        <w:t xml:space="preserve">122.66</w:t>
      </w:r>
      <w:r>
        <w:rPr>
          <w:szCs w:val="21"/>
        </w:rPr>
        <w:t xml:space="preserve">万元（单位：人民币）</w:t>
      </w:r>
      <w:r>
        <w:rPr>
          <w:b/>
          <w:szCs w:val="21"/>
        </w:rPr>
        <w:t xml:space="preserve">投标人所投报价不得超过每个品目所对应的预算金额，否则作无效投标处理。</w:t>
      </w:r>
      <w:r>
        <w:rPr>
          <w:szCs w:val="21"/>
        </w:rPr>
      </w:r>
      <w:r/>
    </w:p>
    <w:p>
      <w:pPr>
        <w:ind w:firstLine="210"/>
        <w:spacing w:line="360" w:lineRule="auto"/>
        <w:rPr>
          <w:szCs w:val="21"/>
        </w:rPr>
      </w:pPr>
      <w:r>
        <w:rPr>
          <w:szCs w:val="21"/>
        </w:rPr>
        <w:t xml:space="preserve">5、采购需求：</w:t>
      </w:r>
      <w:r/>
    </w:p>
    <w:tbl>
      <w:tblPr>
        <w:tblStyle w:val="143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2169"/>
        <w:gridCol w:w="1272"/>
        <w:gridCol w:w="758"/>
        <w:gridCol w:w="426"/>
        <w:gridCol w:w="2276"/>
        <w:gridCol w:w="871"/>
        <w:gridCol w:w="1002"/>
      </w:tblGrid>
      <w:tr>
        <w:trPr>
          <w:trHeight w:val="747"/>
        </w:trPr>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11"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可见分光光度计</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right w:val="single" w:color="auto" w:sz="4" w:space="0"/>
            </w:tcBorders>
            <w:tcW w:w="411" w:type="pct"/>
            <w:vAlign w:val="center"/>
            <w:vMerge w:val="restart"/>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详见招标文件第四章招标技术规格及要求</w:t>
            </w:r>
            <w:r/>
          </w:p>
        </w:tc>
        <w:tc>
          <w:tcPr>
            <w:tcBorders>
              <w:top w:val="single" w:color="auto" w:sz="4" w:space="0"/>
              <w:left w:val="single" w:color="auto" w:sz="4" w:space="0"/>
              <w:right w:val="single" w:color="auto" w:sz="4" w:space="0"/>
            </w:tcBorders>
            <w:tcW w:w="211" w:type="pct"/>
            <w:vAlign w:val="center"/>
            <w:vMerge w:val="restart"/>
            <w:textDirection w:val="lrTb"/>
            <w:noWrap w:val="false"/>
          </w:tcPr>
          <w:p>
            <w:pPr>
              <w:jc w:val="center"/>
              <w:spacing w:line="360" w:lineRule="auto"/>
              <w:tabs>
                <w:tab w:val="left" w:pos="4788" w:leader="none"/>
              </w:tabs>
              <w:rPr>
                <w:rFonts w:hint="eastAsia" w:asciiTheme="minorEastAsia" w:hAnsiTheme="minorEastAsia" w:eastAsiaTheme="minorEastAsia" w:cstheme="minorEastAsia"/>
              </w:rPr>
            </w:pPr>
            <w:r>
              <w:rPr>
                <w:rFonts w:eastAsiaTheme="minorEastAsia"/>
                <w:bCs/>
                <w:szCs w:val="21"/>
              </w:rPr>
              <w:t xml:space="preserve">检测</w:t>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4.93</w:t>
            </w:r>
            <w:r/>
          </w:p>
        </w:tc>
        <w:tc>
          <w:tcPr>
            <w:tcBorders>
              <w:top w:val="single" w:color="auto" w:sz="4" w:space="0"/>
              <w:left w:val="single" w:color="auto" w:sz="4" w:space="0"/>
              <w:right w:val="single" w:color="auto" w:sz="4" w:space="0"/>
            </w:tcBorders>
            <w:tcW w:w="471" w:type="pct"/>
            <w:vAlign w:val="center"/>
            <w:vMerge w:val="restart"/>
            <w:textDirection w:val="lrTb"/>
            <w:noWrap w:val="false"/>
          </w:tcPr>
          <w:p>
            <w:pPr>
              <w:ind w:right="-107"/>
              <w:jc w:val="center"/>
              <w:tabs>
                <w:tab w:val="left" w:pos="4788" w:leader="none"/>
              </w:tabs>
              <w:rPr>
                <w:rFonts w:eastAsiaTheme="minorEastAsia"/>
                <w:bCs/>
                <w:szCs w:val="21"/>
              </w:rPr>
            </w:pPr>
            <w:r>
              <w:rPr>
                <w:rFonts w:hint="eastAsia" w:ascii="宋体" w:hAnsi="宋体" w:cs="宋体"/>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碳硫分析仪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19.5</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102"/>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微波消解器</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28</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便携式酸度计</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1.8</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台式酸度计</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蒸馏水器</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0.4</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便携式电导率仪A</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1.4</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便携式电导率仪B</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0.25</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便携式溶解氧测定仪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14.4</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原子吸收光谱仪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29.8</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hint="eastAsia"/>
              </w:rPr>
              <w:t xml:space="preserve">核心产品</w:t>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十一</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铁含量分析仪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十二</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磷酸根分析仪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十三</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硅酸根分析仪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十四</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联氨分析仪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十五</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铜离子测定仪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十六</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总有机碳ToC测定仪</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6.8</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十七</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紫外分光光度计</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7.5</w:t>
            </w:r>
            <w:r/>
          </w:p>
        </w:tc>
        <w:tc>
          <w:tcPr>
            <w:tcBorders>
              <w:left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十八</w:t>
            </w:r>
            <w:r/>
          </w:p>
        </w:tc>
        <w:tc>
          <w:tcPr>
            <w:tcBorders>
              <w:top w:val="single" w:color="auto" w:sz="4" w:space="0"/>
              <w:left w:val="single" w:color="auto" w:sz="4" w:space="0"/>
              <w:bottom w:val="single" w:color="auto" w:sz="4" w:space="0"/>
              <w:right w:val="single" w:color="auto" w:sz="4" w:space="0"/>
            </w:tcBorders>
            <w:tcW w:w="1160"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浊度计</w:t>
            </w:r>
            <w:r/>
          </w:p>
        </w:tc>
        <w:tc>
          <w:tcPr>
            <w:tcBorders>
              <w:top w:val="single" w:color="auto" w:sz="4" w:space="0"/>
              <w:left w:val="single" w:color="auto" w:sz="4" w:space="0"/>
              <w:bottom w:val="single" w:color="auto" w:sz="4" w:space="0"/>
              <w:right w:val="single" w:color="auto" w:sz="4" w:space="0"/>
            </w:tcBorders>
            <w:tcW w:w="684"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bottom w:val="single" w:color="auto" w:sz="4" w:space="0"/>
              <w:right w:val="single" w:color="auto" w:sz="4" w:space="0"/>
            </w:tcBorders>
            <w:tcW w:w="4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left w:val="single" w:color="auto" w:sz="4" w:space="0"/>
              <w:bottom w:val="single" w:color="auto" w:sz="4" w:space="0"/>
              <w:right w:val="single" w:color="auto" w:sz="4" w:space="0"/>
            </w:tcBorders>
            <w:tcW w:w="211"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1217"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0.98</w:t>
            </w:r>
            <w:r/>
          </w:p>
        </w:tc>
        <w:tc>
          <w:tcPr>
            <w:tcBorders>
              <w:left w:val="single" w:color="auto" w:sz="4" w:space="0"/>
              <w:bottom w:val="single" w:color="auto" w:sz="4" w:space="0"/>
              <w:right w:val="single" w:color="auto" w:sz="4" w:space="0"/>
            </w:tcBorders>
            <w:tcW w:w="471"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ind w:firstLine="210"/>
        <w:spacing w:line="360" w:lineRule="auto"/>
        <w:rPr>
          <w:szCs w:val="21"/>
        </w:rPr>
      </w:pPr>
      <w:r>
        <w:rPr>
          <w:szCs w:val="21"/>
        </w:rPr>
        <w:t xml:space="preserve">6、合同履行期限：详见采购需求</w:t>
      </w:r>
      <w:r/>
    </w:p>
    <w:p>
      <w:pPr>
        <w:ind w:firstLine="210"/>
        <w:spacing w:line="360" w:lineRule="auto"/>
        <w:rPr>
          <w:szCs w:val="21"/>
        </w:rPr>
      </w:pPr>
      <w:r>
        <w:rPr>
          <w:szCs w:val="21"/>
        </w:rPr>
        <w:t xml:space="preserve">7、</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rFonts w:hint="eastAsia"/>
          <w:szCs w:val="21"/>
        </w:rPr>
        <w:t xml:space="preserve">8、</w:t>
      </w:r>
      <w:r>
        <w:rPr>
          <w:szCs w:val="21"/>
        </w:rPr>
        <w:t xml:space="preserve">本项目不接受联合体投标</w:t>
      </w:r>
      <w:r>
        <w:rPr>
          <w:rFonts w:hint="eastAsia"/>
          <w:szCs w:val="21"/>
        </w:rPr>
        <w:t xml:space="preserve">，中标后不允许分包、转包</w:t>
      </w:r>
      <w:r/>
    </w:p>
    <w:p>
      <w:pPr>
        <w:ind w:left="210"/>
        <w:spacing w:line="360" w:lineRule="auto"/>
        <w:rPr>
          <w:szCs w:val="21"/>
        </w:rPr>
      </w:pPr>
      <w:r>
        <w:rPr>
          <w:rFonts w:hint="eastAsia"/>
          <w:szCs w:val="21"/>
        </w:rPr>
        <w:t xml:space="preserve">9</w:t>
      </w:r>
      <w:r>
        <w:rPr>
          <w:szCs w:val="21"/>
        </w:rPr>
        <w:t xml:space="preserve">、集中考察：不组织</w:t>
      </w:r>
      <w:r/>
    </w:p>
    <w:p>
      <w:pPr>
        <w:ind w:left="210"/>
        <w:spacing w:line="360" w:lineRule="auto"/>
        <w:rPr>
          <w:szCs w:val="21"/>
        </w:rPr>
      </w:pPr>
      <w:r>
        <w:rPr>
          <w:rFonts w:hint="eastAsia"/>
          <w:szCs w:val="21"/>
        </w:rPr>
        <w:t xml:space="preserve">10</w:t>
      </w:r>
      <w:r>
        <w:rPr>
          <w:szCs w:val="21"/>
        </w:rPr>
        <w:t xml:space="preserve">、</w:t>
      </w:r>
      <w:r>
        <w:rPr>
          <w:rFonts w:hint="eastAsia"/>
          <w:szCs w:val="21"/>
        </w:rPr>
        <w:t xml:space="preserve">采购标的对应中小企业划分标准所属行业</w:t>
      </w:r>
      <w:r>
        <w:rPr>
          <w:szCs w:val="21"/>
        </w:rPr>
        <w:t xml:space="preserve">：工业</w:t>
      </w:r>
      <w:r/>
    </w:p>
    <w:p>
      <w:pPr>
        <w:ind w:left="210"/>
        <w:spacing w:line="360" w:lineRule="auto"/>
        <w:rPr>
          <w:szCs w:val="21"/>
        </w:rPr>
      </w:pPr>
      <w:r>
        <w:rPr>
          <w:rFonts w:hint="eastAsia"/>
          <w:szCs w:val="21"/>
        </w:rPr>
        <w:t xml:space="preserve">11、本项目非专门面向中小企业采购。</w:t>
      </w:r>
      <w:r>
        <w:rPr>
          <w:szCs w:val="21"/>
        </w:rPr>
      </w:r>
      <w:r/>
    </w:p>
    <w:p>
      <w:pPr>
        <w:pStyle w:val="1430"/>
        <w:rPr>
          <w:bCs/>
        </w:rPr>
      </w:pPr>
      <w:r/>
      <w:bookmarkStart w:id="26" w:name="_Toc231822727"/>
      <w:r>
        <w:t xml:space="preserve">二、申请人的资格要求：</w:t>
      </w:r>
      <w:bookmarkEnd w:id="20"/>
      <w:r/>
      <w:bookmarkEnd w:id="21"/>
      <w:r/>
      <w:bookmarkEnd w:id="22"/>
      <w:r/>
      <w:bookmarkEnd w:id="23"/>
      <w:r/>
      <w:bookmarkEnd w:id="24"/>
      <w:r/>
      <w:bookmarkEnd w:id="25"/>
      <w:r/>
      <w:bookmarkEnd w:id="26"/>
      <w:r/>
      <w:r/>
    </w:p>
    <w:p>
      <w:pPr>
        <w:ind w:left="218"/>
        <w:spacing w:line="360" w:lineRule="auto"/>
        <w:rPr>
          <w:b/>
          <w:bCs/>
          <w:szCs w:val="21"/>
        </w:rPr>
      </w:pPr>
      <w:r>
        <w:rPr>
          <w:b/>
          <w:bCs/>
          <w:szCs w:val="21"/>
        </w:rPr>
        <w:t xml:space="preserve">1、满足《中华人民共和国政府采购法》第二十二条规定</w:t>
      </w:r>
      <w:r>
        <w:rPr>
          <w:rFonts w:hint="eastAsia"/>
          <w:b/>
          <w:bCs/>
          <w:szCs w:val="21"/>
        </w:rPr>
        <w:t xml:space="preserve">：</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w:t>
      </w:r>
      <w:r>
        <w:rPr>
          <w:rFonts w:hint="eastAsia"/>
          <w:b/>
          <w:bCs/>
          <w:szCs w:val="21"/>
        </w:rPr>
        <w:t xml:space="preserve">无；</w:t>
      </w:r>
      <w:r/>
    </w:p>
    <w:p>
      <w:pPr>
        <w:ind w:left="218"/>
        <w:spacing w:line="360" w:lineRule="auto"/>
        <w:rPr>
          <w:b/>
          <w:bCs/>
          <w:szCs w:val="21"/>
        </w:rPr>
      </w:pPr>
      <w:r>
        <w:rPr>
          <w:rFonts w:hint="eastAsia"/>
          <w:b/>
          <w:bCs/>
          <w:szCs w:val="21"/>
        </w:rPr>
        <w:t xml:space="preserve">4、</w:t>
      </w:r>
      <w:r>
        <w:rPr>
          <w:rFonts w:hint="eastAsia" w:ascii="宋体" w:hAnsi="宋体" w:cs="宋体"/>
          <w:b/>
          <w:bCs/>
          <w:szCs w:val="21"/>
        </w:rPr>
        <w:t xml:space="preserve">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430"/>
        <w:rPr>
          <w:bCs/>
        </w:rPr>
      </w:pPr>
      <w:r/>
      <w:bookmarkStart w:id="27" w:name="_Toc13065"/>
      <w:r/>
      <w:bookmarkStart w:id="28" w:name="_Toc6688"/>
      <w:r/>
      <w:bookmarkStart w:id="29" w:name="_Toc231822728"/>
      <w:r>
        <w:t xml:space="preserve">三、获取招标文件</w:t>
      </w:r>
      <w:bookmarkEnd w:id="27"/>
      <w:r/>
      <w:bookmarkEnd w:id="28"/>
      <w:r/>
      <w:bookmarkEnd w:id="29"/>
      <w:r/>
      <w:r/>
    </w:p>
    <w:p>
      <w:pPr>
        <w:ind w:left="220" w:hanging="10"/>
        <w:spacing w:line="360" w:lineRule="auto"/>
        <w:rPr>
          <w:szCs w:val="21"/>
        </w:rPr>
      </w:pPr>
      <w:r>
        <w:rPr>
          <w:szCs w:val="21"/>
        </w:rPr>
        <w:t xml:space="preserve">1、时间：</w:t>
      </w:r>
      <w:r>
        <w:rPr>
          <w:rFonts w:hint="eastAsia" w:ascii="宋体" w:hAnsi="宋体" w:cs="宋体"/>
          <w:szCs w:val="21"/>
        </w:rPr>
        <w:t xml:space="preserve">自招标公告发布之日起5个工作日，</w:t>
      </w:r>
      <w:r>
        <w:rPr>
          <w:szCs w:val="21"/>
        </w:rPr>
        <w:t xml:space="preserve">202</w:t>
      </w:r>
      <w:r>
        <w:rPr>
          <w:rFonts w:hint="eastAsia"/>
          <w:szCs w:val="21"/>
        </w:rPr>
        <w:t xml:space="preserve">6</w:t>
      </w:r>
      <w:r>
        <w:rPr>
          <w:szCs w:val="21"/>
        </w:rPr>
        <w:t xml:space="preserve">年</w:t>
      </w:r>
      <w:r>
        <w:rPr>
          <w:rFonts w:hint="eastAsia"/>
          <w:szCs w:val="21"/>
          <w:lang w:val="en-US" w:eastAsia="zh-CN"/>
        </w:rPr>
        <w:t xml:space="preserve">09</w:t>
      </w:r>
      <w:r>
        <w:rPr>
          <w:szCs w:val="21"/>
        </w:rPr>
        <w:t xml:space="preserve">月</w:t>
      </w:r>
      <w:r>
        <w:rPr>
          <w:rFonts w:hint="eastAsia"/>
          <w:szCs w:val="21"/>
          <w:lang w:val="en-US" w:eastAsia="zh-CN"/>
        </w:rPr>
        <w:t xml:space="preserve">04</w:t>
      </w:r>
      <w:r>
        <w:rPr>
          <w:szCs w:val="21"/>
        </w:rPr>
        <w:t xml:space="preserve">日起至202</w:t>
      </w:r>
      <w:r>
        <w:rPr>
          <w:rFonts w:hint="eastAsia"/>
          <w:szCs w:val="21"/>
        </w:rPr>
        <w:t xml:space="preserve">6</w:t>
      </w:r>
      <w:r>
        <w:rPr>
          <w:szCs w:val="21"/>
        </w:rPr>
        <w:t xml:space="preserve">年</w:t>
      </w:r>
      <w:r>
        <w:rPr>
          <w:rFonts w:hint="eastAsia"/>
          <w:szCs w:val="21"/>
          <w:lang w:val="en-US" w:eastAsia="zh-CN"/>
        </w:rPr>
        <w:t xml:space="preserve">09</w:t>
      </w:r>
      <w:r>
        <w:rPr>
          <w:szCs w:val="21"/>
        </w:rPr>
        <w:t xml:space="preserve">月</w:t>
      </w:r>
      <w:r>
        <w:rPr>
          <w:rFonts w:hint="eastAsia"/>
          <w:szCs w:val="21"/>
          <w:lang w:val="en-US" w:eastAsia="zh-CN"/>
        </w:rPr>
        <w:t xml:space="preserve">11</w:t>
      </w:r>
      <w:r>
        <w:rPr>
          <w:szCs w:val="21"/>
        </w:rPr>
        <w:t xml:space="preserve">日止，每天9</w:t>
      </w:r>
      <w:r>
        <w:rPr>
          <w:rFonts w:hint="eastAsia"/>
          <w:szCs w:val="21"/>
        </w:rPr>
        <w:t xml:space="preserve">：</w:t>
      </w:r>
      <w:r>
        <w:rPr>
          <w:szCs w:val="21"/>
        </w:rPr>
        <w:t xml:space="preserve">00—11</w:t>
      </w:r>
      <w:r>
        <w:rPr>
          <w:rFonts w:hint="eastAsia"/>
          <w:szCs w:val="21"/>
        </w:rPr>
        <w:t xml:space="preserve">：</w:t>
      </w:r>
      <w:r>
        <w:rPr>
          <w:szCs w:val="21"/>
        </w:rPr>
        <w:t xml:space="preserve">30，14</w:t>
      </w:r>
      <w:r>
        <w:rPr>
          <w:rFonts w:hint="eastAsia"/>
          <w:szCs w:val="21"/>
        </w:rPr>
        <w:t xml:space="preserve">：</w:t>
      </w:r>
      <w:r>
        <w:rPr>
          <w:szCs w:val="21"/>
        </w:rPr>
        <w:t xml:space="preserve">00—17</w:t>
      </w:r>
      <w:r>
        <w:rPr>
          <w:rFonts w:hint="eastAsia"/>
          <w:szCs w:val="21"/>
        </w:rPr>
        <w:t xml:space="preserve">：</w:t>
      </w:r>
      <w:r>
        <w:rPr>
          <w:szCs w:val="21"/>
        </w:rPr>
        <w:t xml:space="preserve">00（北京时间，节假日除外）；</w:t>
      </w:r>
      <w:r>
        <w:rPr>
          <w:b/>
          <w:bCs/>
          <w:szCs w:val="21"/>
        </w:rPr>
        <w:t xml:space="preserve">未在规定时间内</w:t>
      </w:r>
      <w:r>
        <w:rPr>
          <w:rFonts w:hint="eastAsia"/>
          <w:b/>
          <w:bCs/>
          <w:szCs w:val="21"/>
        </w:rPr>
        <w:t xml:space="preserve">报名</w:t>
      </w:r>
      <w:r>
        <w:rPr>
          <w:b/>
          <w:bCs/>
          <w:szCs w:val="21"/>
        </w:rPr>
        <w:t xml:space="preserve">的潜在投标人将失去投标资格。</w:t>
      </w:r>
      <w:r/>
    </w:p>
    <w:p>
      <w:pPr>
        <w:ind w:left="220" w:hanging="10"/>
        <w:spacing w:line="360" w:lineRule="auto"/>
        <w:rPr>
          <w:szCs w:val="21"/>
        </w:rPr>
      </w:pPr>
      <w:r>
        <w:rPr>
          <w:rFonts w:hint="eastAsia"/>
          <w:szCs w:val="21"/>
        </w:rPr>
        <w:t xml:space="preserve">2、地点：“苏采云”系统注册登记成功后免费下载</w:t>
      </w:r>
      <w:r/>
    </w:p>
    <w:p>
      <w:pPr>
        <w:ind w:left="220" w:hanging="10"/>
        <w:spacing w:line="360" w:lineRule="auto"/>
        <w:rPr>
          <w:szCs w:val="21"/>
        </w:rPr>
      </w:pPr>
      <w:r>
        <w:rPr>
          <w:rFonts w:hint="eastAsia"/>
          <w:szCs w:val="21"/>
        </w:rPr>
        <w:t xml:space="preserve">3、获取方式：本项目采用网上注册登记方式</w:t>
      </w:r>
      <w:r/>
    </w:p>
    <w:p>
      <w:pPr>
        <w:ind w:left="220" w:hanging="10"/>
        <w:spacing w:line="360" w:lineRule="auto"/>
        <w:rPr>
          <w:szCs w:val="21"/>
        </w:rPr>
      </w:pPr>
      <w:r>
        <w:rPr>
          <w:rFonts w:hint="eastAsia"/>
          <w:szCs w:val="21"/>
        </w:rPr>
        <w:t xml:space="preserve">3.1潜在供应商访问电子招标响应交易平台的网络地址和方法：</w:t>
      </w:r>
      <w:r/>
    </w:p>
    <w:p>
      <w:pPr>
        <w:ind w:left="220" w:hanging="10"/>
        <w:spacing w:line="360" w:lineRule="auto"/>
        <w:rPr>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rFonts w:hint="eastAsia"/>
          <w:szCs w:val="21"/>
        </w:rPr>
        <w:t xml:space="preserve">3.2潜在供应商访问“苏采云”系统的网络地址和方法：“苏采云”系统的网址：http：//jszfcg.jsczt.cn/。</w:t>
      </w:r>
      <w:r/>
    </w:p>
    <w:p>
      <w:pPr>
        <w:ind w:left="220" w:hanging="10"/>
        <w:spacing w:line="360" w:lineRule="auto"/>
        <w:rPr>
          <w:szCs w:val="21"/>
        </w:rPr>
      </w:pPr>
      <w:r>
        <w:rPr>
          <w:rFonts w:hint="eastAsia"/>
          <w:szCs w:val="21"/>
        </w:rPr>
        <w:t xml:space="preserve">3.3“CA数字证书”的获取：</w:t>
      </w:r>
      <w:r/>
    </w:p>
    <w:p>
      <w:pPr>
        <w:ind w:left="220" w:hanging="10"/>
        <w:spacing w:line="360" w:lineRule="auto"/>
        <w:rPr>
          <w:szCs w:val="21"/>
        </w:rPr>
      </w:pPr>
      <w:r>
        <w:rPr>
          <w:rFonts w:hint="eastAsia"/>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rFonts w:hint="eastAsia"/>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rFonts w:hint="eastAsia"/>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rFonts w:hint="eastAsia"/>
          <w:szCs w:val="21"/>
        </w:rPr>
        <w:t xml:space="preserve">3.6请潜在投标单位提前安装相应的控件（详见《江苏省政府采购管理交易系统（苏采云）供应商操作手册》）并使用谷歌浏览器登录“苏采云”系统参与不见面开评标。</w:t>
      </w:r>
      <w:r/>
    </w:p>
    <w:p>
      <w:pPr>
        <w:pStyle w:val="1430"/>
        <w:rPr>
          <w:bCs/>
        </w:rPr>
      </w:pPr>
      <w:r/>
      <w:bookmarkStart w:id="30" w:name="_Toc231822729"/>
      <w:r/>
      <w:bookmarkStart w:id="31" w:name="_Toc29481"/>
      <w:r/>
      <w:bookmarkStart w:id="32" w:name="_Toc698"/>
      <w:r>
        <w:t xml:space="preserve">四、提交投标文件截止时间、开标时间和地点</w:t>
      </w:r>
      <w:bookmarkEnd w:id="30"/>
      <w:r/>
      <w:bookmarkEnd w:id="31"/>
      <w:r/>
      <w:bookmarkEnd w:id="32"/>
      <w:r/>
      <w:r/>
    </w:p>
    <w:p>
      <w:pPr>
        <w:pStyle w:val="1544"/>
        <w:rPr>
          <w:rFonts w:hint="eastAsia" w:ascii="宋体" w:hAnsi="宋体" w:cs="宋体"/>
          <w:sz w:val="21"/>
        </w:rPr>
      </w:pPr>
      <w:r/>
      <w:bookmarkStart w:id="33" w:name="_Toc35393794"/>
      <w:r/>
      <w:bookmarkStart w:id="34" w:name="_Toc28359084"/>
      <w:r/>
      <w:bookmarkStart w:id="35" w:name="_Toc35393625"/>
      <w:r/>
      <w:bookmarkStart w:id="36" w:name="_Toc28359007"/>
      <w:r>
        <w:rPr>
          <w:rFonts w:hint="eastAsia" w:ascii="宋体" w:hAnsi="宋体" w:cs="宋体"/>
          <w:sz w:val="21"/>
        </w:rPr>
        <w:t xml:space="preserve">1.投标截止时间：2026年</w:t>
      </w:r>
      <w:r>
        <w:rPr>
          <w:rFonts w:hint="eastAsia" w:ascii="宋体" w:hAnsi="宋体" w:cs="宋体"/>
          <w:sz w:val="21"/>
          <w:lang w:val="en-US" w:eastAsia="zh-CN"/>
        </w:rPr>
        <w:t xml:space="preserve">09</w:t>
      </w:r>
      <w:r>
        <w:rPr>
          <w:rFonts w:hint="eastAsia" w:ascii="宋体" w:hAnsi="宋体" w:cs="宋体"/>
          <w:sz w:val="21"/>
        </w:rPr>
        <w:t xml:space="preserve">月</w:t>
      </w:r>
      <w:r>
        <w:rPr>
          <w:rFonts w:hint="eastAsia" w:ascii="宋体" w:hAnsi="宋体" w:cs="宋体"/>
          <w:sz w:val="21"/>
          <w:lang w:val="en-US" w:eastAsia="zh-CN"/>
        </w:rPr>
        <w:t xml:space="preserve">28</w:t>
      </w:r>
      <w:r>
        <w:rPr>
          <w:rFonts w:hint="eastAsia" w:ascii="宋体" w:hAnsi="宋体" w:cs="宋体"/>
          <w:sz w:val="21"/>
        </w:rPr>
        <w:t xml:space="preserve">日09：30（北京时间）</w:t>
      </w:r>
      <w:r/>
    </w:p>
    <w:p>
      <w:pPr>
        <w:pStyle w:val="1544"/>
        <w:rPr>
          <w:rFonts w:hint="eastAsia" w:ascii="宋体" w:hAnsi="宋体" w:cs="宋体"/>
          <w:sz w:val="21"/>
        </w:rPr>
      </w:pPr>
      <w:r>
        <w:rPr>
          <w:rFonts w:hint="eastAsia" w:ascii="宋体" w:hAnsi="宋体" w:cs="宋体"/>
          <w:sz w:val="21"/>
        </w:rPr>
        <w:t xml:space="preserve">2.开标时间：2026年</w:t>
      </w:r>
      <w:r>
        <w:rPr>
          <w:rFonts w:hint="eastAsia" w:ascii="宋体" w:hAnsi="宋体" w:cs="宋体"/>
          <w:sz w:val="21"/>
          <w:lang w:val="en-US" w:eastAsia="zh-CN"/>
        </w:rPr>
        <w:t xml:space="preserve">09</w:t>
      </w:r>
      <w:r>
        <w:rPr>
          <w:rFonts w:hint="eastAsia" w:ascii="宋体" w:hAnsi="宋体" w:cs="宋体"/>
          <w:sz w:val="21"/>
        </w:rPr>
        <w:t xml:space="preserve">月</w:t>
      </w:r>
      <w:r>
        <w:rPr>
          <w:rFonts w:hint="eastAsia" w:ascii="宋体" w:hAnsi="宋体" w:cs="宋体"/>
          <w:sz w:val="21"/>
          <w:lang w:val="en-US" w:eastAsia="zh-CN"/>
        </w:rPr>
        <w:t xml:space="preserve">28</w:t>
      </w:r>
      <w:r>
        <w:rPr>
          <w:rFonts w:hint="eastAsia" w:ascii="宋体" w:hAnsi="宋体" w:cs="宋体"/>
          <w:sz w:val="21"/>
        </w:rPr>
        <w:t xml:space="preserve">日09：30（北京时间） </w:t>
      </w:r>
      <w:r/>
    </w:p>
    <w:p>
      <w:pPr>
        <w:pStyle w:val="1544"/>
        <w:rPr>
          <w:rFonts w:hint="eastAsia" w:ascii="宋体" w:hAnsi="宋体" w:cs="宋体"/>
          <w:sz w:val="21"/>
        </w:rPr>
      </w:pPr>
      <w:r>
        <w:rPr>
          <w:rFonts w:hint="eastAsia" w:ascii="宋体" w:hAnsi="宋体" w:cs="宋体"/>
          <w:sz w:val="21"/>
        </w:rPr>
        <w:t xml:space="preserve">3.开标地点：“苏采云”系统（网址： http：//jszfcg.jsczt.cn/）“开标大厅”，点击“苏采云”进入系统“开标大厅”。</w:t>
      </w:r>
      <w:r/>
    </w:p>
    <w:p>
      <w:pPr>
        <w:ind w:firstLine="420"/>
        <w:spacing w:line="360" w:lineRule="auto"/>
        <w:rPr>
          <w:rFonts w:hint="eastAsia" w:ascii="宋体" w:hAnsi="宋体" w:cs="宋体"/>
          <w:szCs w:val="21"/>
        </w:rPr>
      </w:pPr>
      <w:r>
        <w:rPr>
          <w:rFonts w:hint="eastAsia" w:ascii="宋体" w:hAnsi="宋体" w:cs="宋体"/>
          <w:szCs w:val="21"/>
        </w:rPr>
        <w:t xml:space="preserve">注：各供应商请关注开标大厅交流区，在开标结束后，请勿离开开标大厅。</w:t>
      </w:r>
      <w:r/>
    </w:p>
    <w:p>
      <w:pPr>
        <w:ind w:firstLine="420"/>
        <w:spacing w:line="360" w:lineRule="auto"/>
        <w:rPr>
          <w:bCs/>
          <w:szCs w:val="21"/>
          <w:u w:val="single"/>
        </w:rPr>
      </w:pPr>
      <w:r>
        <w:rPr>
          <w:rFonts w:hint="eastAsia" w:ascii="宋体" w:hAnsi="宋体" w:cs="宋体"/>
          <w:szCs w:val="21"/>
        </w:rPr>
        <w:t xml:space="preserve">4.投标文件的解密：开标当天各供应商及时登录不见面开标大厅。响应文件递交截止时间后，采购人将在系统内公布投标</w:t>
      </w:r>
      <w:r>
        <w:rPr>
          <w:rFonts w:hint="eastAsia" w:ascii="宋体" w:hAnsi="宋体" w:cs="宋体"/>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430"/>
        <w:rPr>
          <w:bCs/>
        </w:rPr>
      </w:pPr>
      <w:r/>
      <w:bookmarkStart w:id="37" w:name="_Toc231822730"/>
      <w:r/>
      <w:bookmarkStart w:id="38" w:name="_Toc27623"/>
      <w:r/>
      <w:bookmarkStart w:id="39" w:name="_Toc32448"/>
      <w:r>
        <w:t xml:space="preserve">五、公告期限</w:t>
      </w:r>
      <w:bookmarkEnd w:id="33"/>
      <w:r/>
      <w:bookmarkEnd w:id="34"/>
      <w:r/>
      <w:bookmarkEnd w:id="35"/>
      <w:r/>
      <w:bookmarkEnd w:id="36"/>
      <w:r/>
      <w:bookmarkEnd w:id="37"/>
      <w:r/>
      <w:bookmarkEnd w:id="38"/>
      <w:r/>
      <w:bookmarkEnd w:id="39"/>
      <w:r/>
      <w:r/>
    </w:p>
    <w:p>
      <w:pPr>
        <w:ind w:left="210" w:firstLine="10"/>
        <w:spacing w:line="360" w:lineRule="auto"/>
        <w:rPr>
          <w:szCs w:val="21"/>
        </w:rPr>
      </w:pPr>
      <w:r>
        <w:rPr>
          <w:szCs w:val="21"/>
        </w:rPr>
        <w:t xml:space="preserve">自本公告发布之日起5个工作日。</w:t>
      </w:r>
      <w:r/>
    </w:p>
    <w:p>
      <w:pPr>
        <w:pStyle w:val="1430"/>
        <w:rPr>
          <w:bCs/>
        </w:rPr>
      </w:pPr>
      <w:r/>
      <w:bookmarkStart w:id="40" w:name="_Toc35393626"/>
      <w:r/>
      <w:bookmarkStart w:id="41" w:name="_Toc27208"/>
      <w:r/>
      <w:bookmarkStart w:id="42" w:name="_Toc4129"/>
      <w:r/>
      <w:bookmarkStart w:id="43" w:name="_Toc35393795"/>
      <w:r/>
      <w:bookmarkStart w:id="44" w:name="_Toc231822731"/>
      <w:r>
        <w:t xml:space="preserve">六、其他补充事宜</w:t>
      </w:r>
      <w:bookmarkEnd w:id="40"/>
      <w:r/>
      <w:bookmarkEnd w:id="41"/>
      <w:r/>
      <w:bookmarkEnd w:id="42"/>
      <w:r/>
      <w:bookmarkEnd w:id="43"/>
      <w:r/>
      <w:bookmarkEnd w:id="44"/>
      <w:r/>
      <w:bookmarkEnd w:id="2"/>
      <w:r/>
      <w:r/>
    </w:p>
    <w:p>
      <w:pPr>
        <w:pStyle w:val="1542"/>
        <w:spacing w:line="360" w:lineRule="auto"/>
        <w:rPr>
          <w:rFonts w:hint="eastAsia" w:ascii="宋体" w:hAnsi="宋体" w:cs="宋体"/>
          <w:szCs w:val="21"/>
        </w:rPr>
      </w:pPr>
      <w:r>
        <w:rPr>
          <w:rFonts w:hint="eastAsia" w:ascii="宋体" w:hAnsi="宋体" w:cs="宋体"/>
          <w:szCs w:val="21"/>
        </w:rPr>
        <w:t xml:space="preserve">1.本项目公告媒体：江苏政府采购网（http：//www.ccgp-jiangsu.gov.cn/）</w:t>
      </w:r>
      <w:r/>
    </w:p>
    <w:p>
      <w:pPr>
        <w:pStyle w:val="1542"/>
        <w:spacing w:line="360" w:lineRule="auto"/>
        <w:rPr>
          <w:rFonts w:hint="eastAsia"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542"/>
        <w:spacing w:line="360" w:lineRule="auto"/>
        <w:rPr>
          <w:rFonts w:hint="eastAsia" w:ascii="宋体" w:hAnsi="宋体" w:cs="宋体"/>
          <w:szCs w:val="21"/>
        </w:rPr>
      </w:pPr>
      <w:r>
        <w:rPr>
          <w:rFonts w:hint="eastAsia" w:ascii="宋体" w:hAnsi="宋体" w:cs="宋体"/>
          <w:szCs w:val="21"/>
        </w:rPr>
        <w:t xml:space="preserve">http：//www.ccgp-jiangsu.gov.cn/jiangsu/zlxz/ee/ee3a4bc5a3454aa2b0d9312230633ce9.html。</w:t>
      </w:r>
      <w:r/>
    </w:p>
    <w:p>
      <w:pPr>
        <w:pStyle w:val="1542"/>
        <w:spacing w:line="360" w:lineRule="auto"/>
        <w:rPr>
          <w:rFonts w:hint="eastAsia"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hint="eastAsia" w:ascii="宋体" w:hAnsi="宋体" w:cs="宋体"/>
          <w:szCs w:val="21"/>
        </w:rPr>
      </w:pPr>
      <w:r>
        <w:rPr>
          <w:rFonts w:hint="eastAsia" w:ascii="宋体" w:hAnsi="宋体" w:cs="宋体"/>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523"/>
        <w:ind w:left="216" w:firstLine="0"/>
        <w:spacing w:line="360" w:lineRule="auto"/>
        <w:rPr>
          <w:rFonts w:hint="eastAsia" w:ascii="宋体" w:hAnsi="宋体" w:cs="宋体"/>
          <w:szCs w:val="21"/>
        </w:rPr>
      </w:pPr>
      <w:r>
        <w:rPr>
          <w:rFonts w:hint="eastAsia" w:ascii="宋体" w:hAnsi="宋体" w:cs="宋体"/>
          <w:szCs w:val="21"/>
        </w:rPr>
        <w:t xml:space="preserve">4.有关本次招标的事项若存在变动或修改，敬请及时关注在“江苏政府采购网”发布的更正公告。</w:t>
      </w:r>
      <w:r/>
    </w:p>
    <w:p>
      <w:pPr>
        <w:pStyle w:val="1430"/>
        <w:rPr>
          <w:bCs/>
        </w:rPr>
      </w:pPr>
      <w:r/>
      <w:bookmarkStart w:id="45" w:name="_Toc231822732"/>
      <w:r>
        <w:t xml:space="preserve">七、对本次招标提出询问，请按以下方式联系。</w:t>
      </w:r>
      <w:bookmarkEnd w:id="45"/>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468"/>
        <w:ind w:left="214" w:hanging="6"/>
        <w:spacing w:before="0" w:beforeAutospacing="0" w:after="0" w:afterAutospacing="0" w:line="360" w:lineRule="auto"/>
        <w:rPr>
          <w:rFonts w:ascii="Times New Roman" w:hAnsi="Times New Roman" w:eastAsia="宋体"/>
          <w:color w:val="auto"/>
          <w:sz w:val="21"/>
          <w:szCs w:val="21"/>
        </w:rPr>
      </w:pPr>
      <w:r/>
      <w:bookmarkStart w:id="46" w:name="_Toc28359009"/>
      <w:r/>
      <w:bookmarkStart w:id="47" w:name="_Toc28359086"/>
      <w:r>
        <w:rPr>
          <w:rFonts w:ascii="Times New Roman" w:hAnsi="Times New Roman" w:eastAsia="宋体"/>
          <w:color w:val="auto"/>
          <w:sz w:val="21"/>
          <w:szCs w:val="21"/>
        </w:rPr>
        <w:t xml:space="preserve">地址：江苏省南京市鼓楼区草场门大街107号龙江大厦</w:t>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bookmarkEnd w:id="46"/>
      <w:r/>
      <w:bookmarkEnd w:id="47"/>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468"/>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w:t>
      </w:r>
      <w:r>
        <w:rPr>
          <w:rFonts w:hint="eastAsia"/>
          <w:szCs w:val="21"/>
        </w:rPr>
        <w:t xml:space="preserve">栾钧杰</w:t>
      </w:r>
      <w:r/>
    </w:p>
    <w:p>
      <w:pPr>
        <w:ind w:left="218"/>
        <w:spacing w:line="360" w:lineRule="auto"/>
        <w:rPr>
          <w:szCs w:val="21"/>
        </w:rPr>
      </w:pPr>
      <w:r>
        <w:rPr>
          <w:szCs w:val="21"/>
        </w:rPr>
        <w:t xml:space="preserve">电　话：025-8453</w:t>
      </w:r>
      <w:r>
        <w:rPr>
          <w:rFonts w:hint="eastAsia"/>
          <w:szCs w:val="21"/>
        </w:rPr>
        <w:t xml:space="preserve">2519</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w:t>
      </w:r>
      <w:r>
        <w:rPr>
          <w:rFonts w:hint="eastAsia"/>
          <w:szCs w:val="21"/>
        </w:rPr>
        <w:t xml:space="preserve">栾钧杰</w:t>
      </w:r>
      <w:r/>
    </w:p>
    <w:p>
      <w:pPr>
        <w:ind w:left="218"/>
        <w:spacing w:line="360" w:lineRule="auto"/>
        <w:rPr>
          <w:szCs w:val="21"/>
        </w:rPr>
      </w:pPr>
      <w:r>
        <w:rPr>
          <w:szCs w:val="21"/>
        </w:rPr>
        <w:t xml:space="preserve">电　话：025-8453</w:t>
      </w:r>
      <w:r>
        <w:rPr>
          <w:rFonts w:hint="eastAsia"/>
          <w:szCs w:val="21"/>
        </w:rPr>
        <w:t xml:space="preserve">2519</w:t>
      </w:r>
      <w:r/>
    </w:p>
    <w:p>
      <w:pPr>
        <w:jc w:val="center"/>
        <w:spacing w:line="360" w:lineRule="auto"/>
        <w:rPr>
          <w:b/>
          <w:color w:val="000000"/>
          <w:szCs w:val="21"/>
        </w:rPr>
        <w:outlineLvl w:val="0"/>
      </w:pPr>
      <w:r>
        <w:rPr>
          <w:color w:val="000000"/>
          <w:szCs w:val="21"/>
        </w:rPr>
        <w:br w:type="page" w:clear="all"/>
      </w:r>
      <w:bookmarkStart w:id="48" w:name="_Toc231822733"/>
      <w:r/>
      <w:bookmarkStart w:id="49" w:name="_Toc28996"/>
      <w:r/>
      <w:bookmarkStart w:id="50" w:name="_Toc5585"/>
      <w:r>
        <w:rPr>
          <w:b/>
          <w:color w:val="000000"/>
          <w:sz w:val="28"/>
          <w:szCs w:val="28"/>
        </w:rPr>
        <w:t xml:space="preserve">第二章 投标人须知</w:t>
      </w:r>
      <w:bookmarkEnd w:id="48"/>
      <w:r/>
      <w:bookmarkEnd w:id="49"/>
      <w:r/>
      <w:bookmarkEnd w:id="50"/>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4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468"/>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468"/>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468"/>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p>
            <w:pPr>
              <w:pStyle w:val="1468"/>
              <w:spacing w:before="0" w:beforeAutospacing="0" w:after="0" w:afterAutospacing="0" w:line="360" w:lineRule="auto"/>
              <w:rPr>
                <w:rFonts w:ascii="Times New Roman" w:hAnsi="Times New Roman" w:eastAsia="宋体"/>
                <w:b/>
                <w:sz w:val="21"/>
                <w:szCs w:val="21"/>
              </w:rPr>
            </w:pPr>
            <w:r>
              <w:rPr>
                <w:rFonts w:ascii="Times New Roman" w:hAnsi="Times New Roman" w:eastAsia="宋体"/>
                <w:sz w:val="21"/>
                <w:szCs w:val="21"/>
              </w:rPr>
              <w:t xml:space="preserve">地　址：江苏省南京市鼓楼区草场门大街107号龙江大厦</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468"/>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spacing w:line="360" w:lineRule="auto"/>
              <w:rPr>
                <w:szCs w:val="21"/>
              </w:rPr>
            </w:pPr>
            <w:r>
              <w:rPr>
                <w:szCs w:val="21"/>
              </w:rPr>
              <w:t xml:space="preserve">联系人：</w:t>
            </w:r>
            <w:r>
              <w:rPr>
                <w:rFonts w:hint="eastAsia"/>
                <w:szCs w:val="21"/>
              </w:rPr>
              <w:t xml:space="preserve">栾钧杰</w:t>
            </w:r>
            <w:r/>
          </w:p>
          <w:p>
            <w:pPr>
              <w:spacing w:line="360" w:lineRule="auto"/>
              <w:rPr>
                <w:szCs w:val="21"/>
              </w:rPr>
            </w:pPr>
            <w:r>
              <w:rPr>
                <w:szCs w:val="21"/>
              </w:rPr>
              <w:t xml:space="preserve">电　话：025-8453</w:t>
            </w:r>
            <w:r>
              <w:rPr>
                <w:rFonts w:hint="eastAsia"/>
                <w:szCs w:val="21"/>
              </w:rPr>
              <w:t xml:space="preserve">2519</w:t>
            </w:r>
            <w:r/>
          </w:p>
          <w:p>
            <w:pPr>
              <w:pStyle w:val="1468"/>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w:t>
            </w:r>
            <w:r>
              <w:rPr>
                <w:rFonts w:hint="eastAsia"/>
                <w:color w:val="000000"/>
                <w:szCs w:val="21"/>
              </w:rPr>
              <w:t xml:space="preserve">原子吸收光谱仪</w:t>
            </w:r>
            <w:r>
              <w:rPr>
                <w:rFonts w:hint="eastAsia"/>
                <w:szCs w:val="21"/>
              </w:rPr>
              <w:t xml:space="preserve">等18项设备</w:t>
            </w:r>
            <w:r/>
          </w:p>
          <w:p>
            <w:pPr>
              <w:spacing w:line="360" w:lineRule="auto"/>
              <w:shd w:val="clear" w:color="auto" w:fill="ffffff"/>
              <w:widowControl/>
              <w:rPr>
                <w:b/>
                <w:color w:val="000000"/>
                <w:szCs w:val="21"/>
              </w:rPr>
            </w:pPr>
            <w:r>
              <w:rPr>
                <w:color w:val="000000"/>
                <w:szCs w:val="21"/>
              </w:rPr>
              <w:t xml:space="preserve">采购编号：</w:t>
            </w:r>
            <w:r>
              <w:rPr>
                <w:rFonts w:hint="eastAsia"/>
                <w:color w:val="000000"/>
                <w:szCs w:val="21"/>
                <w:lang w:eastAsia="zh-CN"/>
              </w:rPr>
              <w:t xml:space="preserve">4297-2641SUMEC309</w:t>
            </w:r>
            <w:r>
              <w:rPr>
                <w:rFonts w:hint="eastAsia"/>
                <w:color w:val="000000"/>
                <w:szCs w:val="21"/>
              </w:rPr>
              <w:t xml:space="preserve">（公告编号：JSZC-320000-JSSB-G2026-0007 ）</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rFonts w:hint="eastAsia"/>
                <w:b/>
                <w:color w:val="000000"/>
                <w:szCs w:val="21"/>
              </w:rPr>
              <w:t xml:space="preserve">7</w:t>
            </w:r>
            <w:r/>
          </w:p>
        </w:tc>
        <w:tc>
          <w:tcPr>
            <w:tcW w:w="4533" w:type="pct"/>
            <w:vAlign w:val="center"/>
            <w:textDirection w:val="lrTb"/>
            <w:noWrap w:val="false"/>
          </w:tcPr>
          <w:p>
            <w:pPr>
              <w:pStyle w:val="1468"/>
              <w:spacing w:before="0" w:beforeAutospacing="0" w:after="0" w:afterAutospacing="0" w:line="360" w:lineRule="auto"/>
              <w:rPr>
                <w:rFonts w:hint="eastAsia"/>
                <w:szCs w:val="21"/>
              </w:rPr>
            </w:pPr>
            <w:r>
              <w:rPr>
                <w:rFonts w:ascii="Times New Roman" w:hAnsi="Times New Roman" w:eastAsia="宋体"/>
                <w:color w:val="auto"/>
                <w:sz w:val="21"/>
                <w:szCs w:val="21"/>
              </w:rPr>
              <w:t xml:space="preserve">投标文件接收截止时间：202</w:t>
            </w:r>
            <w:r>
              <w:rPr>
                <w:rFonts w:hint="eastAsia" w:ascii="Times New Roman" w:hAnsi="Times New Roman" w:eastAsia="宋体"/>
                <w:color w:val="auto"/>
                <w:sz w:val="21"/>
                <w:szCs w:val="21"/>
              </w:rPr>
              <w:t xml:space="preserve">6</w:t>
            </w:r>
            <w:r>
              <w:rPr>
                <w:rFonts w:ascii="Times New Roman" w:hAnsi="Times New Roman" w:eastAsia="宋体"/>
                <w:color w:val="auto"/>
                <w:sz w:val="21"/>
                <w:szCs w:val="21"/>
              </w:rPr>
              <w:t xml:space="preserve">年</w:t>
            </w:r>
            <w:r>
              <w:rPr>
                <w:rFonts w:hint="eastAsia" w:ascii="Times New Roman" w:hAnsi="Times New Roman" w:eastAsia="宋体"/>
                <w:color w:val="auto"/>
                <w:sz w:val="21"/>
                <w:szCs w:val="21"/>
                <w:lang w:val="en-US" w:eastAsia="zh-CN"/>
              </w:rPr>
              <w:t xml:space="preserve">09</w:t>
            </w:r>
            <w:r>
              <w:rPr>
                <w:rFonts w:ascii="Times New Roman" w:hAnsi="Times New Roman" w:eastAsia="宋体"/>
                <w:color w:val="auto"/>
                <w:sz w:val="21"/>
                <w:szCs w:val="21"/>
              </w:rPr>
              <w:t xml:space="preserve">月</w:t>
            </w:r>
            <w:r>
              <w:rPr>
                <w:rFonts w:hint="eastAsia" w:ascii="Times New Roman" w:hAnsi="Times New Roman" w:eastAsia="宋体"/>
                <w:color w:val="auto"/>
                <w:sz w:val="21"/>
                <w:szCs w:val="21"/>
                <w:lang w:val="en-US" w:eastAsia="zh-CN"/>
              </w:rPr>
              <w:t xml:space="preserve">28</w:t>
            </w:r>
            <w:r>
              <w:rPr>
                <w:rFonts w:ascii="Times New Roman" w:hAnsi="Times New Roman" w:eastAsia="宋体"/>
                <w:color w:val="auto"/>
                <w:sz w:val="21"/>
                <w:szCs w:val="21"/>
              </w:rPr>
              <w:t xml:space="preserve">日09点3</w:t>
            </w:r>
            <w:bookmarkStart w:id="249" w:name="_GoBack"/>
            <w:r/>
            <w:bookmarkEnd w:id="249"/>
            <w:r>
              <w:rPr>
                <w:rFonts w:ascii="Times New Roman" w:hAnsi="Times New Roman" w:eastAsia="宋体"/>
                <w:color w:val="auto"/>
                <w:sz w:val="21"/>
                <w:szCs w:val="21"/>
              </w:rPr>
              <w:t xml:space="preserve">0分（北京时间）</w:t>
            </w:r>
            <w:r/>
          </w:p>
          <w:p>
            <w:pPr>
              <w:jc w:val="left"/>
              <w:spacing w:line="360" w:lineRule="auto"/>
              <w:rPr>
                <w:color w:val="000000"/>
                <w:szCs w:val="21"/>
              </w:rPr>
            </w:pPr>
            <w:r>
              <w:rPr>
                <w:color w:val="000000"/>
                <w:szCs w:val="21"/>
              </w:rPr>
              <w:t xml:space="preserve">开标时间：同投标文件接收截止时间</w:t>
            </w:r>
            <w:r/>
          </w:p>
          <w:p>
            <w:pPr>
              <w:pStyle w:val="1484"/>
              <w:ind w:firstLine="0"/>
              <w:spacing w:line="360" w:lineRule="auto"/>
              <w:rPr>
                <w:rFonts w:ascii="Times New Roman"/>
                <w:color w:val="000000"/>
                <w:sz w:val="21"/>
                <w:szCs w:val="21"/>
              </w:rPr>
            </w:pPr>
            <w:r>
              <w:rPr>
                <w:rFonts w:ascii="Times New Roman"/>
                <w:color w:val="000000"/>
                <w:sz w:val="21"/>
                <w:szCs w:val="21"/>
              </w:rPr>
              <w:t xml:space="preserve">开标地点：</w:t>
            </w:r>
            <w:r>
              <w:rPr>
                <w:rFonts w:hint="eastAsia" w:hAnsi="宋体" w:cs="宋体"/>
                <w:color w:val="000000"/>
                <w:sz w:val="21"/>
                <w:szCs w:val="21"/>
              </w:rPr>
              <w:t xml:space="preserve">“苏采云”政府采购交易系统网上开标大厅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1" w:name="_Toc231822734"/>
      <w:r>
        <w:rPr>
          <w:b/>
          <w:bCs/>
          <w:szCs w:val="21"/>
        </w:rPr>
        <w:t xml:space="preserve">一、总则</w:t>
      </w:r>
      <w:bookmarkEnd w:id="51"/>
      <w:r/>
      <w:r/>
    </w:p>
    <w:p>
      <w:pPr>
        <w:ind w:firstLine="420"/>
        <w:spacing w:line="360" w:lineRule="auto"/>
        <w:rPr>
          <w:b/>
          <w:szCs w:val="21"/>
          <w:lang w:val="zh-CN"/>
        </w:rPr>
      </w:pPr>
      <w:r/>
      <w:bookmarkStart w:id="52" w:name="_Toc231820594"/>
      <w:r>
        <w:rPr>
          <w:b/>
          <w:bCs/>
          <w:szCs w:val="21"/>
          <w:lang w:val="zh-CN"/>
        </w:rPr>
        <w:t xml:space="preserve">1.</w:t>
      </w:r>
      <w:r>
        <w:rPr>
          <w:b/>
          <w:szCs w:val="21"/>
          <w:lang w:val="zh-CN"/>
        </w:rPr>
        <w:t xml:space="preserve">适用法律</w:t>
      </w:r>
      <w:bookmarkEnd w:id="52"/>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3" w:name="_Toc231820595"/>
      <w:r>
        <w:rPr>
          <w:b/>
          <w:bCs/>
          <w:szCs w:val="21"/>
          <w:lang w:val="zh-CN"/>
        </w:rPr>
        <w:t xml:space="preserve">2.</w:t>
      </w:r>
      <w:r>
        <w:rPr>
          <w:b/>
          <w:szCs w:val="21"/>
          <w:lang w:val="zh-CN"/>
        </w:rPr>
        <w:t xml:space="preserve">定义</w:t>
      </w:r>
      <w:bookmarkEnd w:id="53"/>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4" w:name="_Toc231820596"/>
      <w:r>
        <w:rPr>
          <w:b/>
          <w:bCs/>
          <w:szCs w:val="21"/>
          <w:lang w:val="zh-CN"/>
        </w:rPr>
        <w:t xml:space="preserve">3.</w:t>
      </w:r>
      <w:r>
        <w:rPr>
          <w:b/>
          <w:szCs w:val="21"/>
          <w:lang w:val="zh-CN"/>
        </w:rPr>
        <w:t xml:space="preserve">政策功能</w:t>
      </w:r>
      <w:bookmarkEnd w:id="54"/>
      <w:r/>
      <w:r/>
    </w:p>
    <w:p>
      <w:pPr>
        <w:ind w:firstLine="422"/>
        <w:spacing w:line="36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3.1 促进中小企业发展政策</w:t>
      </w:r>
      <w:r/>
    </w:p>
    <w:p>
      <w:pPr>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hint="eastAsia" w:ascii="宋体" w:hAnsi="宋体" w:cs="宋体"/>
          <w:bCs/>
          <w:szCs w:val="21"/>
        </w:rPr>
      </w:pPr>
      <w:r>
        <w:rPr>
          <w:rFonts w:hint="eastAsia" w:ascii="宋体" w:hAnsi="宋体" w:cs="宋体"/>
          <w:bCs/>
          <w:szCs w:val="21"/>
        </w:rPr>
        <w:t xml:space="preserve">3.2 节能产品、环境标志产品政策</w:t>
      </w:r>
      <w:r/>
    </w:p>
    <w:p>
      <w:pPr>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hint="eastAsia" w:ascii="宋体" w:hAnsi="宋体" w:cs="宋体"/>
          <w:szCs w:val="21"/>
        </w:rPr>
      </w:pPr>
      <w:r>
        <w:rPr>
          <w:rFonts w:hint="eastAsia" w:ascii="宋体" w:hAnsi="宋体" w:cs="宋体"/>
          <w:szCs w:val="21"/>
        </w:rPr>
        <w:t xml:space="preserve">3.3 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hint="eastAsia" w:ascii="宋体" w:hAnsi="宋体" w:cs="宋体"/>
          <w:szCs w:val="21"/>
        </w:rPr>
      </w:pPr>
      <w:r>
        <w:rPr>
          <w:rFonts w:hint="eastAsia" w:ascii="宋体" w:hAnsi="宋体" w:cs="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Cs w:val="21"/>
        </w:rPr>
      </w:pP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rPr>
        <w:t xml:space="preserve">具体内容如下：</w:t>
      </w:r>
      <w:r/>
    </w:p>
    <w:p>
      <w:pPr>
        <w:ind w:firstLine="420"/>
        <w:spacing w:line="360" w:lineRule="auto"/>
        <w:rPr>
          <w:rFonts w:hint="eastAsia" w:ascii="宋体" w:hAnsi="宋体" w:cs="宋体"/>
          <w:szCs w:val="21"/>
        </w:rPr>
      </w:pPr>
      <w:r>
        <w:rPr>
          <w:rFonts w:hint="eastAsia" w:ascii="宋体" w:hAnsi="宋体" w:cs="宋体"/>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cs="宋体"/>
          <w:b/>
          <w:bCs/>
          <w:szCs w:val="21"/>
        </w:rPr>
      </w:pPr>
      <w:r>
        <w:rPr>
          <w:rFonts w:hint="eastAsia" w:ascii="宋体" w:hAnsi="宋体" w:cs="宋体"/>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宋体" w:hAnsi="宋体" w:cs="宋体"/>
          <w:bCs/>
          <w:szCs w:val="21"/>
        </w:rPr>
      </w:pPr>
      <w:r>
        <w:rPr>
          <w:rFonts w:hint="eastAsia" w:ascii="宋体" w:hAnsi="宋体" w:cs="宋体"/>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hint="eastAsia" w:ascii="宋体" w:hAnsi="宋体" w:cs="宋体"/>
          <w:bCs/>
          <w:szCs w:val="21"/>
        </w:rPr>
      </w:pPr>
      <w:r>
        <w:rPr>
          <w:rFonts w:hint="eastAsia" w:ascii="宋体" w:hAnsi="宋体" w:cs="宋体"/>
          <w:bCs/>
          <w:szCs w:val="21"/>
        </w:rPr>
        <w:t xml:space="preserve">3.7 为推进社会诚信体系建设，根据财政部等政策要求，在政府采购活动中查询、使用信用记录，推进政府采购领域联合惩戒工作。</w:t>
      </w:r>
      <w:r/>
    </w:p>
    <w:p>
      <w:pPr>
        <w:ind w:firstLine="420"/>
        <w:spacing w:line="360" w:lineRule="auto"/>
        <w:rPr>
          <w:rFonts w:hint="eastAsia" w:ascii="宋体" w:hAnsi="宋体" w:cs="宋体"/>
          <w:bCs/>
          <w:szCs w:val="21"/>
        </w:rPr>
      </w:pPr>
      <w:r/>
      <w:bookmarkStart w:id="55" w:name="_Toc231820597"/>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5"/>
      <w:r/>
      <w:r/>
    </w:p>
    <w:p>
      <w:pPr>
        <w:ind w:firstLine="420"/>
        <w:spacing w:line="360" w:lineRule="auto"/>
        <w:rPr>
          <w:b/>
          <w:szCs w:val="21"/>
          <w:lang w:val="zh-CN"/>
        </w:rPr>
      </w:pPr>
      <w:r/>
      <w:bookmarkStart w:id="56" w:name="_Toc231820598"/>
      <w:r>
        <w:rPr>
          <w:b/>
          <w:bCs/>
          <w:szCs w:val="21"/>
          <w:lang w:val="zh-CN"/>
        </w:rPr>
        <w:t xml:space="preserve">4.</w:t>
      </w:r>
      <w:r>
        <w:rPr>
          <w:b/>
          <w:szCs w:val="21"/>
          <w:lang w:val="zh-CN"/>
        </w:rPr>
        <w:t xml:space="preserve">投标费用</w:t>
      </w:r>
      <w:bookmarkEnd w:id="56"/>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57" w:name="_Toc231820599"/>
      <w:r>
        <w:rPr>
          <w:b/>
          <w:bCs/>
          <w:szCs w:val="21"/>
          <w:lang w:val="zh-CN"/>
        </w:rPr>
        <w:t xml:space="preserve">5.</w:t>
      </w:r>
      <w:r>
        <w:rPr>
          <w:b/>
          <w:szCs w:val="21"/>
          <w:lang w:val="zh-CN"/>
        </w:rPr>
        <w:t xml:space="preserve">招标文件的约束力</w:t>
      </w:r>
      <w:bookmarkEnd w:id="57"/>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58" w:name="_Toc231822735"/>
      <w:r>
        <w:rPr>
          <w:b/>
          <w:bCs/>
          <w:szCs w:val="21"/>
        </w:rPr>
        <w:t xml:space="preserve">二、招标文件</w:t>
      </w:r>
      <w:bookmarkEnd w:id="58"/>
      <w:r/>
      <w:r/>
    </w:p>
    <w:p>
      <w:pPr>
        <w:ind w:firstLine="420"/>
        <w:spacing w:line="360" w:lineRule="auto"/>
        <w:rPr>
          <w:b/>
          <w:szCs w:val="21"/>
          <w:lang w:val="zh-CN"/>
        </w:rPr>
      </w:pPr>
      <w:r/>
      <w:bookmarkStart w:id="59" w:name="_Toc231820601"/>
      <w:r>
        <w:rPr>
          <w:b/>
          <w:bCs/>
          <w:szCs w:val="21"/>
          <w:lang w:val="zh-CN"/>
        </w:rPr>
        <w:t xml:space="preserve">6.</w:t>
      </w:r>
      <w:r>
        <w:rPr>
          <w:b/>
          <w:szCs w:val="21"/>
          <w:lang w:val="zh-CN"/>
        </w:rPr>
        <w:t xml:space="preserve">招标文件构成</w:t>
      </w:r>
      <w:bookmarkEnd w:id="59"/>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0" w:name="_Toc231820602"/>
      <w:r>
        <w:rPr>
          <w:b/>
          <w:szCs w:val="21"/>
          <w:lang w:val="zh-CN"/>
        </w:rPr>
        <w:t xml:space="preserve">7.招标文件的澄清、补充或修改</w:t>
      </w:r>
      <w:bookmarkEnd w:id="60"/>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1" w:name="_Toc231822736"/>
      <w:r>
        <w:rPr>
          <w:b/>
          <w:bCs/>
          <w:szCs w:val="21"/>
        </w:rPr>
        <w:t xml:space="preserve">三、投标文件的编制</w:t>
      </w:r>
      <w:bookmarkEnd w:id="61"/>
      <w:r/>
      <w:r/>
    </w:p>
    <w:p>
      <w:pPr>
        <w:ind w:firstLine="420"/>
        <w:spacing w:line="360" w:lineRule="auto"/>
        <w:rPr>
          <w:b/>
          <w:szCs w:val="21"/>
          <w:lang w:val="zh-CN"/>
        </w:rPr>
      </w:pPr>
      <w:r/>
      <w:bookmarkStart w:id="62" w:name="_Toc231820604"/>
      <w:r>
        <w:rPr>
          <w:b/>
          <w:szCs w:val="21"/>
          <w:lang w:val="zh-CN"/>
        </w:rPr>
        <w:t xml:space="preserve">8.投标文件的语言、计量单位、货币</w:t>
      </w:r>
      <w:bookmarkEnd w:id="62"/>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3" w:name="_Toc231820605"/>
      <w:r>
        <w:rPr>
          <w:b/>
          <w:szCs w:val="21"/>
          <w:lang w:val="zh-CN"/>
        </w:rPr>
        <w:t xml:space="preserve">9.联合体（根据采购项目是否接受联合体投标而定）</w:t>
      </w:r>
      <w:bookmarkEnd w:id="63"/>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4" w:name="_Toc231820606"/>
      <w:r>
        <w:rPr>
          <w:b/>
          <w:szCs w:val="21"/>
          <w:lang w:val="zh-CN"/>
        </w:rPr>
        <w:t xml:space="preserve">10.投标文件的组成</w:t>
      </w:r>
      <w:r>
        <w:rPr>
          <w:rFonts w:hint="eastAsia"/>
          <w:b/>
          <w:szCs w:val="21"/>
          <w:lang w:val="zh-CN"/>
        </w:rPr>
        <w:t xml:space="preserve">（相应内容上传至投标客户端，并签电子公章）</w:t>
      </w:r>
      <w:bookmarkEnd w:id="64"/>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rFonts w:hint="eastAsia"/>
          <w:szCs w:val="21"/>
        </w:rPr>
        <w:t xml:space="preserve">1）价格部分是对投标价格构成的说明，招标文件如没有特别说明的话，对每一项产品/服务仅接受一个价格。</w:t>
      </w:r>
      <w:r/>
    </w:p>
    <w:p>
      <w:pPr>
        <w:ind w:firstLine="441"/>
        <w:spacing w:line="360" w:lineRule="auto"/>
        <w:rPr>
          <w:szCs w:val="21"/>
        </w:rPr>
      </w:pPr>
      <w:r>
        <w:rPr>
          <w:rFonts w:hint="eastAsia"/>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rFonts w:hint="eastAsia"/>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rFonts w:hint="eastAsia"/>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w:t>
      </w:r>
      <w:r>
        <w:rPr>
          <w:rFonts w:hint="eastAsia"/>
          <w:szCs w:val="21"/>
        </w:rPr>
        <w:t xml:space="preserve">5</w:t>
      </w:r>
      <w:r>
        <w:rPr>
          <w:szCs w:val="21"/>
        </w:rPr>
        <w:t xml:space="preserve">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5"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5"/>
      <w:r/>
      <w:r/>
    </w:p>
    <w:p>
      <w:pPr>
        <w:ind w:firstLine="420"/>
        <w:spacing w:line="360" w:lineRule="auto"/>
        <w:rPr>
          <w:b/>
          <w:szCs w:val="21"/>
          <w:lang w:val="zh-CN"/>
        </w:rPr>
      </w:pPr>
      <w:r/>
      <w:bookmarkStart w:id="66" w:name="_Toc231820608"/>
      <w:r>
        <w:rPr>
          <w:b/>
          <w:szCs w:val="21"/>
          <w:lang w:val="zh-CN"/>
        </w:rPr>
        <w:t xml:space="preserve">11.投标文件的有效期</w:t>
      </w:r>
      <w:bookmarkEnd w:id="66"/>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67" w:name="_Toc231820609"/>
      <w:r>
        <w:rPr>
          <w:b/>
          <w:szCs w:val="21"/>
          <w:lang w:val="zh-CN"/>
        </w:rPr>
        <w:t xml:space="preserve">12.投标文件的签署及其形式</w:t>
      </w:r>
      <w:bookmarkEnd w:id="67"/>
      <w:r/>
      <w:r/>
    </w:p>
    <w:p>
      <w:pPr>
        <w:ind w:firstLine="441"/>
        <w:spacing w:line="360" w:lineRule="auto"/>
        <w:rPr>
          <w:szCs w:val="21"/>
        </w:rPr>
      </w:pPr>
      <w:r>
        <w:rPr>
          <w:rFonts w:hint="eastAsia"/>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rFonts w:hint="eastAsia"/>
          <w:szCs w:val="21"/>
        </w:rPr>
        <w:t xml:space="preserve">12.2 投标人应对 CA 证书妥善保管，如被他人盗用投标，因此带来的结果均由投标人自行承担。</w:t>
      </w:r>
      <w:r/>
    </w:p>
    <w:p>
      <w:pPr>
        <w:ind w:firstLine="441"/>
        <w:spacing w:line="360" w:lineRule="auto"/>
        <w:rPr>
          <w:szCs w:val="21"/>
        </w:rPr>
      </w:pPr>
      <w:r>
        <w:rPr>
          <w:rFonts w:hint="eastAsia"/>
          <w:szCs w:val="21"/>
        </w:rPr>
        <w:t xml:space="preserve">12.3 投标人应当对招标文件提出的要求和条件作出实质性响应，并在电子投标系统逐条应答。</w:t>
      </w:r>
      <w:r/>
    </w:p>
    <w:p>
      <w:pPr>
        <w:ind w:firstLine="441"/>
        <w:spacing w:line="360" w:lineRule="auto"/>
        <w:rPr>
          <w:szCs w:val="21"/>
        </w:rPr>
      </w:pPr>
      <w:r>
        <w:rPr>
          <w:rFonts w:hint="eastAsia"/>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68" w:name="_Toc231822737"/>
      <w:r>
        <w:rPr>
          <w:b/>
          <w:bCs/>
          <w:szCs w:val="21"/>
        </w:rPr>
        <w:t xml:space="preserve">四、投标文件的递交</w:t>
      </w:r>
      <w:bookmarkEnd w:id="68"/>
      <w:r/>
      <w:r/>
    </w:p>
    <w:p>
      <w:pPr>
        <w:ind w:firstLine="420"/>
        <w:spacing w:line="360" w:lineRule="auto"/>
        <w:rPr>
          <w:bCs/>
          <w:szCs w:val="21"/>
        </w:rPr>
      </w:pPr>
      <w:r>
        <w:rPr>
          <w:rFonts w:hint="eastAsia"/>
          <w:bCs/>
          <w:szCs w:val="21"/>
        </w:rPr>
        <w:t xml:space="preserve">13.电子投标文件的递交</w:t>
      </w:r>
      <w:r/>
    </w:p>
    <w:p>
      <w:pPr>
        <w:ind w:firstLine="420"/>
        <w:spacing w:line="360" w:lineRule="auto"/>
        <w:rPr>
          <w:bCs/>
          <w:szCs w:val="21"/>
        </w:rPr>
      </w:pPr>
      <w:r>
        <w:rPr>
          <w:rFonts w:hint="eastAsia"/>
          <w:bCs/>
          <w:szCs w:val="21"/>
        </w:rPr>
        <w:t xml:space="preserve">13.1 投标人应当按照规定，在投标截止时间前制作并上传电子投标文件。</w:t>
      </w:r>
      <w:r/>
    </w:p>
    <w:p>
      <w:pPr>
        <w:ind w:firstLine="420"/>
        <w:spacing w:line="360" w:lineRule="auto"/>
        <w:rPr>
          <w:bCs/>
          <w:szCs w:val="21"/>
        </w:rPr>
      </w:pPr>
      <w:r>
        <w:rPr>
          <w:rFonts w:hint="eastAsia"/>
          <w:bCs/>
          <w:szCs w:val="21"/>
        </w:rPr>
        <w:t xml:space="preserve">14.投标截止日期</w:t>
      </w:r>
      <w:r/>
    </w:p>
    <w:p>
      <w:pPr>
        <w:ind w:firstLine="420"/>
        <w:spacing w:line="360" w:lineRule="auto"/>
        <w:rPr>
          <w:bCs/>
          <w:szCs w:val="21"/>
        </w:rPr>
      </w:pPr>
      <w:r>
        <w:rPr>
          <w:rFonts w:hint="eastAsia"/>
          <w:bCs/>
          <w:szCs w:val="21"/>
        </w:rPr>
        <w:t xml:space="preserve">14.1 投标人上传电子投标文件的时间不得迟于招标公告中规定的投标截止时间。</w:t>
      </w:r>
      <w:r/>
    </w:p>
    <w:p>
      <w:pPr>
        <w:ind w:firstLine="420"/>
        <w:spacing w:line="360" w:lineRule="auto"/>
        <w:rPr>
          <w:bCs/>
          <w:szCs w:val="21"/>
        </w:rPr>
      </w:pPr>
      <w:r>
        <w:rPr>
          <w:rFonts w:hint="eastAsia"/>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rFonts w:hint="eastAsia"/>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hint="eastAsia" w:ascii="宋体" w:hAnsi="宋体" w:cs="宋体"/>
          <w:b/>
          <w:bCs/>
          <w:color w:val="000000"/>
          <w:szCs w:val="21"/>
        </w:rPr>
      </w:pPr>
      <w:r/>
      <w:bookmarkStart w:id="69" w:name="_Toc513029227"/>
      <w:r/>
      <w:bookmarkStart w:id="70" w:name="_Toc20823299"/>
      <w:r/>
      <w:bookmarkStart w:id="71" w:name="_Toc16938543"/>
      <w:r>
        <w:rPr>
          <w:rFonts w:hint="eastAsia" w:ascii="宋体" w:hAnsi="宋体" w:cs="宋体"/>
          <w:b/>
          <w:bCs/>
          <w:color w:val="000000"/>
          <w:szCs w:val="21"/>
        </w:rPr>
        <w:t xml:space="preserve">15.投标文件</w:t>
      </w:r>
      <w:bookmarkEnd w:id="69"/>
      <w:r/>
      <w:bookmarkEnd w:id="70"/>
      <w:r/>
      <w:bookmarkEnd w:id="71"/>
      <w:r>
        <w:rPr>
          <w:rFonts w:hint="eastAsia" w:ascii="宋体" w:hAnsi="宋体" w:cs="宋体"/>
          <w:b/>
          <w:bCs/>
          <w:color w:val="000000"/>
          <w:szCs w:val="21"/>
        </w:rPr>
        <w:t xml:space="preserve">的拒收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hint="eastAsia" w:ascii="宋体" w:hAnsi="宋体" w:cs="宋体"/>
          <w:b/>
          <w:bCs/>
          <w:color w:val="000000"/>
          <w:szCs w:val="21"/>
        </w:rPr>
      </w:pPr>
      <w:r/>
      <w:bookmarkStart w:id="72" w:name="_Toc16938544"/>
      <w:r/>
      <w:bookmarkStart w:id="73" w:name="_Toc20823300"/>
      <w:r/>
      <w:bookmarkStart w:id="74" w:name="_Toc513029228"/>
      <w:r>
        <w:rPr>
          <w:rFonts w:hint="eastAsia" w:ascii="宋体" w:hAnsi="宋体" w:cs="宋体"/>
          <w:b/>
          <w:bCs/>
          <w:color w:val="000000"/>
          <w:szCs w:val="21"/>
        </w:rPr>
        <w:t xml:space="preserve">16.投标文件的撤回和修改</w:t>
      </w:r>
      <w:bookmarkEnd w:id="72"/>
      <w:r/>
      <w:bookmarkEnd w:id="73"/>
      <w:r/>
      <w:bookmarkEnd w:id="74"/>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16.1 投标文件的撤回</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16.1.1 电子投标文件的撤回</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投标人可在投标截止时间前，撤回其电子投标文件。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16.2 投标文件的修改</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16.2.1 投标人可在投标截止时间前，对其电子投标文件进行修改。</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宋体"/>
          <w:color w:val="000000"/>
          <w:szCs w:val="21"/>
        </w:rPr>
      </w:pPr>
      <w:r/>
      <w:bookmarkStart w:id="75" w:name="_Toc231820611"/>
      <w:r>
        <w:rPr>
          <w:rFonts w:hint="eastAsia" w:ascii="宋体" w:hAnsi="宋体" w:cs="宋体"/>
          <w:color w:val="000000"/>
          <w:szCs w:val="21"/>
        </w:rPr>
        <w:t xml:space="preserve">16.3 在投标截止时间至招标文件中规定的投标有效期满之间的这段时间内，投标人不得撤回其投标。</w:t>
      </w:r>
      <w:bookmarkEnd w:id="75"/>
      <w:r/>
      <w:r/>
    </w:p>
    <w:p>
      <w:pPr>
        <w:ind w:firstLine="422"/>
        <w:spacing w:line="360" w:lineRule="auto"/>
        <w:shd w:val="clear" w:color="auto" w:fill="ffffff"/>
        <w:widowControl/>
        <w:rPr>
          <w:b/>
          <w:bCs/>
          <w:szCs w:val="21"/>
        </w:rPr>
        <w:outlineLvl w:val="1"/>
      </w:pPr>
      <w:r/>
      <w:bookmarkStart w:id="76" w:name="_Toc231822738"/>
      <w:r>
        <w:rPr>
          <w:b/>
          <w:bCs/>
          <w:szCs w:val="21"/>
        </w:rPr>
        <w:t xml:space="preserve">五、开标与评标</w:t>
      </w:r>
      <w:bookmarkEnd w:id="76"/>
      <w:r/>
      <w:r/>
    </w:p>
    <w:p>
      <w:pPr>
        <w:ind w:firstLine="422"/>
        <w:spacing w:line="360" w:lineRule="auto"/>
        <w:rPr>
          <w:b/>
          <w:szCs w:val="21"/>
        </w:rPr>
      </w:pPr>
      <w:r/>
      <w:bookmarkStart w:id="77" w:name="_Toc231820613"/>
      <w:r>
        <w:rPr>
          <w:b/>
          <w:szCs w:val="21"/>
        </w:rPr>
        <w:t xml:space="preserve">17.开标</w:t>
      </w:r>
      <w:bookmarkEnd w:id="77"/>
      <w:r/>
      <w:r/>
    </w:p>
    <w:p>
      <w:pPr>
        <w:ind w:firstLine="420"/>
        <w:spacing w:line="360" w:lineRule="auto"/>
        <w:rPr>
          <w:bCs/>
          <w:szCs w:val="21"/>
        </w:rPr>
      </w:pPr>
      <w:r>
        <w:rPr>
          <w:rFonts w:hint="eastAsia"/>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rFonts w:hint="eastAsia"/>
          <w:bCs/>
          <w:szCs w:val="21"/>
        </w:rPr>
        <w:t xml:space="preserve">17.2 由电子招标投标交易平台主持，邀请投标人参加。</w:t>
      </w:r>
      <w:r/>
    </w:p>
    <w:p>
      <w:pPr>
        <w:ind w:firstLine="420"/>
        <w:spacing w:line="360" w:lineRule="auto"/>
        <w:rPr>
          <w:bCs/>
          <w:szCs w:val="21"/>
        </w:rPr>
      </w:pPr>
      <w:r>
        <w:rPr>
          <w:rFonts w:hint="eastAsia"/>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rFonts w:hint="eastAsia"/>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rFonts w:hint="eastAsia"/>
          <w:b/>
          <w:szCs w:val="21"/>
        </w:rPr>
        <w:t xml:space="preserve">18.资格性审查</w:t>
      </w:r>
      <w:r/>
    </w:p>
    <w:p>
      <w:pPr>
        <w:ind w:firstLine="420"/>
        <w:spacing w:line="360" w:lineRule="auto"/>
        <w:rPr>
          <w:bCs/>
          <w:szCs w:val="21"/>
        </w:rPr>
      </w:pPr>
      <w:r>
        <w:rPr>
          <w:rFonts w:hint="eastAsia"/>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rFonts w:hint="eastAsia"/>
          <w:bCs/>
          <w:szCs w:val="21"/>
        </w:rPr>
        <w:t xml:space="preserve">18.2 信用信息查询</w:t>
      </w:r>
      <w:r/>
    </w:p>
    <w:p>
      <w:pPr>
        <w:ind w:firstLine="420"/>
        <w:spacing w:line="360" w:lineRule="auto"/>
        <w:rPr>
          <w:bCs/>
          <w:szCs w:val="21"/>
        </w:rPr>
      </w:pPr>
      <w:r>
        <w:rPr>
          <w:rFonts w:hint="eastAsia"/>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rFonts w:hint="eastAsia"/>
          <w:bCs/>
          <w:szCs w:val="21"/>
        </w:rPr>
        <w:t xml:space="preserve">18.3 通过资格性审查合格的投标人不足3家的，不得评标。</w:t>
      </w:r>
      <w:r/>
    </w:p>
    <w:p>
      <w:pPr>
        <w:ind w:firstLine="422"/>
        <w:spacing w:line="360" w:lineRule="auto"/>
        <w:rPr>
          <w:b/>
          <w:szCs w:val="21"/>
        </w:rPr>
      </w:pPr>
      <w:r>
        <w:rPr>
          <w:rFonts w:hint="eastAsia"/>
          <w:b/>
          <w:szCs w:val="21"/>
        </w:rPr>
        <w:t xml:space="preserve">19.评标 </w:t>
      </w:r>
      <w:r/>
    </w:p>
    <w:p>
      <w:pPr>
        <w:ind w:firstLine="420"/>
        <w:spacing w:line="360" w:lineRule="auto"/>
        <w:rPr>
          <w:bCs/>
          <w:szCs w:val="21"/>
        </w:rPr>
      </w:pPr>
      <w:r>
        <w:rPr>
          <w:rFonts w:hint="eastAsia"/>
          <w:bCs/>
          <w:szCs w:val="21"/>
        </w:rPr>
        <w:t xml:space="preserve">19.1 评标组织</w:t>
      </w:r>
      <w:r/>
    </w:p>
    <w:p>
      <w:pPr>
        <w:ind w:firstLine="420"/>
        <w:spacing w:line="360" w:lineRule="auto"/>
        <w:rPr>
          <w:bCs/>
          <w:szCs w:val="21"/>
        </w:rPr>
      </w:pPr>
      <w:r>
        <w:rPr>
          <w:rFonts w:hint="eastAsia"/>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rFonts w:hint="eastAsia"/>
          <w:bCs/>
          <w:szCs w:val="21"/>
        </w:rPr>
        <w:t xml:space="preserve">（1）审查、评价投标文件是否符合招标文件的商务、技术等实质性要求；</w:t>
      </w:r>
      <w:r/>
    </w:p>
    <w:p>
      <w:pPr>
        <w:ind w:firstLine="420"/>
        <w:spacing w:line="360" w:lineRule="auto"/>
        <w:rPr>
          <w:bCs/>
          <w:szCs w:val="21"/>
        </w:rPr>
      </w:pPr>
      <w:r>
        <w:rPr>
          <w:rFonts w:hint="eastAsia"/>
          <w:bCs/>
          <w:szCs w:val="21"/>
        </w:rPr>
        <w:t xml:space="preserve">（2）要求投标人对投标文件有关事项作出澄清或者说明；</w:t>
      </w:r>
      <w:r/>
    </w:p>
    <w:p>
      <w:pPr>
        <w:ind w:firstLine="420"/>
        <w:spacing w:line="360" w:lineRule="auto"/>
        <w:rPr>
          <w:bCs/>
          <w:szCs w:val="21"/>
        </w:rPr>
      </w:pPr>
      <w:r>
        <w:rPr>
          <w:rFonts w:hint="eastAsia"/>
          <w:bCs/>
          <w:szCs w:val="21"/>
        </w:rPr>
        <w:t xml:space="preserve">（3）对投标文件进行比较和评价；</w:t>
      </w:r>
      <w:r/>
    </w:p>
    <w:p>
      <w:pPr>
        <w:ind w:firstLine="420"/>
        <w:spacing w:line="360" w:lineRule="auto"/>
        <w:rPr>
          <w:bCs/>
          <w:szCs w:val="21"/>
        </w:rPr>
      </w:pPr>
      <w:r>
        <w:rPr>
          <w:rFonts w:hint="eastAsia"/>
          <w:bCs/>
          <w:szCs w:val="21"/>
        </w:rPr>
        <w:t xml:space="preserve">（4）确定中标候选人名单，以及根据采购人委托直接确定中标人；</w:t>
      </w:r>
      <w:r/>
    </w:p>
    <w:p>
      <w:pPr>
        <w:ind w:firstLine="420"/>
        <w:spacing w:line="360" w:lineRule="auto"/>
        <w:rPr>
          <w:bCs/>
          <w:szCs w:val="21"/>
        </w:rPr>
      </w:pPr>
      <w:r>
        <w:rPr>
          <w:rFonts w:hint="eastAsia"/>
          <w:bCs/>
          <w:szCs w:val="21"/>
        </w:rPr>
        <w:t xml:space="preserve">（5）向采购人、采购代理机构或者有关部门报告评标中发现的违法行为。</w:t>
      </w:r>
      <w:r/>
    </w:p>
    <w:p>
      <w:pPr>
        <w:ind w:firstLine="420"/>
        <w:spacing w:line="360" w:lineRule="auto"/>
        <w:rPr>
          <w:bCs/>
          <w:szCs w:val="21"/>
        </w:rPr>
      </w:pPr>
      <w:r>
        <w:rPr>
          <w:rFonts w:hint="eastAsia"/>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78" w:name="_Toc16288"/>
      <w:r>
        <w:rPr>
          <w:rFonts w:hint="eastAsia"/>
          <w:bCs/>
          <w:szCs w:val="21"/>
        </w:rPr>
        <w:t xml:space="preserve">19.3 对投标文件的符合性审查</w:t>
      </w:r>
      <w:bookmarkEnd w:id="78"/>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w:t>
      </w:r>
      <w:r>
        <w:rPr>
          <w:rFonts w:hint="eastAsia"/>
          <w:bCs/>
          <w:szCs w:val="21"/>
        </w:rPr>
        <w:t xml:space="preserve">4</w:t>
      </w:r>
      <w:r>
        <w:rPr>
          <w:bCs/>
          <w:szCs w:val="21"/>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w:t>
      </w:r>
      <w:r>
        <w:rPr>
          <w:rFonts w:hint="eastAsia"/>
          <w:bCs/>
          <w:szCs w:val="21"/>
        </w:rPr>
        <w:t xml:space="preserve">5</w:t>
      </w:r>
      <w:r>
        <w:rPr>
          <w:bCs/>
          <w:szCs w:val="21"/>
        </w:rPr>
        <w:t xml:space="preserve">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w:t>
      </w:r>
      <w:r>
        <w:rPr>
          <w:rFonts w:hint="eastAsia" w:ascii="宋体" w:hAnsi="宋体" w:cs="宋体"/>
          <w:bCs/>
          <w:szCs w:val="21"/>
        </w:rPr>
        <w:t xml:space="preserve">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hint="eastAsia" w:ascii="宋体" w:hAnsi="宋体" w:cs="宋体"/>
          <w:bCs/>
          <w:szCs w:val="21"/>
        </w:rPr>
      </w:pPr>
      <w:r>
        <w:rPr>
          <w:b/>
          <w:szCs w:val="21"/>
        </w:rPr>
        <w:t xml:space="preserve">19.</w:t>
      </w:r>
      <w:r>
        <w:rPr>
          <w:rFonts w:hint="eastAsia"/>
          <w:b/>
          <w:szCs w:val="21"/>
        </w:rPr>
        <w:t xml:space="preserve">6</w:t>
      </w:r>
      <w:r>
        <w:rPr>
          <w:rFonts w:hint="eastAsia" w:ascii="宋体" w:hAnsi="宋体" w:cs="宋体"/>
          <w:b/>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hint="eastAsia" w:ascii="宋体" w:hAnsi="宋体" w:cs="宋体"/>
          <w:bCs/>
          <w:szCs w:val="21"/>
        </w:rPr>
      </w:pPr>
      <w:r>
        <w:rPr>
          <w:rFonts w:hint="eastAsia" w:ascii="宋体" w:hAnsi="宋体" w:cs="宋体"/>
          <w:b/>
          <w:szCs w:val="21"/>
        </w:rPr>
        <w:t xml:space="preserve">评标过程中出现下列情形之一的，评标委员会应当启动异常低价投标（响应）审查程序：</w:t>
      </w:r>
      <w:r/>
    </w:p>
    <w:p>
      <w:pPr>
        <w:ind w:firstLine="420"/>
        <w:spacing w:line="360" w:lineRule="auto"/>
        <w:rPr>
          <w:rFonts w:hint="eastAsia" w:ascii="宋体" w:hAnsi="宋体" w:cs="宋体"/>
          <w:bCs/>
          <w:szCs w:val="21"/>
        </w:rPr>
      </w:pPr>
      <w:r>
        <w:rPr>
          <w:rFonts w:hint="eastAsia" w:ascii="宋体" w:hAnsi="宋体" w:cs="宋体"/>
          <w:bCs/>
          <w:szCs w:val="21"/>
        </w:rPr>
        <w:t xml:space="preserve">①投标（响应）报价低于全部通过符合性审查供应商投标（响应）报价平均值65%的，即投标（响应）报价＜全部通过符合性审查供应商投标（响应）报价平均值×65%；</w:t>
      </w:r>
      <w:r/>
    </w:p>
    <w:p>
      <w:pPr>
        <w:ind w:firstLine="420"/>
        <w:spacing w:line="360" w:lineRule="auto"/>
        <w:rPr>
          <w:rFonts w:hint="eastAsia" w:ascii="宋体" w:hAnsi="宋体" w:cs="宋体"/>
          <w:bCs/>
          <w:szCs w:val="21"/>
        </w:rPr>
      </w:pPr>
      <w:r>
        <w:rPr>
          <w:rFonts w:hint="eastAsia" w:ascii="宋体" w:hAnsi="宋体" w:cs="宋体"/>
          <w:bCs/>
          <w:szCs w:val="21"/>
        </w:rPr>
        <w:t xml:space="preserve">②投标（响应）报价低于通过符合性审查的次低报价供应商投标（响应）报价65%的，即投标（响应）报价＜通过符合性审查的次低报价供应商投标（响应）报价×65%；</w:t>
      </w:r>
      <w:r/>
    </w:p>
    <w:p>
      <w:pPr>
        <w:ind w:firstLine="420"/>
        <w:spacing w:line="360" w:lineRule="auto"/>
        <w:rPr>
          <w:rFonts w:hint="eastAsia" w:ascii="宋体" w:hAnsi="宋体" w:cs="宋体"/>
          <w:bCs/>
          <w:szCs w:val="21"/>
        </w:rPr>
      </w:pPr>
      <w:r>
        <w:rPr>
          <w:rFonts w:hint="eastAsia" w:ascii="宋体" w:hAnsi="宋体" w:cs="宋体"/>
          <w:bCs/>
          <w:szCs w:val="21"/>
        </w:rPr>
        <w:t xml:space="preserve">③投标（响应）报价低于采购项目最高限价65%的，即投标（响应）报价＜采购项目最高限价×65%；</w:t>
      </w:r>
      <w:r/>
    </w:p>
    <w:p>
      <w:pPr>
        <w:ind w:firstLine="420"/>
        <w:spacing w:line="360" w:lineRule="auto"/>
        <w:rPr>
          <w:rFonts w:hint="eastAsia" w:ascii="宋体" w:hAnsi="宋体" w:cs="宋体"/>
          <w:bCs/>
          <w:szCs w:val="21"/>
        </w:rPr>
      </w:pPr>
      <w:r>
        <w:rPr>
          <w:rFonts w:hint="eastAsia" w:ascii="宋体" w:hAnsi="宋体" w:cs="宋体"/>
          <w:bCs/>
          <w:szCs w:val="21"/>
        </w:rPr>
        <w:t xml:space="preserve">④评标委员会基于专业判断，认为供应商报价过低，有可能影响产品质量或者不能诚信履约的其他情形。</w:t>
      </w:r>
      <w:r/>
    </w:p>
    <w:p>
      <w:pPr>
        <w:ind w:firstLine="420"/>
        <w:spacing w:line="360" w:lineRule="auto"/>
        <w:rPr>
          <w:rFonts w:hint="eastAsia" w:ascii="宋体" w:hAnsi="宋体" w:cs="宋体"/>
          <w:bCs/>
          <w:szCs w:val="21"/>
        </w:rPr>
      </w:pPr>
      <w:r>
        <w:rPr>
          <w:rFonts w:hint="eastAsia" w:ascii="宋体" w:hAnsi="宋体" w:cs="宋体"/>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Cs/>
          <w:szCs w:val="21"/>
        </w:rPr>
      </w:pPr>
      <w:r>
        <w:rPr>
          <w:rFonts w:hint="eastAsia" w:ascii="宋体" w:hAnsi="宋体" w:cs="宋体"/>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hint="eastAsia" w:ascii="宋体" w:hAnsi="宋体" w:cs="宋体"/>
          <w:bCs/>
          <w:szCs w:val="21"/>
        </w:rPr>
      </w:pPr>
      <w:r>
        <w:rPr>
          <w:rFonts w:hint="eastAsia" w:ascii="宋体" w:hAnsi="宋体" w:cs="宋体"/>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hint="eastAsia" w:ascii="宋体" w:hAnsi="宋体" w:cs="宋体"/>
          <w:bCs/>
          <w:szCs w:val="21"/>
        </w:rPr>
      </w:pPr>
      <w:r>
        <w:rPr>
          <w:rFonts w:hint="eastAsia" w:ascii="宋体" w:hAnsi="宋体" w:cs="宋体"/>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79" w:name="_Toc231820614"/>
      <w:r>
        <w:rPr>
          <w:b/>
          <w:szCs w:val="21"/>
        </w:rPr>
        <w:t xml:space="preserve">20.投标文件的澄清</w:t>
      </w:r>
      <w:bookmarkEnd w:id="79"/>
      <w:r/>
      <w:r/>
    </w:p>
    <w:p>
      <w:pPr>
        <w:ind w:firstLine="420"/>
        <w:spacing w:line="360" w:lineRule="auto"/>
        <w:rPr>
          <w:rFonts w:hint="eastAsia" w:ascii="宋体" w:hAnsi="宋体" w:cs="宋体"/>
          <w:bCs/>
          <w:szCs w:val="21"/>
        </w:rPr>
      </w:pPr>
      <w:r>
        <w:rPr>
          <w:rFonts w:hint="eastAsia" w:ascii="宋体" w:hAnsi="宋体" w:cs="宋体"/>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宋体"/>
          <w:bCs/>
          <w:szCs w:val="21"/>
        </w:rPr>
      </w:pPr>
      <w:r>
        <w:rPr>
          <w:rFonts w:hint="eastAsia" w:ascii="宋体" w:hAnsi="宋体" w:cs="宋体"/>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rFonts w:hint="eastAsia" w:ascii="宋体" w:hAnsi="宋体" w:cs="宋体"/>
          <w:bCs/>
          <w:szCs w:val="21"/>
        </w:rPr>
        <w:t xml:space="preserve">20.3 供应商澄清、说明或者补正不得超出投标文件的范围或者改变投标文件的实质性内容。供应</w:t>
      </w:r>
      <w:r>
        <w:rPr>
          <w:rFonts w:hint="eastAsia"/>
          <w:bCs/>
          <w:szCs w:val="21"/>
        </w:rPr>
        <w:t xml:space="preserve">商拒不按照要求对投标文件进行澄清、说明或者补正的，视其放弃该项权利。</w:t>
      </w:r>
      <w:r/>
    </w:p>
    <w:p>
      <w:pPr>
        <w:ind w:firstLine="422"/>
        <w:spacing w:line="360" w:lineRule="auto"/>
        <w:rPr>
          <w:b/>
          <w:szCs w:val="21"/>
        </w:rPr>
      </w:pPr>
      <w:r/>
      <w:bookmarkStart w:id="80" w:name="_Toc231820615"/>
      <w:r>
        <w:rPr>
          <w:b/>
          <w:szCs w:val="21"/>
        </w:rPr>
        <w:t xml:space="preserve">21.对投标文件的详细评审</w:t>
      </w:r>
      <w:bookmarkEnd w:id="80"/>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1" w:name="_Toc231820616"/>
      <w:r>
        <w:rPr>
          <w:b/>
          <w:szCs w:val="21"/>
        </w:rPr>
        <w:t xml:space="preserve">22.评标过程的保密与公正</w:t>
      </w:r>
      <w:bookmarkEnd w:id="81"/>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2" w:name="_Toc231820617"/>
      <w:r>
        <w:rPr>
          <w:b/>
          <w:szCs w:val="21"/>
        </w:rPr>
        <w:t xml:space="preserve">23.无效投标条款和废标条款</w:t>
      </w:r>
      <w:bookmarkEnd w:id="82"/>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cs="宋体"/>
          <w:szCs w:val="21"/>
        </w:rPr>
      </w:pPr>
      <w:r>
        <w:rPr>
          <w:rFonts w:hint="eastAsia" w:ascii="宋体" w:hAnsi="宋体" w:cs="宋体"/>
          <w:bCs/>
          <w:szCs w:val="21"/>
        </w:rPr>
        <w:t xml:space="preserve">（2）</w:t>
      </w:r>
      <w:r>
        <w:rPr>
          <w:rFonts w:hint="eastAsia" w:ascii="宋体" w:hAnsi="宋体" w:cs="宋体"/>
          <w:szCs w:val="21"/>
        </w:rPr>
        <w:t xml:space="preserve">投标人未按照招标文件要求上传电子投标文件的。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Cs/>
          <w:szCs w:val="21"/>
        </w:rPr>
        <w:t xml:space="preserve">（3）供应商不具备招标文件中规定资格要求的</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（4）供应商在报价时采用选择性报价；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rPr>
          <w:rFonts w:hint="eastAsia" w:ascii="宋体" w:hAnsi="宋体" w:cs="宋体"/>
          <w:bCs/>
          <w:szCs w:val="21"/>
        </w:rPr>
        <w:t xml:space="preserve">5</w:t>
      </w:r>
      <w:r>
        <w:rPr>
          <w:rFonts w:hint="eastAsia" w:ascii="宋体" w:hAnsi="宋体" w:cs="宋体"/>
          <w:szCs w:val="21"/>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（6）投标文件含有采购人不能接受的附加条件的；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rPr>
          <w:rFonts w:hint="eastAsia" w:ascii="宋体" w:hAnsi="宋体" w:cs="宋体"/>
          <w:bCs/>
          <w:szCs w:val="21"/>
        </w:rPr>
        <w:t xml:space="preserve">7</w:t>
      </w:r>
      <w:r>
        <w:rPr>
          <w:rFonts w:hint="eastAsia" w:ascii="宋体" w:hAnsi="宋体" w:cs="宋体"/>
          <w:szCs w:val="21"/>
        </w:rPr>
        <w:t xml:space="preserve">）不同供应商的投标文件由同一单位或者个人编制；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（8）不同供应商委托同一单位或者个人办理投标事宜；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（11）不同供应商的投标文件相互混装；</w:t>
      </w:r>
      <w:r/>
    </w:p>
    <w:p>
      <w:pPr>
        <w:ind w:firstLine="420"/>
        <w:spacing w:line="360" w:lineRule="auto"/>
        <w:rPr>
          <w:rFonts w:hint="eastAsia" w:ascii="宋体" w:hAnsi="宋体" w:cs="宋体"/>
          <w:bCs/>
          <w:szCs w:val="21"/>
        </w:rPr>
      </w:pPr>
      <w:r>
        <w:rPr>
          <w:rFonts w:hint="eastAsia" w:ascii="宋体" w:hAnsi="宋体" w:cs="宋体"/>
          <w:bCs/>
          <w:szCs w:val="21"/>
        </w:rPr>
        <w:t xml:space="preserve">（12）不同供应商的负责人为同一人或者存在控股、管理关系的；</w:t>
      </w:r>
      <w:r/>
    </w:p>
    <w:p>
      <w:pPr>
        <w:ind w:firstLine="420"/>
        <w:spacing w:line="360" w:lineRule="auto"/>
        <w:rPr>
          <w:rFonts w:hint="eastAsia" w:ascii="宋体" w:hAnsi="宋体" w:cs="宋体"/>
          <w:bCs/>
          <w:szCs w:val="21"/>
        </w:rPr>
      </w:pPr>
      <w:r>
        <w:rPr>
          <w:rFonts w:hint="eastAsia" w:ascii="宋体" w:hAnsi="宋体" w:cs="宋体"/>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rPr>
          <w:rFonts w:hint="eastAsia" w:ascii="宋体" w:hAnsi="宋体" w:cs="宋体"/>
          <w:bCs/>
          <w:szCs w:val="21"/>
        </w:rPr>
        <w:t xml:space="preserve">14</w:t>
      </w:r>
      <w:r>
        <w:rPr>
          <w:rFonts w:hint="eastAsia" w:ascii="宋体" w:hAnsi="宋体" w:cs="宋体"/>
          <w:szCs w:val="21"/>
        </w:rPr>
        <w:t xml:space="preserve">）提供虚假材料的（包括工商营业执照、财务报表、资格证明文件等）；</w:t>
      </w:r>
      <w:r/>
    </w:p>
    <w:p>
      <w:pPr>
        <w:ind w:firstLine="420"/>
        <w:spacing w:line="360" w:lineRule="auto"/>
        <w:rPr>
          <w:rFonts w:hint="eastAsia" w:ascii="宋体" w:hAnsi="宋体" w:cs="宋体"/>
          <w:szCs w:val="21"/>
        </w:rPr>
      </w:pPr>
      <w:r>
        <w:rPr>
          <w:rFonts w:hint="eastAsia" w:ascii="宋体" w:hAnsi="宋体" w:cs="宋体"/>
          <w:bCs/>
          <w:szCs w:val="21"/>
        </w:rPr>
        <w:t xml:space="preserve">（15）未通过符合性检查的；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rPr>
          <w:rFonts w:hint="eastAsia" w:ascii="宋体" w:hAnsi="宋体" w:cs="宋体"/>
          <w:bCs/>
          <w:szCs w:val="21"/>
        </w:rPr>
        <w:t xml:space="preserve">17</w:t>
      </w:r>
      <w:r>
        <w:rPr>
          <w:rFonts w:hint="eastAsia" w:ascii="宋体" w:hAnsi="宋体" w:cs="宋体"/>
          <w:szCs w:val="21"/>
        </w:rPr>
        <w:t xml:space="preserve">）不符合招标文件中规定的其他实质性要求的；</w:t>
      </w:r>
      <w:r/>
    </w:p>
    <w:p>
      <w:pPr>
        <w:ind w:firstLine="420"/>
        <w:jc w:val="left"/>
        <w:spacing w:line="360" w:lineRule="auto"/>
        <w:shd w:val="clear" w:color="auto" w:fill="ffffff"/>
        <w:widowControl/>
        <w:rPr>
          <w:bCs/>
          <w:szCs w:val="21"/>
        </w:rPr>
      </w:pPr>
      <w:r>
        <w:rPr>
          <w:rFonts w:hint="eastAsia" w:ascii="宋体" w:hAnsi="宋体" w:cs="宋体"/>
          <w:szCs w:val="21"/>
        </w:rPr>
        <w:t xml:space="preserve">（</w:t>
      </w:r>
      <w:r>
        <w:rPr>
          <w:rFonts w:hint="eastAsia" w:ascii="宋体" w:hAnsi="宋体" w:cs="宋体"/>
          <w:bCs/>
          <w:szCs w:val="21"/>
        </w:rPr>
        <w:t xml:space="preserve">18</w:t>
      </w:r>
      <w:r>
        <w:rPr>
          <w:rFonts w:hint="eastAsia" w:ascii="宋体" w:hAnsi="宋体" w:cs="宋体"/>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3" w:name="_Toc231820618"/>
      <w:r>
        <w:rPr>
          <w:b/>
          <w:szCs w:val="21"/>
        </w:rPr>
        <w:t xml:space="preserve">24.投标截止时间结束参加投标的供应商不足三家的处理</w:t>
      </w:r>
      <w:bookmarkEnd w:id="83"/>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4" w:name="_Toc231822739"/>
      <w:r>
        <w:rPr>
          <w:b/>
          <w:bCs/>
          <w:szCs w:val="21"/>
        </w:rPr>
        <w:t xml:space="preserve">六、授标</w:t>
      </w:r>
      <w:bookmarkEnd w:id="84"/>
      <w:r/>
      <w:r/>
    </w:p>
    <w:p>
      <w:pPr>
        <w:ind w:firstLine="422"/>
        <w:spacing w:line="360" w:lineRule="auto"/>
        <w:rPr>
          <w:b/>
          <w:szCs w:val="21"/>
        </w:rPr>
      </w:pPr>
      <w:r/>
      <w:bookmarkStart w:id="85" w:name="_Toc231820620"/>
      <w:r>
        <w:rPr>
          <w:b/>
          <w:szCs w:val="21"/>
        </w:rPr>
        <w:t xml:space="preserve">25.确定中标供应商</w:t>
      </w:r>
      <w:bookmarkEnd w:id="85"/>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6" w:name="_Toc231820621"/>
      <w:r>
        <w:rPr>
          <w:b/>
          <w:szCs w:val="21"/>
        </w:rPr>
        <w:t xml:space="preserve">26.中标的通知</w:t>
      </w:r>
      <w:bookmarkEnd w:id="86"/>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87" w:name="_Toc231820622"/>
      <w:r>
        <w:rPr>
          <w:b/>
          <w:szCs w:val="21"/>
        </w:rPr>
        <w:t xml:space="preserve">27.签订合同</w:t>
      </w:r>
      <w:bookmarkEnd w:id="87"/>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88" w:name="第三章_评标标准"/>
      <w:r/>
      <w:bookmarkEnd w:id="88"/>
      <w:r/>
      <w:bookmarkStart w:id="89" w:name="_bookmark2"/>
      <w:r/>
      <w:bookmarkEnd w:id="89"/>
      <w:r/>
      <w:bookmarkStart w:id="90" w:name="_Toc12982"/>
      <w:r/>
      <w:bookmarkStart w:id="91" w:name="_Toc231820623"/>
      <w:r/>
      <w:bookmarkStart w:id="92" w:name="_Toc231822740"/>
      <w:r>
        <w:rPr>
          <w:b/>
          <w:szCs w:val="21"/>
        </w:rPr>
        <w:t xml:space="preserve">28.招标代理服务费</w:t>
      </w:r>
      <w:bookmarkEnd w:id="90"/>
      <w:r/>
      <w:bookmarkEnd w:id="91"/>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w:t>
      </w:r>
      <w:r>
        <w:rPr>
          <w:rFonts w:hint="eastAsia"/>
          <w:bCs/>
          <w:szCs w:val="21"/>
        </w:rPr>
        <w:t xml:space="preserve">根据《政府采购代理机构管理暂行办法》(财库(2018)2号)第十五条及《关于进一步规范政府采购活动相关费用管理的通知》(苏财规(2026)1号)相关规定，</w:t>
      </w:r>
      <w:r>
        <w:rPr>
          <w:bCs/>
          <w:szCs w:val="21"/>
        </w:rPr>
        <w:t xml:space="preserve">中标供应商在领取中标通知书时</w:t>
      </w:r>
      <w:r>
        <w:rPr>
          <w:rFonts w:hint="eastAsia"/>
          <w:bCs/>
          <w:szCs w:val="21"/>
        </w:rPr>
        <w:t xml:space="preserve">须按下表</w:t>
      </w:r>
      <w:r>
        <w:rPr>
          <w:bCs/>
          <w:szCs w:val="21"/>
        </w:rPr>
        <w:t xml:space="preserve">的</w:t>
      </w:r>
      <w:r>
        <w:rPr>
          <w:b/>
          <w:szCs w:val="21"/>
        </w:rPr>
        <w:t xml:space="preserve">收费标准</w:t>
      </w:r>
      <w:r>
        <w:rPr>
          <w:rFonts w:hint="eastAsia"/>
          <w:b/>
          <w:szCs w:val="21"/>
        </w:rPr>
        <w:t xml:space="preserve">，</w:t>
      </w:r>
      <w:r>
        <w:rPr>
          <w:bCs/>
          <w:szCs w:val="21"/>
        </w:rPr>
        <w:t xml:space="preserve">向采购代理机构交付每包的招标代理服务费</w:t>
      </w:r>
      <w:r>
        <w:rPr>
          <w:b/>
          <w:szCs w:val="21"/>
        </w:rPr>
        <w:t xml:space="preserve">（</w:t>
      </w:r>
      <w:r>
        <w:rPr>
          <w:rFonts w:hint="eastAsia"/>
          <w:b/>
          <w:szCs w:val="21"/>
        </w:rPr>
        <w:t xml:space="preserve">每包</w:t>
      </w:r>
      <w:r>
        <w:rPr>
          <w:b/>
          <w:szCs w:val="21"/>
        </w:rPr>
        <w:t xml:space="preserve">最低收费 3000 元整</w:t>
      </w:r>
      <w:r>
        <w:rPr>
          <w:rFonts w:hint="eastAsia"/>
          <w:b/>
          <w:szCs w:val="21"/>
        </w:rPr>
        <w:t xml:space="preserve">）</w:t>
      </w:r>
      <w:r>
        <w:rPr>
          <w:bCs/>
          <w:szCs w:val="21"/>
        </w:rPr>
        <w:t xml:space="preserve">，招标代理服务费一次付清。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436"/>
        <w:tblW w:w="7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7"/>
        <w:gridCol w:w="2359"/>
        <w:gridCol w:w="2422"/>
      </w:tblGrid>
      <w:tr>
        <w:trPr>
          <w:jc w:val="center"/>
          <w:trHeight w:val="696"/>
        </w:trPr>
        <w:tc>
          <w:tcPr>
            <w:tcW w:w="2537" w:type="dxa"/>
            <w:vAlign w:val="center"/>
            <w:textDirection w:val="lrTb"/>
            <w:noWrap w:val="false"/>
          </w:tcPr>
          <w:p>
            <w:pPr>
              <w:ind w:firstLine="420"/>
              <w:spacing w:line="340" w:lineRule="exact"/>
              <w:rPr>
                <w:szCs w:val="21"/>
              </w:rPr>
            </w:pPr>
            <w:r>
              <w:rPr>
                <w:szCs w:val="21"/>
              </w:rPr>
              <w:t xml:space="preserve">中标金额（万元）</w:t>
            </w:r>
            <w:r/>
          </w:p>
        </w:tc>
        <w:tc>
          <w:tcPr>
            <w:tcW w:w="2359" w:type="dxa"/>
            <w:vAlign w:val="center"/>
            <w:textDirection w:val="lrTb"/>
            <w:noWrap w:val="false"/>
          </w:tcPr>
          <w:p>
            <w:pPr>
              <w:jc w:val="center"/>
              <w:spacing w:line="340" w:lineRule="exact"/>
              <w:rPr>
                <w:szCs w:val="21"/>
              </w:rPr>
            </w:pPr>
            <w:r>
              <w:rPr>
                <w:szCs w:val="21"/>
              </w:rPr>
              <w:t xml:space="preserve">货物招标收费标准</w:t>
            </w:r>
            <w:r/>
          </w:p>
        </w:tc>
        <w:tc>
          <w:tcPr>
            <w:tcW w:w="2422" w:type="dxa"/>
            <w:vAlign w:val="center"/>
            <w:textDirection w:val="lrTb"/>
            <w:noWrap w:val="false"/>
          </w:tcPr>
          <w:p>
            <w:pPr>
              <w:jc w:val="center"/>
              <w:spacing w:line="340" w:lineRule="exact"/>
              <w:rPr>
                <w:szCs w:val="21"/>
              </w:rPr>
            </w:pPr>
            <w:r>
              <w:rPr>
                <w:szCs w:val="21"/>
              </w:rPr>
              <w:t xml:space="preserve">服务招标收费标准</w:t>
            </w:r>
            <w:r/>
          </w:p>
        </w:tc>
      </w:tr>
      <w:tr>
        <w:trPr>
          <w:jc w:val="center"/>
          <w:trHeight w:val="363"/>
        </w:trPr>
        <w:tc>
          <w:tcPr>
            <w:tcW w:w="2537" w:type="dxa"/>
            <w:vAlign w:val="center"/>
            <w:textDirection w:val="lrTb"/>
            <w:noWrap w:val="false"/>
          </w:tcPr>
          <w:p>
            <w:pPr>
              <w:jc w:val="center"/>
              <w:spacing w:line="300" w:lineRule="exact"/>
              <w:rPr>
                <w:szCs w:val="21"/>
              </w:rPr>
            </w:pPr>
            <w:r>
              <w:rPr>
                <w:szCs w:val="21"/>
              </w:rPr>
              <w:t xml:space="preserve">100以下</w:t>
            </w:r>
            <w:r/>
          </w:p>
        </w:tc>
        <w:tc>
          <w:tcPr>
            <w:tcW w:w="2359" w:type="dxa"/>
            <w:vAlign w:val="center"/>
            <w:textDirection w:val="lrTb"/>
            <w:noWrap w:val="false"/>
          </w:tcPr>
          <w:p>
            <w:pPr>
              <w:jc w:val="center"/>
              <w:spacing w:line="300" w:lineRule="exact"/>
              <w:rPr>
                <w:szCs w:val="21"/>
              </w:rPr>
            </w:pPr>
            <w:r>
              <w:rPr>
                <w:szCs w:val="21"/>
              </w:rPr>
              <w:t xml:space="preserve">1.2%</w:t>
            </w:r>
            <w:r/>
          </w:p>
        </w:tc>
        <w:tc>
          <w:tcPr>
            <w:tcW w:w="2422" w:type="dxa"/>
            <w:vAlign w:val="center"/>
            <w:textDirection w:val="lrTb"/>
            <w:noWrap w:val="false"/>
          </w:tcPr>
          <w:p>
            <w:pPr>
              <w:jc w:val="center"/>
              <w:spacing w:line="300" w:lineRule="exact"/>
              <w:rPr>
                <w:szCs w:val="21"/>
              </w:rPr>
            </w:pPr>
            <w:r>
              <w:rPr>
                <w:szCs w:val="21"/>
              </w:rPr>
              <w:t xml:space="preserve">1.2%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100-500</w:t>
            </w:r>
            <w:r/>
          </w:p>
        </w:tc>
        <w:tc>
          <w:tcPr>
            <w:tcW w:w="2359" w:type="dxa"/>
            <w:vAlign w:val="center"/>
            <w:textDirection w:val="lrTb"/>
            <w:noWrap w:val="false"/>
          </w:tcPr>
          <w:p>
            <w:pPr>
              <w:jc w:val="center"/>
              <w:spacing w:line="300" w:lineRule="exact"/>
              <w:rPr>
                <w:szCs w:val="21"/>
              </w:rPr>
            </w:pPr>
            <w:r>
              <w:rPr>
                <w:szCs w:val="21"/>
              </w:rPr>
              <w:t xml:space="preserve">0.88%</w:t>
            </w:r>
            <w:r/>
          </w:p>
        </w:tc>
        <w:tc>
          <w:tcPr>
            <w:tcW w:w="2422" w:type="dxa"/>
            <w:vAlign w:val="center"/>
            <w:textDirection w:val="lrTb"/>
            <w:noWrap w:val="false"/>
          </w:tcPr>
          <w:p>
            <w:pPr>
              <w:jc w:val="center"/>
              <w:spacing w:line="300" w:lineRule="exact"/>
              <w:rPr>
                <w:szCs w:val="21"/>
              </w:rPr>
            </w:pPr>
            <w:r>
              <w:rPr>
                <w:szCs w:val="21"/>
              </w:rPr>
              <w:t xml:space="preserve">0.64%</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500-1000</w:t>
            </w:r>
            <w:r/>
          </w:p>
        </w:tc>
        <w:tc>
          <w:tcPr>
            <w:tcW w:w="2359" w:type="dxa"/>
            <w:vAlign w:val="center"/>
            <w:textDirection w:val="lrTb"/>
            <w:noWrap w:val="false"/>
          </w:tcPr>
          <w:p>
            <w:pPr>
              <w:jc w:val="center"/>
              <w:spacing w:line="300" w:lineRule="exact"/>
              <w:rPr>
                <w:szCs w:val="21"/>
              </w:rPr>
            </w:pPr>
            <w:r>
              <w:rPr>
                <w:szCs w:val="21"/>
              </w:rPr>
              <w:t xml:space="preserve">0.64%</w:t>
            </w:r>
            <w:r/>
          </w:p>
        </w:tc>
        <w:tc>
          <w:tcPr>
            <w:tcW w:w="2422" w:type="dxa"/>
            <w:vAlign w:val="center"/>
            <w:textDirection w:val="lrTb"/>
            <w:noWrap w:val="false"/>
          </w:tcPr>
          <w:p>
            <w:pPr>
              <w:jc w:val="center"/>
              <w:spacing w:line="300" w:lineRule="exact"/>
              <w:rPr>
                <w:szCs w:val="21"/>
              </w:rPr>
            </w:pPr>
            <w:r>
              <w:rPr>
                <w:szCs w:val="21"/>
              </w:rPr>
              <w:t xml:space="preserve">0.36%</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1000-5000</w:t>
            </w:r>
            <w:r/>
          </w:p>
        </w:tc>
        <w:tc>
          <w:tcPr>
            <w:tcW w:w="2359" w:type="dxa"/>
            <w:vAlign w:val="center"/>
            <w:textDirection w:val="lrTb"/>
            <w:noWrap w:val="false"/>
          </w:tcPr>
          <w:p>
            <w:pPr>
              <w:jc w:val="center"/>
              <w:spacing w:line="300" w:lineRule="exact"/>
              <w:rPr>
                <w:szCs w:val="21"/>
              </w:rPr>
            </w:pPr>
            <w:r>
              <w:rPr>
                <w:szCs w:val="21"/>
              </w:rPr>
              <w:t xml:space="preserve">0.4%</w:t>
            </w:r>
            <w:r/>
          </w:p>
        </w:tc>
        <w:tc>
          <w:tcPr>
            <w:tcW w:w="2422" w:type="dxa"/>
            <w:vAlign w:val="center"/>
            <w:textDirection w:val="lrTb"/>
            <w:noWrap w:val="false"/>
          </w:tcPr>
          <w:p>
            <w:pPr>
              <w:jc w:val="center"/>
              <w:spacing w:line="300" w:lineRule="exact"/>
              <w:rPr>
                <w:szCs w:val="21"/>
              </w:rPr>
            </w:pPr>
            <w:r>
              <w:rPr>
                <w:szCs w:val="21"/>
              </w:rPr>
              <w:t xml:space="preserve">0.2%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5000-10000</w:t>
            </w:r>
            <w:r/>
          </w:p>
        </w:tc>
        <w:tc>
          <w:tcPr>
            <w:tcW w:w="2359" w:type="dxa"/>
            <w:vAlign w:val="center"/>
            <w:textDirection w:val="lrTb"/>
            <w:noWrap w:val="false"/>
          </w:tcPr>
          <w:p>
            <w:pPr>
              <w:jc w:val="center"/>
              <w:spacing w:line="300" w:lineRule="exact"/>
              <w:rPr>
                <w:szCs w:val="21"/>
              </w:rPr>
            </w:pPr>
            <w:r>
              <w:rPr>
                <w:szCs w:val="21"/>
              </w:rPr>
              <w:t xml:space="preserve">0.2%</w:t>
            </w:r>
            <w:r/>
          </w:p>
        </w:tc>
        <w:tc>
          <w:tcPr>
            <w:tcW w:w="2422" w:type="dxa"/>
            <w:vAlign w:val="center"/>
            <w:textDirection w:val="lrTb"/>
            <w:noWrap w:val="false"/>
          </w:tcPr>
          <w:p>
            <w:pPr>
              <w:jc w:val="center"/>
              <w:spacing w:line="300" w:lineRule="exact"/>
              <w:rPr>
                <w:szCs w:val="21"/>
              </w:rPr>
            </w:pPr>
            <w:r>
              <w:rPr>
                <w:szCs w:val="21"/>
              </w:rPr>
              <w:t xml:space="preserve">0.08%</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10000-100000</w:t>
            </w:r>
            <w:r/>
          </w:p>
        </w:tc>
        <w:tc>
          <w:tcPr>
            <w:tcW w:w="2359" w:type="dxa"/>
            <w:vAlign w:val="center"/>
            <w:textDirection w:val="lrTb"/>
            <w:noWrap w:val="false"/>
          </w:tcPr>
          <w:p>
            <w:pPr>
              <w:jc w:val="center"/>
              <w:spacing w:line="300" w:lineRule="exact"/>
              <w:rPr>
                <w:szCs w:val="21"/>
              </w:rPr>
            </w:pPr>
            <w:r>
              <w:rPr>
                <w:szCs w:val="21"/>
              </w:rPr>
              <w:t xml:space="preserve">0.04%</w:t>
            </w:r>
            <w:r/>
          </w:p>
        </w:tc>
        <w:tc>
          <w:tcPr>
            <w:tcW w:w="2422" w:type="dxa"/>
            <w:vAlign w:val="center"/>
            <w:textDirection w:val="lrTb"/>
            <w:noWrap w:val="false"/>
          </w:tcPr>
          <w:p>
            <w:pPr>
              <w:jc w:val="center"/>
              <w:spacing w:line="300" w:lineRule="exact"/>
              <w:rPr>
                <w:szCs w:val="21"/>
              </w:rPr>
            </w:pPr>
            <w:r>
              <w:rPr>
                <w:szCs w:val="21"/>
              </w:rPr>
              <w:t xml:space="preserve">0.04%</w:t>
            </w:r>
            <w:r/>
          </w:p>
        </w:tc>
      </w:tr>
      <w:tr>
        <w:trPr>
          <w:jc w:val="center"/>
          <w:trHeight w:val="325"/>
        </w:trPr>
        <w:tc>
          <w:tcPr>
            <w:tcW w:w="2537" w:type="dxa"/>
            <w:vAlign w:val="center"/>
            <w:textDirection w:val="lrTb"/>
            <w:noWrap w:val="false"/>
          </w:tcPr>
          <w:p>
            <w:pPr>
              <w:jc w:val="center"/>
              <w:spacing w:line="300" w:lineRule="exact"/>
              <w:rPr>
                <w:szCs w:val="21"/>
              </w:rPr>
            </w:pPr>
            <w:r>
              <w:rPr>
                <w:szCs w:val="21"/>
              </w:rPr>
              <w:t xml:space="preserve">1000000以上</w:t>
            </w:r>
            <w:r/>
          </w:p>
        </w:tc>
        <w:tc>
          <w:tcPr>
            <w:tcW w:w="2359" w:type="dxa"/>
            <w:vAlign w:val="center"/>
            <w:textDirection w:val="lrTb"/>
            <w:noWrap w:val="false"/>
          </w:tcPr>
          <w:p>
            <w:pPr>
              <w:jc w:val="center"/>
              <w:spacing w:line="300" w:lineRule="exact"/>
              <w:rPr>
                <w:szCs w:val="21"/>
              </w:rPr>
            </w:pPr>
            <w:r>
              <w:rPr>
                <w:szCs w:val="21"/>
              </w:rPr>
              <w:t xml:space="preserve">0.008%</w:t>
            </w:r>
            <w:r/>
          </w:p>
        </w:tc>
        <w:tc>
          <w:tcPr>
            <w:tcW w:w="2422" w:type="dxa"/>
            <w:vAlign w:val="center"/>
            <w:textDirection w:val="lrTb"/>
            <w:noWrap w:val="false"/>
          </w:tcPr>
          <w:p>
            <w:pPr>
              <w:jc w:val="center"/>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rPr>
          <w:b/>
          <w:bCs/>
          <w:szCs w:val="21"/>
        </w:rPr>
        <w:t xml:space="preserve">七、质疑</w:t>
      </w:r>
      <w:bookmarkEnd w:id="92"/>
      <w:r/>
      <w:r/>
    </w:p>
    <w:p>
      <w:pPr>
        <w:ind w:firstLine="422"/>
        <w:spacing w:line="360" w:lineRule="auto"/>
        <w:rPr>
          <w:b/>
          <w:szCs w:val="21"/>
        </w:rPr>
      </w:pPr>
      <w:r/>
      <w:bookmarkStart w:id="93" w:name="_Toc231820625"/>
      <w:r>
        <w:rPr>
          <w:b/>
          <w:szCs w:val="21"/>
        </w:rPr>
        <w:t xml:space="preserve">29、质疑</w:t>
      </w:r>
      <w:bookmarkEnd w:id="93"/>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4" w:name="_Toc231822741"/>
      <w:r>
        <w:rPr>
          <w:b/>
          <w:sz w:val="28"/>
          <w:szCs w:val="28"/>
        </w:rPr>
        <w:t xml:space="preserve">第三章 评标标准</w:t>
      </w:r>
      <w:bookmarkEnd w:id="94"/>
      <w:r/>
      <w:bookmarkStart w:id="95" w:name="_Hlk297273538"/>
      <w:r/>
      <w:bookmarkEnd w:id="95"/>
      <w:r/>
      <w:bookmarkStart w:id="96" w:name="_Toc521839351"/>
      <w:r/>
      <w:bookmarkEnd w:id="96"/>
      <w:r/>
      <w:bookmarkStart w:id="97" w:name="_Toc522347554"/>
      <w:r/>
      <w:bookmarkEnd w:id="97"/>
      <w:r/>
      <w:bookmarkStart w:id="98" w:name="_Toc25032666"/>
      <w:r/>
      <w:bookmarkEnd w:id="98"/>
      <w:r/>
      <w:bookmarkStart w:id="99" w:name="_Toc163629751"/>
      <w:r/>
      <w:bookmarkEnd w:id="99"/>
      <w:r/>
      <w:bookmarkStart w:id="100" w:name="_Toc142623417"/>
      <w:r/>
      <w:bookmarkEnd w:id="100"/>
      <w:r/>
      <w:bookmarkStart w:id="101" w:name="_Toc189726853"/>
      <w:r/>
      <w:bookmarkEnd w:id="101"/>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tbl>
      <w:tblPr>
        <w:tblStyle w:val="1436"/>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业绩证明材料（提供合同复印件及对应的发票并加盖公章，原件备查），每提供1份得2分，最高得10分。（未提供或提供的评委不认可的不得分）。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3）投标人提供质保期满后服务承诺，质保期外配件价格清单及折扣率情况（作为附件在投标文件中提供），由评委综合评分：价格清单详细和折扣率高的，得2分；价格清单提供和折扣率一般的，得1分；提供不完整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pPr>
        <w:spacing w:line="360" w:lineRule="auto"/>
        <w:rPr>
          <w:b/>
          <w:bCs/>
          <w:color w:val="000000"/>
          <w:szCs w:val="21"/>
        </w:rPr>
      </w:pPr>
      <w:r>
        <w:rPr>
          <w:b/>
          <w:bCs/>
          <w:color w:val="000000"/>
          <w:szCs w:val="21"/>
        </w:rPr>
      </w:r>
      <w:r/>
    </w:p>
    <w:p>
      <w:r/>
      <w:r/>
    </w:p>
    <w:p>
      <w:r>
        <w:br w:type="page" w:clear="all"/>
      </w:r>
      <w:r/>
    </w:p>
    <w:p>
      <w:pPr>
        <w:jc w:val="center"/>
        <w:spacing w:line="360" w:lineRule="auto"/>
        <w:rPr>
          <w:b/>
          <w:color w:val="000000"/>
          <w:sz w:val="28"/>
          <w:szCs w:val="28"/>
        </w:rPr>
        <w:outlineLvl w:val="0"/>
      </w:pPr>
      <w:r/>
      <w:bookmarkStart w:id="102" w:name="_Toc231822742"/>
      <w:r>
        <w:rPr>
          <w:b/>
          <w:color w:val="000000"/>
          <w:sz w:val="28"/>
          <w:szCs w:val="28"/>
        </w:rPr>
        <w:t xml:space="preserve">第四章 招标技术规格及要求</w:t>
      </w:r>
      <w:bookmarkEnd w:id="102"/>
      <w:r/>
      <w:r/>
    </w:p>
    <w:p>
      <w:pPr>
        <w:pStyle w:val="1535"/>
        <w:ind w:left="720" w:hanging="7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一、</w:t>
      </w:r>
      <w:r>
        <w:rPr>
          <w:rFonts w:ascii="Times New Roman" w:hAnsi="Times New Roman" w:cs="Times New Roman"/>
          <w:b/>
          <w:bCs/>
          <w:color w:val="000000"/>
          <w:szCs w:val="21"/>
        </w:rPr>
        <w:t xml:space="preserve">采购清单</w:t>
      </w:r>
      <w:r/>
    </w:p>
    <w:tbl>
      <w:tblPr>
        <w:tblStyle w:val="1436"/>
        <w:tblW w:w="4799" w:type="pct"/>
        <w:tblInd w:w="-5" w:type="dxa"/>
        <w:tblLayout w:type="fixed"/>
        <w:tblCellMar>
          <w:left w:w="108" w:type="dxa"/>
          <w:top w:w="0" w:type="dxa"/>
          <w:right w:w="108" w:type="dxa"/>
          <w:bottom w:w="0" w:type="dxa"/>
        </w:tblCellMar>
        <w:tblLook w:val="04A0" w:firstRow="1" w:lastRow="0" w:firstColumn="1" w:lastColumn="0" w:noHBand="0" w:noVBand="1"/>
      </w:tblPr>
      <w:tblGrid>
        <w:gridCol w:w="712"/>
        <w:gridCol w:w="3160"/>
        <w:gridCol w:w="816"/>
        <w:gridCol w:w="898"/>
        <w:gridCol w:w="1560"/>
        <w:gridCol w:w="1029"/>
        <w:gridCol w:w="1179"/>
      </w:tblGrid>
      <w:tr>
        <w:trPr>
          <w:trHeight w:val="747"/>
        </w:trPr>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可见分光光度计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right w:val="single" w:color="auto" w:sz="4" w:space="0"/>
            </w:tcBorders>
            <w:tcW w:w="480" w:type="pct"/>
            <w:vAlign w:val="center"/>
            <w:vMerge w:val="restart"/>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详见招标文件第四章招标技术规格及要求</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4.93</w:t>
            </w:r>
            <w:r/>
          </w:p>
        </w:tc>
        <w:tc>
          <w:tcPr>
            <w:tcBorders>
              <w:top w:val="single" w:color="auto" w:sz="4" w:space="0"/>
              <w:left w:val="single" w:color="auto" w:sz="4" w:space="0"/>
              <w:right w:val="single" w:color="auto" w:sz="4" w:space="0"/>
            </w:tcBorders>
            <w:tcW w:w="550" w:type="pct"/>
            <w:vAlign w:val="center"/>
            <w:vMerge w:val="restart"/>
            <w:textDirection w:val="lrTb"/>
            <w:noWrap w:val="false"/>
          </w:tcPr>
          <w:p>
            <w:pPr>
              <w:ind w:right="-107"/>
              <w:jc w:val="center"/>
              <w:tabs>
                <w:tab w:val="left" w:pos="4788" w:leader="none"/>
              </w:tabs>
              <w:rPr>
                <w:rFonts w:eastAsiaTheme="minorEastAsia"/>
                <w:bCs/>
                <w:szCs w:val="21"/>
              </w:rPr>
            </w:pPr>
            <w:r>
              <w:rPr>
                <w:rFonts w:hint="eastAsia" w:ascii="宋体" w:hAnsi="宋体" w:cs="宋体"/>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碳硫分析仪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19.5</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102"/>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微波消解器</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28</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便携式酸度计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1.8</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台式酸度计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蒸馏水器</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0.4</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便携式电导率仪A</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1.4</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便携式电导率仪B</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0.25</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便携式溶解氧测定仪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14.4</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原子吸收光谱仪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29.8</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hint="eastAsia" w:eastAsiaTheme="minorEastAsia"/>
                <w:bCs/>
                <w:szCs w:val="21"/>
              </w:rPr>
              <w:t xml:space="preserve">核心产品</w:t>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十一</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铁含量分析仪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十二</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磷酸根分析仪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十三</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硅酸根分析仪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十四</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联氨分析仪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十五</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铜离子测定仪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1.26</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十六</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总有机碳ToC测定仪</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6.8</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十七</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紫外分光光度计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7.5</w:t>
            </w:r>
            <w:r/>
          </w:p>
        </w:tc>
        <w:tc>
          <w:tcPr>
            <w:tcBorders>
              <w:left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bottom w:val="single" w:color="auto" w:sz="4" w:space="0"/>
              <w:right w:val="single" w:color="auto" w:sz="4" w:space="0"/>
            </w:tcBorders>
            <w:tcW w:w="380" w:type="pct"/>
            <w:vAlign w:val="center"/>
            <w:textDirection w:val="lrTb"/>
            <w:noWrap/>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十八</w:t>
            </w:r>
            <w:r/>
          </w:p>
        </w:tc>
        <w:tc>
          <w:tcPr>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浊度计</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left w:val="single" w:color="auto" w:sz="4" w:space="0"/>
              <w:bottom w:val="single" w:color="auto" w:sz="4" w:space="0"/>
              <w:right w:val="single" w:color="auto" w:sz="4" w:space="0"/>
            </w:tcBorders>
            <w:tcW w:w="480"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rPr>
                <w:rFonts w:hint="eastAsia" w:asciiTheme="minorEastAsia" w:hAnsiTheme="minorEastAsia" w:eastAsiaTheme="minorEastAsia" w:cstheme="minorEastAsia"/>
              </w:rPr>
            </w:pPr>
            <w:r>
              <w:rPr>
                <w:rFonts w:hint="eastAsia"/>
              </w:rPr>
              <w:t xml:space="preserve">0.98</w:t>
            </w:r>
            <w:r/>
          </w:p>
        </w:tc>
        <w:tc>
          <w:tcPr>
            <w:tcBorders>
              <w:left w:val="single" w:color="auto" w:sz="4" w:space="0"/>
              <w:bottom w:val="single" w:color="auto" w:sz="4" w:space="0"/>
              <w:right w:val="single" w:color="auto" w:sz="4" w:space="0"/>
            </w:tcBorders>
            <w:tcW w:w="550"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bl>
    <w:p>
      <w:pPr>
        <w:jc w:val="left"/>
        <w:spacing w:line="360" w:lineRule="auto"/>
        <w:widowControl/>
        <w:rPr>
          <w:b/>
          <w:color w:val="000000"/>
          <w:szCs w:val="21"/>
        </w:rPr>
      </w:pPr>
      <w:r/>
      <w:bookmarkStart w:id="103" w:name="_Toc15467"/>
      <w:r/>
      <w:bookmarkStart w:id="104" w:name="_Toc20052"/>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tabs>
          <w:tab w:val="left" w:pos="312" w:leader="none"/>
        </w:tabs>
        <w:rPr>
          <w:b/>
          <w:color w:val="000000"/>
          <w:szCs w:val="21"/>
        </w:rPr>
      </w:pPr>
      <w:r>
        <w:rPr>
          <w:b/>
          <w:color w:val="000000"/>
          <w:szCs w:val="21"/>
        </w:rPr>
        <w:t xml:space="preserve">2.技术参数中提到的证明材料，均需投标人在投标文件中提供复印件并加盖公章，原件备查。</w:t>
      </w:r>
      <w:r/>
    </w:p>
    <w:p>
      <w:pPr>
        <w:keepLines w:val="0"/>
        <w:keepNext w:val="0"/>
        <w:pageBreakBefore w:val="0"/>
        <w:spacing w:line="400" w:lineRule="exact"/>
        <w:rPr>
          <w:b/>
          <w:color w:val="000000"/>
          <w:szCs w:val="21"/>
        </w:rPr>
      </w:pPr>
      <w:r>
        <w:rPr>
          <w:b/>
          <w:color w:val="000000"/>
          <w:szCs w:val="21"/>
        </w:rPr>
      </w:r>
      <w:bookmarkEnd w:id="103"/>
      <w:r/>
      <w:bookmarkEnd w:id="104"/>
      <w:r/>
      <w:r/>
    </w:p>
    <w:p>
      <w:pPr>
        <w:jc w:val="center"/>
        <w:spacing w:line="440" w:lineRule="exact"/>
        <w:rPr>
          <w:b/>
          <w:bCs/>
          <w:szCs w:val="21"/>
        </w:rPr>
      </w:pPr>
      <w:r/>
      <w:bookmarkStart w:id="105" w:name="OLE_LINK6"/>
      <w:r/>
      <w:bookmarkStart w:id="106" w:name="OLE_LINK3"/>
      <w:r>
        <w:rPr>
          <w:b/>
          <w:bCs/>
          <w:szCs w:val="21"/>
        </w:rPr>
        <w:t xml:space="preserve">品目一</w:t>
      </w:r>
      <w:bookmarkEnd w:id="105"/>
      <w:r>
        <w:rPr>
          <w:b/>
          <w:bCs/>
          <w:szCs w:val="21"/>
        </w:rPr>
        <w:t xml:space="preserve"> 可见分光光度计</w:t>
      </w:r>
      <w:bookmarkEnd w:id="106"/>
      <w:r/>
      <w:r/>
    </w:p>
    <w:p>
      <w:pPr>
        <w:spacing w:line="440" w:lineRule="exact"/>
        <w:rPr>
          <w:b/>
          <w:szCs w:val="21"/>
        </w:rPr>
      </w:pPr>
      <w:r/>
      <w:bookmarkStart w:id="107" w:name="OLE_LINK4"/>
      <w:r>
        <w:rPr>
          <w:b/>
          <w:szCs w:val="21"/>
        </w:rPr>
        <w:t xml:space="preserve">一、工作条件：</w:t>
      </w:r>
      <w:r/>
    </w:p>
    <w:p>
      <w:pPr>
        <w:numPr>
          <w:ilvl w:val="0"/>
          <w:numId w:val="3"/>
        </w:numPr>
        <w:spacing w:line="440" w:lineRule="exact"/>
        <w:rPr>
          <w:spacing w:val="-2"/>
          <w:szCs w:val="21"/>
        </w:rPr>
      </w:pPr>
      <w:r>
        <w:rPr>
          <w:spacing w:val="-2"/>
          <w:szCs w:val="21"/>
        </w:rPr>
        <w:t xml:space="preserve">电源：电池4节，外置电源110～240VAC，50/60Hz</w:t>
      </w:r>
      <w:r/>
    </w:p>
    <w:p>
      <w:pPr>
        <w:numPr>
          <w:ilvl w:val="0"/>
          <w:numId w:val="3"/>
        </w:numPr>
        <w:spacing w:line="440" w:lineRule="exact"/>
        <w:rPr>
          <w:spacing w:val="-2"/>
          <w:szCs w:val="21"/>
        </w:rPr>
      </w:pPr>
      <w:r>
        <w:rPr>
          <w:spacing w:val="-2"/>
          <w:szCs w:val="21"/>
        </w:rPr>
        <w:t xml:space="preserve">温度：≥10～40℃</w:t>
      </w:r>
      <w:r/>
    </w:p>
    <w:p>
      <w:pPr>
        <w:numPr>
          <w:ilvl w:val="0"/>
          <w:numId w:val="3"/>
        </w:numPr>
        <w:jc w:val="left"/>
        <w:spacing w:line="440" w:lineRule="exact"/>
        <w:rPr>
          <w:spacing w:val="-2"/>
          <w:szCs w:val="21"/>
        </w:rPr>
      </w:pPr>
      <w:r>
        <w:rPr>
          <w:spacing w:val="-2"/>
          <w:szCs w:val="21"/>
        </w:rPr>
        <w:t xml:space="preserve">湿度：最大相对湿度不小于80%（非冷凝）</w:t>
      </w:r>
      <w:r/>
    </w:p>
    <w:p>
      <w:pPr>
        <w:spacing w:line="440" w:lineRule="exact"/>
        <w:rPr>
          <w:b/>
          <w:szCs w:val="21"/>
        </w:rPr>
      </w:pPr>
      <w:r>
        <w:rPr>
          <w:b/>
          <w:szCs w:val="21"/>
        </w:rPr>
        <w:t xml:space="preserve">二、技术性能指标：</w:t>
      </w:r>
      <w:r/>
    </w:p>
    <w:p>
      <w:pPr>
        <w:numPr>
          <w:ilvl w:val="0"/>
          <w:numId w:val="4"/>
        </w:numPr>
        <w:spacing w:line="440" w:lineRule="exact"/>
        <w:rPr>
          <w:spacing w:val="-2"/>
          <w:szCs w:val="21"/>
        </w:rPr>
      </w:pPr>
      <w:r>
        <w:rPr>
          <w:spacing w:val="-2"/>
          <w:szCs w:val="21"/>
        </w:rPr>
        <w:t xml:space="preserve">测量模式：浓度(mg/L等)、吸光度（Abs）、透过率（%）</w:t>
      </w:r>
      <w:r/>
    </w:p>
    <w:p>
      <w:pPr>
        <w:numPr>
          <w:ilvl w:val="0"/>
          <w:numId w:val="4"/>
        </w:numPr>
        <w:spacing w:line="440" w:lineRule="exact"/>
        <w:rPr>
          <w:spacing w:val="-2"/>
          <w:szCs w:val="21"/>
        </w:rPr>
      </w:pPr>
      <w:r>
        <w:rPr>
          <w:spacing w:val="-2"/>
          <w:szCs w:val="21"/>
        </w:rPr>
        <w:t xml:space="preserve">预置曲线：≥250条；</w:t>
      </w:r>
      <w:r/>
    </w:p>
    <w:p>
      <w:pPr>
        <w:numPr>
          <w:ilvl w:val="0"/>
          <w:numId w:val="4"/>
        </w:numPr>
        <w:spacing w:line="440" w:lineRule="exact"/>
        <w:rPr>
          <w:spacing w:val="-2"/>
          <w:szCs w:val="21"/>
        </w:rPr>
      </w:pPr>
      <w:r>
        <w:rPr>
          <w:spacing w:val="-2"/>
          <w:szCs w:val="21"/>
        </w:rPr>
        <w:t xml:space="preserve">用户自建曲线：不少于20条；</w:t>
      </w:r>
      <w:r/>
    </w:p>
    <w:p>
      <w:pPr>
        <w:numPr>
          <w:ilvl w:val="0"/>
          <w:numId w:val="4"/>
        </w:numPr>
        <w:jc w:val="left"/>
        <w:spacing w:line="440" w:lineRule="exact"/>
        <w:rPr>
          <w:spacing w:val="-2"/>
          <w:szCs w:val="21"/>
        </w:rPr>
      </w:pPr>
      <w:r>
        <w:rPr>
          <w:spacing w:val="-2"/>
          <w:szCs w:val="21"/>
        </w:rPr>
        <w:t xml:space="preserve">波长范围：340～800nm</w:t>
      </w:r>
      <w:r/>
    </w:p>
    <w:p>
      <w:pPr>
        <w:numPr>
          <w:ilvl w:val="0"/>
          <w:numId w:val="4"/>
        </w:numPr>
        <w:spacing w:line="440" w:lineRule="exact"/>
        <w:rPr>
          <w:spacing w:val="-2"/>
          <w:szCs w:val="21"/>
        </w:rPr>
      </w:pPr>
      <w:r>
        <w:rPr>
          <w:spacing w:val="-2"/>
          <w:szCs w:val="21"/>
        </w:rPr>
        <w:t xml:space="preserve">波长选择：自动；</w:t>
      </w:r>
      <w:r/>
    </w:p>
    <w:p>
      <w:pPr>
        <w:numPr>
          <w:ilvl w:val="0"/>
          <w:numId w:val="4"/>
        </w:numPr>
        <w:spacing w:line="440" w:lineRule="exact"/>
        <w:rPr>
          <w:spacing w:val="-2"/>
          <w:szCs w:val="21"/>
        </w:rPr>
      </w:pPr>
      <w:r>
        <w:rPr>
          <w:spacing w:val="-2"/>
          <w:szCs w:val="21"/>
        </w:rPr>
        <w:t xml:space="preserve">波长准确性：±2nm；</w:t>
      </w:r>
      <w:r/>
    </w:p>
    <w:p>
      <w:pPr>
        <w:numPr>
          <w:ilvl w:val="0"/>
          <w:numId w:val="4"/>
        </w:numPr>
        <w:spacing w:line="440" w:lineRule="exact"/>
        <w:rPr>
          <w:spacing w:val="-2"/>
          <w:szCs w:val="21"/>
        </w:rPr>
      </w:pPr>
      <w:r>
        <w:rPr>
          <w:spacing w:val="-2"/>
          <w:szCs w:val="21"/>
        </w:rPr>
        <w:t xml:space="preserve">波长重复性：±0.1nm；</w:t>
      </w:r>
      <w:r/>
    </w:p>
    <w:p>
      <w:pPr>
        <w:numPr>
          <w:ilvl w:val="0"/>
          <w:numId w:val="4"/>
        </w:numPr>
        <w:spacing w:line="440" w:lineRule="exact"/>
        <w:rPr>
          <w:spacing w:val="-2"/>
          <w:szCs w:val="21"/>
        </w:rPr>
      </w:pPr>
      <w:r>
        <w:rPr>
          <w:spacing w:val="-2"/>
          <w:szCs w:val="21"/>
        </w:rPr>
        <w:t xml:space="preserve">光谱带宽：5nm；</w:t>
      </w:r>
      <w:r/>
    </w:p>
    <w:p>
      <w:pPr>
        <w:numPr>
          <w:ilvl w:val="0"/>
          <w:numId w:val="4"/>
        </w:numPr>
        <w:spacing w:line="440" w:lineRule="exact"/>
        <w:rPr>
          <w:spacing w:val="-2"/>
          <w:szCs w:val="21"/>
        </w:rPr>
      </w:pPr>
      <w:r>
        <w:rPr>
          <w:spacing w:val="-2"/>
          <w:szCs w:val="21"/>
        </w:rPr>
        <w:t xml:space="preserve">光度计测量范围：0～3.0Abs</w:t>
      </w:r>
      <w:r/>
    </w:p>
    <w:p>
      <w:pPr>
        <w:numPr>
          <w:ilvl w:val="0"/>
          <w:numId w:val="4"/>
        </w:numPr>
        <w:spacing w:line="440" w:lineRule="exact"/>
        <w:rPr>
          <w:spacing w:val="-2"/>
          <w:szCs w:val="21"/>
        </w:rPr>
      </w:pPr>
      <w:r>
        <w:rPr>
          <w:spacing w:val="-2"/>
          <w:szCs w:val="21"/>
        </w:rPr>
        <w:t xml:space="preserve">光度计准确度：±0.003Abs@0.0～0.5Abs</w:t>
      </w:r>
      <w:r/>
    </w:p>
    <w:p>
      <w:pPr>
        <w:numPr>
          <w:ilvl w:val="0"/>
          <w:numId w:val="4"/>
        </w:numPr>
        <w:spacing w:line="440" w:lineRule="exact"/>
        <w:rPr>
          <w:spacing w:val="-2"/>
          <w:szCs w:val="21"/>
        </w:rPr>
      </w:pPr>
      <w:r>
        <w:rPr>
          <w:spacing w:val="-2"/>
          <w:szCs w:val="21"/>
        </w:rPr>
        <w:t xml:space="preserve">光度计线性：＜0.5%（0.5～2.0Abs）</w:t>
      </w:r>
      <w:r/>
    </w:p>
    <w:p>
      <w:pPr>
        <w:numPr>
          <w:ilvl w:val="0"/>
          <w:numId w:val="4"/>
        </w:numPr>
        <w:spacing w:line="440" w:lineRule="exact"/>
        <w:rPr>
          <w:spacing w:val="-2"/>
          <w:szCs w:val="21"/>
        </w:rPr>
      </w:pPr>
      <w:r>
        <w:rPr>
          <w:spacing w:val="-2"/>
          <w:szCs w:val="21"/>
        </w:rPr>
        <w:t xml:space="preserve">杂散光：＜0.1T%@340nm，NaNO</w:t>
      </w:r>
      <w:r>
        <w:rPr>
          <w:spacing w:val="-2"/>
          <w:szCs w:val="21"/>
          <w:vertAlign w:val="subscript"/>
        </w:rPr>
        <w:t xml:space="preserve">2</w:t>
      </w:r>
      <w:r/>
    </w:p>
    <w:p>
      <w:pPr>
        <w:numPr>
          <w:ilvl w:val="0"/>
          <w:numId w:val="4"/>
        </w:numPr>
        <w:spacing w:line="440" w:lineRule="exact"/>
        <w:rPr>
          <w:spacing w:val="-2"/>
          <w:szCs w:val="21"/>
        </w:rPr>
      </w:pPr>
      <w:r>
        <w:rPr>
          <w:spacing w:val="-2"/>
          <w:szCs w:val="21"/>
        </w:rPr>
        <w:t xml:space="preserve">数据储存量：不少于500条；</w:t>
      </w:r>
      <w:r/>
    </w:p>
    <w:p>
      <w:pPr>
        <w:numPr>
          <w:ilvl w:val="0"/>
          <w:numId w:val="4"/>
        </w:numPr>
        <w:jc w:val="left"/>
        <w:spacing w:line="440" w:lineRule="exact"/>
        <w:rPr>
          <w:spacing w:val="-2"/>
          <w:szCs w:val="21"/>
        </w:rPr>
      </w:pPr>
      <w:r>
        <w:rPr>
          <w:spacing w:val="-2"/>
          <w:szCs w:val="21"/>
        </w:rPr>
        <w:t xml:space="preserve">显示：LCD，带背光；</w:t>
      </w:r>
      <w:r/>
    </w:p>
    <w:p>
      <w:pPr>
        <w:numPr>
          <w:ilvl w:val="0"/>
          <w:numId w:val="4"/>
        </w:numPr>
        <w:jc w:val="left"/>
        <w:spacing w:line="440" w:lineRule="exact"/>
        <w:rPr>
          <w:spacing w:val="-2"/>
          <w:szCs w:val="21"/>
        </w:rPr>
      </w:pPr>
      <w:r>
        <w:rPr>
          <w:spacing w:val="-2"/>
          <w:szCs w:val="21"/>
        </w:rPr>
        <w:t xml:space="preserve">数据线接口：USB接口；</w:t>
      </w:r>
      <w:r/>
    </w:p>
    <w:p>
      <w:pPr>
        <w:numPr>
          <w:ilvl w:val="0"/>
          <w:numId w:val="4"/>
        </w:numPr>
        <w:jc w:val="left"/>
        <w:spacing w:line="440" w:lineRule="exact"/>
        <w:rPr>
          <w:spacing w:val="-2"/>
          <w:szCs w:val="21"/>
        </w:rPr>
      </w:pPr>
      <w:r>
        <w:rPr>
          <w:spacing w:val="-2"/>
          <w:szCs w:val="21"/>
        </w:rPr>
        <w:t xml:space="preserve">操作语言：多国语言，含中文；</w:t>
      </w:r>
      <w:r/>
    </w:p>
    <w:p>
      <w:pPr>
        <w:spacing w:line="440" w:lineRule="exact"/>
        <w:rPr>
          <w:b/>
          <w:szCs w:val="21"/>
        </w:rPr>
      </w:pPr>
      <w:r>
        <w:rPr>
          <w:b/>
          <w:szCs w:val="21"/>
        </w:rPr>
        <w:t xml:space="preserve">三、配置要求</w:t>
      </w:r>
      <w:r/>
    </w:p>
    <w:p>
      <w:pPr>
        <w:numPr>
          <w:ilvl w:val="0"/>
          <w:numId w:val="5"/>
        </w:numPr>
        <w:jc w:val="left"/>
        <w:spacing w:line="440" w:lineRule="exact"/>
        <w:rPr>
          <w:spacing w:val="-2"/>
          <w:szCs w:val="21"/>
        </w:rPr>
      </w:pPr>
      <w:r>
        <w:rPr>
          <w:spacing w:val="-2"/>
          <w:szCs w:val="21"/>
        </w:rPr>
        <w:t xml:space="preserve">仪器主机</w:t>
      </w:r>
      <w:r/>
    </w:p>
    <w:p>
      <w:pPr>
        <w:numPr>
          <w:ilvl w:val="0"/>
          <w:numId w:val="5"/>
        </w:numPr>
        <w:jc w:val="left"/>
        <w:spacing w:line="440" w:lineRule="exact"/>
        <w:rPr>
          <w:spacing w:val="-2"/>
          <w:szCs w:val="21"/>
        </w:rPr>
      </w:pPr>
      <w:r>
        <w:rPr>
          <w:spacing w:val="-2"/>
          <w:szCs w:val="21"/>
        </w:rPr>
        <w:t xml:space="preserve">电池×4</w:t>
      </w:r>
      <w:r/>
    </w:p>
    <w:p>
      <w:pPr>
        <w:numPr>
          <w:ilvl w:val="0"/>
          <w:numId w:val="5"/>
        </w:numPr>
        <w:jc w:val="left"/>
        <w:spacing w:line="440" w:lineRule="exact"/>
        <w:rPr>
          <w:spacing w:val="-2"/>
          <w:szCs w:val="21"/>
        </w:rPr>
      </w:pPr>
      <w:r>
        <w:rPr>
          <w:spacing w:val="-2"/>
          <w:szCs w:val="21"/>
        </w:rPr>
        <w:t xml:space="preserve">比色皿适配器，4个</w:t>
      </w:r>
      <w:r/>
    </w:p>
    <w:p>
      <w:pPr>
        <w:numPr>
          <w:ilvl w:val="0"/>
          <w:numId w:val="5"/>
        </w:numPr>
        <w:jc w:val="left"/>
        <w:spacing w:line="440" w:lineRule="exact"/>
        <w:rPr>
          <w:spacing w:val="-2"/>
          <w:szCs w:val="21"/>
        </w:rPr>
      </w:pPr>
      <w:r>
        <w:rPr>
          <w:spacing w:val="-2"/>
          <w:szCs w:val="21"/>
        </w:rPr>
        <w:t xml:space="preserve">1英寸比色池（10mL，2只）</w:t>
      </w:r>
      <w:r/>
    </w:p>
    <w:p>
      <w:pPr>
        <w:numPr>
          <w:ilvl w:val="0"/>
          <w:numId w:val="5"/>
        </w:numPr>
        <w:jc w:val="left"/>
        <w:spacing w:line="440" w:lineRule="exact"/>
        <w:rPr>
          <w:spacing w:val="-2"/>
          <w:szCs w:val="21"/>
        </w:rPr>
      </w:pPr>
      <w:r>
        <w:rPr>
          <w:spacing w:val="-2"/>
          <w:szCs w:val="21"/>
        </w:rPr>
        <w:t xml:space="preserve">基础用户手册</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品目二 碳硫分析仪</w:t>
      </w:r>
      <w:r/>
    </w:p>
    <w:p>
      <w:pPr>
        <w:spacing w:line="440" w:lineRule="exact"/>
        <w:rPr>
          <w:b/>
          <w:szCs w:val="21"/>
        </w:rPr>
      </w:pPr>
      <w:r>
        <w:rPr>
          <w:b/>
          <w:szCs w:val="21"/>
        </w:rPr>
        <w:t xml:space="preserve">一、技术指标：</w:t>
      </w:r>
      <w:r/>
    </w:p>
    <w:p>
      <w:pPr>
        <w:numPr>
          <w:ilvl w:val="0"/>
          <w:numId w:val="6"/>
        </w:numPr>
        <w:jc w:val="left"/>
        <w:spacing w:line="440" w:lineRule="exact"/>
        <w:rPr>
          <w:szCs w:val="21"/>
        </w:rPr>
      </w:pPr>
      <w:r>
        <w:rPr>
          <w:szCs w:val="21"/>
        </w:rPr>
        <w:t xml:space="preserve">测量范围：碳ω(C)0.00001%～99.999%，硫ω(S)0.00001%～99.999%</w:t>
      </w:r>
      <w:r/>
    </w:p>
    <w:p>
      <w:pPr>
        <w:numPr>
          <w:ilvl w:val="0"/>
          <w:numId w:val="6"/>
        </w:numPr>
        <w:jc w:val="left"/>
        <w:spacing w:line="440" w:lineRule="exact"/>
        <w:rPr>
          <w:szCs w:val="21"/>
        </w:rPr>
      </w:pPr>
      <w:r>
        <w:rPr>
          <w:szCs w:val="21"/>
        </w:rPr>
        <w:t xml:space="preserve">读数精度（灵敏度）：0.00001%（0.1PPM）</w:t>
      </w:r>
      <w:r/>
    </w:p>
    <w:p>
      <w:pPr>
        <w:numPr>
          <w:ilvl w:val="0"/>
          <w:numId w:val="6"/>
        </w:numPr>
        <w:jc w:val="left"/>
        <w:spacing w:line="440" w:lineRule="exact"/>
        <w:rPr>
          <w:szCs w:val="21"/>
        </w:rPr>
      </w:pPr>
      <w:r>
        <w:rPr>
          <w:szCs w:val="21"/>
        </w:rPr>
        <w:t xml:space="preserve">测量误差：符合GB/T20123-2006标准</w:t>
      </w:r>
      <w:r/>
    </w:p>
    <w:p>
      <w:pPr>
        <w:numPr>
          <w:ilvl w:val="0"/>
          <w:numId w:val="6"/>
        </w:numPr>
        <w:jc w:val="left"/>
        <w:spacing w:line="440" w:lineRule="exact"/>
        <w:rPr>
          <w:szCs w:val="21"/>
        </w:rPr>
      </w:pPr>
      <w:r>
        <w:rPr>
          <w:szCs w:val="21"/>
        </w:rPr>
        <w:t xml:space="preserve">稳定性（分析精度）：C：1PPM或RSD≤0.5%，S：1PPM或RSD≤1.5%</w:t>
      </w:r>
      <w:r/>
    </w:p>
    <w:p>
      <w:pPr>
        <w:numPr>
          <w:ilvl w:val="0"/>
          <w:numId w:val="6"/>
        </w:numPr>
        <w:jc w:val="left"/>
        <w:spacing w:line="440" w:lineRule="exact"/>
        <w:rPr>
          <w:szCs w:val="21"/>
        </w:rPr>
      </w:pPr>
      <w:r>
        <w:rPr>
          <w:szCs w:val="21"/>
        </w:rPr>
        <w:t xml:space="preserve">分析时间：25～60s可调</w:t>
      </w:r>
      <w:r/>
    </w:p>
    <w:p>
      <w:pPr>
        <w:numPr>
          <w:ilvl w:val="0"/>
          <w:numId w:val="6"/>
        </w:numPr>
        <w:jc w:val="left"/>
        <w:spacing w:line="440" w:lineRule="exact"/>
        <w:rPr>
          <w:szCs w:val="21"/>
        </w:rPr>
      </w:pPr>
      <w:r>
        <w:rPr>
          <w:szCs w:val="21"/>
        </w:rPr>
        <w:t xml:space="preserve">测量池：测碳一池体，测硫一池体</w:t>
      </w:r>
      <w:r/>
    </w:p>
    <w:p>
      <w:pPr>
        <w:numPr>
          <w:ilvl w:val="0"/>
          <w:numId w:val="6"/>
        </w:numPr>
        <w:jc w:val="left"/>
        <w:spacing w:line="440" w:lineRule="exact"/>
        <w:rPr>
          <w:szCs w:val="21"/>
        </w:rPr>
      </w:pPr>
      <w:r>
        <w:rPr>
          <w:szCs w:val="21"/>
        </w:rPr>
        <w:t xml:space="preserve">高频炉：振荡频率：20MHz，输出功率：大于2.5KVA</w:t>
      </w:r>
      <w:r/>
    </w:p>
    <w:p>
      <w:pPr>
        <w:numPr>
          <w:ilvl w:val="0"/>
          <w:numId w:val="6"/>
        </w:numPr>
        <w:jc w:val="left"/>
        <w:spacing w:line="440" w:lineRule="exact"/>
        <w:rPr>
          <w:szCs w:val="21"/>
        </w:rPr>
      </w:pPr>
      <w:r>
        <w:rPr>
          <w:szCs w:val="21"/>
        </w:rPr>
        <w:t xml:space="preserve">电子天平：称量范围：≥0～100g，读数精度：0.0001g，自动联机输入</w:t>
      </w:r>
      <w:r/>
    </w:p>
    <w:p>
      <w:pPr>
        <w:numPr>
          <w:ilvl w:val="0"/>
          <w:numId w:val="6"/>
        </w:numPr>
        <w:jc w:val="left"/>
        <w:spacing w:line="440" w:lineRule="exact"/>
        <w:rPr>
          <w:szCs w:val="21"/>
        </w:rPr>
      </w:pPr>
      <w:r>
        <w:rPr>
          <w:szCs w:val="21"/>
        </w:rPr>
        <w:t xml:space="preserve">工作环境：室内温度：10℃～30℃，相对湿度：小于75%</w:t>
      </w:r>
      <w:r/>
    </w:p>
    <w:p>
      <w:pPr>
        <w:numPr>
          <w:ilvl w:val="0"/>
          <w:numId w:val="6"/>
        </w:numPr>
        <w:jc w:val="left"/>
        <w:spacing w:line="440" w:lineRule="exact"/>
        <w:rPr>
          <w:szCs w:val="21"/>
        </w:rPr>
      </w:pPr>
      <w:r>
        <w:rPr>
          <w:szCs w:val="21"/>
        </w:rPr>
        <w:t xml:space="preserve">电源：AC220V±5%   50Hz±2%</w:t>
      </w:r>
      <w:r/>
    </w:p>
    <w:p>
      <w:pPr>
        <w:spacing w:line="440" w:lineRule="exact"/>
        <w:rPr>
          <w:szCs w:val="21"/>
        </w:rPr>
      </w:pPr>
      <w:r>
        <w:rPr>
          <w:b/>
          <w:szCs w:val="21"/>
        </w:rPr>
        <w:t xml:space="preserve">二、红外检测系统：</w:t>
      </w:r>
      <w:r/>
    </w:p>
    <w:p>
      <w:pPr>
        <w:numPr>
          <w:ilvl w:val="0"/>
          <w:numId w:val="7"/>
        </w:numPr>
        <w:jc w:val="left"/>
        <w:spacing w:line="440" w:lineRule="exact"/>
        <w:rPr>
          <w:szCs w:val="21"/>
        </w:rPr>
      </w:pPr>
      <w:r>
        <w:rPr>
          <w:szCs w:val="21"/>
        </w:rPr>
        <w:t xml:space="preserve">光源：红外检测光源采用铂金红外线光源。</w:t>
      </w:r>
      <w:r/>
    </w:p>
    <w:p>
      <w:pPr>
        <w:numPr>
          <w:ilvl w:val="0"/>
          <w:numId w:val="7"/>
        </w:numPr>
        <w:jc w:val="left"/>
        <w:spacing w:line="440" w:lineRule="exact"/>
        <w:rPr>
          <w:szCs w:val="21"/>
        </w:rPr>
      </w:pPr>
      <w:r>
        <w:rPr>
          <w:szCs w:val="21"/>
        </w:rPr>
        <w:t xml:space="preserve">调制电机：调制系统采用单片机控制的高精度同步电机，热稳定性好。</w:t>
      </w:r>
      <w:r/>
    </w:p>
    <w:p>
      <w:pPr>
        <w:numPr>
          <w:ilvl w:val="0"/>
          <w:numId w:val="7"/>
        </w:numPr>
        <w:jc w:val="left"/>
        <w:spacing w:line="440" w:lineRule="exact"/>
        <w:rPr>
          <w:szCs w:val="21"/>
        </w:rPr>
      </w:pPr>
      <w:r>
        <w:rPr>
          <w:szCs w:val="21"/>
        </w:rPr>
        <w:t xml:space="preserve">分析池：镀金碳硫分析池及高精度热释电红外探测器。</w:t>
      </w:r>
      <w:r/>
    </w:p>
    <w:p>
      <w:pPr>
        <w:numPr>
          <w:ilvl w:val="0"/>
          <w:numId w:val="7"/>
        </w:numPr>
        <w:jc w:val="left"/>
        <w:spacing w:line="440" w:lineRule="exact"/>
        <w:rPr>
          <w:szCs w:val="21"/>
        </w:rPr>
      </w:pPr>
      <w:r>
        <w:rPr>
          <w:szCs w:val="21"/>
        </w:rPr>
        <w:t xml:space="preserve">窄带滤光片：高效窄带红外滤光片，特征波长透射率高，带宽小，中心波长定位精度高。</w:t>
      </w:r>
      <w:r/>
    </w:p>
    <w:p>
      <w:pPr>
        <w:numPr>
          <w:ilvl w:val="0"/>
          <w:numId w:val="7"/>
        </w:numPr>
        <w:jc w:val="left"/>
        <w:spacing w:line="440" w:lineRule="exact"/>
        <w:rPr>
          <w:szCs w:val="21"/>
        </w:rPr>
      </w:pPr>
      <w:r>
        <w:rPr>
          <w:szCs w:val="21"/>
        </w:rPr>
        <w:t xml:space="preserve">串口光电隔离抗干扰能力强。</w:t>
      </w:r>
      <w:r/>
    </w:p>
    <w:p>
      <w:pPr>
        <w:jc w:val="left"/>
        <w:spacing w:line="440" w:lineRule="exact"/>
        <w:rPr>
          <w:b/>
          <w:szCs w:val="21"/>
        </w:rPr>
      </w:pPr>
      <w:r>
        <w:rPr>
          <w:b/>
          <w:szCs w:val="21"/>
        </w:rPr>
        <w:t xml:space="preserve">三、软件系统：</w:t>
      </w:r>
      <w:r/>
    </w:p>
    <w:p>
      <w:pPr>
        <w:numPr>
          <w:ilvl w:val="0"/>
          <w:numId w:val="8"/>
        </w:numPr>
        <w:jc w:val="left"/>
        <w:spacing w:line="440" w:lineRule="exact"/>
        <w:rPr>
          <w:szCs w:val="21"/>
        </w:rPr>
      </w:pPr>
      <w:r>
        <w:rPr>
          <w:szCs w:val="21"/>
        </w:rPr>
        <w:t xml:space="preserve">具有通道选择、数据统计、结果校正、释放曲线显示比较、系统监测、系统诊断等多种功能，动态显示各项实时数据和释放曲线。</w:t>
      </w:r>
      <w:r/>
    </w:p>
    <w:p>
      <w:pPr>
        <w:numPr>
          <w:ilvl w:val="0"/>
          <w:numId w:val="8"/>
        </w:numPr>
        <w:jc w:val="left"/>
        <w:spacing w:line="440" w:lineRule="exact"/>
        <w:rPr>
          <w:szCs w:val="21"/>
        </w:rPr>
      </w:pPr>
      <w:r>
        <w:rPr>
          <w:szCs w:val="21"/>
        </w:rPr>
        <w:t xml:space="preserve">计算机采用无需ISA插槽且无需拆机安装接口板设计，不受机型约束</w:t>
      </w:r>
      <w:r/>
    </w:p>
    <w:p>
      <w:pPr>
        <w:numPr>
          <w:ilvl w:val="0"/>
          <w:numId w:val="8"/>
        </w:numPr>
        <w:jc w:val="left"/>
        <w:spacing w:line="440" w:lineRule="exact"/>
        <w:rPr>
          <w:szCs w:val="21"/>
        </w:rPr>
      </w:pPr>
      <w:r>
        <w:rPr>
          <w:szCs w:val="21"/>
        </w:rPr>
        <w:t xml:space="preserve">数据统计及处理：可对存储的数据进行多模式查询，如按日期、样品编号、操作者、材料种类等查询；</w:t>
      </w:r>
      <w:r/>
    </w:p>
    <w:p>
      <w:pPr>
        <w:numPr>
          <w:ilvl w:val="0"/>
          <w:numId w:val="8"/>
        </w:numPr>
        <w:jc w:val="left"/>
        <w:spacing w:line="440" w:lineRule="exact"/>
        <w:rPr>
          <w:szCs w:val="21"/>
        </w:rPr>
      </w:pPr>
      <w:r>
        <w:rPr>
          <w:szCs w:val="21"/>
        </w:rPr>
        <w:t xml:space="preserve">对不同种类样品可以分别建立相应的校准方法及参数，并存储到数据库，分析方法数量不受限制。</w:t>
      </w:r>
      <w:r/>
    </w:p>
    <w:p>
      <w:pPr>
        <w:numPr>
          <w:ilvl w:val="0"/>
          <w:numId w:val="8"/>
        </w:numPr>
        <w:jc w:val="left"/>
        <w:spacing w:line="440" w:lineRule="exact"/>
        <w:rPr>
          <w:szCs w:val="21"/>
        </w:rPr>
      </w:pPr>
      <w:r>
        <w:rPr>
          <w:szCs w:val="21"/>
        </w:rPr>
        <w:t xml:space="preserve">可同数据中心或炉前报数系统实现连接。</w:t>
      </w:r>
      <w:r/>
    </w:p>
    <w:p>
      <w:pPr>
        <w:jc w:val="left"/>
        <w:spacing w:line="440" w:lineRule="exact"/>
        <w:rPr>
          <w:b/>
          <w:bCs/>
          <w:szCs w:val="21"/>
        </w:rPr>
      </w:pPr>
      <w:r>
        <w:rPr>
          <w:b/>
          <w:bCs/>
          <w:szCs w:val="21"/>
        </w:rPr>
        <w:t xml:space="preserve">四、高频燃烧系统</w:t>
      </w:r>
      <w:r/>
    </w:p>
    <w:p>
      <w:pPr>
        <w:numPr>
          <w:ilvl w:val="0"/>
          <w:numId w:val="9"/>
        </w:numPr>
        <w:jc w:val="left"/>
        <w:spacing w:line="440" w:lineRule="exact"/>
        <w:rPr>
          <w:szCs w:val="21"/>
        </w:rPr>
      </w:pPr>
      <w:r>
        <w:rPr>
          <w:szCs w:val="21"/>
        </w:rPr>
        <w:t xml:space="preserve">高频功率管：功率管选用6.5KVA以上大功率管，电压4000～5000V，可不加样品空烧。</w:t>
      </w:r>
      <w:r/>
    </w:p>
    <w:p>
      <w:pPr>
        <w:numPr>
          <w:ilvl w:val="0"/>
          <w:numId w:val="9"/>
        </w:numPr>
        <w:jc w:val="left"/>
        <w:spacing w:line="440" w:lineRule="exact"/>
        <w:rPr>
          <w:szCs w:val="21"/>
        </w:rPr>
      </w:pPr>
      <w:r>
        <w:rPr>
          <w:szCs w:val="21"/>
        </w:rPr>
        <w:t xml:space="preserve">高频控制电路：自动检测电磁阀、升降气缸及高频工作状况，自动过时、过流报警，保护高频炉在正常状态下工作。</w:t>
      </w:r>
      <w:r/>
    </w:p>
    <w:p>
      <w:pPr>
        <w:numPr>
          <w:ilvl w:val="0"/>
          <w:numId w:val="9"/>
        </w:numPr>
        <w:jc w:val="left"/>
        <w:spacing w:line="440" w:lineRule="exact"/>
        <w:rPr>
          <w:szCs w:val="21"/>
        </w:rPr>
      </w:pPr>
      <w:r>
        <w:rPr>
          <w:szCs w:val="21"/>
        </w:rPr>
        <w:t xml:space="preserve">除尘系统：分析过程自动吸尘排灰，直通式排灰。</w:t>
      </w:r>
      <w:r/>
    </w:p>
    <w:p>
      <w:pPr>
        <w:numPr>
          <w:ilvl w:val="0"/>
          <w:numId w:val="9"/>
        </w:numPr>
        <w:jc w:val="left"/>
        <w:spacing w:line="440" w:lineRule="exact"/>
        <w:rPr>
          <w:szCs w:val="21"/>
        </w:rPr>
      </w:pPr>
      <w:r>
        <w:rPr>
          <w:szCs w:val="21"/>
        </w:rPr>
        <w:t xml:space="preserve">炉头自动清扫：卡扣式炉头，拆卸方便，双钢刷气压式自动清扫。</w:t>
      </w:r>
      <w:r/>
    </w:p>
    <w:p>
      <w:pPr>
        <w:numPr>
          <w:ilvl w:val="0"/>
          <w:numId w:val="9"/>
        </w:numPr>
        <w:jc w:val="left"/>
        <w:spacing w:line="440" w:lineRule="exact"/>
        <w:rPr>
          <w:szCs w:val="21"/>
        </w:rPr>
      </w:pPr>
      <w:r>
        <w:rPr>
          <w:szCs w:val="21"/>
        </w:rPr>
        <w:t xml:space="preserve">炉头循环风自动加热。</w:t>
      </w:r>
      <w:bookmarkEnd w:id="107"/>
      <w:r/>
      <w:r/>
    </w:p>
    <w:p>
      <w:pPr>
        <w:pStyle w:val="1429"/>
        <w:numPr>
          <w:ilvl w:val="0"/>
          <w:numId w:val="10"/>
        </w:numPr>
        <w:jc w:val="both"/>
        <w:keepNext w:val="0"/>
        <w:rPr>
          <w:rFonts w:ascii="Times New Roman"/>
          <w:b/>
          <w:bCs/>
          <w:sz w:val="21"/>
          <w:szCs w:val="21"/>
        </w:rPr>
      </w:pPr>
      <w:r/>
      <w:bookmarkStart w:id="108" w:name="OLE_LINK5"/>
      <w:r>
        <w:rPr>
          <w:rFonts w:ascii="Times New Roman"/>
          <w:b/>
          <w:bCs/>
          <w:sz w:val="21"/>
          <w:szCs w:val="21"/>
        </w:rPr>
        <w:t xml:space="preserve">配置清单</w:t>
      </w:r>
      <w:r/>
    </w:p>
    <w:p>
      <w:pPr>
        <w:numPr>
          <w:ilvl w:val="0"/>
          <w:numId w:val="11"/>
        </w:numPr>
        <w:jc w:val="left"/>
        <w:spacing w:line="440" w:lineRule="exact"/>
        <w:rPr>
          <w:szCs w:val="21"/>
        </w:rPr>
      </w:pPr>
      <w:r>
        <w:rPr>
          <w:szCs w:val="21"/>
        </w:rPr>
        <w:t xml:space="preserve">红外碳硫分析仪 1台</w:t>
      </w:r>
      <w:r/>
    </w:p>
    <w:p>
      <w:pPr>
        <w:numPr>
          <w:ilvl w:val="0"/>
          <w:numId w:val="11"/>
        </w:numPr>
        <w:jc w:val="left"/>
        <w:spacing w:line="440" w:lineRule="exact"/>
        <w:rPr>
          <w:szCs w:val="21"/>
        </w:rPr>
      </w:pPr>
      <w:r>
        <w:rPr>
          <w:szCs w:val="21"/>
        </w:rPr>
        <w:t xml:space="preserve">高频感应燃烧炉 1台</w:t>
      </w:r>
      <w:r/>
    </w:p>
    <w:p>
      <w:pPr>
        <w:numPr>
          <w:ilvl w:val="0"/>
          <w:numId w:val="11"/>
        </w:numPr>
        <w:jc w:val="left"/>
        <w:spacing w:line="440" w:lineRule="exact"/>
        <w:rPr>
          <w:szCs w:val="21"/>
        </w:rPr>
      </w:pPr>
      <w:r>
        <w:rPr>
          <w:szCs w:val="21"/>
        </w:rPr>
        <w:t xml:space="preserve">电子天平</w:t>
      </w:r>
      <w:r>
        <w:rPr>
          <w:szCs w:val="21"/>
        </w:rPr>
        <w:tab/>
      </w:r>
      <w:r>
        <w:rPr>
          <w:szCs w:val="21"/>
        </w:rPr>
        <w:t xml:space="preserve"> 1台</w:t>
      </w:r>
      <w:r/>
    </w:p>
    <w:p>
      <w:pPr>
        <w:numPr>
          <w:ilvl w:val="0"/>
          <w:numId w:val="11"/>
        </w:numPr>
        <w:jc w:val="left"/>
        <w:spacing w:line="440" w:lineRule="exact"/>
        <w:rPr>
          <w:szCs w:val="21"/>
        </w:rPr>
      </w:pPr>
      <w:r>
        <w:rPr>
          <w:szCs w:val="21"/>
        </w:rPr>
        <w:t xml:space="preserve">喷墨打印机 1台</w:t>
      </w:r>
      <w:r/>
    </w:p>
    <w:p>
      <w:pPr>
        <w:numPr>
          <w:ilvl w:val="0"/>
          <w:numId w:val="11"/>
        </w:numPr>
        <w:jc w:val="left"/>
        <w:spacing w:line="440" w:lineRule="exact"/>
        <w:rPr>
          <w:szCs w:val="21"/>
        </w:rPr>
      </w:pPr>
      <w:r>
        <w:rPr>
          <w:szCs w:val="21"/>
        </w:rPr>
        <w:t xml:space="preserve">电脑工作站（1T/4G） 1台</w:t>
      </w:r>
      <w:r/>
    </w:p>
    <w:p>
      <w:pPr>
        <w:numPr>
          <w:ilvl w:val="0"/>
          <w:numId w:val="11"/>
        </w:numPr>
        <w:jc w:val="left"/>
        <w:spacing w:line="440" w:lineRule="exact"/>
        <w:rPr>
          <w:szCs w:val="21"/>
        </w:rPr>
      </w:pPr>
      <w:r>
        <w:rPr>
          <w:szCs w:val="21"/>
        </w:rPr>
        <w:t xml:space="preserve">过滤器 1台</w:t>
      </w:r>
      <w:r/>
    </w:p>
    <w:p>
      <w:pPr>
        <w:numPr>
          <w:ilvl w:val="0"/>
          <w:numId w:val="11"/>
        </w:numPr>
        <w:jc w:val="left"/>
        <w:spacing w:line="440" w:lineRule="exact"/>
        <w:rPr>
          <w:szCs w:val="21"/>
        </w:rPr>
      </w:pPr>
      <w:r>
        <w:rPr>
          <w:szCs w:val="21"/>
        </w:rPr>
        <w:t xml:space="preserve">坩埚桶 1台</w:t>
      </w:r>
      <w:r/>
    </w:p>
    <w:p>
      <w:pPr>
        <w:numPr>
          <w:ilvl w:val="0"/>
          <w:numId w:val="11"/>
        </w:numPr>
        <w:jc w:val="left"/>
        <w:spacing w:line="440" w:lineRule="exact"/>
        <w:rPr>
          <w:szCs w:val="21"/>
        </w:rPr>
      </w:pPr>
      <w:r>
        <w:rPr>
          <w:szCs w:val="21"/>
        </w:rPr>
        <w:t xml:space="preserve">多用插座 1只</w:t>
      </w:r>
      <w:r/>
    </w:p>
    <w:p>
      <w:pPr>
        <w:numPr>
          <w:ilvl w:val="0"/>
          <w:numId w:val="11"/>
        </w:numPr>
        <w:jc w:val="left"/>
        <w:spacing w:line="440" w:lineRule="exact"/>
        <w:rPr>
          <w:szCs w:val="21"/>
        </w:rPr>
      </w:pPr>
      <w:r>
        <w:rPr>
          <w:szCs w:val="21"/>
        </w:rPr>
        <w:t xml:space="preserve">减压阀 1台</w:t>
      </w:r>
      <w:r/>
    </w:p>
    <w:p>
      <w:pPr>
        <w:numPr>
          <w:ilvl w:val="0"/>
          <w:numId w:val="11"/>
        </w:numPr>
        <w:jc w:val="left"/>
        <w:spacing w:line="440" w:lineRule="exact"/>
        <w:rPr>
          <w:szCs w:val="21"/>
        </w:rPr>
      </w:pPr>
      <w:r>
        <w:rPr>
          <w:szCs w:val="21"/>
        </w:rPr>
        <w:t xml:space="preserve">软件U盘 1个</w:t>
      </w:r>
      <w:r/>
    </w:p>
    <w:p>
      <w:pPr>
        <w:numPr>
          <w:ilvl w:val="0"/>
          <w:numId w:val="11"/>
        </w:numPr>
        <w:jc w:val="left"/>
        <w:spacing w:line="440" w:lineRule="exact"/>
        <w:rPr>
          <w:szCs w:val="21"/>
        </w:rPr>
      </w:pPr>
      <w:r>
        <w:rPr>
          <w:szCs w:val="21"/>
        </w:rPr>
        <w:t xml:space="preserve">钨粒1000g装30瓶；</w:t>
      </w:r>
      <w:r/>
    </w:p>
    <w:p>
      <w:pPr>
        <w:numPr>
          <w:ilvl w:val="0"/>
          <w:numId w:val="11"/>
        </w:numPr>
        <w:jc w:val="left"/>
        <w:spacing w:line="440" w:lineRule="exact"/>
        <w:rPr>
          <w:szCs w:val="21"/>
        </w:rPr>
      </w:pPr>
      <w:r>
        <w:rPr>
          <w:szCs w:val="21"/>
        </w:rPr>
        <w:t xml:space="preserve">瓷坩埚1000只/箱，10箱；</w:t>
      </w:r>
      <w:r/>
    </w:p>
    <w:p>
      <w:pPr>
        <w:numPr>
          <w:ilvl w:val="0"/>
          <w:numId w:val="11"/>
        </w:numPr>
        <w:jc w:val="left"/>
        <w:spacing w:line="440" w:lineRule="exact"/>
        <w:rPr>
          <w:szCs w:val="21"/>
        </w:rPr>
      </w:pPr>
      <w:r>
        <w:rPr>
          <w:szCs w:val="21"/>
        </w:rPr>
        <w:t xml:space="preserve">石英燃烧管10支；</w:t>
      </w:r>
      <w:r/>
    </w:p>
    <w:p>
      <w:pPr>
        <w:numPr>
          <w:ilvl w:val="0"/>
          <w:numId w:val="11"/>
        </w:numPr>
        <w:jc w:val="left"/>
        <w:spacing w:line="440" w:lineRule="exact"/>
        <w:rPr>
          <w:szCs w:val="21"/>
        </w:rPr>
      </w:pPr>
      <w:r>
        <w:rPr>
          <w:szCs w:val="21"/>
        </w:rPr>
        <w:t xml:space="preserve">石英坩埚托5只；</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品目三 微波消解器</w:t>
      </w:r>
      <w:bookmarkEnd w:id="108"/>
      <w:r/>
      <w:r/>
    </w:p>
    <w:p>
      <w:pPr>
        <w:spacing w:line="440" w:lineRule="exact"/>
        <w:rPr>
          <w:b/>
          <w:bCs/>
          <w:szCs w:val="21"/>
        </w:rPr>
      </w:pPr>
      <w:r/>
      <w:bookmarkStart w:id="109" w:name="OLE_LINK1"/>
      <w:r>
        <w:rPr>
          <w:b/>
          <w:bCs/>
          <w:szCs w:val="21"/>
        </w:rPr>
        <w:t xml:space="preserve">一、技术指标</w:t>
      </w:r>
      <w:r/>
    </w:p>
    <w:p>
      <w:pPr>
        <w:ind w:firstLine="210"/>
        <w:spacing w:line="440" w:lineRule="exact"/>
        <w:rPr>
          <w:szCs w:val="21"/>
        </w:rPr>
      </w:pPr>
      <w:r>
        <w:rPr>
          <w:szCs w:val="21"/>
        </w:rPr>
        <w:t xml:space="preserve">1、主机</w:t>
      </w:r>
      <w:r/>
    </w:p>
    <w:p>
      <w:pPr>
        <w:ind w:firstLine="420"/>
        <w:spacing w:line="440" w:lineRule="exact"/>
        <w:rPr>
          <w:szCs w:val="21"/>
        </w:rPr>
      </w:pPr>
      <w:r>
        <w:rPr>
          <w:szCs w:val="21"/>
        </w:rPr>
        <w:t xml:space="preserve">1.1腔体采用不锈钢制造的工业级微波谐振腔，体积≥62L，炉腔提供至少5年质保；腔体内置双磁控管非脉冲变频控制系统，微波最大输出功率≥2000W，额定微波输出功率偏差值≤5%。</w:t>
      </w:r>
      <w:r/>
    </w:p>
    <w:p>
      <w:pPr>
        <w:ind w:firstLine="210"/>
        <w:spacing w:line="440" w:lineRule="exact"/>
        <w:rPr>
          <w:szCs w:val="21"/>
        </w:rPr>
      </w:pPr>
      <w:r>
        <w:rPr>
          <w:rFonts w:ascii="Segoe UI Symbol" w:hAnsi="Segoe UI Symbol" w:cs="Segoe UI Symbol"/>
          <w:szCs w:val="21"/>
        </w:rPr>
        <w:t xml:space="preserve">★</w:t>
      </w:r>
      <w:r>
        <w:rPr>
          <w:szCs w:val="21"/>
        </w:rPr>
        <w:t xml:space="preserve">1.2安全门三维定向防爆机制设计，配备防爆可视窗，具有抗流槽结构，提供高强度防爆能力的同时防止腔内微波泄露；仪器具备机械和电子双重门锁功能，非低于安全温度无法打开炉门，安全温度可设置，以保证使用安全；同时具备感应自动开门功能，非工作状态下无需按压门锁或屏幕即可感应开门。</w:t>
      </w:r>
      <w:r/>
    </w:p>
    <w:p>
      <w:pPr>
        <w:ind w:firstLine="420"/>
        <w:spacing w:line="440" w:lineRule="exact"/>
        <w:rPr>
          <w:szCs w:val="21"/>
        </w:rPr>
      </w:pPr>
      <w:r>
        <w:rPr>
          <w:szCs w:val="21"/>
        </w:rPr>
        <w:t xml:space="preserve">1.3炉门开启方式：侧开。</w:t>
      </w:r>
      <w:r/>
    </w:p>
    <w:p>
      <w:pPr>
        <w:ind w:firstLine="210"/>
        <w:spacing w:line="440" w:lineRule="exact"/>
        <w:rPr>
          <w:szCs w:val="21"/>
        </w:rPr>
      </w:pPr>
      <w:r>
        <w:rPr>
          <w:rFonts w:ascii="Segoe UI Symbol" w:hAnsi="Segoe UI Symbol" w:cs="Segoe UI Symbol"/>
          <w:szCs w:val="21"/>
        </w:rPr>
        <w:t xml:space="preserve">★</w:t>
      </w:r>
      <w:r>
        <w:rPr>
          <w:szCs w:val="21"/>
        </w:rPr>
        <w:t xml:space="preserve">1.4视频影像监控系统：炉腔内置摄像头，主机配备不小于7寸彩色触摸屏及7寸彩色视频监控屏，可实时显示实验参数及温压变化曲线，同时清晰观察炉腔内部工作影像。（需提供彩色双屏及视频监控系统影像图片）</w:t>
      </w:r>
      <w:r/>
    </w:p>
    <w:p>
      <w:pPr>
        <w:ind w:firstLine="420"/>
        <w:spacing w:line="440" w:lineRule="exact"/>
        <w:rPr>
          <w:szCs w:val="21"/>
        </w:rPr>
      </w:pPr>
      <w:r>
        <w:rPr>
          <w:szCs w:val="21"/>
        </w:rPr>
        <w:t xml:space="preserve">1.5灯光识别系统：具有≥4种颜色变化功能，可远距离通过可视窗观察灯光变化，掌握机器运行状态。</w:t>
      </w:r>
      <w:r/>
    </w:p>
    <w:p>
      <w:pPr>
        <w:ind w:firstLine="420"/>
        <w:spacing w:line="440" w:lineRule="exact"/>
        <w:rPr>
          <w:szCs w:val="21"/>
        </w:rPr>
      </w:pPr>
      <w:r>
        <w:rPr>
          <w:szCs w:val="21"/>
        </w:rPr>
        <w:t xml:space="preserve">1.6炉腔配备大功率排风系统，风量可根据实验进程自动调整，各种反应可在通风、安全且易于观察的环境下长时间连续进行，采用腔内强制风冷/腔外自然风冷等冷却方式。</w:t>
      </w:r>
      <w:r/>
    </w:p>
    <w:p>
      <w:pPr>
        <w:ind w:firstLine="420"/>
        <w:spacing w:line="440" w:lineRule="exact"/>
        <w:rPr>
          <w:szCs w:val="21"/>
        </w:rPr>
      </w:pPr>
      <w:r>
        <w:rPr>
          <w:szCs w:val="21"/>
        </w:rPr>
        <w:t xml:space="preserve">1.7配备溶剂监控系统，能够实时监测腔内溶剂泄漏情况。</w:t>
      </w:r>
      <w:r/>
    </w:p>
    <w:p>
      <w:pPr>
        <w:ind w:firstLine="210"/>
        <w:spacing w:line="440" w:lineRule="exact"/>
        <w:rPr>
          <w:szCs w:val="21"/>
        </w:rPr>
      </w:pPr>
      <w:r>
        <w:rPr>
          <w:szCs w:val="21"/>
        </w:rPr>
        <w:t xml:space="preserve">2、温度检测系统</w:t>
      </w:r>
      <w:r/>
    </w:p>
    <w:p>
      <w:pPr>
        <w:ind w:firstLine="420"/>
        <w:spacing w:line="440" w:lineRule="exact"/>
        <w:rPr>
          <w:szCs w:val="21"/>
        </w:rPr>
      </w:pPr>
      <w:r>
        <w:rPr>
          <w:szCs w:val="21"/>
        </w:rPr>
        <w:t xml:space="preserve">2.1采用非接触式中红外全罐测温技术，直接测量每个消解罐内样品溶液的温度，可对全部消解罐底部而非侧面进行温度扫描，测温范围不小于60-400℃，检测精度±0.1℃。</w:t>
      </w:r>
      <w:r/>
    </w:p>
    <w:p>
      <w:pPr>
        <w:ind w:firstLine="210"/>
        <w:spacing w:line="440" w:lineRule="exact"/>
        <w:rPr>
          <w:szCs w:val="21"/>
        </w:rPr>
      </w:pPr>
      <w:r>
        <w:rPr>
          <w:rFonts w:ascii="Segoe UI Symbol" w:hAnsi="Segoe UI Symbol" w:cs="Segoe UI Symbol"/>
          <w:szCs w:val="21"/>
        </w:rPr>
        <w:t xml:space="preserve">★</w:t>
      </w:r>
      <w:r>
        <w:rPr>
          <w:szCs w:val="21"/>
        </w:rPr>
        <w:t xml:space="preserve">2.2配备光纤测温系统，低温段测温准确，测温范围不小于-40℃～305℃，检测精度：±0.1℃。（需提供同时配置以上两种测温方式的仪器实物图及软件截图证明等证明材料）</w:t>
      </w:r>
      <w:r/>
    </w:p>
    <w:p>
      <w:pPr>
        <w:ind w:firstLine="210"/>
        <w:spacing w:line="440" w:lineRule="exact"/>
        <w:rPr>
          <w:szCs w:val="21"/>
        </w:rPr>
      </w:pPr>
      <w:r>
        <w:rPr>
          <w:szCs w:val="21"/>
        </w:rPr>
        <w:t xml:space="preserve">3、压力监控系统</w:t>
      </w:r>
      <w:r/>
    </w:p>
    <w:p>
      <w:pPr>
        <w:ind w:firstLine="420"/>
        <w:spacing w:line="440" w:lineRule="exact"/>
        <w:rPr>
          <w:szCs w:val="21"/>
        </w:rPr>
      </w:pPr>
      <w:r>
        <w:rPr>
          <w:szCs w:val="21"/>
        </w:rPr>
        <w:t xml:space="preserve">3.1主控罐测压：采用高精度压力传感器，可实时显示压力数值，传感器测压范围不小于0-15MPa，检测精度±0.01MPa或1PSI。</w:t>
      </w:r>
      <w:r/>
    </w:p>
    <w:p>
      <w:pPr>
        <w:ind w:firstLine="420"/>
        <w:spacing w:line="440" w:lineRule="exact"/>
        <w:rPr>
          <w:szCs w:val="21"/>
        </w:rPr>
      </w:pPr>
      <w:r>
        <w:rPr>
          <w:szCs w:val="21"/>
        </w:rPr>
        <w:t xml:space="preserve">3.2全罐压力监控：实时监控每个消解罐内压力，超压自动泄压，限压值可调。</w:t>
      </w:r>
      <w:r/>
    </w:p>
    <w:p>
      <w:pPr>
        <w:ind w:firstLine="210"/>
        <w:spacing w:line="440" w:lineRule="exact"/>
        <w:rPr>
          <w:szCs w:val="21"/>
        </w:rPr>
      </w:pPr>
      <w:r>
        <w:rPr>
          <w:szCs w:val="21"/>
        </w:rPr>
        <w:t xml:space="preserve">4、配备COT实时异常监控系统，能够在任意消解罐出现异常时，自动报警并切断微波从而确保仪器安全运行。</w:t>
      </w:r>
      <w:r/>
    </w:p>
    <w:p>
      <w:pPr>
        <w:ind w:firstLine="210"/>
        <w:spacing w:line="440" w:lineRule="exact"/>
        <w:rPr>
          <w:szCs w:val="21"/>
        </w:rPr>
      </w:pPr>
      <w:r>
        <w:rPr>
          <w:szCs w:val="21"/>
        </w:rPr>
        <w:t xml:space="preserve">5、消解转子系统</w:t>
      </w:r>
      <w:r/>
    </w:p>
    <w:p>
      <w:pPr>
        <w:ind w:firstLine="210"/>
        <w:spacing w:line="440" w:lineRule="exact"/>
        <w:rPr>
          <w:szCs w:val="21"/>
        </w:rPr>
      </w:pPr>
      <w:r>
        <w:rPr>
          <w:rFonts w:ascii="Segoe UI Symbol" w:hAnsi="Segoe UI Symbol" w:cs="Segoe UI Symbol"/>
          <w:szCs w:val="21"/>
        </w:rPr>
        <w:t xml:space="preserve">★</w:t>
      </w:r>
      <w:r>
        <w:rPr>
          <w:szCs w:val="21"/>
        </w:rPr>
        <w:t xml:space="preserve">5.1外罐：采用复合纤维材质，耐压≥20Mpa。外罐整体喷涂特氟龙涂层，耐腐蚀、支持水洗易于清洁。</w:t>
      </w:r>
      <w:r/>
    </w:p>
    <w:p>
      <w:pPr>
        <w:ind w:firstLine="420"/>
        <w:spacing w:line="440" w:lineRule="exact"/>
        <w:rPr>
          <w:szCs w:val="21"/>
        </w:rPr>
      </w:pPr>
      <w:r>
        <w:rPr>
          <w:szCs w:val="21"/>
        </w:rPr>
        <w:t xml:space="preserve">5.2内罐：容积≥110mL，可适配一次性萃取组件。带有识别编码无需手写；内罐、罐盖等应采用TFM材质，不得含有任何金属材质的零部件、可泡酸清洗，以保证实验的准确性和重复性。</w:t>
      </w:r>
      <w:r/>
    </w:p>
    <w:p>
      <w:pPr>
        <w:ind w:firstLine="420"/>
        <w:spacing w:line="440" w:lineRule="exact"/>
        <w:rPr>
          <w:szCs w:val="21"/>
        </w:rPr>
      </w:pPr>
      <w:r>
        <w:rPr>
          <w:szCs w:val="21"/>
        </w:rPr>
        <w:t xml:space="preserve">5.3批次处理量≥24位，转子应为上下双层高强度联体结构设计，以保证运行过程安全；消解转子可整体转移，使用方便。</w:t>
      </w:r>
      <w:r/>
    </w:p>
    <w:p>
      <w:pPr>
        <w:ind w:firstLine="210"/>
        <w:spacing w:line="440" w:lineRule="exact"/>
        <w:rPr>
          <w:strike/>
          <w:szCs w:val="21"/>
        </w:rPr>
      </w:pPr>
      <w:r>
        <w:rPr>
          <w:rFonts w:ascii="Segoe UI Symbol" w:hAnsi="Segoe UI Symbol" w:cs="Segoe UI Symbol"/>
          <w:szCs w:val="21"/>
        </w:rPr>
        <w:t xml:space="preserve">★</w:t>
      </w:r>
      <w:r>
        <w:rPr>
          <w:szCs w:val="21"/>
        </w:rPr>
        <w:t xml:space="preserve">5.4仪器最高工作温度≥250℃，最高工作压力≥4MPa。</w:t>
      </w:r>
      <w:r/>
    </w:p>
    <w:p>
      <w:pPr>
        <w:ind w:firstLine="210"/>
        <w:spacing w:line="440" w:lineRule="exact"/>
        <w:rPr>
          <w:szCs w:val="21"/>
        </w:rPr>
      </w:pPr>
      <w:r>
        <w:rPr>
          <w:szCs w:val="21"/>
        </w:rPr>
        <w:t xml:space="preserve">6、软件系统</w:t>
      </w:r>
      <w:r/>
    </w:p>
    <w:p>
      <w:pPr>
        <w:ind w:firstLine="420"/>
        <w:spacing w:line="440" w:lineRule="exact"/>
        <w:rPr>
          <w:szCs w:val="21"/>
        </w:rPr>
      </w:pPr>
      <w:r>
        <w:rPr>
          <w:szCs w:val="21"/>
        </w:rPr>
        <w:t xml:space="preserve">6.1内置应用方法库和视频培训教程，仪器可自动识别转子类型，自动判断消解罐位置并计数消解罐数量。</w:t>
      </w:r>
      <w:r/>
    </w:p>
    <w:p>
      <w:pPr>
        <w:ind w:firstLine="420"/>
        <w:spacing w:line="440" w:lineRule="exact"/>
        <w:rPr>
          <w:szCs w:val="21"/>
        </w:rPr>
      </w:pPr>
      <w:r>
        <w:rPr>
          <w:szCs w:val="21"/>
        </w:rPr>
        <w:t xml:space="preserve">6.2配备≥7寸彩色触摸屏，可实时显示温度、步骤、时间、功率等实验状态，可显示全罐温度柱状图，并查看任意消解罐升温曲线。</w:t>
      </w:r>
      <w:r/>
    </w:p>
    <w:p>
      <w:pPr>
        <w:ind w:firstLine="420"/>
        <w:spacing w:line="440" w:lineRule="exact"/>
        <w:rPr>
          <w:szCs w:val="21"/>
        </w:rPr>
      </w:pPr>
      <w:r>
        <w:rPr>
          <w:szCs w:val="21"/>
        </w:rPr>
        <w:t xml:space="preserve">6.3可置顶最近用过的实验方法≥5个，可选择标准控制、功率控制、爬坡控制等不同升温模式，仪器内置温度、压力及微波功率校准程序，用户可自行对仪器做定期维护校准。</w:t>
      </w:r>
      <w:r/>
    </w:p>
    <w:p>
      <w:pPr>
        <w:ind w:firstLine="420"/>
        <w:spacing w:line="440" w:lineRule="exact"/>
        <w:rPr>
          <w:szCs w:val="21"/>
        </w:rPr>
      </w:pPr>
      <w:r>
        <w:rPr>
          <w:szCs w:val="21"/>
        </w:rPr>
        <w:t xml:space="preserve">6.4操作系统可实现用户权限分级管理、密码登录、日志追溯等功能。</w:t>
      </w:r>
      <w:r/>
    </w:p>
    <w:p>
      <w:pPr>
        <w:ind w:firstLine="420"/>
        <w:spacing w:line="440" w:lineRule="exact"/>
        <w:rPr>
          <w:szCs w:val="21"/>
        </w:rPr>
      </w:pPr>
      <w:r>
        <w:rPr>
          <w:szCs w:val="21"/>
        </w:rPr>
        <w:t xml:space="preserve">6.5可通过电脑工作站控制仪器，实时查看实验运行情况。</w:t>
      </w:r>
      <w:r/>
    </w:p>
    <w:p>
      <w:pPr>
        <w:spacing w:line="440" w:lineRule="exact"/>
        <w:rPr>
          <w:szCs w:val="21"/>
        </w:rPr>
      </w:pPr>
      <w:r>
        <w:rPr>
          <w:rFonts w:ascii="Segoe UI Symbol" w:hAnsi="Segoe UI Symbol" w:cs="Segoe UI Symbol"/>
          <w:szCs w:val="21"/>
        </w:rPr>
        <w:t xml:space="preserve">★</w:t>
      </w:r>
      <w:r>
        <w:rPr>
          <w:szCs w:val="21"/>
        </w:rPr>
        <w:t xml:space="preserve">7、配备专用工具，用于升降、转移消解转子，转子的转运、装载和取出均无需手工操作；配备电动拧罐工具，消解罐可快速组装，并可有效保证每个消解罐固定扭矩一致。</w:t>
      </w:r>
      <w:r/>
    </w:p>
    <w:p>
      <w:pPr>
        <w:ind w:firstLine="210"/>
        <w:spacing w:line="440" w:lineRule="exact"/>
        <w:rPr>
          <w:szCs w:val="21"/>
        </w:rPr>
      </w:pPr>
      <w:r>
        <w:rPr>
          <w:szCs w:val="21"/>
        </w:rPr>
        <w:t xml:space="preserve">8、标配赶酸仪位数不低于配套罐体位数，赶酸仪器孔深≥10cm。</w:t>
      </w:r>
      <w:r/>
    </w:p>
    <w:p>
      <w:pPr>
        <w:spacing w:line="440" w:lineRule="exact"/>
        <w:rPr>
          <w:b/>
          <w:bCs/>
          <w:szCs w:val="21"/>
        </w:rPr>
      </w:pPr>
      <w:r>
        <w:rPr>
          <w:b/>
          <w:bCs/>
          <w:szCs w:val="21"/>
        </w:rPr>
        <w:t xml:space="preserve">二、配置要求</w:t>
      </w:r>
      <w:r/>
    </w:p>
    <w:p>
      <w:pPr>
        <w:numPr>
          <w:ilvl w:val="0"/>
          <w:numId w:val="12"/>
        </w:numPr>
        <w:spacing w:line="440" w:lineRule="exact"/>
        <w:rPr>
          <w:szCs w:val="21"/>
        </w:rPr>
      </w:pPr>
      <w:r>
        <w:rPr>
          <w:szCs w:val="21"/>
        </w:rPr>
        <w:t xml:space="preserve">微波消解仪主机（含软件操作系统和排风系统）1台；</w:t>
      </w:r>
      <w:r/>
    </w:p>
    <w:p>
      <w:pPr>
        <w:numPr>
          <w:ilvl w:val="0"/>
          <w:numId w:val="12"/>
        </w:numPr>
        <w:spacing w:line="440" w:lineRule="exact"/>
        <w:rPr>
          <w:szCs w:val="21"/>
        </w:rPr>
      </w:pPr>
      <w:r>
        <w:rPr>
          <w:szCs w:val="21"/>
        </w:rPr>
        <w:t xml:space="preserve">非接触式中红外温度传感器2套；</w:t>
      </w:r>
      <w:r/>
    </w:p>
    <w:p>
      <w:pPr>
        <w:numPr>
          <w:ilvl w:val="0"/>
          <w:numId w:val="12"/>
        </w:numPr>
        <w:spacing w:line="440" w:lineRule="exact"/>
        <w:rPr>
          <w:szCs w:val="21"/>
        </w:rPr>
      </w:pPr>
      <w:r>
        <w:rPr>
          <w:szCs w:val="21"/>
        </w:rPr>
        <w:t xml:space="preserve">光纤测温系统1套；</w:t>
      </w:r>
      <w:r/>
    </w:p>
    <w:p>
      <w:pPr>
        <w:numPr>
          <w:ilvl w:val="0"/>
          <w:numId w:val="12"/>
        </w:numPr>
        <w:spacing w:line="440" w:lineRule="exact"/>
        <w:rPr>
          <w:szCs w:val="21"/>
        </w:rPr>
      </w:pPr>
      <w:r>
        <w:rPr>
          <w:szCs w:val="21"/>
        </w:rPr>
        <w:t xml:space="preserve">实时异常监控系统1套；</w:t>
      </w:r>
      <w:r/>
    </w:p>
    <w:p>
      <w:pPr>
        <w:numPr>
          <w:ilvl w:val="0"/>
          <w:numId w:val="12"/>
        </w:numPr>
        <w:spacing w:line="440" w:lineRule="exact"/>
        <w:rPr>
          <w:szCs w:val="21"/>
        </w:rPr>
      </w:pPr>
      <w:r>
        <w:rPr>
          <w:szCs w:val="21"/>
        </w:rPr>
        <w:t xml:space="preserve">高精度压力监控系统1套；</w:t>
      </w:r>
      <w:r/>
    </w:p>
    <w:p>
      <w:pPr>
        <w:numPr>
          <w:ilvl w:val="0"/>
          <w:numId w:val="12"/>
        </w:numPr>
        <w:spacing w:line="440" w:lineRule="exact"/>
        <w:rPr>
          <w:szCs w:val="21"/>
        </w:rPr>
      </w:pPr>
      <w:r>
        <w:rPr>
          <w:szCs w:val="21"/>
        </w:rPr>
        <w:t xml:space="preserve">全罐压力监控系统1套；</w:t>
      </w:r>
      <w:r/>
    </w:p>
    <w:p>
      <w:pPr>
        <w:numPr>
          <w:ilvl w:val="0"/>
          <w:numId w:val="12"/>
        </w:numPr>
        <w:spacing w:line="440" w:lineRule="exact"/>
        <w:rPr>
          <w:szCs w:val="21"/>
        </w:rPr>
      </w:pPr>
      <w:r>
        <w:rPr>
          <w:szCs w:val="21"/>
        </w:rPr>
        <w:t xml:space="preserve">视频影像监控系统1套；</w:t>
      </w:r>
      <w:r/>
    </w:p>
    <w:p>
      <w:pPr>
        <w:numPr>
          <w:ilvl w:val="0"/>
          <w:numId w:val="12"/>
        </w:numPr>
        <w:spacing w:line="440" w:lineRule="exact"/>
        <w:rPr>
          <w:szCs w:val="21"/>
        </w:rPr>
      </w:pPr>
      <w:r>
        <w:rPr>
          <w:szCs w:val="21"/>
        </w:rPr>
        <w:t xml:space="preserve">电脑工作站软件及加密狗1套；</w:t>
      </w:r>
      <w:r/>
    </w:p>
    <w:p>
      <w:pPr>
        <w:numPr>
          <w:ilvl w:val="0"/>
          <w:numId w:val="12"/>
        </w:numPr>
        <w:spacing w:line="440" w:lineRule="exact"/>
        <w:rPr>
          <w:szCs w:val="21"/>
        </w:rPr>
      </w:pPr>
      <w:r>
        <w:rPr>
          <w:szCs w:val="21"/>
        </w:rPr>
        <w:t xml:space="preserve">消解转子系统1套：包含外罐、内罐、罐盖；</w:t>
      </w:r>
      <w:r/>
    </w:p>
    <w:p>
      <w:pPr>
        <w:numPr>
          <w:ilvl w:val="0"/>
          <w:numId w:val="12"/>
        </w:numPr>
        <w:spacing w:line="440" w:lineRule="exact"/>
        <w:rPr>
          <w:szCs w:val="21"/>
        </w:rPr>
      </w:pPr>
      <w:r>
        <w:rPr>
          <w:szCs w:val="21"/>
        </w:rPr>
        <w:t xml:space="preserve">辅助工具：消解转子平移升降工具车1台，电动拧罐工具，专用工具包1套，内罐杯架2套；</w:t>
      </w:r>
      <w:r/>
    </w:p>
    <w:p>
      <w:pPr>
        <w:numPr>
          <w:ilvl w:val="0"/>
          <w:numId w:val="12"/>
        </w:numPr>
        <w:spacing w:line="440" w:lineRule="exact"/>
        <w:rPr>
          <w:szCs w:val="21"/>
        </w:rPr>
      </w:pPr>
      <w:r>
        <w:rPr>
          <w:szCs w:val="21"/>
        </w:rPr>
        <w:t xml:space="preserve">深孔电加热消解赶酸仪（≥24位）1套。</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品目四 便携式酸度计</w:t>
      </w:r>
      <w:bookmarkEnd w:id="109"/>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1.仪器级别0.001级</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2.mV范围(-2000.00～2000.00)mV，最小分辨率0.01mV，电子单元示值误差±0.03%或±0.1mV</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3.pH范围(-2.000～20.000)pH，最小分辨率0.001pH，电子单元示值误差±0.002pH</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4.温度范围(-10.0～135.0)℃/(14.0～275.0)℉，最小分辨率0.1℃/0.1℉，电子单元示值误差±0.1℃</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5.电极接口有pH电极、温度电极</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6.具有USB接口，通过通信软件与PC连接，实现数据传输；</w:t>
      </w:r>
      <w:bookmarkStart w:id="110" w:name="OLE_LINK53"/>
      <w:r>
        <w:rPr>
          <w:rFonts w:ascii="Times New Roman" w:hAnsi="Times New Roman" w:eastAsia="宋体"/>
          <w:szCs w:val="21"/>
        </w:rPr>
        <w:t xml:space="preserve">支持连接LIMS系统；</w:t>
      </w:r>
      <w:bookmarkEnd w:id="110"/>
      <w:r>
        <w:rPr>
          <w:rFonts w:ascii="Times New Roman" w:hAnsi="Times New Roman" w:eastAsia="宋体"/>
          <w:szCs w:val="21"/>
        </w:rPr>
        <w:t xml:space="preserve">支持U盘导出和导入测量方法，支持U盘导出数据和连接扫描枪</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7.内置蓝牙，支持无线传输</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8.锂电池供电，支持连接PC和移动电源充电</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9.智能操作系统，具有方法管理，电极管理，数据管理和用户管理等功能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10.支持用户分级权限管理，支持密码管理</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11.支持1-8点pH具有标定提醒和报警功能，具备定位和授时功能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12.智能判别终点，支持连续读数、平衡读数、定时读数</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13.支持自动/手动温度补偿，温度单位可选：℃和°F</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14.电极标定，支持1点ORP电极标定</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15.自动识别多种标准缓冲溶液，支持标液组管理，支持自定义pH缓冲溶液和标液组</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16.具有电池欠压提醒功能和充电状态提醒功能</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17.支持开机自诊断，自动关机，断电保护，背光调节和恢复出厂设置、恢复默认参数等功能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18.支持数据存储，查阅，删除，统计，分析，传输，实现数据追溯和统计分析</w:t>
      </w:r>
      <w:r/>
    </w:p>
    <w:p>
      <w:pPr>
        <w:pStyle w:val="1548"/>
        <w:numPr>
          <w:ilvl w:val="0"/>
          <w:numId w:val="0"/>
        </w:numPr>
        <w:ind w:firstLine="210"/>
        <w:spacing w:line="440" w:lineRule="exact"/>
        <w:rPr>
          <w:rFonts w:ascii="Times New Roman" w:hAnsi="Times New Roman" w:eastAsia="宋体"/>
          <w:szCs w:val="21"/>
        </w:rPr>
      </w:pPr>
      <w:r>
        <w:rPr>
          <w:rFonts w:ascii="Times New Roman" w:hAnsi="Times New Roman" w:eastAsia="宋体"/>
          <w:szCs w:val="21"/>
        </w:rPr>
        <w:t xml:space="preserve">19.PC端操作软件，可同步数据，测量数据。</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20.标配主机，pH三复合电极，pH4.00/6.86/9.18袋装缓冲溶液各10包，充电器5V，电极挂架，USB连接线，OTG转接线(USB接头)，触屏笔，防护套，腕带组装件，便携式防护箱，软件卡，使用说明书</w:t>
      </w:r>
      <w:r/>
    </w:p>
    <w:p>
      <w:pPr>
        <w:pStyle w:val="1548"/>
        <w:numPr>
          <w:ilvl w:val="0"/>
          <w:numId w:val="0"/>
        </w:numPr>
        <w:ind w:left="425" w:hanging="425"/>
        <w:spacing w:line="440" w:lineRule="exact"/>
        <w:rPr>
          <w:rFonts w:ascii="Times New Roman" w:hAnsi="Times New Roman" w:eastAsia="宋体"/>
          <w:szCs w:val="21"/>
        </w:rPr>
      </w:pPr>
      <w:r>
        <w:rPr>
          <w:rFonts w:ascii="Times New Roman" w:hAnsi="Times New Roman" w:eastAsia="宋体"/>
          <w:szCs w:val="21"/>
        </w:rPr>
      </w:r>
      <w:r/>
    </w:p>
    <w:p>
      <w:pPr>
        <w:jc w:val="center"/>
        <w:spacing w:line="440" w:lineRule="exact"/>
        <w:rPr>
          <w:b/>
          <w:bCs/>
          <w:szCs w:val="21"/>
        </w:rPr>
      </w:pPr>
      <w:r>
        <w:rPr>
          <w:b/>
          <w:bCs/>
          <w:szCs w:val="21"/>
        </w:rPr>
        <w:t xml:space="preserve">品目五 台式酸度计</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1.仪器级别0.001级</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2.mV范围(-2000.00～2000.00)mV，最小分辨率0.01mV，电子单元示值误差±0.03%或±0.1mV</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3.pH范围(-2.000～20.000)pH，最小分辨率0.001pH，电子单元示值误差±0.002pH</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4.温度范围(-10.0～135.0)℃/(14.0～275.0)℉，最小分辨率0.1℃/0.1℉，电子单元示值误差±0.1℃</w:t>
      </w:r>
      <w:r/>
    </w:p>
    <w:p>
      <w:pPr>
        <w:pStyle w:val="1548"/>
        <w:numPr>
          <w:ilvl w:val="0"/>
          <w:numId w:val="0"/>
        </w:numPr>
        <w:ind w:left="425" w:hanging="425"/>
        <w:spacing w:line="440" w:lineRule="exact"/>
        <w:rPr>
          <w:rFonts w:ascii="Times New Roman" w:hAnsi="Times New Roman" w:eastAsia="宋体"/>
          <w:szCs w:val="21"/>
        </w:rPr>
      </w:pPr>
      <w:r/>
      <w:bookmarkStart w:id="111" w:name="OLE_LINK17"/>
      <w:r>
        <w:rPr>
          <w:rFonts w:ascii="Segoe UI Symbol" w:hAnsi="Segoe UI Symbol" w:eastAsia="宋体" w:cs="Segoe UI Symbol"/>
          <w:szCs w:val="21"/>
        </w:rPr>
        <w:t xml:space="preserve">★</w:t>
      </w:r>
      <w:r>
        <w:rPr>
          <w:rFonts w:ascii="Times New Roman" w:hAnsi="Times New Roman" w:eastAsia="宋体"/>
          <w:szCs w:val="21"/>
        </w:rPr>
        <w:t xml:space="preserve">5.具备三个电极接口，分别是pH电极、参比电极、温度电极</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6.支持连接自动进样器，实现样品的自动测量和批量检测</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7.具有RS-232接口，支持连接标准RS-232串口打印机，直接打印测量结果，打印格式可选</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8.具有USB接口，标配通信软件，实现PC端数据传输；支持连接LIMS系统;支持U盘导出和导入测量方法，支持U盘导出数据和连接扫描枪</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9.智能操作系统，具有方法管理，电极管理，数据管理和用户管理等功能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10.支持仪器自检和用户分级权限管理，支持密码管理</w:t>
      </w:r>
      <w:r/>
    </w:p>
    <w:p>
      <w:pPr>
        <w:pStyle w:val="1548"/>
        <w:numPr>
          <w:ilvl w:val="0"/>
          <w:numId w:val="0"/>
        </w:numPr>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11.支持标定提醒和强制标定功能，支持pH标液核查和强制核查功能</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12.支持pH标定和测量报警限值设置，支持ORP测量报警限值设置</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13.智能判别终点，支持连续读数、平衡读数、定时读数</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14.支持自动/手动温度补偿</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15.支持pH电极1-6点标定、ORP电极1点标定，支持pH电极诊断功能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16.自动识别GB、DIN、NIST、USA、MERK、JIS六组pH缓冲溶液，支持自定义标准溶液及标液组</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17.支持开机自诊断，自动关机，断电保护和恢复出厂设置、恢复默认参数等功能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18.支持数据存储，查阅，删除，统计，分析，传输和打印</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19.支持测量数据各1000套，标定数据100套，核查数据1000套</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20.支持操作日志查阅，实现数据的完整溯源和追踪</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21.支持不低于IP54防护等级</w:t>
      </w:r>
      <w:bookmarkEnd w:id="111"/>
      <w:r/>
      <w:r/>
    </w:p>
    <w:p>
      <w:pPr>
        <w:pStyle w:val="1548"/>
        <w:numPr>
          <w:ilvl w:val="0"/>
          <w:numId w:val="0"/>
        </w:numPr>
        <w:ind w:left="424" w:hanging="214"/>
        <w:spacing w:line="440" w:lineRule="exact"/>
        <w:rPr>
          <w:rFonts w:ascii="Times New Roman" w:hAnsi="Times New Roman" w:eastAsia="宋体"/>
          <w:szCs w:val="21"/>
        </w:rPr>
      </w:pPr>
      <w:r/>
      <w:bookmarkStart w:id="112" w:name="OLE_LINK21"/>
      <w:r>
        <w:rPr>
          <w:rFonts w:ascii="Times New Roman" w:hAnsi="Times New Roman" w:eastAsia="宋体"/>
          <w:szCs w:val="21"/>
        </w:rPr>
        <w:t xml:space="preserve">22.标配主机，高精度pH复合电极，温度电极，pH4.00/6.86/9.18袋装缓冲溶液各10包，多功能电极架，电源适配器，防尘罩，三芯电源线，通用USB连接线，触屏笔，软件卡，使用说明书</w:t>
      </w:r>
      <w:bookmarkEnd w:id="112"/>
      <w:r/>
      <w:r/>
    </w:p>
    <w:p>
      <w:pPr>
        <w:pStyle w:val="1548"/>
        <w:numPr>
          <w:ilvl w:val="0"/>
          <w:numId w:val="0"/>
        </w:numPr>
        <w:ind w:firstLine="210"/>
        <w:spacing w:line="440" w:lineRule="exact"/>
        <w:rPr>
          <w:rFonts w:ascii="Times New Roman" w:hAnsi="Times New Roman" w:eastAsia="宋体"/>
          <w:szCs w:val="21"/>
        </w:rPr>
      </w:pPr>
      <w:r/>
      <w:bookmarkStart w:id="113" w:name="OLE_LINK30"/>
      <w:r>
        <w:rPr>
          <w:rFonts w:ascii="Times New Roman" w:hAnsi="Times New Roman" w:eastAsia="宋体"/>
          <w:szCs w:val="21"/>
        </w:rPr>
        <w:t xml:space="preserve">23.PC端操作软件，可同步数据，测量数据。</w:t>
      </w:r>
      <w:bookmarkEnd w:id="113"/>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品目六 蒸馏水器</w:t>
      </w:r>
      <w:r/>
    </w:p>
    <w:p>
      <w:pPr>
        <w:spacing w:line="440" w:lineRule="exact"/>
        <w:rPr>
          <w:b/>
          <w:bCs/>
          <w:szCs w:val="21"/>
        </w:rPr>
      </w:pPr>
      <w:r>
        <w:rPr>
          <w:b/>
          <w:bCs/>
          <w:szCs w:val="21"/>
        </w:rPr>
        <w:t xml:space="preserve">一、技术指标</w:t>
      </w:r>
      <w:r/>
    </w:p>
    <w:p>
      <w:pPr>
        <w:numPr>
          <w:ilvl w:val="0"/>
          <w:numId w:val="13"/>
        </w:numPr>
        <w:spacing w:line="440" w:lineRule="exact"/>
        <w:rPr>
          <w:szCs w:val="21"/>
        </w:rPr>
      </w:pPr>
      <w:r>
        <w:rPr>
          <w:szCs w:val="21"/>
        </w:rPr>
        <w:t xml:space="preserve">电源：AC220V/50Hz，出水量：≥5L/h</w:t>
      </w:r>
      <w:r/>
    </w:p>
    <w:p>
      <w:pPr>
        <w:numPr>
          <w:ilvl w:val="0"/>
          <w:numId w:val="13"/>
        </w:numPr>
        <w:spacing w:line="440" w:lineRule="exact"/>
        <w:rPr>
          <w:szCs w:val="21"/>
        </w:rPr>
      </w:pPr>
      <w:r>
        <w:rPr>
          <w:szCs w:val="21"/>
        </w:rPr>
        <w:t xml:space="preserve">结构材质：整机不锈钢，铜质浸入式加热管</w:t>
      </w:r>
      <w:r/>
    </w:p>
    <w:p>
      <w:pPr>
        <w:numPr>
          <w:ilvl w:val="0"/>
          <w:numId w:val="13"/>
        </w:numPr>
        <w:spacing w:line="440" w:lineRule="exact"/>
        <w:rPr>
          <w:szCs w:val="21"/>
        </w:rPr>
      </w:pPr>
      <w:r>
        <w:rPr>
          <w:szCs w:val="21"/>
        </w:rPr>
        <w:t xml:space="preserve">冷凝方式：盘管式冷凝，冷却水回流蒸发桶</w:t>
      </w:r>
      <w:r/>
    </w:p>
    <w:p>
      <w:pPr>
        <w:numPr>
          <w:ilvl w:val="0"/>
          <w:numId w:val="13"/>
        </w:numPr>
        <w:spacing w:line="440" w:lineRule="exact"/>
        <w:rPr>
          <w:szCs w:val="21"/>
        </w:rPr>
      </w:pPr>
      <w:r>
        <w:rPr>
          <w:szCs w:val="21"/>
        </w:rPr>
        <w:t xml:space="preserve">安全保护：缺水自动切断加热电源，</w:t>
      </w:r>
      <w:r>
        <w:rPr>
          <w:szCs w:val="21"/>
          <w:shd w:val="clear" w:color="auto" w:fill="ffffff"/>
        </w:rPr>
        <w:t xml:space="preserve">待回流水补充到工作水位后继续加热</w:t>
      </w:r>
      <w:r/>
    </w:p>
    <w:p>
      <w:pPr>
        <w:numPr>
          <w:ilvl w:val="0"/>
          <w:numId w:val="13"/>
        </w:numPr>
        <w:spacing w:line="440" w:lineRule="exact"/>
        <w:rPr>
          <w:szCs w:val="21"/>
        </w:rPr>
      </w:pPr>
      <w:r>
        <w:rPr>
          <w:szCs w:val="21"/>
          <w:shd w:val="clear" w:color="auto" w:fill="ffffff"/>
        </w:rPr>
        <w:t xml:space="preserve">放水阀可以排放桶内浓缩水，改善结垢条件。</w:t>
      </w:r>
      <w:r/>
    </w:p>
    <w:p>
      <w:pPr>
        <w:spacing w:line="440" w:lineRule="exact"/>
        <w:rPr>
          <w:b/>
          <w:bCs/>
          <w:szCs w:val="21"/>
        </w:rPr>
      </w:pPr>
      <w:r>
        <w:rPr>
          <w:b/>
          <w:bCs/>
          <w:szCs w:val="21"/>
        </w:rPr>
        <w:t xml:space="preserve">二、配置要求</w:t>
      </w:r>
      <w:r/>
    </w:p>
    <w:p>
      <w:pPr>
        <w:numPr>
          <w:ilvl w:val="0"/>
          <w:numId w:val="14"/>
        </w:numPr>
        <w:spacing w:line="440" w:lineRule="exact"/>
        <w:rPr>
          <w:szCs w:val="21"/>
        </w:rPr>
      </w:pPr>
      <w:r>
        <w:rPr>
          <w:szCs w:val="21"/>
        </w:rPr>
        <w:t xml:space="preserve">蒸馏水器主机（含蒸发桶、冷凝器、加热管、断水自控装置）×1</w:t>
      </w:r>
      <w:r/>
    </w:p>
    <w:p>
      <w:pPr>
        <w:numPr>
          <w:ilvl w:val="0"/>
          <w:numId w:val="14"/>
        </w:numPr>
        <w:spacing w:line="440" w:lineRule="exact"/>
        <w:rPr>
          <w:szCs w:val="21"/>
        </w:rPr>
      </w:pPr>
      <w:r>
        <w:rPr>
          <w:szCs w:val="21"/>
        </w:rPr>
        <w:t xml:space="preserve">使用说明书×1</w:t>
      </w:r>
      <w:r/>
    </w:p>
    <w:p>
      <w:pPr>
        <w:numPr>
          <w:ilvl w:val="0"/>
          <w:numId w:val="14"/>
        </w:numPr>
        <w:spacing w:line="440" w:lineRule="exact"/>
        <w:rPr>
          <w:szCs w:val="21"/>
        </w:rPr>
      </w:pPr>
      <w:r>
        <w:rPr>
          <w:szCs w:val="21"/>
        </w:rPr>
        <w:t xml:space="preserve">产品合格证×1</w:t>
      </w:r>
      <w:r/>
    </w:p>
    <w:p>
      <w:pPr>
        <w:numPr>
          <w:ilvl w:val="0"/>
          <w:numId w:val="14"/>
        </w:numPr>
        <w:spacing w:line="440" w:lineRule="exact"/>
        <w:rPr>
          <w:szCs w:val="21"/>
        </w:rPr>
      </w:pPr>
      <w:r>
        <w:rPr>
          <w:szCs w:val="21"/>
        </w:rPr>
        <w:t xml:space="preserve">保修卡×1</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品目七 便携式电导率仪A</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1.仪器级别0.5级</w:t>
      </w:r>
      <w:r/>
    </w:p>
    <w:p>
      <w:pPr>
        <w:pStyle w:val="1548"/>
        <w:numPr>
          <w:ilvl w:val="0"/>
          <w:numId w:val="0"/>
        </w:numPr>
        <w:ind w:left="424" w:hanging="214"/>
        <w:spacing w:line="440" w:lineRule="exact"/>
        <w:rPr>
          <w:rFonts w:ascii="Times New Roman" w:hAnsi="Times New Roman" w:eastAsia="宋体"/>
          <w:szCs w:val="21"/>
        </w:rPr>
      </w:pPr>
      <w:r/>
      <w:bookmarkStart w:id="114" w:name="OLE_LINK14"/>
      <w:r>
        <w:rPr>
          <w:rFonts w:ascii="Times New Roman" w:hAnsi="Times New Roman" w:eastAsia="宋体"/>
          <w:szCs w:val="21"/>
        </w:rPr>
        <w:t xml:space="preserve">2.电导率范围0.000μS/cm～2000mS/cm，最小分辨率0.001μS/cm，根据量程自动切换，电子单元引用误差±0.5%FS</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3.电阻率范围5.00Ω•cm～100.0MΩ•cm，最小分辨率0.01Ω·cm，根据量程自动切换，电子单元引用误差±0.5%FS</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4.TDS范围0.000mg/L～1000g/L，最小分辨率0.001mg/L，根据量程自动切换，电子单元引用误差±0.5%FS</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5.盐度范围(0.00～8.00)%，最小分辨率0.01%，电子单元引用误差±0.1%</w:t>
      </w:r>
      <w:r/>
    </w:p>
    <w:p>
      <w:pPr>
        <w:pStyle w:val="1548"/>
        <w:numPr>
          <w:ilvl w:val="0"/>
          <w:numId w:val="0"/>
        </w:numPr>
        <w:ind w:left="425" w:hanging="425"/>
        <w:spacing w:line="440" w:lineRule="exact"/>
        <w:widowControl w:val="off"/>
        <w:rPr>
          <w:rFonts w:ascii="Times New Roman" w:hAnsi="Times New Roman" w:eastAsia="宋体"/>
          <w:szCs w:val="21"/>
        </w:rPr>
      </w:pPr>
      <w:r/>
      <w:bookmarkStart w:id="115" w:name="OLE_LINK31"/>
      <w:r>
        <w:rPr>
          <w:rFonts w:ascii="Segoe UI Symbol" w:hAnsi="Segoe UI Symbol" w:eastAsia="宋体" w:cs="Segoe UI Symbol"/>
          <w:szCs w:val="21"/>
        </w:rPr>
        <w:t xml:space="preserve">★</w:t>
      </w:r>
      <w:r>
        <w:rPr>
          <w:rFonts w:ascii="Times New Roman" w:hAnsi="Times New Roman" w:eastAsia="宋体"/>
          <w:szCs w:val="21"/>
        </w:rPr>
        <w:t xml:space="preserve">6.</w:t>
      </w:r>
      <w:bookmarkEnd w:id="115"/>
      <w:r>
        <w:rPr>
          <w:rFonts w:ascii="Times New Roman" w:hAnsi="Times New Roman" w:eastAsia="宋体"/>
          <w:szCs w:val="21"/>
        </w:rPr>
        <w:t xml:space="preserve">温度范围(-10.0～135.0)℃/(14.0～275.0)℉，最小分辨率0.1℃/0.1℉，电子单元示值误差±0.1℃</w:t>
      </w:r>
      <w:bookmarkEnd w:id="114"/>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7.支持连接自动进样器，实现样品的自动测量和批量检测</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8.具有RS-232接口，支持连接标准RS-232串口打印机，直接打印测量结果，打印格式可选</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9.具有USB接口，通过通信软件与PC连接，实现数据传输；支持连接LIMS系统；支持U盘导出和导入测量方法，支持U盘导出数据和连接扫描枪</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10.智能操作系统，具有方法管理，电极管理，数据管理和用户管理等功能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11.支持仪器自检和用户分级权限管理，支持密码管理</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12.支持标定提醒和强制标定功能，支持电导率标液核查和强制核查功能</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13.支持测量报警限值设置</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14.智能判别终点，支持连续读数、平衡读数、定时读数</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15.支持自动/手动温度补偿</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16.自动识别电导标准溶液，支持1-5点电导电极标定</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17.支持不补偿，线性，非线性，纯水补偿等多种电导率补偿模式</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18.支持海水盐度和默认盐度等多种盐度补偿模式</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19.支持自动频率切换</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20.支持自动关机，断电保护和恢复出厂设置、恢复默认参数等功能</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21.支持数据存储，查阅，删除，统计，分析，传输和打印</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22.支持操作日志查阅，实现数据的完整溯源和追踪</w:t>
      </w:r>
      <w:r/>
    </w:p>
    <w:p>
      <w:pPr>
        <w:pStyle w:val="1548"/>
        <w:numPr>
          <w:ilvl w:val="0"/>
          <w:numId w:val="0"/>
        </w:numPr>
        <w:ind w:left="425" w:hanging="425"/>
        <w:spacing w:line="440" w:lineRule="exact"/>
        <w:rPr>
          <w:rFonts w:ascii="Times New Roman" w:hAnsi="Times New Roman" w:eastAsia="宋体"/>
          <w:szCs w:val="21"/>
        </w:rPr>
      </w:pPr>
      <w:r>
        <w:rPr>
          <w:rFonts w:ascii="Segoe UI Symbol" w:hAnsi="Segoe UI Symbol" w:eastAsia="宋体" w:cs="Segoe UI Symbol"/>
          <w:szCs w:val="21"/>
        </w:rPr>
        <w:t xml:space="preserve">★</w:t>
      </w:r>
      <w:r>
        <w:rPr>
          <w:rFonts w:ascii="Times New Roman" w:hAnsi="Times New Roman" w:eastAsia="宋体"/>
          <w:szCs w:val="21"/>
        </w:rPr>
        <w:t xml:space="preserve">23.支持测量数据各1000套，标定数据100套，核查数据1000套</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24.支持不低于IP54防护等级</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25.标配主机，复合电导电极，电导率溶液10包，多功能电极架，电源适配器，防尘罩，三芯电源线，通用USB连接线，触屏笔，软件卡，使用说明书</w:t>
      </w:r>
      <w:r/>
    </w:p>
    <w:p>
      <w:pPr>
        <w:pStyle w:val="1548"/>
        <w:numPr>
          <w:ilvl w:val="0"/>
          <w:numId w:val="0"/>
        </w:numPr>
        <w:ind w:left="424" w:hanging="214"/>
        <w:spacing w:line="440" w:lineRule="exact"/>
        <w:rPr>
          <w:rFonts w:ascii="Times New Roman" w:hAnsi="Times New Roman" w:eastAsia="宋体"/>
          <w:szCs w:val="21"/>
        </w:rPr>
      </w:pPr>
      <w:r>
        <w:rPr>
          <w:rFonts w:ascii="Times New Roman" w:hAnsi="Times New Roman" w:eastAsia="宋体"/>
          <w:szCs w:val="21"/>
        </w:rPr>
        <w:t xml:space="preserve">26.PC端操作软件，可同步数据，测量数据</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品目八 便携式电导率仪B</w:t>
      </w:r>
      <w:r/>
    </w:p>
    <w:p>
      <w:pPr>
        <w:spacing w:line="440" w:lineRule="exact"/>
        <w:rPr>
          <w:b/>
          <w:bCs/>
          <w:szCs w:val="21"/>
        </w:rPr>
      </w:pPr>
      <w:r>
        <w:rPr>
          <w:b/>
          <w:bCs/>
          <w:szCs w:val="21"/>
        </w:rPr>
        <w:t xml:space="preserve">一、技术参数</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支持自动关机、断电保护和恢复出厂设置等功能</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支持不低于IP54防护等级</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标配复合电导电极、电极支架和防尘罩</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智能判别终点，支持连续读数和平衡读数</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支持自动/手动温度补偿</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自动识别多种电导标准溶液，支持1点电导电极标定</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支持自动频率切换</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支持数据存储、查阅和删除</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电导率级别：1.0级</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电导率范围：0.000μS/cm～200.0ｍS/cm，最小分辨率0.001μS/cm，根据量程自动切换，电子单元引用误差±1.0%FS</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TDS范围：0.000mg/L～100.0g/L，最小分辨率0.001mg/L，根据量程自动切换，电子单元引用误差±1.0％FS</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温度范围：（-5.0～110.0）℃，最小分辨率0.1℃，电子单元示值误差±0.2℃，仪器示值误差±0.4℃（0.0℃～60.0℃），±1.0℃（其他范围）</w:t>
      </w:r>
      <w:r/>
    </w:p>
    <w:p>
      <w:pPr>
        <w:pStyle w:val="1548"/>
        <w:numPr>
          <w:ilvl w:val="0"/>
          <w:numId w:val="15"/>
        </w:numPr>
        <w:spacing w:line="440" w:lineRule="exact"/>
        <w:rPr>
          <w:rFonts w:ascii="Times New Roman" w:hAnsi="Times New Roman" w:eastAsia="宋体"/>
          <w:szCs w:val="21"/>
        </w:rPr>
      </w:pPr>
      <w:r>
        <w:rPr>
          <w:rFonts w:ascii="Times New Roman" w:hAnsi="Times New Roman" w:eastAsia="宋体"/>
          <w:szCs w:val="21"/>
        </w:rPr>
        <w:t xml:space="preserve">电源（输入：AC100V～240V，输出：DC20V）</w:t>
      </w:r>
      <w:r/>
    </w:p>
    <w:p>
      <w:pPr>
        <w:pStyle w:val="1547"/>
        <w:spacing w:before="62" w:after="62" w:line="440" w:lineRule="exact"/>
        <w:rPr>
          <w:rFonts w:eastAsia="宋体"/>
          <w:szCs w:val="21"/>
        </w:rPr>
      </w:pPr>
      <w:r/>
      <w:bookmarkStart w:id="116" w:name="_Toc31646"/>
      <w:r/>
      <w:bookmarkStart w:id="117" w:name="_Toc26808"/>
      <w:r>
        <w:rPr>
          <w:rFonts w:eastAsia="宋体"/>
          <w:szCs w:val="21"/>
        </w:rPr>
        <w:t xml:space="preserve">二、电导率仪</w:t>
      </w:r>
      <w:bookmarkEnd w:id="116"/>
      <w:r/>
      <w:bookmarkEnd w:id="117"/>
      <w:r>
        <w:rPr>
          <w:rFonts w:eastAsia="宋体"/>
          <w:szCs w:val="21"/>
        </w:rPr>
        <w:t xml:space="preserve">配置要求</w:t>
      </w:r>
      <w:r/>
    </w:p>
    <w:p>
      <w:pPr>
        <w:numPr>
          <w:ilvl w:val="0"/>
          <w:numId w:val="16"/>
        </w:numPr>
        <w:spacing w:line="440" w:lineRule="exact"/>
        <w:rPr>
          <w:szCs w:val="21"/>
        </w:rPr>
      </w:pPr>
      <w:r>
        <w:rPr>
          <w:szCs w:val="21"/>
        </w:rPr>
        <w:t xml:space="preserve">电导率仪 1台</w:t>
      </w:r>
      <w:r/>
    </w:p>
    <w:p>
      <w:pPr>
        <w:numPr>
          <w:ilvl w:val="0"/>
          <w:numId w:val="16"/>
        </w:numPr>
        <w:spacing w:line="440" w:lineRule="exact"/>
        <w:rPr>
          <w:szCs w:val="21"/>
        </w:rPr>
      </w:pPr>
      <w:r>
        <w:rPr>
          <w:szCs w:val="21"/>
        </w:rPr>
        <w:t xml:space="preserve">电导电极 1支</w:t>
      </w:r>
      <w:r/>
    </w:p>
    <w:p>
      <w:pPr>
        <w:numPr>
          <w:ilvl w:val="0"/>
          <w:numId w:val="16"/>
        </w:numPr>
        <w:spacing w:line="440" w:lineRule="exact"/>
        <w:rPr>
          <w:szCs w:val="21"/>
        </w:rPr>
      </w:pPr>
      <w:r>
        <w:rPr>
          <w:szCs w:val="21"/>
        </w:rPr>
        <w:t xml:space="preserve">多功能电极架 1套</w:t>
      </w:r>
      <w:r/>
    </w:p>
    <w:p>
      <w:pPr>
        <w:numPr>
          <w:ilvl w:val="0"/>
          <w:numId w:val="16"/>
        </w:numPr>
        <w:spacing w:line="440" w:lineRule="exact"/>
        <w:rPr>
          <w:szCs w:val="21"/>
        </w:rPr>
      </w:pPr>
      <w:r>
        <w:rPr>
          <w:szCs w:val="21"/>
        </w:rPr>
        <w:t xml:space="preserve">电源适配器DC20V 1个</w:t>
      </w:r>
      <w:r/>
    </w:p>
    <w:p>
      <w:pPr>
        <w:numPr>
          <w:ilvl w:val="0"/>
          <w:numId w:val="16"/>
        </w:numPr>
        <w:spacing w:line="440" w:lineRule="exact"/>
        <w:rPr>
          <w:szCs w:val="21"/>
        </w:rPr>
      </w:pPr>
      <w:r>
        <w:rPr>
          <w:szCs w:val="21"/>
        </w:rPr>
        <w:t xml:space="preserve">防尘罩 1只</w:t>
      </w:r>
      <w:r/>
    </w:p>
    <w:p>
      <w:pPr>
        <w:numPr>
          <w:ilvl w:val="0"/>
          <w:numId w:val="16"/>
        </w:numPr>
        <w:spacing w:line="440" w:lineRule="exact"/>
        <w:rPr>
          <w:szCs w:val="21"/>
        </w:rPr>
      </w:pPr>
      <w:r>
        <w:rPr>
          <w:szCs w:val="21"/>
        </w:rPr>
        <w:t xml:space="preserve">使用说明书 1本</w:t>
      </w:r>
      <w:r/>
    </w:p>
    <w:p>
      <w:pPr>
        <w:numPr>
          <w:ilvl w:val="0"/>
          <w:numId w:val="16"/>
        </w:numPr>
        <w:spacing w:line="440" w:lineRule="exact"/>
        <w:rPr>
          <w:szCs w:val="21"/>
        </w:rPr>
      </w:pPr>
      <w:r>
        <w:rPr>
          <w:szCs w:val="21"/>
        </w:rPr>
        <w:t xml:space="preserve">产品合格证 1份</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品目九 便携式溶解氧测定仪</w:t>
      </w:r>
      <w:r/>
    </w:p>
    <w:p>
      <w:pPr>
        <w:spacing w:line="440" w:lineRule="exact"/>
        <w:rPr>
          <w:b/>
          <w:szCs w:val="21"/>
        </w:rPr>
      </w:pPr>
      <w:r>
        <w:rPr>
          <w:b/>
          <w:szCs w:val="21"/>
        </w:rPr>
        <w:t xml:space="preserve">一、技术参数要求：</w:t>
      </w:r>
      <w:r/>
    </w:p>
    <w:p>
      <w:pPr>
        <w:ind w:firstLine="210"/>
        <w:spacing w:line="440" w:lineRule="exact"/>
        <w:rPr>
          <w:szCs w:val="21"/>
        </w:rPr>
      </w:pPr>
      <w:r>
        <w:rPr>
          <w:szCs w:val="21"/>
        </w:rPr>
        <w:t xml:space="preserve">1.检测范围：0.10μg/L～20.00mg/L；</w:t>
      </w:r>
      <w:r/>
    </w:p>
    <w:p>
      <w:pPr>
        <w:spacing w:line="440" w:lineRule="exact"/>
        <w:rPr>
          <w:szCs w:val="21"/>
        </w:rPr>
      </w:pPr>
      <w:r>
        <w:rPr>
          <w:rFonts w:ascii="Segoe UI Symbol" w:hAnsi="Segoe UI Symbol" w:cs="Segoe UI Symbol"/>
          <w:szCs w:val="21"/>
        </w:rPr>
        <w:t xml:space="preserve">★</w:t>
      </w:r>
      <w:r>
        <w:rPr>
          <w:szCs w:val="21"/>
        </w:rPr>
        <w:t xml:space="preserve">2.分辨率：0.01μg/L；</w:t>
      </w:r>
      <w:r/>
    </w:p>
    <w:p>
      <w:pPr>
        <w:spacing w:line="440" w:lineRule="exact"/>
        <w:rPr>
          <w:szCs w:val="21"/>
        </w:rPr>
      </w:pPr>
      <w:r>
        <w:rPr>
          <w:rFonts w:ascii="Segoe UI Symbol" w:hAnsi="Segoe UI Symbol" w:cs="Segoe UI Symbol"/>
          <w:szCs w:val="21"/>
        </w:rPr>
        <w:t xml:space="preserve">★</w:t>
      </w:r>
      <w:r>
        <w:rPr>
          <w:szCs w:val="21"/>
        </w:rPr>
        <w:t xml:space="preserve">3.零值误差：小于0.5μg/L；</w:t>
      </w:r>
      <w:r/>
    </w:p>
    <w:p>
      <w:pPr>
        <w:spacing w:line="440" w:lineRule="exact"/>
        <w:rPr>
          <w:szCs w:val="21"/>
        </w:rPr>
      </w:pPr>
      <w:r>
        <w:rPr>
          <w:rFonts w:ascii="Segoe UI Symbol" w:hAnsi="Segoe UI Symbol" w:cs="Segoe UI Symbol"/>
          <w:szCs w:val="21"/>
        </w:rPr>
        <w:t xml:space="preserve">★</w:t>
      </w:r>
      <w:r>
        <w:rPr>
          <w:szCs w:val="21"/>
        </w:rPr>
        <w:t xml:space="preserve">4.响应时间：小于15s；</w:t>
      </w:r>
      <w:r/>
    </w:p>
    <w:p>
      <w:pPr>
        <w:ind w:firstLine="210"/>
        <w:spacing w:line="440" w:lineRule="exact"/>
        <w:rPr>
          <w:szCs w:val="21"/>
        </w:rPr>
      </w:pPr>
      <w:r>
        <w:rPr>
          <w:szCs w:val="21"/>
        </w:rPr>
        <w:t xml:space="preserve">5.温度传感器：NTC热敏电阻；精度：0.1℃；</w:t>
      </w:r>
      <w:r/>
    </w:p>
    <w:p>
      <w:pPr>
        <w:ind w:firstLine="210"/>
        <w:spacing w:line="440" w:lineRule="exact"/>
        <w:rPr>
          <w:szCs w:val="21"/>
        </w:rPr>
      </w:pPr>
      <w:r>
        <w:rPr>
          <w:szCs w:val="21"/>
        </w:rPr>
        <w:t xml:space="preserve">6.标定：空气斜率校准、零点校准；</w:t>
      </w:r>
      <w:r/>
    </w:p>
    <w:p>
      <w:pPr>
        <w:ind w:firstLine="210"/>
        <w:spacing w:line="440" w:lineRule="exact"/>
        <w:rPr>
          <w:szCs w:val="21"/>
        </w:rPr>
      </w:pPr>
      <w:r>
        <w:rPr>
          <w:szCs w:val="21"/>
        </w:rPr>
        <w:t xml:space="preserve">7.补偿功能：自动温补（0-50℃），手动气压和盐度；</w:t>
      </w:r>
      <w:r/>
    </w:p>
    <w:p>
      <w:pPr>
        <w:ind w:firstLine="210"/>
        <w:spacing w:line="440" w:lineRule="exact"/>
        <w:rPr>
          <w:szCs w:val="21"/>
        </w:rPr>
      </w:pPr>
      <w:r>
        <w:rPr>
          <w:szCs w:val="21"/>
        </w:rPr>
        <w:t xml:space="preserve">8.电池寿命：可连续使用超过1500小时；</w:t>
      </w:r>
      <w:r/>
    </w:p>
    <w:p>
      <w:pPr>
        <w:ind w:firstLine="210"/>
        <w:spacing w:line="440" w:lineRule="exact"/>
        <w:rPr>
          <w:szCs w:val="21"/>
        </w:rPr>
      </w:pPr>
      <w:r>
        <w:rPr>
          <w:szCs w:val="21"/>
        </w:rPr>
        <w:t xml:space="preserve">9.防护等级：仪器：IP67；探头：IP68；</w:t>
      </w:r>
      <w:r/>
    </w:p>
    <w:p>
      <w:pPr>
        <w:ind w:firstLine="210"/>
        <w:spacing w:line="440" w:lineRule="exact"/>
        <w:rPr>
          <w:szCs w:val="21"/>
        </w:rPr>
      </w:pPr>
      <w:r>
        <w:rPr>
          <w:szCs w:val="21"/>
        </w:rPr>
        <w:t xml:space="preserve">10.储运环境：温度：0～45℃；相对湿度：≤90%；</w:t>
      </w:r>
      <w:r/>
    </w:p>
    <w:p>
      <w:pPr>
        <w:ind w:firstLine="210"/>
        <w:spacing w:line="440" w:lineRule="exact"/>
        <w:rPr>
          <w:szCs w:val="21"/>
        </w:rPr>
      </w:pPr>
      <w:r>
        <w:rPr>
          <w:szCs w:val="21"/>
        </w:rPr>
        <w:t xml:space="preserve">11.测试条件：水样温度：0～45℃，流量：160～500mL/min并保持恒定。</w:t>
      </w:r>
      <w:r/>
    </w:p>
    <w:p>
      <w:pPr>
        <w:spacing w:line="440" w:lineRule="exact"/>
        <w:rPr>
          <w:b/>
          <w:bCs/>
          <w:szCs w:val="21"/>
        </w:rPr>
      </w:pPr>
      <w:r>
        <w:rPr>
          <w:b/>
          <w:bCs/>
          <w:szCs w:val="21"/>
        </w:rPr>
        <w:t xml:space="preserve">二、配置要求</w:t>
      </w:r>
      <w:r/>
    </w:p>
    <w:p>
      <w:pPr>
        <w:pStyle w:val="1460"/>
        <w:ind w:firstLine="210"/>
        <w:spacing w:line="440" w:lineRule="exact"/>
        <w:rPr>
          <w:szCs w:val="21"/>
        </w:rPr>
      </w:pPr>
      <w:r>
        <w:rPr>
          <w:szCs w:val="21"/>
        </w:rPr>
        <w:t xml:space="preserve">1、主机 1只</w:t>
      </w:r>
      <w:r/>
    </w:p>
    <w:p>
      <w:pPr>
        <w:ind w:firstLine="210"/>
        <w:spacing w:line="440" w:lineRule="exact"/>
        <w:rPr>
          <w:szCs w:val="21"/>
        </w:rPr>
      </w:pPr>
      <w:r>
        <w:rPr>
          <w:szCs w:val="21"/>
        </w:rPr>
        <w:t xml:space="preserve">2、传感器（含线缆） 1套</w:t>
      </w:r>
      <w:r/>
    </w:p>
    <w:p>
      <w:pPr>
        <w:ind w:firstLine="210"/>
        <w:spacing w:line="440" w:lineRule="exact"/>
        <w:rPr>
          <w:szCs w:val="21"/>
        </w:rPr>
      </w:pPr>
      <w:r>
        <w:rPr>
          <w:szCs w:val="21"/>
        </w:rPr>
        <w:t xml:space="preserve">3、备件包（电解液、渗透膜、流通池） 1套</w:t>
      </w:r>
      <w:r/>
    </w:p>
    <w:p>
      <w:pPr>
        <w:pStyle w:val="1460"/>
        <w:ind w:firstLine="210"/>
        <w:spacing w:line="440" w:lineRule="exact"/>
        <w:rPr>
          <w:szCs w:val="21"/>
        </w:rPr>
      </w:pPr>
      <w:r>
        <w:rPr>
          <w:szCs w:val="21"/>
        </w:rPr>
        <w:t xml:space="preserve">4、产品说明书 1份</w:t>
      </w:r>
      <w:r/>
    </w:p>
    <w:p>
      <w:pPr>
        <w:ind w:firstLine="210"/>
        <w:spacing w:line="440" w:lineRule="exact"/>
        <w:rPr>
          <w:szCs w:val="21"/>
        </w:rPr>
      </w:pPr>
      <w:r>
        <w:rPr>
          <w:szCs w:val="21"/>
        </w:rPr>
        <w:t xml:space="preserve">5、便携箱 1只</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 原子吸收光谱仪</w:t>
      </w:r>
      <w:r/>
    </w:p>
    <w:p>
      <w:pPr>
        <w:pStyle w:val="1444"/>
        <w:spacing w:line="440" w:lineRule="exact"/>
        <w:rPr>
          <w:rFonts w:ascii="Times New Roman"/>
          <w:b/>
          <w:bCs/>
          <w:sz w:val="21"/>
          <w:szCs w:val="21"/>
        </w:rPr>
      </w:pPr>
      <w:r>
        <w:rPr>
          <w:rFonts w:ascii="Times New Roman"/>
          <w:b/>
          <w:bCs/>
          <w:sz w:val="21"/>
          <w:szCs w:val="21"/>
        </w:rPr>
        <w:t xml:space="preserve">一、分光系统</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1、波长范围：不小于185-910nm</w:t>
      </w:r>
      <w:r/>
    </w:p>
    <w:p>
      <w:pPr>
        <w:pStyle w:val="1444"/>
        <w:ind w:firstLine="210"/>
        <w:spacing w:line="440" w:lineRule="exact"/>
        <w:rPr>
          <w:rFonts w:ascii="Times New Roman"/>
          <w:sz w:val="21"/>
          <w:szCs w:val="21"/>
        </w:rPr>
      </w:pPr>
      <w:r>
        <w:rPr>
          <w:rFonts w:ascii="Times New Roman"/>
          <w:sz w:val="21"/>
          <w:szCs w:val="21"/>
        </w:rPr>
        <w:t xml:space="preserve">2、单色器：消象差C-T型单色器</w:t>
      </w:r>
      <w:r/>
    </w:p>
    <w:p>
      <w:pPr>
        <w:pStyle w:val="1444"/>
        <w:ind w:firstLine="210"/>
        <w:spacing w:line="440" w:lineRule="exact"/>
        <w:rPr>
          <w:rFonts w:ascii="Times New Roman"/>
          <w:sz w:val="21"/>
          <w:szCs w:val="21"/>
        </w:rPr>
      </w:pPr>
      <w:r>
        <w:rPr>
          <w:rFonts w:ascii="Times New Roman"/>
          <w:sz w:val="21"/>
          <w:szCs w:val="21"/>
        </w:rPr>
        <w:t xml:space="preserve">3、光栅刻线：≥1800条/mm</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4、不少于八只灯的回转灯架，自动精准找位；</w:t>
      </w:r>
      <w:r/>
    </w:p>
    <w:p>
      <w:pPr>
        <w:pStyle w:val="1444"/>
        <w:ind w:firstLine="210"/>
        <w:spacing w:line="440" w:lineRule="exact"/>
        <w:rPr>
          <w:rFonts w:ascii="Times New Roman"/>
          <w:sz w:val="21"/>
          <w:szCs w:val="21"/>
        </w:rPr>
      </w:pPr>
      <w:r>
        <w:rPr>
          <w:rFonts w:ascii="Times New Roman"/>
          <w:sz w:val="21"/>
          <w:szCs w:val="21"/>
        </w:rPr>
        <w:t xml:space="preserve">5、光谱带宽：0.1、0.2、0.4、1.0、2.0nm五档自动可选；</w:t>
      </w:r>
      <w:r/>
    </w:p>
    <w:p>
      <w:pPr>
        <w:pStyle w:val="1444"/>
        <w:ind w:firstLine="210"/>
        <w:spacing w:line="440" w:lineRule="exact"/>
        <w:rPr>
          <w:rFonts w:ascii="Times New Roman"/>
          <w:sz w:val="21"/>
          <w:szCs w:val="21"/>
        </w:rPr>
      </w:pPr>
      <w:r>
        <w:rPr>
          <w:rFonts w:ascii="Times New Roman"/>
          <w:sz w:val="21"/>
          <w:szCs w:val="21"/>
        </w:rPr>
        <w:t xml:space="preserve">6、波长准确度：±0.15nm；</w:t>
      </w:r>
      <w:r/>
    </w:p>
    <w:p>
      <w:pPr>
        <w:pStyle w:val="1444"/>
        <w:ind w:firstLine="210"/>
        <w:spacing w:line="440" w:lineRule="exact"/>
        <w:rPr>
          <w:rFonts w:ascii="Times New Roman"/>
          <w:sz w:val="21"/>
          <w:szCs w:val="21"/>
        </w:rPr>
      </w:pPr>
      <w:r>
        <w:rPr>
          <w:rFonts w:ascii="Times New Roman"/>
          <w:sz w:val="21"/>
          <w:szCs w:val="21"/>
        </w:rPr>
        <w:t xml:space="preserve">7、波长重复性：≤0.05nm；</w:t>
      </w:r>
      <w:r/>
    </w:p>
    <w:p>
      <w:pPr>
        <w:pStyle w:val="1444"/>
        <w:ind w:firstLine="210"/>
        <w:spacing w:line="440" w:lineRule="exact"/>
        <w:rPr>
          <w:rFonts w:ascii="Times New Roman"/>
          <w:sz w:val="21"/>
          <w:szCs w:val="21"/>
        </w:rPr>
      </w:pPr>
      <w:r>
        <w:rPr>
          <w:rFonts w:ascii="Times New Roman"/>
          <w:sz w:val="21"/>
          <w:szCs w:val="21"/>
        </w:rPr>
        <w:t xml:space="preserve">8、基线漂移：±0.002A/30min（静态）；</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9、配备石墨炉、火焰一体自动进样器附件，具备自动清洗、欠压保护、水平调节、自动富集、自动配制标准溶液、自动添加基体改进剂等功能</w:t>
      </w:r>
      <w:r/>
    </w:p>
    <w:p>
      <w:pPr>
        <w:pStyle w:val="1444"/>
        <w:spacing w:line="440" w:lineRule="exact"/>
        <w:rPr>
          <w:rFonts w:ascii="Times New Roman"/>
          <w:b/>
          <w:bCs/>
          <w:sz w:val="21"/>
          <w:szCs w:val="21"/>
        </w:rPr>
      </w:pPr>
      <w:r>
        <w:rPr>
          <w:rFonts w:ascii="Times New Roman"/>
          <w:b/>
          <w:bCs/>
          <w:sz w:val="21"/>
          <w:szCs w:val="21"/>
        </w:rPr>
        <w:t xml:space="preserve">二、火焰分析</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1、特征浓度（Cu)：Cu＜0.02ug/ml/1/％</w:t>
      </w:r>
      <w:r/>
    </w:p>
    <w:p>
      <w:pPr>
        <w:pStyle w:val="1444"/>
        <w:ind w:firstLine="210"/>
        <w:spacing w:line="440" w:lineRule="exact"/>
        <w:rPr>
          <w:rFonts w:ascii="Times New Roman"/>
          <w:sz w:val="21"/>
          <w:szCs w:val="21"/>
        </w:rPr>
      </w:pPr>
      <w:r>
        <w:rPr>
          <w:rFonts w:ascii="Times New Roman"/>
          <w:sz w:val="21"/>
          <w:szCs w:val="21"/>
        </w:rPr>
        <w:t xml:space="preserve">2、检出限：Cu＜0.004μg/mL</w:t>
      </w:r>
      <w:r/>
    </w:p>
    <w:p>
      <w:pPr>
        <w:pStyle w:val="1444"/>
        <w:ind w:firstLine="210"/>
        <w:spacing w:line="440" w:lineRule="exact"/>
        <w:rPr>
          <w:rFonts w:ascii="Times New Roman"/>
          <w:sz w:val="21"/>
          <w:szCs w:val="21"/>
        </w:rPr>
      </w:pPr>
      <w:r>
        <w:rPr>
          <w:rFonts w:ascii="Times New Roman"/>
          <w:sz w:val="21"/>
          <w:szCs w:val="21"/>
        </w:rPr>
        <w:t xml:space="preserve">3、燃烧器：金属钛燃烧头</w:t>
      </w:r>
      <w:r/>
    </w:p>
    <w:p>
      <w:pPr>
        <w:pStyle w:val="1444"/>
        <w:ind w:firstLine="210"/>
        <w:spacing w:line="440" w:lineRule="exact"/>
        <w:rPr>
          <w:rFonts w:ascii="Times New Roman"/>
          <w:sz w:val="21"/>
          <w:szCs w:val="21"/>
        </w:rPr>
      </w:pPr>
      <w:r>
        <w:rPr>
          <w:rFonts w:ascii="Times New Roman"/>
          <w:sz w:val="21"/>
          <w:szCs w:val="21"/>
        </w:rPr>
        <w:t xml:space="preserve">4、喷雾器：高效玻璃雾化器</w:t>
      </w:r>
      <w:r/>
    </w:p>
    <w:p>
      <w:pPr>
        <w:pStyle w:val="1444"/>
        <w:ind w:firstLine="210"/>
        <w:spacing w:line="440" w:lineRule="exact"/>
        <w:rPr>
          <w:rFonts w:ascii="Times New Roman"/>
          <w:sz w:val="21"/>
          <w:szCs w:val="21"/>
        </w:rPr>
      </w:pPr>
      <w:r>
        <w:rPr>
          <w:rFonts w:ascii="Times New Roman"/>
          <w:sz w:val="21"/>
          <w:szCs w:val="21"/>
        </w:rPr>
        <w:t xml:space="preserve">5、雾化室：耐腐蚀材料雾化室</w:t>
      </w:r>
      <w:r/>
    </w:p>
    <w:p>
      <w:pPr>
        <w:pStyle w:val="1444"/>
        <w:ind w:firstLine="210"/>
        <w:spacing w:line="440" w:lineRule="exact"/>
        <w:rPr>
          <w:rFonts w:ascii="Times New Roman"/>
          <w:sz w:val="21"/>
          <w:szCs w:val="21"/>
        </w:rPr>
      </w:pPr>
      <w:r>
        <w:rPr>
          <w:rFonts w:ascii="Times New Roman"/>
          <w:sz w:val="21"/>
          <w:szCs w:val="21"/>
        </w:rPr>
        <w:t xml:space="preserve">6、位置调节：燃烧器高度可自动调节</w:t>
      </w:r>
      <w:r/>
    </w:p>
    <w:p>
      <w:pPr>
        <w:pStyle w:val="1444"/>
        <w:ind w:firstLine="210"/>
        <w:spacing w:line="440" w:lineRule="exact"/>
        <w:rPr>
          <w:rFonts w:ascii="Times New Roman"/>
          <w:sz w:val="21"/>
          <w:szCs w:val="21"/>
        </w:rPr>
      </w:pPr>
      <w:r>
        <w:rPr>
          <w:rFonts w:ascii="Times New Roman"/>
          <w:sz w:val="21"/>
          <w:szCs w:val="21"/>
        </w:rPr>
        <w:t xml:space="preserve">7、安全措施：具有多种自动安全保护功能</w:t>
      </w:r>
      <w:r/>
    </w:p>
    <w:p>
      <w:pPr>
        <w:pStyle w:val="1444"/>
        <w:ind w:firstLine="210"/>
        <w:spacing w:line="440" w:lineRule="exact"/>
        <w:rPr>
          <w:rFonts w:ascii="Times New Roman"/>
          <w:sz w:val="21"/>
          <w:szCs w:val="21"/>
        </w:rPr>
      </w:pPr>
      <w:r>
        <w:rPr>
          <w:rFonts w:ascii="Times New Roman"/>
          <w:sz w:val="21"/>
          <w:szCs w:val="21"/>
        </w:rPr>
        <w:t xml:space="preserve">8、精密度：Cu＜0.6%;</w:t>
      </w:r>
      <w:r/>
    </w:p>
    <w:p>
      <w:pPr>
        <w:pStyle w:val="1444"/>
        <w:ind w:firstLine="210"/>
        <w:spacing w:line="440" w:lineRule="exact"/>
        <w:rPr>
          <w:rFonts w:ascii="Times New Roman"/>
          <w:sz w:val="21"/>
          <w:szCs w:val="21"/>
        </w:rPr>
      </w:pPr>
      <w:r>
        <w:rPr>
          <w:rFonts w:ascii="Times New Roman"/>
          <w:sz w:val="21"/>
          <w:szCs w:val="21"/>
        </w:rPr>
        <w:t xml:space="preserve">9、火焰监视器可随时监测火焰变化，意外熄火时，仪器会自动关闭乙炔流量并提示报警；配备乙炔漏气保护装置、压力异常保护装置</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10、内置空气—乙炔、空气—液化石油气和石墨炉三种原子化模式</w:t>
      </w:r>
      <w:r/>
    </w:p>
    <w:p>
      <w:pPr>
        <w:pStyle w:val="1444"/>
        <w:ind w:firstLine="210"/>
        <w:spacing w:line="440" w:lineRule="exact"/>
        <w:rPr>
          <w:rFonts w:ascii="Times New Roman"/>
          <w:sz w:val="21"/>
          <w:szCs w:val="21"/>
        </w:rPr>
      </w:pPr>
      <w:r>
        <w:rPr>
          <w:rFonts w:ascii="Times New Roman"/>
          <w:sz w:val="21"/>
          <w:szCs w:val="21"/>
        </w:rPr>
        <w:t xml:space="preserve">11、空气—乙炔、空气—液化石油气两种火焰燃烧头自动识别，充分保障操作者的使用安全；扩张后笑气—乙炔三种火焰燃烧头自动识别</w:t>
      </w:r>
      <w:r/>
    </w:p>
    <w:p>
      <w:pPr>
        <w:pStyle w:val="1444"/>
        <w:spacing w:line="440" w:lineRule="exact"/>
        <w:rPr>
          <w:rFonts w:ascii="Times New Roman"/>
          <w:b/>
          <w:bCs/>
          <w:sz w:val="21"/>
          <w:szCs w:val="21"/>
        </w:rPr>
      </w:pPr>
      <w:r>
        <w:rPr>
          <w:rFonts w:ascii="Times New Roman"/>
          <w:b/>
          <w:bCs/>
          <w:sz w:val="21"/>
          <w:szCs w:val="21"/>
        </w:rPr>
        <w:t xml:space="preserve">三、石墨炉分析</w:t>
      </w:r>
      <w:r/>
    </w:p>
    <w:p>
      <w:pPr>
        <w:pStyle w:val="1444"/>
        <w:ind w:firstLine="210"/>
        <w:spacing w:line="440" w:lineRule="exact"/>
        <w:rPr>
          <w:rFonts w:ascii="Times New Roman"/>
          <w:sz w:val="21"/>
          <w:szCs w:val="21"/>
        </w:rPr>
      </w:pPr>
      <w:r>
        <w:rPr>
          <w:rFonts w:ascii="Times New Roman"/>
          <w:sz w:val="21"/>
          <w:szCs w:val="21"/>
        </w:rPr>
        <w:t xml:space="preserve">1、检出限(Cd)：≤0.4×10</w:t>
      </w:r>
      <w:r>
        <w:rPr>
          <w:rFonts w:ascii="Times New Roman"/>
          <w:sz w:val="21"/>
          <w:szCs w:val="21"/>
          <w:vertAlign w:val="superscript"/>
        </w:rPr>
        <w:t xml:space="preserve">-12</w:t>
      </w:r>
      <w:r>
        <w:rPr>
          <w:rFonts w:ascii="Times New Roman"/>
          <w:sz w:val="21"/>
          <w:szCs w:val="21"/>
        </w:rPr>
        <w:t xml:space="preserve">g</w:t>
      </w:r>
      <w:r/>
    </w:p>
    <w:p>
      <w:pPr>
        <w:pStyle w:val="1444"/>
        <w:ind w:firstLine="210"/>
        <w:spacing w:line="440" w:lineRule="exact"/>
        <w:rPr>
          <w:rFonts w:ascii="Times New Roman"/>
          <w:sz w:val="21"/>
          <w:szCs w:val="21"/>
        </w:rPr>
      </w:pPr>
      <w:r>
        <w:rPr>
          <w:rFonts w:ascii="Times New Roman"/>
          <w:sz w:val="21"/>
          <w:szCs w:val="21"/>
        </w:rPr>
        <w:t xml:space="preserve">2、精密度：Cu＜2%，Cd＜2%，</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3、石墨管加热方式：石墨炉横向加热</w:t>
      </w:r>
      <w:r/>
    </w:p>
    <w:p>
      <w:pPr>
        <w:pStyle w:val="1444"/>
        <w:ind w:firstLine="210"/>
        <w:spacing w:line="440" w:lineRule="exact"/>
        <w:rPr>
          <w:rFonts w:ascii="Times New Roman"/>
          <w:sz w:val="21"/>
          <w:szCs w:val="21"/>
        </w:rPr>
      </w:pPr>
      <w:r>
        <w:rPr>
          <w:rFonts w:ascii="Times New Roman"/>
          <w:sz w:val="21"/>
          <w:szCs w:val="21"/>
        </w:rPr>
        <w:t xml:space="preserve">4、加热控温方式：干燥灰化阶段功率控制；原子化阶段采用光控最大功率方式；</w:t>
      </w:r>
      <w:r/>
    </w:p>
    <w:p>
      <w:pPr>
        <w:pStyle w:val="1444"/>
        <w:ind w:firstLine="210"/>
        <w:spacing w:line="440" w:lineRule="exact"/>
        <w:rPr>
          <w:rFonts w:ascii="Times New Roman"/>
          <w:sz w:val="21"/>
          <w:szCs w:val="21"/>
        </w:rPr>
      </w:pPr>
      <w:r>
        <w:rPr>
          <w:rFonts w:ascii="Times New Roman"/>
          <w:sz w:val="21"/>
          <w:szCs w:val="21"/>
        </w:rPr>
        <w:t xml:space="preserve">5、氘灯背景校正：＞55倍@1Abs；</w:t>
      </w:r>
      <w:r/>
    </w:p>
    <w:p>
      <w:pPr>
        <w:pStyle w:val="1444"/>
        <w:ind w:firstLine="210"/>
        <w:spacing w:line="440" w:lineRule="exact"/>
        <w:rPr>
          <w:rFonts w:ascii="Times New Roman"/>
          <w:sz w:val="21"/>
          <w:szCs w:val="21"/>
        </w:rPr>
      </w:pPr>
      <w:r>
        <w:rPr>
          <w:rFonts w:ascii="Times New Roman"/>
          <w:sz w:val="21"/>
          <w:szCs w:val="21"/>
        </w:rPr>
        <w:t xml:space="preserve">6、升温方式：斜坡升温、阶梯升温、最大功率升温</w:t>
      </w:r>
      <w:r/>
    </w:p>
    <w:p>
      <w:pPr>
        <w:pStyle w:val="1444"/>
        <w:ind w:firstLine="210"/>
        <w:spacing w:line="440" w:lineRule="exact"/>
        <w:rPr>
          <w:rFonts w:ascii="Times New Roman"/>
          <w:sz w:val="21"/>
          <w:szCs w:val="21"/>
        </w:rPr>
      </w:pPr>
      <w:r>
        <w:rPr>
          <w:rFonts w:ascii="Times New Roman"/>
          <w:sz w:val="21"/>
          <w:szCs w:val="21"/>
        </w:rPr>
        <w:t xml:space="preserve">7、控温精度：＜1%</w:t>
      </w:r>
      <w:r/>
    </w:p>
    <w:p>
      <w:pPr>
        <w:pStyle w:val="1444"/>
        <w:spacing w:line="440" w:lineRule="exact"/>
        <w:rPr>
          <w:rFonts w:ascii="Times New Roman"/>
          <w:b/>
          <w:bCs/>
          <w:sz w:val="21"/>
          <w:szCs w:val="21"/>
        </w:rPr>
      </w:pPr>
      <w:r>
        <w:rPr>
          <w:rFonts w:ascii="Times New Roman"/>
          <w:b/>
          <w:bCs/>
          <w:sz w:val="21"/>
          <w:szCs w:val="21"/>
        </w:rPr>
        <w:t xml:space="preserve">四、数据处理</w:t>
      </w:r>
      <w:r/>
    </w:p>
    <w:p>
      <w:pPr>
        <w:pStyle w:val="1444"/>
        <w:ind w:firstLine="210"/>
        <w:spacing w:line="440" w:lineRule="exact"/>
        <w:rPr>
          <w:rFonts w:ascii="Times New Roman"/>
          <w:sz w:val="21"/>
          <w:szCs w:val="21"/>
        </w:rPr>
      </w:pPr>
      <w:r>
        <w:rPr>
          <w:rFonts w:ascii="Times New Roman"/>
          <w:sz w:val="21"/>
          <w:szCs w:val="21"/>
        </w:rPr>
        <w:t xml:space="preserve">1、测量方式：火焰法、石墨炉法、氢化物发生－原子吸收法</w:t>
      </w:r>
      <w:r/>
    </w:p>
    <w:p>
      <w:pPr>
        <w:pStyle w:val="1444"/>
        <w:ind w:firstLine="210"/>
        <w:spacing w:line="440" w:lineRule="exact"/>
        <w:rPr>
          <w:rFonts w:ascii="Times New Roman"/>
          <w:sz w:val="21"/>
          <w:szCs w:val="21"/>
        </w:rPr>
      </w:pPr>
      <w:r>
        <w:rPr>
          <w:rFonts w:ascii="Times New Roman"/>
          <w:sz w:val="21"/>
          <w:szCs w:val="21"/>
        </w:rPr>
        <w:t xml:space="preserve">2、读出方式：连续、峰值、峰面积值</w:t>
      </w:r>
      <w:r/>
    </w:p>
    <w:p>
      <w:pPr>
        <w:pStyle w:val="1444"/>
        <w:ind w:firstLine="210"/>
        <w:spacing w:line="440" w:lineRule="exact"/>
        <w:rPr>
          <w:rFonts w:ascii="Times New Roman"/>
          <w:sz w:val="21"/>
          <w:szCs w:val="21"/>
        </w:rPr>
      </w:pPr>
      <w:r>
        <w:rPr>
          <w:rFonts w:ascii="Times New Roman"/>
          <w:sz w:val="21"/>
          <w:szCs w:val="21"/>
        </w:rPr>
        <w:t xml:space="preserve">3、浓度计算方式：标准曲线法、标准添加法、内插法</w:t>
      </w:r>
      <w:r/>
    </w:p>
    <w:p>
      <w:pPr>
        <w:pStyle w:val="1444"/>
        <w:ind w:firstLine="210"/>
        <w:spacing w:line="440" w:lineRule="exact"/>
        <w:rPr>
          <w:rFonts w:ascii="Times New Roman"/>
          <w:sz w:val="21"/>
          <w:szCs w:val="21"/>
        </w:rPr>
      </w:pPr>
      <w:r>
        <w:rPr>
          <w:rFonts w:ascii="Times New Roman"/>
          <w:sz w:val="21"/>
          <w:szCs w:val="21"/>
        </w:rPr>
        <w:t xml:space="preserve">4、其它：积分（0.1-100s）采样延时（0-20s），标样数（1-20个）；斜率，平均值，标准偏差，相对标准偏差等，相关系数，浓度值</w:t>
      </w:r>
      <w:r/>
    </w:p>
    <w:p>
      <w:pPr>
        <w:pStyle w:val="1444"/>
        <w:ind w:firstLine="210"/>
        <w:spacing w:line="440" w:lineRule="exact"/>
        <w:rPr>
          <w:rFonts w:ascii="Times New Roman"/>
          <w:sz w:val="21"/>
          <w:szCs w:val="21"/>
        </w:rPr>
      </w:pPr>
      <w:r>
        <w:rPr>
          <w:rFonts w:ascii="Times New Roman"/>
          <w:sz w:val="21"/>
          <w:szCs w:val="21"/>
        </w:rPr>
        <w:t xml:space="preserve">5、通讯方式：标准RS-232串口通讯，支持USB通讯接口通讯</w:t>
      </w:r>
      <w:r/>
    </w:p>
    <w:p>
      <w:pPr>
        <w:pStyle w:val="1444"/>
        <w:spacing w:line="440" w:lineRule="exact"/>
        <w:rPr>
          <w:rFonts w:ascii="Times New Roman"/>
          <w:sz w:val="21"/>
          <w:szCs w:val="21"/>
        </w:rPr>
      </w:pPr>
      <w:r>
        <w:rPr>
          <w:rFonts w:ascii="Segoe UI Symbol" w:hAnsi="Segoe UI Symbol" w:cs="Segoe UI Symbol"/>
          <w:sz w:val="21"/>
          <w:szCs w:val="21"/>
        </w:rPr>
        <w:t xml:space="preserve">★</w:t>
      </w:r>
      <w:r>
        <w:rPr>
          <w:rFonts w:ascii="Times New Roman"/>
          <w:sz w:val="21"/>
          <w:szCs w:val="21"/>
        </w:rPr>
        <w:t xml:space="preserve">6、配套重金属检测专用耗材及方法包（铅/镉），实现重金属特异性选择、富集及检测，消除背景干扰，特异性选择富集能力100倍以上，检出限要求达到5ppb以下；</w:t>
      </w:r>
      <w:r/>
    </w:p>
    <w:p>
      <w:pPr>
        <w:pStyle w:val="1444"/>
        <w:spacing w:line="440" w:lineRule="exact"/>
        <w:rPr>
          <w:rFonts w:ascii="Times New Roman"/>
          <w:b/>
          <w:bCs/>
          <w:sz w:val="21"/>
          <w:szCs w:val="21"/>
        </w:rPr>
      </w:pPr>
      <w:r>
        <w:rPr>
          <w:rFonts w:ascii="Times New Roman"/>
          <w:b/>
          <w:bCs/>
          <w:sz w:val="21"/>
          <w:szCs w:val="21"/>
        </w:rPr>
        <w:t xml:space="preserve">五、配置要求：</w:t>
      </w:r>
      <w:r/>
    </w:p>
    <w:p>
      <w:pPr>
        <w:pStyle w:val="1444"/>
        <w:ind w:firstLine="210"/>
        <w:spacing w:line="440" w:lineRule="exact"/>
        <w:rPr>
          <w:rFonts w:ascii="Times New Roman"/>
          <w:sz w:val="21"/>
          <w:szCs w:val="21"/>
        </w:rPr>
      </w:pPr>
      <w:r>
        <w:rPr>
          <w:rFonts w:ascii="Times New Roman"/>
          <w:sz w:val="21"/>
          <w:szCs w:val="21"/>
        </w:rPr>
        <w:t xml:space="preserve">1、火焰-石墨炉一体原子吸收分光光度计主机1台</w:t>
      </w:r>
      <w:r/>
    </w:p>
    <w:p>
      <w:pPr>
        <w:pStyle w:val="1444"/>
        <w:ind w:firstLine="210"/>
        <w:spacing w:line="440" w:lineRule="exact"/>
        <w:rPr>
          <w:rFonts w:ascii="Times New Roman"/>
          <w:sz w:val="21"/>
          <w:szCs w:val="21"/>
        </w:rPr>
      </w:pPr>
      <w:r>
        <w:rPr>
          <w:rFonts w:ascii="Times New Roman"/>
          <w:sz w:val="21"/>
          <w:szCs w:val="21"/>
        </w:rPr>
        <w:t xml:space="preserve">2、自动控温冷却循环水装置1台</w:t>
      </w:r>
      <w:r/>
    </w:p>
    <w:p>
      <w:pPr>
        <w:pStyle w:val="1444"/>
        <w:ind w:firstLine="210"/>
        <w:spacing w:line="440" w:lineRule="exact"/>
        <w:rPr>
          <w:rFonts w:ascii="Times New Roman"/>
          <w:sz w:val="21"/>
          <w:szCs w:val="21"/>
        </w:rPr>
      </w:pPr>
      <w:r>
        <w:rPr>
          <w:rFonts w:ascii="Times New Roman"/>
          <w:sz w:val="21"/>
          <w:szCs w:val="21"/>
        </w:rPr>
        <w:t xml:space="preserve">3、石墨炉自动进样器1台</w:t>
      </w:r>
      <w:r/>
    </w:p>
    <w:p>
      <w:pPr>
        <w:pStyle w:val="1444"/>
        <w:ind w:firstLine="210"/>
        <w:spacing w:line="440" w:lineRule="exact"/>
        <w:rPr>
          <w:rFonts w:ascii="Times New Roman"/>
          <w:sz w:val="21"/>
          <w:szCs w:val="21"/>
        </w:rPr>
      </w:pPr>
      <w:r>
        <w:rPr>
          <w:rFonts w:ascii="Times New Roman"/>
          <w:sz w:val="21"/>
          <w:szCs w:val="21"/>
        </w:rPr>
        <w:t xml:space="preserve">4、常用元素灯，雾化器2只</w:t>
      </w:r>
      <w:r/>
    </w:p>
    <w:p>
      <w:pPr>
        <w:pStyle w:val="1444"/>
        <w:ind w:firstLine="210"/>
        <w:spacing w:line="440" w:lineRule="exact"/>
        <w:rPr>
          <w:rFonts w:ascii="Times New Roman"/>
          <w:sz w:val="21"/>
          <w:szCs w:val="21"/>
        </w:rPr>
      </w:pPr>
      <w:r>
        <w:rPr>
          <w:rFonts w:ascii="Times New Roman"/>
          <w:sz w:val="21"/>
          <w:szCs w:val="21"/>
        </w:rPr>
        <w:t xml:space="preserve">5、石墨管5只</w:t>
      </w:r>
      <w:r/>
    </w:p>
    <w:p>
      <w:pPr>
        <w:pStyle w:val="1444"/>
        <w:ind w:firstLine="210"/>
        <w:spacing w:line="440" w:lineRule="exact"/>
        <w:rPr>
          <w:rFonts w:ascii="Times New Roman"/>
          <w:sz w:val="21"/>
          <w:szCs w:val="21"/>
        </w:rPr>
      </w:pPr>
      <w:r>
        <w:rPr>
          <w:rFonts w:ascii="Times New Roman"/>
          <w:sz w:val="21"/>
          <w:szCs w:val="21"/>
        </w:rPr>
        <w:t xml:space="preserve">6、原子吸收检测软件1套</w:t>
      </w:r>
      <w:r/>
    </w:p>
    <w:p>
      <w:pPr>
        <w:pStyle w:val="1444"/>
        <w:ind w:firstLine="210"/>
        <w:spacing w:line="440" w:lineRule="exact"/>
        <w:rPr>
          <w:rFonts w:ascii="Times New Roman"/>
          <w:sz w:val="21"/>
          <w:szCs w:val="21"/>
        </w:rPr>
      </w:pPr>
      <w:r>
        <w:rPr>
          <w:rFonts w:ascii="Times New Roman"/>
          <w:sz w:val="21"/>
          <w:szCs w:val="21"/>
        </w:rPr>
        <w:t xml:space="preserve">7、配套重金属检测专用耗材及方法包（铅/镉）1套；</w:t>
      </w:r>
      <w:r/>
    </w:p>
    <w:p>
      <w:pPr>
        <w:pStyle w:val="1444"/>
        <w:ind w:firstLine="210"/>
        <w:spacing w:line="440" w:lineRule="exact"/>
        <w:rPr>
          <w:rFonts w:ascii="Times New Roman"/>
          <w:sz w:val="21"/>
          <w:szCs w:val="21"/>
        </w:rPr>
      </w:pPr>
      <w:r>
        <w:rPr>
          <w:rFonts w:ascii="Times New Roman"/>
          <w:sz w:val="21"/>
          <w:szCs w:val="21"/>
        </w:rPr>
        <w:t xml:space="preserve">8、电脑打印机1套</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品目十一 铁含量分析仪</w:t>
      </w:r>
      <w:r/>
    </w:p>
    <w:p>
      <w:pPr>
        <w:spacing w:line="440" w:lineRule="exact"/>
        <w:rPr>
          <w:b/>
          <w:bCs/>
          <w:szCs w:val="21"/>
        </w:rPr>
      </w:pPr>
      <w:r>
        <w:rPr>
          <w:b/>
          <w:bCs/>
          <w:szCs w:val="21"/>
        </w:rPr>
        <w:t xml:space="preserve">一、功能及技术指标</w:t>
      </w:r>
      <w:r/>
    </w:p>
    <w:p>
      <w:pPr>
        <w:pStyle w:val="1535"/>
        <w:numPr>
          <w:ilvl w:val="0"/>
          <w:numId w:val="17"/>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35"/>
        <w:numPr>
          <w:ilvl w:val="0"/>
          <w:numId w:val="17"/>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35"/>
        <w:numPr>
          <w:ilvl w:val="0"/>
          <w:numId w:val="17"/>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w:t>
      </w:r>
      <w:r/>
    </w:p>
    <w:p>
      <w:pPr>
        <w:pStyle w:val="1535"/>
        <w:numPr>
          <w:ilvl w:val="0"/>
          <w:numId w:val="17"/>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17"/>
        </w:numPr>
        <w:spacing w:line="440" w:lineRule="exact"/>
        <w:rPr>
          <w:szCs w:val="21"/>
        </w:rPr>
      </w:pPr>
      <w:r>
        <w:rPr>
          <w:szCs w:val="21"/>
        </w:rPr>
        <w:t xml:space="preserve">显示：触摸彩色液晶，中文显示</w:t>
      </w:r>
      <w:r/>
    </w:p>
    <w:p>
      <w:pPr>
        <w:numPr>
          <w:ilvl w:val="0"/>
          <w:numId w:val="17"/>
        </w:numPr>
        <w:spacing w:line="440" w:lineRule="exact"/>
        <w:rPr>
          <w:szCs w:val="21"/>
        </w:rPr>
      </w:pPr>
      <w:r>
        <w:rPr>
          <w:szCs w:val="21"/>
        </w:rPr>
        <w:t xml:space="preserve">测量范围：（0.0～200.0）μg/L</w:t>
      </w:r>
      <w:r/>
    </w:p>
    <w:p>
      <w:pPr>
        <w:numPr>
          <w:ilvl w:val="0"/>
          <w:numId w:val="17"/>
        </w:numPr>
        <w:spacing w:line="440" w:lineRule="exact"/>
        <w:rPr>
          <w:szCs w:val="21"/>
        </w:rPr>
      </w:pPr>
      <w:r>
        <w:rPr>
          <w:szCs w:val="21"/>
        </w:rPr>
        <w:t xml:space="preserve">示值误差：±3%F.S</w:t>
      </w:r>
      <w:r/>
    </w:p>
    <w:p>
      <w:pPr>
        <w:numPr>
          <w:ilvl w:val="0"/>
          <w:numId w:val="17"/>
        </w:numPr>
        <w:spacing w:line="440" w:lineRule="exact"/>
        <w:rPr>
          <w:szCs w:val="21"/>
        </w:rPr>
      </w:pPr>
      <w:r>
        <w:rPr>
          <w:szCs w:val="21"/>
        </w:rPr>
        <w:t xml:space="preserve">分辨率：0.1μg/L</w:t>
      </w:r>
      <w:r/>
    </w:p>
    <w:p>
      <w:pPr>
        <w:numPr>
          <w:ilvl w:val="0"/>
          <w:numId w:val="17"/>
        </w:numPr>
        <w:spacing w:line="440" w:lineRule="exact"/>
        <w:rPr>
          <w:szCs w:val="21"/>
        </w:rPr>
      </w:pPr>
      <w:r>
        <w:rPr>
          <w:szCs w:val="21"/>
        </w:rPr>
        <w:t xml:space="preserve">重复性：≤1%F.S</w:t>
      </w:r>
      <w:r/>
    </w:p>
    <w:p>
      <w:pPr>
        <w:numPr>
          <w:ilvl w:val="0"/>
          <w:numId w:val="17"/>
        </w:numPr>
        <w:spacing w:line="440" w:lineRule="exact"/>
        <w:rPr>
          <w:szCs w:val="21"/>
        </w:rPr>
      </w:pPr>
      <w:r>
        <w:rPr>
          <w:szCs w:val="21"/>
        </w:rPr>
        <w:t xml:space="preserve">稳定性：±1.5%F.S/4h</w:t>
      </w:r>
      <w:r/>
    </w:p>
    <w:p>
      <w:pPr>
        <w:numPr>
          <w:ilvl w:val="0"/>
          <w:numId w:val="17"/>
        </w:numPr>
        <w:spacing w:line="440" w:lineRule="exact"/>
        <w:rPr>
          <w:szCs w:val="21"/>
        </w:rPr>
      </w:pPr>
      <w:r>
        <w:rPr>
          <w:szCs w:val="21"/>
        </w:rPr>
        <w:t xml:space="preserve">环境温度：5～45℃</w:t>
      </w:r>
      <w:r/>
    </w:p>
    <w:p>
      <w:pPr>
        <w:numPr>
          <w:ilvl w:val="0"/>
          <w:numId w:val="17"/>
        </w:numPr>
        <w:spacing w:line="440" w:lineRule="exact"/>
        <w:rPr>
          <w:szCs w:val="21"/>
        </w:rPr>
      </w:pPr>
      <w:r>
        <w:rPr>
          <w:szCs w:val="21"/>
        </w:rPr>
        <w:t xml:space="preserve">环境湿度：≤85% RH（无冷凝）</w:t>
      </w:r>
      <w:r/>
    </w:p>
    <w:p>
      <w:pPr>
        <w:numPr>
          <w:ilvl w:val="0"/>
          <w:numId w:val="17"/>
        </w:numPr>
        <w:spacing w:line="440" w:lineRule="exact"/>
        <w:rPr>
          <w:szCs w:val="21"/>
        </w:rPr>
      </w:pPr>
      <w:r>
        <w:rPr>
          <w:szCs w:val="21"/>
        </w:rPr>
        <w:t xml:space="preserve">电源：AC 85～265 V；频率：45～65Hz</w:t>
      </w:r>
      <w:r/>
    </w:p>
    <w:p>
      <w:pPr>
        <w:numPr>
          <w:ilvl w:val="0"/>
          <w:numId w:val="17"/>
        </w:numPr>
        <w:spacing w:line="440" w:lineRule="exact"/>
        <w:rPr>
          <w:szCs w:val="21"/>
        </w:rPr>
      </w:pPr>
      <w:r>
        <w:rPr>
          <w:szCs w:val="21"/>
        </w:rPr>
        <w:t xml:space="preserve">功率：≤30W</w:t>
      </w:r>
      <w:r/>
    </w:p>
    <w:p>
      <w:pPr>
        <w:spacing w:line="440" w:lineRule="exact"/>
        <w:rPr>
          <w:szCs w:val="21"/>
        </w:rPr>
      </w:pPr>
      <w:r>
        <w:rPr>
          <w:b/>
          <w:bCs/>
          <w:szCs w:val="21"/>
        </w:rPr>
        <w:t xml:space="preserve">二、配件</w:t>
      </w:r>
      <w:r/>
    </w:p>
    <w:p>
      <w:pPr>
        <w:numPr>
          <w:ilvl w:val="0"/>
          <w:numId w:val="18"/>
        </w:numPr>
        <w:spacing w:line="440" w:lineRule="exact"/>
        <w:rPr>
          <w:szCs w:val="21"/>
        </w:rPr>
      </w:pPr>
      <w:r>
        <w:rPr>
          <w:szCs w:val="21"/>
        </w:rPr>
        <w:t xml:space="preserve">铁含量标准液（10μg/mL）</w:t>
      </w:r>
      <w:r/>
    </w:p>
    <w:p>
      <w:pPr>
        <w:numPr>
          <w:ilvl w:val="0"/>
          <w:numId w:val="18"/>
        </w:numPr>
        <w:spacing w:line="440" w:lineRule="exact"/>
        <w:rPr>
          <w:szCs w:val="21"/>
        </w:rPr>
      </w:pPr>
      <w:r>
        <w:rPr>
          <w:szCs w:val="21"/>
        </w:rPr>
        <w:t xml:space="preserve">刚果红试纸</w:t>
      </w:r>
      <w:r/>
    </w:p>
    <w:p>
      <w:pPr>
        <w:numPr>
          <w:ilvl w:val="0"/>
          <w:numId w:val="18"/>
        </w:numPr>
        <w:spacing w:line="440" w:lineRule="exact"/>
        <w:rPr>
          <w:szCs w:val="21"/>
        </w:rPr>
      </w:pPr>
      <w:r>
        <w:rPr>
          <w:szCs w:val="21"/>
        </w:rPr>
        <w:t xml:space="preserve">排污管</w:t>
      </w:r>
      <w:r/>
    </w:p>
    <w:p>
      <w:pPr>
        <w:numPr>
          <w:ilvl w:val="0"/>
          <w:numId w:val="18"/>
        </w:numPr>
        <w:spacing w:line="440" w:lineRule="exact"/>
        <w:rPr>
          <w:szCs w:val="21"/>
        </w:rPr>
      </w:pPr>
      <w:r>
        <w:rPr>
          <w:szCs w:val="21"/>
        </w:rPr>
        <w:t xml:space="preserve">电源线</w:t>
      </w:r>
      <w:r/>
    </w:p>
    <w:p>
      <w:pPr>
        <w:numPr>
          <w:ilvl w:val="0"/>
          <w:numId w:val="18"/>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品目十二 磷酸根分析仪</w:t>
      </w:r>
      <w:r/>
    </w:p>
    <w:p>
      <w:pPr>
        <w:spacing w:line="440" w:lineRule="exact"/>
        <w:rPr>
          <w:b/>
          <w:bCs/>
          <w:szCs w:val="21"/>
        </w:rPr>
      </w:pPr>
      <w:r>
        <w:rPr>
          <w:b/>
          <w:bCs/>
          <w:szCs w:val="21"/>
        </w:rPr>
        <w:t xml:space="preserve">一、功能及技术指标</w:t>
      </w:r>
      <w:r/>
    </w:p>
    <w:p>
      <w:pPr>
        <w:pStyle w:val="1535"/>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35"/>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35"/>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35"/>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pStyle w:val="1535"/>
        <w:numPr>
          <w:ilvl w:val="0"/>
          <w:numId w:val="19"/>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触摸彩色液晶，中文显示</w:t>
      </w:r>
      <w:r/>
    </w:p>
    <w:p>
      <w:pPr>
        <w:numPr>
          <w:ilvl w:val="0"/>
          <w:numId w:val="19"/>
        </w:numPr>
        <w:spacing w:line="440" w:lineRule="exact"/>
        <w:rPr>
          <w:szCs w:val="21"/>
        </w:rPr>
      </w:pPr>
      <w:r>
        <w:rPr>
          <w:szCs w:val="21"/>
        </w:rPr>
        <w:t xml:space="preserve">测量范围：（0.00～20.00）mg/L、（0.00～50.00）mg/L（可选）</w:t>
      </w:r>
      <w:r/>
    </w:p>
    <w:p>
      <w:pPr>
        <w:numPr>
          <w:ilvl w:val="0"/>
          <w:numId w:val="19"/>
        </w:numPr>
        <w:spacing w:line="440" w:lineRule="exact"/>
        <w:rPr>
          <w:szCs w:val="21"/>
        </w:rPr>
      </w:pPr>
      <w:r>
        <w:rPr>
          <w:szCs w:val="21"/>
        </w:rPr>
        <w:t xml:space="preserve">示值误差：±2%F.S</w:t>
      </w:r>
      <w:r/>
    </w:p>
    <w:p>
      <w:pPr>
        <w:numPr>
          <w:ilvl w:val="0"/>
          <w:numId w:val="19"/>
        </w:numPr>
        <w:spacing w:line="440" w:lineRule="exact"/>
        <w:rPr>
          <w:szCs w:val="21"/>
        </w:rPr>
      </w:pPr>
      <w:r>
        <w:rPr>
          <w:szCs w:val="21"/>
        </w:rPr>
        <w:t xml:space="preserve">分辨率：0.01mg/L</w:t>
      </w:r>
      <w:r/>
    </w:p>
    <w:p>
      <w:pPr>
        <w:numPr>
          <w:ilvl w:val="0"/>
          <w:numId w:val="19"/>
        </w:numPr>
        <w:spacing w:line="440" w:lineRule="exact"/>
        <w:rPr>
          <w:szCs w:val="21"/>
        </w:rPr>
      </w:pPr>
      <w:r>
        <w:rPr>
          <w:szCs w:val="21"/>
        </w:rPr>
        <w:t xml:space="preserve">重复性：≤1%F.S</w:t>
      </w:r>
      <w:r/>
    </w:p>
    <w:p>
      <w:pPr>
        <w:numPr>
          <w:ilvl w:val="0"/>
          <w:numId w:val="19"/>
        </w:numPr>
        <w:spacing w:line="440" w:lineRule="exact"/>
        <w:rPr>
          <w:szCs w:val="21"/>
        </w:rPr>
      </w:pPr>
      <w:r>
        <w:rPr>
          <w:szCs w:val="21"/>
        </w:rPr>
        <w:t xml:space="preserve">稳定性：±1%F.S/4h</w:t>
      </w:r>
      <w:r/>
    </w:p>
    <w:p>
      <w:pPr>
        <w:numPr>
          <w:ilvl w:val="0"/>
          <w:numId w:val="19"/>
        </w:numPr>
        <w:spacing w:line="440" w:lineRule="exact"/>
        <w:rPr>
          <w:szCs w:val="21"/>
        </w:rPr>
      </w:pPr>
      <w:r>
        <w:rPr>
          <w:szCs w:val="21"/>
        </w:rPr>
        <w:t xml:space="preserve">环境温度：5～45℃</w:t>
      </w:r>
      <w:r/>
    </w:p>
    <w:p>
      <w:pPr>
        <w:numPr>
          <w:ilvl w:val="0"/>
          <w:numId w:val="19"/>
        </w:numPr>
        <w:spacing w:line="440" w:lineRule="exact"/>
        <w:rPr>
          <w:szCs w:val="21"/>
        </w:rPr>
      </w:pPr>
      <w:r>
        <w:rPr>
          <w:szCs w:val="21"/>
        </w:rPr>
        <w:t xml:space="preserve">环境湿度：≤85% RH（无冷凝）</w:t>
      </w:r>
      <w:r/>
    </w:p>
    <w:p>
      <w:pPr>
        <w:numPr>
          <w:ilvl w:val="0"/>
          <w:numId w:val="19"/>
        </w:numPr>
        <w:spacing w:line="440" w:lineRule="exact"/>
        <w:rPr>
          <w:szCs w:val="21"/>
        </w:rPr>
      </w:pPr>
      <w:r>
        <w:rPr>
          <w:szCs w:val="21"/>
        </w:rPr>
        <w:t xml:space="preserve">电源：AC 85～265 V；频率：45～65Hz</w:t>
      </w:r>
      <w:r/>
    </w:p>
    <w:p>
      <w:pPr>
        <w:numPr>
          <w:ilvl w:val="0"/>
          <w:numId w:val="19"/>
        </w:numPr>
        <w:spacing w:line="440" w:lineRule="exact"/>
        <w:rPr>
          <w:szCs w:val="21"/>
        </w:rPr>
      </w:pPr>
      <w:r>
        <w:rPr>
          <w:szCs w:val="21"/>
        </w:rPr>
        <w:t xml:space="preserve">功率：≤30W</w:t>
      </w:r>
      <w:r/>
    </w:p>
    <w:p>
      <w:pPr>
        <w:spacing w:line="440" w:lineRule="exact"/>
        <w:rPr>
          <w:b/>
          <w:bCs/>
          <w:szCs w:val="21"/>
        </w:rPr>
      </w:pPr>
      <w:r>
        <w:rPr>
          <w:b/>
          <w:bCs/>
          <w:szCs w:val="21"/>
        </w:rPr>
        <w:t xml:space="preserve">二、配件要求</w:t>
      </w:r>
      <w:r/>
    </w:p>
    <w:p>
      <w:pPr>
        <w:numPr>
          <w:ilvl w:val="0"/>
          <w:numId w:val="20"/>
        </w:numPr>
        <w:spacing w:line="440" w:lineRule="exact"/>
        <w:rPr>
          <w:szCs w:val="21"/>
        </w:rPr>
      </w:pPr>
      <w:r>
        <w:rPr>
          <w:szCs w:val="21"/>
        </w:rPr>
        <w:t xml:space="preserve">磷酸根标准液（1mg/mL）</w:t>
      </w:r>
      <w:r/>
    </w:p>
    <w:p>
      <w:pPr>
        <w:numPr>
          <w:ilvl w:val="0"/>
          <w:numId w:val="20"/>
        </w:numPr>
        <w:spacing w:line="440" w:lineRule="exact"/>
        <w:rPr>
          <w:szCs w:val="21"/>
        </w:rPr>
      </w:pPr>
      <w:r>
        <w:rPr>
          <w:szCs w:val="21"/>
        </w:rPr>
        <w:t xml:space="preserve">磷酸根显色试剂（1套）</w:t>
      </w:r>
      <w:r/>
    </w:p>
    <w:p>
      <w:pPr>
        <w:numPr>
          <w:ilvl w:val="0"/>
          <w:numId w:val="20"/>
        </w:numPr>
        <w:spacing w:line="440" w:lineRule="exact"/>
        <w:rPr>
          <w:szCs w:val="21"/>
        </w:rPr>
      </w:pPr>
      <w:r>
        <w:rPr>
          <w:szCs w:val="21"/>
        </w:rPr>
        <w:t xml:space="preserve">排污管</w:t>
      </w:r>
      <w:r/>
    </w:p>
    <w:p>
      <w:pPr>
        <w:numPr>
          <w:ilvl w:val="0"/>
          <w:numId w:val="20"/>
        </w:numPr>
        <w:spacing w:line="440" w:lineRule="exact"/>
        <w:rPr>
          <w:szCs w:val="21"/>
        </w:rPr>
      </w:pPr>
      <w:r>
        <w:rPr>
          <w:szCs w:val="21"/>
        </w:rPr>
        <w:t xml:space="preserve">电源线</w:t>
      </w:r>
      <w:r/>
    </w:p>
    <w:p>
      <w:pPr>
        <w:numPr>
          <w:ilvl w:val="0"/>
          <w:numId w:val="20"/>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品目十三 硅酸根分析仪</w:t>
      </w:r>
      <w:r/>
    </w:p>
    <w:p>
      <w:pPr>
        <w:spacing w:line="440" w:lineRule="exact"/>
        <w:rPr>
          <w:b/>
          <w:bCs/>
          <w:szCs w:val="21"/>
        </w:rPr>
      </w:pPr>
      <w:r>
        <w:rPr>
          <w:b/>
          <w:bCs/>
          <w:szCs w:val="21"/>
        </w:rPr>
        <w:t xml:space="preserve">一、功能及技术指标</w:t>
      </w:r>
      <w:r/>
    </w:p>
    <w:p>
      <w:pPr>
        <w:pStyle w:val="1535"/>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35"/>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35"/>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本底补偿功能，减少微量硅测量误差</w:t>
      </w:r>
      <w:r/>
    </w:p>
    <w:p>
      <w:pPr>
        <w:pStyle w:val="1535"/>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35"/>
        <w:numPr>
          <w:ilvl w:val="0"/>
          <w:numId w:val="21"/>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21"/>
        </w:numPr>
        <w:spacing w:line="440" w:lineRule="exact"/>
        <w:rPr>
          <w:szCs w:val="21"/>
        </w:rPr>
      </w:pPr>
      <w:r>
        <w:rPr>
          <w:szCs w:val="21"/>
        </w:rPr>
        <w:t xml:space="preserve">显示：触摸彩色液晶，中文显示</w:t>
      </w:r>
      <w:r/>
    </w:p>
    <w:p>
      <w:pPr>
        <w:numPr>
          <w:ilvl w:val="0"/>
          <w:numId w:val="21"/>
        </w:numPr>
        <w:spacing w:line="440" w:lineRule="exact"/>
        <w:rPr>
          <w:szCs w:val="21"/>
        </w:rPr>
      </w:pPr>
      <w:r>
        <w:rPr>
          <w:szCs w:val="21"/>
        </w:rPr>
        <w:t xml:space="preserve">测量范围：(0.0～200.0)μg/L或(0.0～2000)μg/L（可选）</w:t>
      </w:r>
      <w:r/>
    </w:p>
    <w:p>
      <w:pPr>
        <w:numPr>
          <w:ilvl w:val="0"/>
          <w:numId w:val="21"/>
        </w:numPr>
        <w:spacing w:line="440" w:lineRule="exact"/>
        <w:rPr>
          <w:szCs w:val="21"/>
        </w:rPr>
      </w:pPr>
      <w:r>
        <w:rPr>
          <w:szCs w:val="21"/>
        </w:rPr>
        <w:t xml:space="preserve">精确度：±1.0% F.S</w:t>
      </w:r>
      <w:r/>
    </w:p>
    <w:p>
      <w:pPr>
        <w:numPr>
          <w:ilvl w:val="0"/>
          <w:numId w:val="21"/>
        </w:numPr>
        <w:spacing w:line="440" w:lineRule="exact"/>
        <w:rPr>
          <w:szCs w:val="21"/>
        </w:rPr>
      </w:pPr>
      <w:r>
        <w:rPr>
          <w:szCs w:val="21"/>
        </w:rPr>
        <w:t xml:space="preserve">分辨率：0.1μg/L</w:t>
      </w:r>
      <w:r/>
    </w:p>
    <w:p>
      <w:pPr>
        <w:numPr>
          <w:ilvl w:val="0"/>
          <w:numId w:val="21"/>
        </w:numPr>
        <w:spacing w:line="440" w:lineRule="exact"/>
        <w:rPr>
          <w:szCs w:val="21"/>
        </w:rPr>
      </w:pPr>
      <w:r>
        <w:rPr>
          <w:szCs w:val="21"/>
        </w:rPr>
        <w:t xml:space="preserve">重复性：≤1.0% F.S</w:t>
      </w:r>
      <w:r/>
    </w:p>
    <w:p>
      <w:pPr>
        <w:numPr>
          <w:ilvl w:val="0"/>
          <w:numId w:val="21"/>
        </w:numPr>
        <w:spacing w:line="440" w:lineRule="exact"/>
        <w:rPr>
          <w:szCs w:val="21"/>
        </w:rPr>
      </w:pPr>
      <w:r>
        <w:rPr>
          <w:szCs w:val="21"/>
        </w:rPr>
        <w:t xml:space="preserve">稳定性：±1% F.S/4h</w:t>
      </w:r>
      <w:r/>
    </w:p>
    <w:p>
      <w:pPr>
        <w:numPr>
          <w:ilvl w:val="0"/>
          <w:numId w:val="21"/>
        </w:numPr>
        <w:spacing w:line="440" w:lineRule="exact"/>
        <w:rPr>
          <w:szCs w:val="21"/>
        </w:rPr>
      </w:pPr>
      <w:r>
        <w:rPr>
          <w:szCs w:val="21"/>
        </w:rPr>
        <w:t xml:space="preserve">环境温度：5～45℃</w:t>
      </w:r>
      <w:r/>
    </w:p>
    <w:p>
      <w:pPr>
        <w:numPr>
          <w:ilvl w:val="0"/>
          <w:numId w:val="21"/>
        </w:numPr>
        <w:spacing w:line="440" w:lineRule="exact"/>
        <w:rPr>
          <w:szCs w:val="21"/>
        </w:rPr>
      </w:pPr>
      <w:r>
        <w:rPr>
          <w:szCs w:val="21"/>
        </w:rPr>
        <w:t xml:space="preserve">环境湿度：≤85% RH(无冷凝)</w:t>
      </w:r>
      <w:r/>
    </w:p>
    <w:p>
      <w:pPr>
        <w:numPr>
          <w:ilvl w:val="0"/>
          <w:numId w:val="21"/>
        </w:numPr>
        <w:spacing w:line="440" w:lineRule="exact"/>
        <w:rPr>
          <w:szCs w:val="21"/>
        </w:rPr>
      </w:pPr>
      <w:r>
        <w:rPr>
          <w:szCs w:val="21"/>
        </w:rPr>
        <w:t xml:space="preserve">供电电源：AC 85～265 V；频率：45～65Hz</w:t>
      </w:r>
      <w:r/>
    </w:p>
    <w:p>
      <w:pPr>
        <w:spacing w:line="440" w:lineRule="exact"/>
        <w:rPr>
          <w:b/>
          <w:bCs/>
          <w:szCs w:val="21"/>
        </w:rPr>
      </w:pPr>
      <w:r>
        <w:rPr>
          <w:b/>
          <w:bCs/>
          <w:szCs w:val="21"/>
        </w:rPr>
        <w:t xml:space="preserve">二、配件要求</w:t>
      </w:r>
      <w:r/>
    </w:p>
    <w:p>
      <w:pPr>
        <w:numPr>
          <w:ilvl w:val="0"/>
          <w:numId w:val="22"/>
        </w:numPr>
        <w:spacing w:line="440" w:lineRule="exact"/>
        <w:rPr>
          <w:szCs w:val="21"/>
        </w:rPr>
      </w:pPr>
      <w:r>
        <w:rPr>
          <w:szCs w:val="21"/>
        </w:rPr>
        <w:t xml:space="preserve">硅酸根标准液（10μg/mL或100μg/mL）</w:t>
      </w:r>
      <w:r/>
    </w:p>
    <w:p>
      <w:pPr>
        <w:numPr>
          <w:ilvl w:val="0"/>
          <w:numId w:val="22"/>
        </w:numPr>
        <w:spacing w:line="440" w:lineRule="exact"/>
        <w:rPr>
          <w:szCs w:val="21"/>
        </w:rPr>
      </w:pPr>
      <w:r>
        <w:rPr>
          <w:szCs w:val="21"/>
        </w:rPr>
        <w:t xml:space="preserve">硅酸根显色试剂（1套）</w:t>
      </w:r>
      <w:r/>
    </w:p>
    <w:p>
      <w:pPr>
        <w:numPr>
          <w:ilvl w:val="0"/>
          <w:numId w:val="22"/>
        </w:numPr>
        <w:spacing w:line="440" w:lineRule="exact"/>
        <w:rPr>
          <w:szCs w:val="21"/>
        </w:rPr>
      </w:pPr>
      <w:r>
        <w:rPr>
          <w:szCs w:val="21"/>
        </w:rPr>
        <w:t xml:space="preserve">排污管</w:t>
      </w:r>
      <w:r/>
    </w:p>
    <w:p>
      <w:pPr>
        <w:numPr>
          <w:ilvl w:val="0"/>
          <w:numId w:val="22"/>
        </w:numPr>
        <w:spacing w:line="440" w:lineRule="exact"/>
        <w:rPr>
          <w:szCs w:val="21"/>
        </w:rPr>
      </w:pPr>
      <w:r>
        <w:rPr>
          <w:szCs w:val="21"/>
        </w:rPr>
        <w:t xml:space="preserve">电源线</w:t>
      </w:r>
      <w:r/>
    </w:p>
    <w:p>
      <w:pPr>
        <w:numPr>
          <w:ilvl w:val="0"/>
          <w:numId w:val="22"/>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品目十四 联氨分析仪</w:t>
      </w:r>
      <w:r/>
    </w:p>
    <w:p>
      <w:pPr>
        <w:spacing w:line="440" w:lineRule="exact"/>
        <w:rPr>
          <w:b/>
          <w:bCs/>
          <w:szCs w:val="21"/>
        </w:rPr>
      </w:pPr>
      <w:r>
        <w:rPr>
          <w:b/>
          <w:bCs/>
          <w:szCs w:val="21"/>
        </w:rPr>
        <w:t xml:space="preserve">一、功能及技术指标</w:t>
      </w:r>
      <w:r/>
    </w:p>
    <w:p>
      <w:pPr>
        <w:pStyle w:val="1535"/>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光源采用单色冷光源</w:t>
      </w:r>
      <w:r/>
    </w:p>
    <w:p>
      <w:pPr>
        <w:pStyle w:val="1535"/>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空白校准，消除零点漂移和电气漂移，提高测量精确度</w:t>
      </w:r>
      <w:r/>
    </w:p>
    <w:p>
      <w:pPr>
        <w:pStyle w:val="1535"/>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自动计时提醒功能，方便操作者使用，提高工作效率</w:t>
      </w:r>
      <w:r/>
    </w:p>
    <w:p>
      <w:pPr>
        <w:pStyle w:val="1535"/>
        <w:numPr>
          <w:ilvl w:val="0"/>
          <w:numId w:val="23"/>
        </w:numPr>
        <w:spacing w:line="440" w:lineRule="exact"/>
        <w:tabs>
          <w:tab w:val="left" w:pos="705" w:leader="none"/>
        </w:tabs>
        <w:rPr>
          <w:rFonts w:ascii="Times New Roman" w:hAnsi="Times New Roman" w:cs="Times New Roman"/>
          <w:szCs w:val="21"/>
        </w:rPr>
      </w:pPr>
      <w:r>
        <w:rPr>
          <w:rFonts w:ascii="Times New Roman" w:hAnsi="Times New Roman" w:cs="Times New Roman"/>
          <w:szCs w:val="21"/>
        </w:rPr>
        <w:t xml:space="preserve">数据循环存储，自动清除溢出，断电数据存储时间10年以上</w:t>
      </w:r>
      <w:r/>
    </w:p>
    <w:p>
      <w:pPr>
        <w:numPr>
          <w:ilvl w:val="0"/>
          <w:numId w:val="23"/>
        </w:numPr>
        <w:spacing w:line="440" w:lineRule="exact"/>
        <w:rPr>
          <w:szCs w:val="21"/>
        </w:rPr>
      </w:pPr>
      <w:r>
        <w:rPr>
          <w:szCs w:val="21"/>
        </w:rPr>
        <w:t xml:space="preserve">显示：触摸彩色液晶，中文显示</w:t>
      </w:r>
      <w:r/>
    </w:p>
    <w:p>
      <w:pPr>
        <w:numPr>
          <w:ilvl w:val="0"/>
          <w:numId w:val="23"/>
        </w:numPr>
        <w:spacing w:line="440" w:lineRule="exact"/>
        <w:rPr>
          <w:szCs w:val="21"/>
        </w:rPr>
      </w:pPr>
      <w:r>
        <w:rPr>
          <w:szCs w:val="21"/>
        </w:rPr>
        <w:t xml:space="preserve">测量范围：（0.0～100.0）μg/L</w:t>
      </w:r>
      <w:r/>
    </w:p>
    <w:p>
      <w:pPr>
        <w:numPr>
          <w:ilvl w:val="0"/>
          <w:numId w:val="23"/>
        </w:numPr>
        <w:spacing w:line="440" w:lineRule="exact"/>
        <w:rPr>
          <w:szCs w:val="21"/>
        </w:rPr>
      </w:pPr>
      <w:r>
        <w:rPr>
          <w:szCs w:val="21"/>
        </w:rPr>
        <w:t xml:space="preserve">示值误差：±2% F.S</w:t>
      </w:r>
      <w:r/>
    </w:p>
    <w:p>
      <w:pPr>
        <w:numPr>
          <w:ilvl w:val="0"/>
          <w:numId w:val="23"/>
        </w:numPr>
        <w:spacing w:line="440" w:lineRule="exact"/>
        <w:rPr>
          <w:szCs w:val="21"/>
        </w:rPr>
      </w:pPr>
      <w:r>
        <w:rPr>
          <w:szCs w:val="21"/>
        </w:rPr>
        <w:t xml:space="preserve">分辨率：0.1μg/L</w:t>
      </w:r>
      <w:r/>
    </w:p>
    <w:p>
      <w:pPr>
        <w:numPr>
          <w:ilvl w:val="0"/>
          <w:numId w:val="23"/>
        </w:numPr>
        <w:spacing w:line="440" w:lineRule="exact"/>
        <w:rPr>
          <w:szCs w:val="21"/>
        </w:rPr>
      </w:pPr>
      <w:r>
        <w:rPr>
          <w:szCs w:val="21"/>
        </w:rPr>
        <w:t xml:space="preserve">重复性：≤1% F·S</w:t>
      </w:r>
      <w:r/>
    </w:p>
    <w:p>
      <w:pPr>
        <w:numPr>
          <w:ilvl w:val="0"/>
          <w:numId w:val="23"/>
        </w:numPr>
        <w:spacing w:line="440" w:lineRule="exact"/>
        <w:rPr>
          <w:szCs w:val="21"/>
        </w:rPr>
      </w:pPr>
      <w:r>
        <w:rPr>
          <w:szCs w:val="21"/>
        </w:rPr>
        <w:t xml:space="preserve">稳定性：±1% F.S/4h</w:t>
      </w:r>
      <w:r/>
    </w:p>
    <w:p>
      <w:pPr>
        <w:numPr>
          <w:ilvl w:val="0"/>
          <w:numId w:val="23"/>
        </w:numPr>
        <w:spacing w:line="440" w:lineRule="exact"/>
        <w:rPr>
          <w:szCs w:val="21"/>
        </w:rPr>
      </w:pPr>
      <w:r>
        <w:rPr>
          <w:szCs w:val="21"/>
        </w:rPr>
        <w:t xml:space="preserve">环境温度：5～45℃</w:t>
      </w:r>
      <w:r/>
    </w:p>
    <w:p>
      <w:pPr>
        <w:numPr>
          <w:ilvl w:val="0"/>
          <w:numId w:val="23"/>
        </w:numPr>
        <w:spacing w:line="440" w:lineRule="exact"/>
        <w:rPr>
          <w:szCs w:val="21"/>
        </w:rPr>
      </w:pPr>
      <w:r>
        <w:rPr>
          <w:szCs w:val="21"/>
        </w:rPr>
        <w:t xml:space="preserve">环境湿度：≤85%RH（无冷凝）</w:t>
      </w:r>
      <w:r/>
    </w:p>
    <w:p>
      <w:pPr>
        <w:numPr>
          <w:ilvl w:val="0"/>
          <w:numId w:val="23"/>
        </w:numPr>
        <w:spacing w:line="440" w:lineRule="exact"/>
        <w:rPr>
          <w:szCs w:val="21"/>
        </w:rPr>
      </w:pPr>
      <w:r>
        <w:rPr>
          <w:szCs w:val="21"/>
        </w:rPr>
        <w:t xml:space="preserve">电源：AC 85～265 V；频率：45～65Hz</w:t>
      </w:r>
      <w:r/>
    </w:p>
    <w:p>
      <w:pPr>
        <w:numPr>
          <w:ilvl w:val="0"/>
          <w:numId w:val="23"/>
        </w:numPr>
        <w:spacing w:line="440" w:lineRule="exact"/>
        <w:rPr>
          <w:szCs w:val="21"/>
        </w:rPr>
      </w:pPr>
      <w:r>
        <w:rPr>
          <w:szCs w:val="21"/>
        </w:rPr>
        <w:t xml:space="preserve">功率：≤30W</w:t>
      </w:r>
      <w:r/>
    </w:p>
    <w:p>
      <w:pPr>
        <w:ind w:left="720" w:hanging="720"/>
        <w:spacing w:line="440" w:lineRule="exact"/>
        <w:rPr>
          <w:b/>
          <w:bCs/>
          <w:szCs w:val="21"/>
        </w:rPr>
      </w:pPr>
      <w:r>
        <w:rPr>
          <w:b/>
          <w:bCs/>
          <w:szCs w:val="21"/>
        </w:rPr>
        <w:t xml:space="preserve">二、配件要求</w:t>
      </w:r>
      <w:r/>
    </w:p>
    <w:p>
      <w:pPr>
        <w:numPr>
          <w:ilvl w:val="0"/>
          <w:numId w:val="24"/>
        </w:numPr>
        <w:spacing w:line="440" w:lineRule="exact"/>
        <w:rPr>
          <w:szCs w:val="21"/>
        </w:rPr>
      </w:pPr>
      <w:r>
        <w:rPr>
          <w:szCs w:val="21"/>
        </w:rPr>
        <w:t xml:space="preserve">联氨标准液（10μg/mL）</w:t>
      </w:r>
      <w:r/>
    </w:p>
    <w:p>
      <w:pPr>
        <w:numPr>
          <w:ilvl w:val="0"/>
          <w:numId w:val="24"/>
        </w:numPr>
        <w:spacing w:line="440" w:lineRule="exact"/>
        <w:rPr>
          <w:szCs w:val="21"/>
        </w:rPr>
      </w:pPr>
      <w:r>
        <w:rPr>
          <w:szCs w:val="21"/>
        </w:rPr>
        <w:t xml:space="preserve">排污管</w:t>
      </w:r>
      <w:r/>
    </w:p>
    <w:p>
      <w:pPr>
        <w:numPr>
          <w:ilvl w:val="0"/>
          <w:numId w:val="24"/>
        </w:numPr>
        <w:spacing w:line="440" w:lineRule="exact"/>
        <w:rPr>
          <w:szCs w:val="21"/>
        </w:rPr>
      </w:pPr>
      <w:r>
        <w:rPr>
          <w:szCs w:val="21"/>
        </w:rPr>
        <w:t xml:space="preserve">电源线</w:t>
      </w:r>
      <w:r/>
    </w:p>
    <w:p>
      <w:pPr>
        <w:numPr>
          <w:ilvl w:val="0"/>
          <w:numId w:val="24"/>
        </w:numPr>
        <w:spacing w:line="440" w:lineRule="exact"/>
        <w:rPr>
          <w:szCs w:val="21"/>
        </w:rPr>
      </w:pPr>
      <w:r>
        <w:rPr>
          <w:szCs w:val="21"/>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品目十五 铜离子测定仪</w:t>
      </w:r>
      <w:r/>
    </w:p>
    <w:p>
      <w:pPr>
        <w:spacing w:line="440" w:lineRule="exact"/>
        <w:rPr>
          <w:b/>
          <w:bCs/>
          <w:szCs w:val="21"/>
        </w:rPr>
      </w:pPr>
      <w:r>
        <w:rPr>
          <w:b/>
          <w:bCs/>
          <w:szCs w:val="21"/>
        </w:rPr>
        <w:t xml:space="preserve">一、功能及技术指标</w:t>
      </w:r>
      <w:r/>
    </w:p>
    <w:p>
      <w:pPr>
        <w:numPr>
          <w:ilvl w:val="0"/>
          <w:numId w:val="25"/>
        </w:numPr>
        <w:spacing w:line="440" w:lineRule="exact"/>
        <w:tabs>
          <w:tab w:val="left" w:pos="705" w:leader="none"/>
        </w:tabs>
        <w:rPr>
          <w:szCs w:val="21"/>
          <w:lang w:bidi="en-US"/>
        </w:rPr>
      </w:pPr>
      <w:r>
        <w:rPr>
          <w:szCs w:val="21"/>
          <w:lang w:bidi="en-US"/>
        </w:rPr>
        <w:t xml:space="preserve">光源采用单色冷光源</w:t>
      </w:r>
      <w:r/>
    </w:p>
    <w:p>
      <w:pPr>
        <w:numPr>
          <w:ilvl w:val="0"/>
          <w:numId w:val="25"/>
        </w:numPr>
        <w:spacing w:line="440" w:lineRule="exact"/>
        <w:tabs>
          <w:tab w:val="left" w:pos="705" w:leader="none"/>
        </w:tabs>
        <w:rPr>
          <w:szCs w:val="21"/>
          <w:lang w:bidi="en-US"/>
        </w:rPr>
      </w:pPr>
      <w:r>
        <w:rPr>
          <w:szCs w:val="21"/>
          <w:lang w:bidi="en-US"/>
        </w:rPr>
        <w:t xml:space="preserve">空白校准，消除零点漂移和电气漂移，提高测量精确度</w:t>
      </w:r>
      <w:r/>
    </w:p>
    <w:p>
      <w:pPr>
        <w:numPr>
          <w:ilvl w:val="0"/>
          <w:numId w:val="25"/>
        </w:numPr>
        <w:spacing w:line="440" w:lineRule="exact"/>
        <w:tabs>
          <w:tab w:val="left" w:pos="705" w:leader="none"/>
        </w:tabs>
        <w:rPr>
          <w:szCs w:val="21"/>
          <w:lang w:bidi="en-US"/>
        </w:rPr>
      </w:pPr>
      <w:r>
        <w:rPr>
          <w:szCs w:val="21"/>
          <w:lang w:bidi="en-US"/>
        </w:rPr>
        <w:t xml:space="preserve">自动计时提醒功能，方便操作者使用，提高工作效率</w:t>
      </w:r>
      <w:r/>
    </w:p>
    <w:p>
      <w:pPr>
        <w:numPr>
          <w:ilvl w:val="0"/>
          <w:numId w:val="25"/>
        </w:numPr>
        <w:spacing w:line="440" w:lineRule="exact"/>
        <w:tabs>
          <w:tab w:val="left" w:pos="705" w:leader="none"/>
        </w:tabs>
        <w:rPr>
          <w:szCs w:val="21"/>
          <w:lang w:bidi="en-US"/>
        </w:rPr>
      </w:pPr>
      <w:r>
        <w:rPr>
          <w:szCs w:val="21"/>
          <w:lang w:bidi="en-US"/>
        </w:rPr>
        <w:t xml:space="preserve">数据循环存储，自动清除溢出，断电数据存储时间10年以上</w:t>
      </w:r>
      <w:r/>
    </w:p>
    <w:p>
      <w:pPr>
        <w:numPr>
          <w:ilvl w:val="0"/>
          <w:numId w:val="25"/>
        </w:numPr>
        <w:jc w:val="left"/>
        <w:spacing w:line="440" w:lineRule="exact"/>
        <w:rPr>
          <w:szCs w:val="21"/>
          <w:lang w:bidi="zh-CN"/>
        </w:rPr>
      </w:pPr>
      <w:r>
        <w:rPr>
          <w:szCs w:val="21"/>
          <w:lang w:bidi="en-US"/>
        </w:rPr>
        <w:t xml:space="preserve">显示：</w:t>
      </w:r>
      <w:r>
        <w:rPr>
          <w:szCs w:val="21"/>
          <w:lang w:bidi="zh-CN"/>
        </w:rPr>
        <w:t xml:space="preserve">触摸彩色液晶，中文显示</w:t>
      </w:r>
      <w:r/>
    </w:p>
    <w:p>
      <w:pPr>
        <w:numPr>
          <w:ilvl w:val="0"/>
          <w:numId w:val="25"/>
        </w:numPr>
        <w:jc w:val="left"/>
        <w:spacing w:line="440" w:lineRule="exact"/>
        <w:rPr>
          <w:szCs w:val="21"/>
          <w:lang w:bidi="en-US"/>
        </w:rPr>
      </w:pPr>
      <w:r>
        <w:rPr>
          <w:szCs w:val="21"/>
          <w:lang w:bidi="en-US"/>
        </w:rPr>
        <w:t xml:space="preserve">测量范围：（0.0～200.0）</w:t>
      </w:r>
      <w:r>
        <w:rPr>
          <w:szCs w:val="21"/>
          <w:lang w:eastAsia="en-US" w:bidi="en-US"/>
        </w:rPr>
        <w:t xml:space="preserve">μ</w:t>
      </w:r>
      <w:r>
        <w:rPr>
          <w:szCs w:val="21"/>
          <w:lang w:bidi="en-US"/>
        </w:rPr>
        <w:t xml:space="preserve">g/L</w:t>
      </w:r>
      <w:r/>
    </w:p>
    <w:p>
      <w:pPr>
        <w:numPr>
          <w:ilvl w:val="0"/>
          <w:numId w:val="25"/>
        </w:numPr>
        <w:jc w:val="left"/>
        <w:spacing w:line="440" w:lineRule="exact"/>
        <w:rPr>
          <w:szCs w:val="21"/>
          <w:lang w:bidi="en-US"/>
        </w:rPr>
      </w:pPr>
      <w:r>
        <w:rPr>
          <w:szCs w:val="21"/>
          <w:lang w:bidi="en-US"/>
        </w:rPr>
        <w:t xml:space="preserve">示值误差：±3% F.S</w:t>
      </w:r>
      <w:r/>
    </w:p>
    <w:p>
      <w:pPr>
        <w:numPr>
          <w:ilvl w:val="0"/>
          <w:numId w:val="25"/>
        </w:numPr>
        <w:jc w:val="left"/>
        <w:spacing w:line="440" w:lineRule="exact"/>
        <w:rPr>
          <w:szCs w:val="21"/>
          <w:lang w:bidi="en-US"/>
        </w:rPr>
      </w:pPr>
      <w:r>
        <w:rPr>
          <w:szCs w:val="21"/>
          <w:lang w:bidi="en-US"/>
        </w:rPr>
        <w:t xml:space="preserve">分辨率：0.1</w:t>
      </w:r>
      <w:r>
        <w:rPr>
          <w:szCs w:val="21"/>
          <w:lang w:eastAsia="en-US" w:bidi="en-US"/>
        </w:rPr>
        <w:t xml:space="preserve">μ</w:t>
      </w:r>
      <w:r>
        <w:rPr>
          <w:szCs w:val="21"/>
          <w:lang w:bidi="en-US"/>
        </w:rPr>
        <w:t xml:space="preserve">g/L</w:t>
      </w:r>
      <w:r/>
    </w:p>
    <w:p>
      <w:pPr>
        <w:numPr>
          <w:ilvl w:val="0"/>
          <w:numId w:val="25"/>
        </w:numPr>
        <w:jc w:val="left"/>
        <w:spacing w:line="440" w:lineRule="exact"/>
        <w:rPr>
          <w:szCs w:val="21"/>
          <w:lang w:bidi="en-US"/>
        </w:rPr>
      </w:pPr>
      <w:r>
        <w:rPr>
          <w:szCs w:val="21"/>
          <w:lang w:bidi="en-US"/>
        </w:rPr>
        <w:t xml:space="preserve">重复性：≤1% </w:t>
      </w:r>
      <w:r>
        <w:rPr>
          <w:szCs w:val="21"/>
          <w:lang w:eastAsia="en-US" w:bidi="en-US"/>
        </w:rPr>
        <w:t xml:space="preserve">F.S</w:t>
      </w:r>
      <w:r/>
    </w:p>
    <w:p>
      <w:pPr>
        <w:numPr>
          <w:ilvl w:val="0"/>
          <w:numId w:val="25"/>
        </w:numPr>
        <w:jc w:val="left"/>
        <w:spacing w:line="440" w:lineRule="exact"/>
        <w:rPr>
          <w:szCs w:val="21"/>
          <w:lang w:bidi="en-US"/>
        </w:rPr>
      </w:pPr>
      <w:r>
        <w:rPr>
          <w:szCs w:val="21"/>
          <w:lang w:bidi="en-US"/>
        </w:rPr>
        <w:t xml:space="preserve">稳定性：±1.5% F.S/4h</w:t>
      </w:r>
      <w:r/>
    </w:p>
    <w:p>
      <w:pPr>
        <w:numPr>
          <w:ilvl w:val="0"/>
          <w:numId w:val="25"/>
        </w:numPr>
        <w:jc w:val="left"/>
        <w:spacing w:line="440" w:lineRule="exact"/>
        <w:rPr>
          <w:szCs w:val="21"/>
          <w:lang w:bidi="en-US"/>
        </w:rPr>
      </w:pPr>
      <w:r>
        <w:rPr>
          <w:szCs w:val="21"/>
          <w:lang w:bidi="en-US"/>
        </w:rPr>
        <w:t xml:space="preserve">环境温度：5～45℃</w:t>
      </w:r>
      <w:r/>
    </w:p>
    <w:p>
      <w:pPr>
        <w:numPr>
          <w:ilvl w:val="0"/>
          <w:numId w:val="25"/>
        </w:numPr>
        <w:jc w:val="left"/>
        <w:spacing w:line="440" w:lineRule="exact"/>
        <w:rPr>
          <w:szCs w:val="21"/>
          <w:lang w:bidi="en-US"/>
        </w:rPr>
      </w:pPr>
      <w:r>
        <w:rPr>
          <w:szCs w:val="21"/>
          <w:lang w:bidi="en-US"/>
        </w:rPr>
        <w:t xml:space="preserve">环境湿度：≤85% RH（无冷凝）</w:t>
      </w:r>
      <w:r/>
    </w:p>
    <w:p>
      <w:pPr>
        <w:numPr>
          <w:ilvl w:val="0"/>
          <w:numId w:val="25"/>
        </w:numPr>
        <w:jc w:val="left"/>
        <w:spacing w:line="440" w:lineRule="exact"/>
        <w:rPr>
          <w:szCs w:val="21"/>
          <w:lang w:bidi="en-US"/>
        </w:rPr>
      </w:pPr>
      <w:r>
        <w:rPr>
          <w:szCs w:val="21"/>
          <w:lang w:bidi="en-US"/>
        </w:rPr>
        <w:t xml:space="preserve">电源：AC 85～265 V；频率：45～65Hz</w:t>
      </w:r>
      <w:r/>
    </w:p>
    <w:p>
      <w:pPr>
        <w:numPr>
          <w:ilvl w:val="0"/>
          <w:numId w:val="25"/>
        </w:numPr>
        <w:jc w:val="left"/>
        <w:spacing w:line="440" w:lineRule="exact"/>
        <w:rPr>
          <w:szCs w:val="21"/>
          <w:lang w:eastAsia="en-US" w:bidi="en-US"/>
        </w:rPr>
      </w:pPr>
      <w:r>
        <w:rPr>
          <w:szCs w:val="21"/>
          <w:lang w:eastAsia="en-US" w:bidi="en-US"/>
        </w:rPr>
        <w:t xml:space="preserve">功率：≤30W</w:t>
      </w:r>
      <w:r/>
    </w:p>
    <w:p>
      <w:pPr>
        <w:jc w:val="left"/>
        <w:spacing w:line="440" w:lineRule="exact"/>
        <w:rPr>
          <w:b/>
          <w:bCs/>
          <w:szCs w:val="21"/>
          <w:lang w:bidi="en-US"/>
        </w:rPr>
      </w:pPr>
      <w:r>
        <w:rPr>
          <w:b/>
          <w:bCs/>
          <w:szCs w:val="21"/>
          <w:lang w:bidi="en-US"/>
        </w:rPr>
        <w:t xml:space="preserve">二、配件要求</w:t>
      </w:r>
      <w:r/>
    </w:p>
    <w:p>
      <w:pPr>
        <w:numPr>
          <w:ilvl w:val="0"/>
          <w:numId w:val="26"/>
        </w:numPr>
        <w:jc w:val="left"/>
        <w:spacing w:line="440" w:lineRule="exact"/>
        <w:rPr>
          <w:szCs w:val="21"/>
          <w:lang w:bidi="en-US"/>
        </w:rPr>
      </w:pPr>
      <w:r>
        <w:rPr>
          <w:szCs w:val="21"/>
          <w:lang w:bidi="en-US"/>
        </w:rPr>
        <w:t xml:space="preserve">铜含量标准液（10μg/mL）</w:t>
      </w:r>
      <w:r/>
    </w:p>
    <w:p>
      <w:pPr>
        <w:numPr>
          <w:ilvl w:val="0"/>
          <w:numId w:val="26"/>
        </w:numPr>
        <w:jc w:val="left"/>
        <w:spacing w:line="440" w:lineRule="exact"/>
        <w:rPr>
          <w:szCs w:val="21"/>
          <w:lang w:bidi="en-US"/>
        </w:rPr>
      </w:pPr>
      <w:r>
        <w:rPr>
          <w:szCs w:val="21"/>
          <w:lang w:eastAsia="en-US" w:bidi="en-US"/>
        </w:rPr>
        <w:t xml:space="preserve">排污管</w:t>
      </w:r>
      <w:r/>
    </w:p>
    <w:p>
      <w:pPr>
        <w:numPr>
          <w:ilvl w:val="0"/>
          <w:numId w:val="26"/>
        </w:numPr>
        <w:jc w:val="left"/>
        <w:spacing w:line="440" w:lineRule="exact"/>
        <w:rPr>
          <w:szCs w:val="21"/>
          <w:lang w:bidi="en-US"/>
        </w:rPr>
      </w:pPr>
      <w:r>
        <w:rPr>
          <w:szCs w:val="21"/>
          <w:lang w:eastAsia="en-US" w:bidi="en-US"/>
        </w:rPr>
        <w:t xml:space="preserve">电源线</w:t>
      </w:r>
      <w:r/>
    </w:p>
    <w:p>
      <w:pPr>
        <w:numPr>
          <w:ilvl w:val="0"/>
          <w:numId w:val="26"/>
        </w:numPr>
        <w:jc w:val="left"/>
        <w:spacing w:line="440" w:lineRule="exact"/>
        <w:rPr>
          <w:szCs w:val="21"/>
          <w:lang w:bidi="en-US"/>
        </w:rPr>
      </w:pPr>
      <w:r>
        <w:rPr>
          <w:szCs w:val="21"/>
          <w:lang w:eastAsia="en-US" w:bidi="en-US"/>
        </w:rPr>
        <w:t xml:space="preserve">进样杯</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品目十六 总有机碳ToC测定仪</w:t>
      </w:r>
      <w:r/>
    </w:p>
    <w:p>
      <w:pPr>
        <w:numPr>
          <w:ilvl w:val="0"/>
          <w:numId w:val="27"/>
        </w:numPr>
        <w:spacing w:line="440" w:lineRule="exact"/>
        <w:tabs>
          <w:tab w:val="left" w:pos="705" w:leader="none"/>
        </w:tabs>
        <w:rPr>
          <w:szCs w:val="21"/>
          <w:lang w:bidi="en-US"/>
        </w:rPr>
      </w:pPr>
      <w:r>
        <w:rPr>
          <w:szCs w:val="21"/>
          <w:lang w:bidi="en-US"/>
        </w:rPr>
        <w:t xml:space="preserve">单独的系统适用性试验界面，检测曲线实时可见</w:t>
      </w:r>
      <w:r/>
    </w:p>
    <w:p>
      <w:pPr>
        <w:numPr>
          <w:ilvl w:val="0"/>
          <w:numId w:val="27"/>
        </w:numPr>
        <w:spacing w:line="440" w:lineRule="exact"/>
        <w:tabs>
          <w:tab w:val="left" w:pos="705" w:leader="none"/>
        </w:tabs>
        <w:rPr>
          <w:szCs w:val="21"/>
          <w:lang w:bidi="en-US"/>
        </w:rPr>
      </w:pPr>
      <w:r>
        <w:rPr>
          <w:szCs w:val="21"/>
          <w:lang w:bidi="en-US"/>
        </w:rPr>
        <w:t xml:space="preserve">内置针式打印机</w:t>
      </w:r>
      <w:r/>
    </w:p>
    <w:p>
      <w:pPr>
        <w:numPr>
          <w:ilvl w:val="0"/>
          <w:numId w:val="27"/>
        </w:numPr>
        <w:spacing w:line="440" w:lineRule="exact"/>
        <w:tabs>
          <w:tab w:val="left" w:pos="705" w:leader="none"/>
        </w:tabs>
        <w:rPr>
          <w:szCs w:val="21"/>
          <w:lang w:bidi="en-US"/>
        </w:rPr>
      </w:pPr>
      <w:r>
        <w:rPr>
          <w:szCs w:val="21"/>
          <w:lang w:bidi="en-US"/>
        </w:rPr>
        <w:t xml:space="preserve">紫外灯寿命倒计时，便于紫外灯的更换与维护</w:t>
      </w:r>
      <w:r/>
    </w:p>
    <w:p>
      <w:pPr>
        <w:numPr>
          <w:ilvl w:val="0"/>
          <w:numId w:val="27"/>
        </w:numPr>
        <w:spacing w:line="440" w:lineRule="exact"/>
        <w:tabs>
          <w:tab w:val="left" w:pos="705" w:leader="none"/>
        </w:tabs>
        <w:rPr>
          <w:szCs w:val="21"/>
          <w:lang w:bidi="en-US"/>
        </w:rPr>
      </w:pPr>
      <w:r>
        <w:rPr>
          <w:szCs w:val="21"/>
          <w:lang w:bidi="en-US"/>
        </w:rPr>
        <w:t xml:space="preserve">具有超出上限报警输出功能</w:t>
      </w:r>
      <w:r/>
    </w:p>
    <w:p>
      <w:pPr>
        <w:numPr>
          <w:ilvl w:val="0"/>
          <w:numId w:val="27"/>
        </w:numPr>
        <w:spacing w:line="440" w:lineRule="exact"/>
        <w:tabs>
          <w:tab w:val="left" w:pos="705" w:leader="none"/>
        </w:tabs>
        <w:rPr>
          <w:szCs w:val="21"/>
          <w:lang w:bidi="en-US"/>
        </w:rPr>
      </w:pPr>
      <w:r>
        <w:rPr>
          <w:szCs w:val="21"/>
          <w:lang w:bidi="en-US"/>
        </w:rPr>
        <w:t xml:space="preserve">可外接4</w:t>
      </w:r>
      <w:r>
        <w:rPr>
          <w:szCs w:val="21"/>
          <w:lang w:bidi="en-US"/>
        </w:rPr>
        <w:t xml:space="preserve">～</w:t>
      </w:r>
      <w:r>
        <w:rPr>
          <w:szCs w:val="21"/>
          <w:lang w:bidi="en-US"/>
        </w:rPr>
        <w:t xml:space="preserve">20mA</w:t>
      </w:r>
      <w:r>
        <w:t xml:space="preserve">信号输出</w:t>
      </w:r>
      <w:r/>
    </w:p>
    <w:p>
      <w:pPr>
        <w:numPr>
          <w:ilvl w:val="0"/>
          <w:numId w:val="27"/>
        </w:numPr>
        <w:spacing w:line="440" w:lineRule="exact"/>
        <w:tabs>
          <w:tab w:val="left" w:pos="705" w:leader="none"/>
        </w:tabs>
        <w:rPr>
          <w:szCs w:val="21"/>
          <w:lang w:bidi="en-US"/>
        </w:rPr>
      </w:pPr>
      <w:r>
        <w:rPr>
          <w:szCs w:val="21"/>
          <w:lang w:bidi="en-US"/>
        </w:rPr>
        <w:t xml:space="preserve">配备在线进样装置，实现水系统的在线监测</w:t>
      </w:r>
      <w:r/>
    </w:p>
    <w:p>
      <w:pPr>
        <w:numPr>
          <w:ilvl w:val="0"/>
          <w:numId w:val="27"/>
        </w:numPr>
        <w:spacing w:line="440" w:lineRule="exact"/>
        <w:tabs>
          <w:tab w:val="left" w:pos="705" w:leader="none"/>
        </w:tabs>
        <w:rPr>
          <w:szCs w:val="21"/>
          <w:lang w:bidi="en-US"/>
        </w:rPr>
      </w:pPr>
      <w:r>
        <w:rPr>
          <w:szCs w:val="21"/>
          <w:lang w:bidi="en-US"/>
        </w:rPr>
        <w:t xml:space="preserve">配备自动校准包，一键完成自动校准和系统适用性试验</w:t>
      </w:r>
      <w:r/>
    </w:p>
    <w:p>
      <w:pPr>
        <w:numPr>
          <w:ilvl w:val="0"/>
          <w:numId w:val="27"/>
        </w:numPr>
        <w:spacing w:line="440" w:lineRule="exact"/>
        <w:tabs>
          <w:tab w:val="left" w:pos="705" w:leader="none"/>
        </w:tabs>
        <w:rPr>
          <w:szCs w:val="21"/>
          <w:lang w:bidi="en-US"/>
        </w:rPr>
      </w:pPr>
      <w:r>
        <w:rPr>
          <w:szCs w:val="21"/>
          <w:lang w:bidi="en-US"/>
        </w:rPr>
        <w:t xml:space="preserve">配备自动取样仪，实现无人值守</w:t>
      </w:r>
      <w:r/>
    </w:p>
    <w:p>
      <w:pPr>
        <w:numPr>
          <w:ilvl w:val="0"/>
          <w:numId w:val="27"/>
        </w:numPr>
        <w:jc w:val="left"/>
        <w:spacing w:line="440" w:lineRule="exact"/>
        <w:rPr>
          <w:szCs w:val="21"/>
          <w:lang w:bidi="en-US"/>
        </w:rPr>
      </w:pPr>
      <w:r>
        <w:rPr>
          <w:szCs w:val="21"/>
          <w:lang w:bidi="en-US"/>
        </w:rPr>
        <w:t xml:space="preserve">操作TOC检测范围：0.1µg/L～1500.0µg/L</w:t>
      </w:r>
      <w:r/>
    </w:p>
    <w:p>
      <w:pPr>
        <w:numPr>
          <w:ilvl w:val="0"/>
          <w:numId w:val="27"/>
        </w:numPr>
        <w:jc w:val="left"/>
        <w:spacing w:line="440" w:lineRule="exact"/>
        <w:rPr>
          <w:szCs w:val="21"/>
          <w:lang w:bidi="en-US"/>
        </w:rPr>
      </w:pPr>
      <w:r>
        <w:rPr>
          <w:szCs w:val="21"/>
          <w:lang w:bidi="en-US"/>
        </w:rPr>
        <w:t xml:space="preserve">TOC检测精度：0.1µg/L（电导率＜1.0µS/cm）</w:t>
      </w:r>
      <w:r/>
    </w:p>
    <w:p>
      <w:pPr>
        <w:numPr>
          <w:ilvl w:val="0"/>
          <w:numId w:val="27"/>
        </w:numPr>
        <w:jc w:val="left"/>
        <w:spacing w:line="440" w:lineRule="exact"/>
        <w:rPr>
          <w:szCs w:val="21"/>
          <w:lang w:bidi="en-US"/>
        </w:rPr>
      </w:pPr>
      <w:r>
        <w:rPr>
          <w:szCs w:val="21"/>
          <w:lang w:bidi="en-US"/>
        </w:rPr>
        <w:t xml:space="preserve">电导率检测范围：0.055～6.000µS/cm</w:t>
      </w:r>
      <w:r/>
    </w:p>
    <w:p>
      <w:pPr>
        <w:numPr>
          <w:ilvl w:val="0"/>
          <w:numId w:val="27"/>
        </w:numPr>
        <w:jc w:val="left"/>
        <w:spacing w:line="440" w:lineRule="exact"/>
        <w:rPr>
          <w:szCs w:val="21"/>
          <w:lang w:bidi="en-US"/>
        </w:rPr>
      </w:pPr>
      <w:r>
        <w:rPr>
          <w:szCs w:val="21"/>
          <w:lang w:bidi="en-US"/>
        </w:rPr>
        <w:t xml:space="preserve">TOC准确性误差：≤±4%</w:t>
      </w:r>
      <w:r/>
    </w:p>
    <w:p>
      <w:pPr>
        <w:numPr>
          <w:ilvl w:val="0"/>
          <w:numId w:val="27"/>
        </w:numPr>
        <w:jc w:val="left"/>
        <w:spacing w:line="440" w:lineRule="exact"/>
        <w:rPr>
          <w:szCs w:val="21"/>
          <w:lang w:bidi="en-US"/>
        </w:rPr>
      </w:pPr>
      <w:r>
        <w:rPr>
          <w:szCs w:val="21"/>
          <w:lang w:bidi="en-US"/>
        </w:rPr>
        <w:t xml:space="preserve">重复性误差：≤2%</w:t>
      </w:r>
      <w:r/>
    </w:p>
    <w:p>
      <w:pPr>
        <w:numPr>
          <w:ilvl w:val="0"/>
          <w:numId w:val="27"/>
        </w:numPr>
        <w:jc w:val="left"/>
        <w:spacing w:line="440" w:lineRule="exact"/>
        <w:rPr>
          <w:szCs w:val="21"/>
          <w:lang w:bidi="en-US"/>
        </w:rPr>
      </w:pPr>
      <w:r>
        <w:rPr>
          <w:szCs w:val="21"/>
          <w:lang w:bidi="en-US"/>
        </w:rPr>
        <w:t xml:space="preserve">分析时间：最短1min的分析间隔时间（可任意设定）</w:t>
      </w:r>
      <w:r/>
    </w:p>
    <w:p>
      <w:pPr>
        <w:numPr>
          <w:ilvl w:val="0"/>
          <w:numId w:val="27"/>
        </w:numPr>
        <w:jc w:val="left"/>
        <w:spacing w:line="440" w:lineRule="exact"/>
        <w:rPr>
          <w:szCs w:val="21"/>
          <w:lang w:bidi="en-US"/>
        </w:rPr>
      </w:pPr>
      <w:r>
        <w:rPr>
          <w:szCs w:val="21"/>
          <w:lang w:bidi="en-US"/>
        </w:rPr>
        <w:t xml:space="preserve">响应时间：6min以内</w:t>
      </w:r>
      <w:r/>
    </w:p>
    <w:p>
      <w:pPr>
        <w:numPr>
          <w:ilvl w:val="0"/>
          <w:numId w:val="27"/>
        </w:numPr>
        <w:jc w:val="left"/>
        <w:spacing w:line="440" w:lineRule="exact"/>
        <w:rPr>
          <w:szCs w:val="21"/>
          <w:lang w:bidi="en-US"/>
        </w:rPr>
      </w:pPr>
      <w:r>
        <w:rPr>
          <w:szCs w:val="21"/>
          <w:lang w:bidi="en-US"/>
        </w:rPr>
        <w:t xml:space="preserve">样品温度：0～100℃</w:t>
      </w:r>
      <w:r/>
    </w:p>
    <w:p>
      <w:pPr>
        <w:numPr>
          <w:ilvl w:val="0"/>
          <w:numId w:val="27"/>
        </w:numPr>
        <w:jc w:val="left"/>
        <w:spacing w:line="440" w:lineRule="exact"/>
        <w:rPr>
          <w:szCs w:val="21"/>
          <w:lang w:bidi="en-US"/>
        </w:rPr>
      </w:pPr>
      <w:r>
        <w:rPr>
          <w:szCs w:val="21"/>
          <w:lang w:bidi="en-US"/>
        </w:rPr>
        <w:t xml:space="preserve">零点漂移：±2%/D</w:t>
      </w:r>
      <w:r/>
    </w:p>
    <w:p>
      <w:pPr>
        <w:numPr>
          <w:ilvl w:val="0"/>
          <w:numId w:val="27"/>
        </w:numPr>
        <w:jc w:val="left"/>
        <w:spacing w:line="440" w:lineRule="exact"/>
        <w:rPr>
          <w:szCs w:val="21"/>
          <w:lang w:bidi="en-US"/>
        </w:rPr>
      </w:pPr>
      <w:r>
        <w:rPr>
          <w:szCs w:val="21"/>
          <w:lang w:bidi="en-US"/>
        </w:rPr>
        <w:t xml:space="preserve">量程漂移：±2%/D</w:t>
      </w:r>
      <w:r/>
    </w:p>
    <w:p>
      <w:pPr>
        <w:numPr>
          <w:ilvl w:val="0"/>
          <w:numId w:val="27"/>
        </w:numPr>
        <w:jc w:val="left"/>
        <w:spacing w:line="440" w:lineRule="exact"/>
        <w:rPr>
          <w:szCs w:val="21"/>
          <w:lang w:bidi="en-US"/>
        </w:rPr>
      </w:pPr>
      <w:r>
        <w:rPr>
          <w:szCs w:val="21"/>
          <w:lang w:bidi="en-US"/>
        </w:rPr>
        <w:t xml:space="preserve">环境温度：0～60℃（温度变化在±5℃/d以内）</w:t>
      </w:r>
      <w:r/>
    </w:p>
    <w:p>
      <w:pPr>
        <w:numPr>
          <w:ilvl w:val="0"/>
          <w:numId w:val="27"/>
        </w:numPr>
        <w:jc w:val="left"/>
        <w:spacing w:line="440" w:lineRule="exact"/>
        <w:rPr>
          <w:szCs w:val="21"/>
          <w:lang w:bidi="en-US"/>
        </w:rPr>
      </w:pPr>
      <w:r>
        <w:rPr>
          <w:szCs w:val="21"/>
          <w:lang w:bidi="en-US"/>
        </w:rPr>
        <w:t xml:space="preserve">相对湿度：≤90%</w:t>
      </w:r>
      <w:r/>
    </w:p>
    <w:p>
      <w:pPr>
        <w:numPr>
          <w:ilvl w:val="0"/>
          <w:numId w:val="27"/>
        </w:numPr>
        <w:jc w:val="left"/>
        <w:spacing w:line="440" w:lineRule="exact"/>
        <w:rPr>
          <w:szCs w:val="21"/>
          <w:lang w:bidi="en-US"/>
        </w:rPr>
      </w:pPr>
      <w:r>
        <w:rPr>
          <w:szCs w:val="21"/>
          <w:lang w:bidi="en-US"/>
        </w:rPr>
        <w:t xml:space="preserve">电源要求电源：220±22VAC   50±1Hz</w:t>
      </w:r>
      <w:r/>
    </w:p>
    <w:p>
      <w:pPr>
        <w:numPr>
          <w:ilvl w:val="0"/>
          <w:numId w:val="27"/>
        </w:numPr>
        <w:jc w:val="left"/>
        <w:spacing w:line="440" w:lineRule="exact"/>
        <w:rPr>
          <w:szCs w:val="21"/>
          <w:lang w:bidi="en-US"/>
        </w:rPr>
      </w:pPr>
      <w:r>
        <w:rPr>
          <w:szCs w:val="21"/>
          <w:lang w:bidi="en-US"/>
        </w:rPr>
        <w:t xml:space="preserve">功率：</w:t>
      </w:r>
      <w:r>
        <w:t xml:space="preserve">≤</w:t>
      </w:r>
      <w:r>
        <w:rPr>
          <w:szCs w:val="21"/>
          <w:lang w:bidi="en-US"/>
        </w:rPr>
        <w:t xml:space="preserve">60W</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品目十七 紫外分光光度计</w:t>
      </w:r>
      <w:r/>
    </w:p>
    <w:p>
      <w:pPr>
        <w:pStyle w:val="1547"/>
        <w:spacing w:before="62" w:after="62" w:line="440" w:lineRule="exact"/>
        <w:rPr>
          <w:rFonts w:eastAsia="宋体"/>
          <w:szCs w:val="21"/>
        </w:rPr>
      </w:pPr>
      <w:r>
        <w:rPr>
          <w:rFonts w:eastAsia="宋体"/>
          <w:szCs w:val="21"/>
        </w:rPr>
        <w:t xml:space="preserve">一、主机</w:t>
      </w:r>
      <w:r/>
    </w:p>
    <w:p>
      <w:pPr>
        <w:ind w:left="424" w:hanging="214"/>
        <w:jc w:val="left"/>
        <w:spacing w:line="440" w:lineRule="exact"/>
        <w:widowControl/>
        <w:rPr>
          <w:bCs/>
          <w:szCs w:val="21"/>
        </w:rPr>
      </w:pPr>
      <w:r>
        <w:rPr>
          <w:bCs/>
          <w:szCs w:val="21"/>
        </w:rPr>
        <w:t xml:space="preserve">1.检测器：光电倍增管。</w:t>
      </w:r>
      <w:r/>
    </w:p>
    <w:p>
      <w:pPr>
        <w:ind w:left="424" w:hanging="214"/>
        <w:jc w:val="left"/>
        <w:spacing w:line="440" w:lineRule="exact"/>
        <w:widowControl/>
        <w:rPr>
          <w:bCs/>
          <w:szCs w:val="21"/>
        </w:rPr>
      </w:pPr>
      <w:r>
        <w:rPr>
          <w:bCs/>
          <w:szCs w:val="21"/>
        </w:rPr>
        <w:t xml:space="preserve">2.测光系统：双光束。</w:t>
      </w:r>
      <w:r/>
    </w:p>
    <w:p>
      <w:pPr>
        <w:ind w:left="424" w:hanging="214"/>
        <w:jc w:val="left"/>
        <w:spacing w:line="440" w:lineRule="exact"/>
        <w:widowControl/>
        <w:rPr>
          <w:bCs/>
          <w:szCs w:val="21"/>
        </w:rPr>
      </w:pPr>
      <w:r>
        <w:rPr>
          <w:bCs/>
          <w:szCs w:val="21"/>
        </w:rPr>
        <w:t xml:space="preserve">3.光学系统：高分辨率衍射全息光栅。</w:t>
      </w:r>
      <w:r/>
    </w:p>
    <w:p>
      <w:pPr>
        <w:ind w:left="424" w:hanging="214"/>
        <w:jc w:val="left"/>
        <w:spacing w:line="440" w:lineRule="exact"/>
        <w:widowControl/>
        <w:rPr>
          <w:bCs/>
          <w:szCs w:val="21"/>
        </w:rPr>
      </w:pPr>
      <w:r>
        <w:rPr>
          <w:bCs/>
          <w:szCs w:val="21"/>
        </w:rPr>
        <w:t xml:space="preserve">4.工作模式：PC联机模式。</w:t>
      </w:r>
      <w:r/>
    </w:p>
    <w:p>
      <w:pPr>
        <w:ind w:left="424" w:hanging="214"/>
        <w:jc w:val="left"/>
        <w:spacing w:line="440" w:lineRule="exact"/>
        <w:widowControl/>
        <w:rPr>
          <w:bCs/>
          <w:szCs w:val="21"/>
        </w:rPr>
      </w:pPr>
      <w:r>
        <w:rPr>
          <w:bCs/>
          <w:szCs w:val="21"/>
        </w:rPr>
        <w:t xml:space="preserve">5.波长范围：190nm～900nm。</w:t>
      </w:r>
      <w:r/>
    </w:p>
    <w:p>
      <w:pPr>
        <w:ind w:left="424" w:hanging="214"/>
        <w:jc w:val="left"/>
        <w:spacing w:line="440" w:lineRule="exact"/>
        <w:widowControl/>
        <w:rPr>
          <w:bCs/>
          <w:szCs w:val="21"/>
        </w:rPr>
      </w:pPr>
      <w:r>
        <w:rPr>
          <w:bCs/>
          <w:szCs w:val="21"/>
        </w:rPr>
        <w:t xml:space="preserve">6.波长准确度：±0.3nm（开机自动校准）。</w:t>
      </w:r>
      <w:r/>
    </w:p>
    <w:p>
      <w:pPr>
        <w:ind w:left="424" w:hanging="214"/>
        <w:jc w:val="left"/>
        <w:spacing w:line="440" w:lineRule="exact"/>
        <w:widowControl/>
        <w:rPr>
          <w:bCs/>
          <w:szCs w:val="21"/>
        </w:rPr>
      </w:pPr>
      <w:r>
        <w:rPr>
          <w:bCs/>
          <w:szCs w:val="21"/>
        </w:rPr>
        <w:t xml:space="preserve">7.波长重复性：≤0.15nm。</w:t>
      </w:r>
      <w:r/>
    </w:p>
    <w:p>
      <w:pPr>
        <w:ind w:left="425" w:hanging="425"/>
        <w:jc w:val="left"/>
        <w:spacing w:line="440" w:lineRule="exact"/>
        <w:widowControl/>
        <w:rPr>
          <w:bCs/>
          <w:szCs w:val="21"/>
        </w:rPr>
      </w:pPr>
      <w:r>
        <w:rPr>
          <w:rFonts w:ascii="Segoe UI Symbol" w:hAnsi="Segoe UI Symbol" w:cs="Segoe UI Symbol"/>
          <w:bCs/>
          <w:szCs w:val="21"/>
        </w:rPr>
        <w:t xml:space="preserve">★</w:t>
      </w:r>
      <w:r>
        <w:rPr>
          <w:bCs/>
          <w:szCs w:val="21"/>
        </w:rPr>
        <w:t xml:space="preserve">8.光谱带宽：0.1nm，0.2nm，0.5nm，1.0nm，2.0nm，5.0nm  6档可调。</w:t>
      </w:r>
      <w:r/>
    </w:p>
    <w:p>
      <w:pPr>
        <w:ind w:left="424" w:hanging="214"/>
        <w:jc w:val="left"/>
        <w:spacing w:line="440" w:lineRule="exact"/>
        <w:widowControl/>
        <w:rPr>
          <w:bCs/>
          <w:szCs w:val="21"/>
        </w:rPr>
      </w:pPr>
      <w:r>
        <w:rPr>
          <w:bCs/>
          <w:szCs w:val="21"/>
        </w:rPr>
        <w:t xml:space="preserve">9.杂散光：≤0.010%T（220nmNaI溶液）。</w:t>
      </w:r>
      <w:r/>
    </w:p>
    <w:p>
      <w:pPr>
        <w:ind w:left="424" w:hanging="214"/>
        <w:jc w:val="left"/>
        <w:spacing w:line="440" w:lineRule="exact"/>
        <w:widowControl/>
        <w:rPr>
          <w:bCs/>
          <w:szCs w:val="21"/>
        </w:rPr>
      </w:pPr>
      <w:r>
        <w:rPr>
          <w:bCs/>
          <w:szCs w:val="21"/>
        </w:rPr>
        <w:t xml:space="preserve">10.光源转换：自动切换（可在320nm～380nm波段范围内任意设定）</w:t>
      </w:r>
      <w:r/>
    </w:p>
    <w:p>
      <w:pPr>
        <w:ind w:left="424" w:hanging="214"/>
        <w:jc w:val="left"/>
        <w:spacing w:line="440" w:lineRule="exact"/>
        <w:widowControl/>
        <w:rPr>
          <w:bCs/>
          <w:szCs w:val="21"/>
        </w:rPr>
      </w:pPr>
      <w:r>
        <w:rPr>
          <w:bCs/>
          <w:szCs w:val="21"/>
        </w:rPr>
        <w:t xml:space="preserve">11.光度方式：透过率，吸光度，反射率，能量。</w:t>
      </w:r>
      <w:r/>
    </w:p>
    <w:p>
      <w:pPr>
        <w:ind w:left="424" w:hanging="214"/>
        <w:jc w:val="left"/>
        <w:spacing w:line="440" w:lineRule="exact"/>
        <w:widowControl/>
        <w:rPr>
          <w:bCs/>
          <w:szCs w:val="21"/>
        </w:rPr>
      </w:pPr>
      <w:r>
        <w:rPr>
          <w:bCs/>
          <w:szCs w:val="21"/>
        </w:rPr>
        <w:t xml:space="preserve">12.光度范围：-4.0～4.0Abs。</w:t>
      </w:r>
      <w:r/>
    </w:p>
    <w:p>
      <w:pPr>
        <w:ind w:left="424" w:hanging="214"/>
        <w:jc w:val="left"/>
        <w:spacing w:line="440" w:lineRule="exact"/>
        <w:widowControl/>
        <w:rPr>
          <w:bCs/>
          <w:szCs w:val="21"/>
        </w:rPr>
      </w:pPr>
      <w:r>
        <w:rPr>
          <w:bCs/>
          <w:szCs w:val="21"/>
        </w:rPr>
        <w:t xml:space="preserve">13.光度准确度：±0.002Abs（0～0.5Abs）；±0.004Abs（0.5～1.0Abs）；±0.3%T（0～100%T）。</w:t>
      </w:r>
      <w:r/>
    </w:p>
    <w:p>
      <w:pPr>
        <w:ind w:left="424" w:hanging="214"/>
        <w:jc w:val="left"/>
        <w:spacing w:line="440" w:lineRule="exact"/>
        <w:widowControl/>
        <w:rPr>
          <w:bCs/>
          <w:szCs w:val="21"/>
        </w:rPr>
      </w:pPr>
      <w:r>
        <w:rPr>
          <w:bCs/>
          <w:szCs w:val="21"/>
        </w:rPr>
        <w:t xml:space="preserve">14.光度重复性：0.001Abs（0～0.5Abs）、0.002Abs（0.5～1Abs）</w:t>
      </w:r>
      <w:r/>
    </w:p>
    <w:p>
      <w:pPr>
        <w:ind w:left="424" w:hanging="214"/>
        <w:jc w:val="left"/>
        <w:spacing w:line="440" w:lineRule="exact"/>
        <w:widowControl/>
        <w:rPr>
          <w:bCs/>
          <w:szCs w:val="21"/>
        </w:rPr>
      </w:pPr>
      <w:r>
        <w:rPr>
          <w:bCs/>
          <w:szCs w:val="21"/>
        </w:rPr>
        <w:t xml:space="preserve">15.基线平直度：±0.001Abs/h。</w:t>
      </w:r>
      <w:r/>
    </w:p>
    <w:p>
      <w:pPr>
        <w:ind w:left="424" w:hanging="214"/>
        <w:jc w:val="left"/>
        <w:spacing w:line="440" w:lineRule="exact"/>
        <w:widowControl/>
        <w:rPr>
          <w:bCs/>
          <w:szCs w:val="21"/>
        </w:rPr>
      </w:pPr>
      <w:r>
        <w:rPr>
          <w:bCs/>
          <w:szCs w:val="21"/>
        </w:rPr>
        <w:t xml:space="preserve">16.基线漂移：≤0.2%T/h</w:t>
      </w:r>
      <w:r/>
    </w:p>
    <w:p>
      <w:pPr>
        <w:ind w:left="424" w:hanging="214"/>
        <w:jc w:val="left"/>
        <w:spacing w:line="440" w:lineRule="exact"/>
        <w:widowControl/>
        <w:rPr>
          <w:bCs/>
          <w:szCs w:val="21"/>
        </w:rPr>
      </w:pPr>
      <w:r>
        <w:rPr>
          <w:bCs/>
          <w:szCs w:val="21"/>
        </w:rPr>
        <w:t xml:space="preserve">17.光源：插座型溴钨灯，更换灯后无须调整。</w:t>
      </w:r>
      <w:r/>
    </w:p>
    <w:p>
      <w:pPr>
        <w:pStyle w:val="1547"/>
        <w:spacing w:before="62" w:after="62" w:line="440" w:lineRule="exact"/>
        <w:rPr>
          <w:rFonts w:eastAsia="宋体"/>
          <w:szCs w:val="21"/>
        </w:rPr>
      </w:pPr>
      <w:r>
        <w:rPr>
          <w:rFonts w:eastAsia="宋体"/>
          <w:szCs w:val="21"/>
        </w:rPr>
        <w:t xml:space="preserve">二、软件</w:t>
      </w:r>
      <w:r/>
    </w:p>
    <w:p>
      <w:pPr>
        <w:ind w:left="424" w:hanging="214"/>
        <w:jc w:val="left"/>
        <w:spacing w:line="440" w:lineRule="exact"/>
        <w:widowControl/>
        <w:rPr>
          <w:bCs/>
          <w:szCs w:val="21"/>
        </w:rPr>
      </w:pPr>
      <w:r>
        <w:rPr>
          <w:bCs/>
          <w:szCs w:val="21"/>
        </w:rPr>
        <w:t xml:space="preserve">1.具有光度测量、光谱扫描、时间扫描、定量计算、三维谱图、DNA蛋白质测定等功能。</w:t>
      </w:r>
      <w:r/>
    </w:p>
    <w:p>
      <w:pPr>
        <w:ind w:left="424" w:hanging="214"/>
        <w:jc w:val="left"/>
        <w:spacing w:line="440" w:lineRule="exact"/>
        <w:widowControl/>
        <w:rPr>
          <w:bCs/>
          <w:szCs w:val="21"/>
        </w:rPr>
      </w:pPr>
      <w:r>
        <w:rPr>
          <w:bCs/>
          <w:szCs w:val="21"/>
        </w:rPr>
        <w:t xml:space="preserve">2.软件具有多用户管理、日志记录、二进制文件保存、质量控制及报告输出功能等。</w:t>
      </w:r>
      <w:r/>
    </w:p>
    <w:p>
      <w:pPr>
        <w:pStyle w:val="1547"/>
        <w:spacing w:before="62" w:after="62" w:line="440" w:lineRule="exact"/>
        <w:rPr>
          <w:rFonts w:eastAsia="宋体"/>
          <w:szCs w:val="21"/>
        </w:rPr>
      </w:pPr>
      <w:r>
        <w:rPr>
          <w:rFonts w:eastAsia="宋体"/>
          <w:szCs w:val="21"/>
        </w:rPr>
        <w:t xml:space="preserve">三、配置清单</w:t>
      </w:r>
      <w:r/>
    </w:p>
    <w:p>
      <w:pPr>
        <w:ind w:left="424" w:hanging="214"/>
        <w:spacing w:line="440" w:lineRule="exact"/>
        <w:rPr>
          <w:szCs w:val="21"/>
        </w:rPr>
      </w:pPr>
      <w:r>
        <w:rPr>
          <w:szCs w:val="21"/>
        </w:rPr>
        <w:t xml:space="preserve">1.双光束紫外可见分光光度计 1台</w:t>
      </w:r>
      <w:r/>
    </w:p>
    <w:p>
      <w:pPr>
        <w:ind w:left="424" w:hanging="214"/>
        <w:spacing w:line="440" w:lineRule="exact"/>
        <w:rPr>
          <w:szCs w:val="21"/>
        </w:rPr>
      </w:pPr>
      <w:r>
        <w:rPr>
          <w:szCs w:val="21"/>
        </w:rPr>
        <w:t xml:space="preserve">2.中文工作站软件 1套</w:t>
      </w:r>
      <w:r/>
    </w:p>
    <w:p>
      <w:pPr>
        <w:ind w:left="424" w:hanging="214"/>
        <w:spacing w:line="440" w:lineRule="exact"/>
        <w:rPr>
          <w:szCs w:val="21"/>
        </w:rPr>
      </w:pPr>
      <w:r>
        <w:rPr>
          <w:szCs w:val="21"/>
        </w:rPr>
        <w:t xml:space="preserve">3. 10cm长样品池 1只</w:t>
      </w:r>
      <w:r/>
    </w:p>
    <w:p>
      <w:pPr>
        <w:ind w:left="424" w:hanging="214"/>
        <w:spacing w:line="440" w:lineRule="exact"/>
        <w:rPr>
          <w:szCs w:val="21"/>
        </w:rPr>
      </w:pPr>
      <w:r>
        <w:rPr>
          <w:szCs w:val="21"/>
        </w:rPr>
        <w:t xml:space="preserve">4. 1cm石英比色皿 2只</w:t>
      </w:r>
      <w:r/>
    </w:p>
    <w:p>
      <w:pPr>
        <w:ind w:firstLine="210"/>
        <w:spacing w:line="440" w:lineRule="exact"/>
        <w:rPr>
          <w:szCs w:val="21"/>
        </w:rPr>
      </w:pPr>
      <w:r>
        <w:rPr>
          <w:szCs w:val="21"/>
        </w:rPr>
        <w:t xml:space="preserve">5.电脑 1台</w:t>
      </w:r>
      <w:r/>
    </w:p>
    <w:p>
      <w:pPr>
        <w:ind w:left="424" w:hanging="214"/>
        <w:spacing w:line="440" w:lineRule="exact"/>
      </w:pPr>
      <w:r>
        <w:t xml:space="preserve">6.</w:t>
      </w:r>
      <w:r>
        <w:rPr>
          <w:szCs w:val="21"/>
        </w:rPr>
        <w:t xml:space="preserve">打印机 1台</w:t>
      </w:r>
      <w:r/>
    </w:p>
    <w:p>
      <w:pPr>
        <w:jc w:val="center"/>
        <w:spacing w:line="440" w:lineRule="exact"/>
        <w:rPr>
          <w:b/>
          <w:bCs/>
          <w:szCs w:val="21"/>
        </w:rPr>
      </w:pPr>
      <w:r>
        <w:rPr>
          <w:b/>
          <w:bCs/>
          <w:szCs w:val="21"/>
        </w:rPr>
      </w:r>
      <w:r/>
    </w:p>
    <w:p>
      <w:pPr>
        <w:jc w:val="center"/>
        <w:spacing w:line="440" w:lineRule="exact"/>
        <w:rPr>
          <w:b/>
          <w:bCs/>
          <w:szCs w:val="21"/>
        </w:rPr>
      </w:pPr>
      <w:r>
        <w:rPr>
          <w:b/>
          <w:bCs/>
          <w:szCs w:val="21"/>
        </w:rPr>
        <w:t xml:space="preserve">品目十八 浊度计</w:t>
      </w:r>
      <w:r/>
    </w:p>
    <w:p>
      <w:pPr>
        <w:spacing w:line="440" w:lineRule="exact"/>
        <w:rPr>
          <w:b/>
          <w:bCs/>
          <w:szCs w:val="21"/>
        </w:rPr>
      </w:pPr>
      <w:r>
        <w:rPr>
          <w:b/>
          <w:bCs/>
          <w:szCs w:val="21"/>
        </w:rPr>
        <w:t xml:space="preserve">一、功能特点</w:t>
      </w:r>
      <w:r/>
    </w:p>
    <w:p>
      <w:pPr>
        <w:numPr>
          <w:ilvl w:val="0"/>
          <w:numId w:val="28"/>
        </w:numPr>
        <w:spacing w:line="440" w:lineRule="exact"/>
        <w:rPr>
          <w:szCs w:val="21"/>
          <w:lang w:bidi="ar"/>
        </w:rPr>
      </w:pPr>
      <w:r>
        <w:rPr>
          <w:szCs w:val="21"/>
          <w:lang w:bidi="ar"/>
        </w:rPr>
        <w:t xml:space="preserve">符合标准：符合《HJ1075-2019水质浊度的测定浊度计法》推荐的双光束测量</w:t>
      </w:r>
      <w:r/>
    </w:p>
    <w:p>
      <w:pPr>
        <w:numPr>
          <w:ilvl w:val="0"/>
          <w:numId w:val="28"/>
        </w:numPr>
        <w:spacing w:line="440" w:lineRule="exact"/>
        <w:rPr>
          <w:szCs w:val="21"/>
          <w:lang w:bidi="ar"/>
        </w:rPr>
      </w:pPr>
      <w:r>
        <w:rPr>
          <w:szCs w:val="21"/>
          <w:lang w:bidi="ar"/>
        </w:rPr>
        <w:t xml:space="preserve">测量方法：比率测量技术-90度散射法+透射光</w:t>
      </w:r>
      <w:r/>
    </w:p>
    <w:p>
      <w:pPr>
        <w:numPr>
          <w:ilvl w:val="0"/>
          <w:numId w:val="28"/>
        </w:numPr>
        <w:spacing w:line="440" w:lineRule="exact"/>
        <w:rPr>
          <w:szCs w:val="21"/>
          <w:lang w:bidi="ar"/>
        </w:rPr>
      </w:pPr>
      <w:r>
        <w:rPr>
          <w:szCs w:val="21"/>
        </w:rPr>
        <w:t xml:space="preserve">可直接测量(0</w:t>
      </w:r>
      <w:r>
        <w:rPr>
          <w:bCs/>
          <w:szCs w:val="21"/>
        </w:rPr>
        <w:t xml:space="preserve">～</w:t>
      </w:r>
      <w:r>
        <w:rPr>
          <w:szCs w:val="21"/>
        </w:rPr>
        <w:t xml:space="preserve">100)NTU的低浓度浊度样品；</w:t>
      </w:r>
      <w:r/>
    </w:p>
    <w:p>
      <w:pPr>
        <w:numPr>
          <w:ilvl w:val="0"/>
          <w:numId w:val="28"/>
        </w:numPr>
        <w:spacing w:line="440" w:lineRule="exact"/>
        <w:rPr>
          <w:szCs w:val="21"/>
          <w:lang w:bidi="ar"/>
        </w:rPr>
      </w:pPr>
      <w:r>
        <w:rPr>
          <w:szCs w:val="21"/>
          <w:lang w:bidi="ar"/>
        </w:rPr>
        <w:t xml:space="preserve">比色方式：25mm管比色</w:t>
      </w:r>
      <w:r/>
    </w:p>
    <w:p>
      <w:pPr>
        <w:numPr>
          <w:ilvl w:val="0"/>
          <w:numId w:val="28"/>
        </w:numPr>
        <w:spacing w:line="440" w:lineRule="exact"/>
        <w:rPr>
          <w:szCs w:val="21"/>
          <w:lang w:bidi="ar"/>
        </w:rPr>
      </w:pPr>
      <w:r>
        <w:rPr>
          <w:szCs w:val="21"/>
          <w:lang w:bidi="ar"/>
        </w:rPr>
        <w:t xml:space="preserve">屏幕显示：采用不小于3.5吋高清彩色屏幕；</w:t>
      </w:r>
      <w:r/>
    </w:p>
    <w:p>
      <w:pPr>
        <w:numPr>
          <w:ilvl w:val="0"/>
          <w:numId w:val="28"/>
        </w:numPr>
        <w:spacing w:line="440" w:lineRule="exact"/>
        <w:rPr>
          <w:szCs w:val="21"/>
          <w:lang w:bidi="ar"/>
        </w:rPr>
      </w:pPr>
      <w:r>
        <w:rPr>
          <w:szCs w:val="21"/>
          <w:lang w:bidi="ar"/>
        </w:rPr>
        <w:t xml:space="preserve">双光束测量：红外白光两种低量程测量模式可选；</w:t>
      </w:r>
      <w:r/>
    </w:p>
    <w:p>
      <w:pPr>
        <w:ind w:left="422" w:hanging="2"/>
        <w:spacing w:line="440" w:lineRule="exact"/>
        <w:rPr>
          <w:szCs w:val="21"/>
          <w:lang w:bidi="ar"/>
        </w:rPr>
      </w:pPr>
      <w:r>
        <w:rPr>
          <w:szCs w:val="21"/>
          <w:lang w:bidi="ar"/>
        </w:rPr>
        <w:t xml:space="preserve">红外低量程：有效进行低浓度色度补偿，适应带有颜色的样品测量；</w:t>
      </w:r>
      <w:r/>
    </w:p>
    <w:p>
      <w:pPr>
        <w:ind w:left="422" w:hanging="2"/>
        <w:spacing w:line="440" w:lineRule="exact"/>
        <w:rPr>
          <w:szCs w:val="21"/>
          <w:lang w:bidi="ar"/>
        </w:rPr>
      </w:pPr>
      <w:r>
        <w:rPr>
          <w:szCs w:val="21"/>
          <w:lang w:bidi="ar"/>
        </w:rPr>
        <w:t xml:space="preserve">白光低量程：精准实现低量程测值；</w:t>
      </w:r>
      <w:r/>
    </w:p>
    <w:p>
      <w:pPr>
        <w:numPr>
          <w:ilvl w:val="0"/>
          <w:numId w:val="28"/>
        </w:numPr>
        <w:spacing w:line="440" w:lineRule="exact"/>
        <w:rPr>
          <w:szCs w:val="21"/>
          <w:lang w:bidi="ar"/>
        </w:rPr>
      </w:pPr>
      <w:r>
        <w:rPr>
          <w:szCs w:val="21"/>
          <w:lang w:bidi="ar"/>
        </w:rPr>
        <w:t xml:space="preserve">数据非线性处理；采用比率读数，有效避免环境温度影响；</w:t>
      </w:r>
      <w:r/>
    </w:p>
    <w:p>
      <w:pPr>
        <w:numPr>
          <w:ilvl w:val="0"/>
          <w:numId w:val="28"/>
        </w:numPr>
        <w:spacing w:line="440" w:lineRule="exact"/>
        <w:rPr>
          <w:szCs w:val="21"/>
          <w:lang w:bidi="ar"/>
        </w:rPr>
      </w:pPr>
      <w:r>
        <w:rPr>
          <w:szCs w:val="21"/>
          <w:lang w:bidi="ar"/>
        </w:rPr>
        <w:t xml:space="preserve">内置常规模式和信号平均模式，常规模式适合多数样品，信号平均模式适合有悬浮物样品；</w:t>
      </w:r>
      <w:r/>
    </w:p>
    <w:p>
      <w:pPr>
        <w:numPr>
          <w:ilvl w:val="0"/>
          <w:numId w:val="28"/>
        </w:numPr>
        <w:spacing w:line="440" w:lineRule="exact"/>
        <w:rPr>
          <w:szCs w:val="21"/>
          <w:lang w:bidi="ar"/>
        </w:rPr>
      </w:pPr>
      <w:r>
        <w:rPr>
          <w:szCs w:val="21"/>
          <w:lang w:bidi="ar"/>
        </w:rPr>
        <w:t xml:space="preserve">采用高强度长寿命光源，减少维护成本，光源无需长时间预热，即可正常工作；</w:t>
      </w:r>
      <w:r/>
    </w:p>
    <w:p>
      <w:pPr>
        <w:numPr>
          <w:ilvl w:val="0"/>
          <w:numId w:val="28"/>
        </w:numPr>
        <w:spacing w:line="440" w:lineRule="exact"/>
        <w:rPr>
          <w:szCs w:val="21"/>
          <w:lang w:bidi="ar"/>
        </w:rPr>
      </w:pPr>
      <w:r>
        <w:rPr>
          <w:szCs w:val="21"/>
          <w:lang w:bidi="ar"/>
        </w:rPr>
        <w:t xml:space="preserve">超量程提示：通过测值区数值及表盘色彩变化直观显示测定结果是否超出量程，是否需要稀释检测；</w:t>
      </w:r>
      <w:r/>
    </w:p>
    <w:p>
      <w:pPr>
        <w:numPr>
          <w:ilvl w:val="0"/>
          <w:numId w:val="28"/>
        </w:numPr>
        <w:spacing w:line="440" w:lineRule="exact"/>
        <w:rPr>
          <w:szCs w:val="21"/>
          <w:lang w:bidi="ar"/>
        </w:rPr>
      </w:pPr>
      <w:r>
        <w:rPr>
          <w:szCs w:val="21"/>
          <w:lang w:bidi="ar"/>
        </w:rPr>
        <w:t xml:space="preserve">多点校准：可快速进行多点校准，更好适用各种水样浓度；</w:t>
      </w:r>
      <w:r/>
    </w:p>
    <w:p>
      <w:pPr>
        <w:numPr>
          <w:ilvl w:val="0"/>
          <w:numId w:val="28"/>
        </w:numPr>
        <w:spacing w:line="440" w:lineRule="exact"/>
        <w:rPr>
          <w:szCs w:val="21"/>
          <w:lang w:bidi="ar"/>
        </w:rPr>
      </w:pPr>
      <w:r>
        <w:rPr>
          <w:szCs w:val="21"/>
          <w:lang w:bidi="ar"/>
        </w:rPr>
        <w:t xml:space="preserve">校准记录：仪器保存最近一次校准记录，用户可查看校准值；</w:t>
      </w:r>
      <w:r/>
    </w:p>
    <w:p>
      <w:pPr>
        <w:numPr>
          <w:ilvl w:val="0"/>
          <w:numId w:val="28"/>
        </w:numPr>
        <w:spacing w:line="440" w:lineRule="exact"/>
        <w:rPr>
          <w:szCs w:val="21"/>
          <w:lang w:bidi="ar"/>
        </w:rPr>
      </w:pPr>
      <w:r>
        <w:rPr>
          <w:szCs w:val="21"/>
          <w:lang w:bidi="ar"/>
        </w:rPr>
        <w:t xml:space="preserve">比色管处理：配置硅油，可以在测量低值（5NTU以下）时在比色管表面用硅油处理，有效防止比色管划伤带来的误差；</w:t>
      </w:r>
      <w:r/>
    </w:p>
    <w:p>
      <w:pPr>
        <w:numPr>
          <w:ilvl w:val="0"/>
          <w:numId w:val="28"/>
        </w:numPr>
        <w:spacing w:line="440" w:lineRule="exact"/>
        <w:rPr>
          <w:szCs w:val="21"/>
          <w:lang w:bidi="ar"/>
        </w:rPr>
      </w:pPr>
      <w:r>
        <w:rPr>
          <w:szCs w:val="21"/>
          <w:lang w:bidi="ar"/>
        </w:rPr>
        <w:t xml:space="preserve">稳定的光路系统，无需空白调零即可直接测值；</w:t>
      </w:r>
      <w:r/>
    </w:p>
    <w:p>
      <w:pPr>
        <w:numPr>
          <w:ilvl w:val="0"/>
          <w:numId w:val="28"/>
        </w:numPr>
        <w:spacing w:line="440" w:lineRule="exact"/>
        <w:rPr>
          <w:szCs w:val="21"/>
          <w:lang w:bidi="ar"/>
        </w:rPr>
      </w:pPr>
      <w:r>
        <w:rPr>
          <w:szCs w:val="21"/>
          <w:lang w:bidi="ar"/>
        </w:rPr>
        <w:t xml:space="preserve">数据储存：仪器可存储至少5000条数据。</w:t>
      </w:r>
      <w:r/>
    </w:p>
    <w:p>
      <w:pPr>
        <w:numPr>
          <w:ilvl w:val="0"/>
          <w:numId w:val="28"/>
        </w:numPr>
        <w:spacing w:line="440" w:lineRule="exact"/>
        <w:rPr>
          <w:szCs w:val="21"/>
          <w:lang w:bidi="ar"/>
        </w:rPr>
      </w:pPr>
      <w:r>
        <w:rPr>
          <w:szCs w:val="21"/>
          <w:lang w:bidi="ar"/>
        </w:rPr>
        <w:t xml:space="preserve">具有Type-C数据传输接口，可将仪器数据传输至电脑端。</w:t>
      </w:r>
      <w:r/>
    </w:p>
    <w:p>
      <w:pPr>
        <w:spacing w:line="440" w:lineRule="exact"/>
        <w:rPr>
          <w:b/>
          <w:bCs/>
          <w:szCs w:val="21"/>
        </w:rPr>
      </w:pPr>
      <w:r>
        <w:rPr>
          <w:b/>
          <w:bCs/>
          <w:szCs w:val="21"/>
        </w:rPr>
        <w:t xml:space="preserve">二、技术参数</w:t>
      </w:r>
      <w:r/>
    </w:p>
    <w:p>
      <w:pPr>
        <w:numPr>
          <w:ilvl w:val="0"/>
          <w:numId w:val="29"/>
        </w:numPr>
        <w:spacing w:line="440" w:lineRule="exact"/>
        <w:rPr>
          <w:szCs w:val="21"/>
        </w:rPr>
      </w:pPr>
      <w:r>
        <w:rPr>
          <w:szCs w:val="21"/>
        </w:rPr>
        <w:t xml:space="preserve">测量方法：比率测量技术-90度散射法+透射光</w:t>
      </w:r>
      <w:r/>
    </w:p>
    <w:p>
      <w:pPr>
        <w:numPr>
          <w:ilvl w:val="0"/>
          <w:numId w:val="29"/>
        </w:numPr>
        <w:spacing w:line="440" w:lineRule="exact"/>
        <w:rPr>
          <w:szCs w:val="21"/>
        </w:rPr>
      </w:pPr>
      <w:r>
        <w:rPr>
          <w:szCs w:val="21"/>
        </w:rPr>
        <w:t xml:space="preserve">符合标准：《HJ1075-2018水质浊度的测定浊度计法》</w:t>
      </w:r>
      <w:r/>
    </w:p>
    <w:p>
      <w:pPr>
        <w:numPr>
          <w:ilvl w:val="0"/>
          <w:numId w:val="29"/>
        </w:numPr>
        <w:spacing w:line="440" w:lineRule="exact"/>
        <w:rPr>
          <w:szCs w:val="21"/>
        </w:rPr>
      </w:pPr>
      <w:r>
        <w:rPr>
          <w:szCs w:val="21"/>
        </w:rPr>
        <w:t xml:space="preserve">测量范围：0～100NTU；</w:t>
      </w:r>
      <w:r/>
    </w:p>
    <w:p>
      <w:pPr>
        <w:numPr>
          <w:ilvl w:val="0"/>
          <w:numId w:val="29"/>
        </w:numPr>
        <w:spacing w:line="440" w:lineRule="exact"/>
        <w:rPr>
          <w:szCs w:val="21"/>
        </w:rPr>
      </w:pPr>
      <w:r>
        <w:rPr>
          <w:szCs w:val="21"/>
        </w:rPr>
        <w:t xml:space="preserve">分辨率：（0～9.99NTU）分辨率0.01NTU；（10～99.9NTU）分辨率0.1NTU；</w:t>
      </w:r>
      <w:r/>
    </w:p>
    <w:p>
      <w:pPr>
        <w:numPr>
          <w:ilvl w:val="0"/>
          <w:numId w:val="29"/>
        </w:numPr>
        <w:spacing w:line="440" w:lineRule="exact"/>
        <w:rPr>
          <w:szCs w:val="21"/>
        </w:rPr>
      </w:pPr>
      <w:r>
        <w:rPr>
          <w:szCs w:val="21"/>
        </w:rPr>
        <w:t xml:space="preserve">光源：红外LED；白光LED；</w:t>
      </w:r>
      <w:r/>
    </w:p>
    <w:p>
      <w:pPr>
        <w:numPr>
          <w:ilvl w:val="0"/>
          <w:numId w:val="29"/>
        </w:numPr>
        <w:spacing w:line="440" w:lineRule="exact"/>
        <w:rPr>
          <w:szCs w:val="21"/>
        </w:rPr>
      </w:pPr>
      <w:r>
        <w:rPr>
          <w:szCs w:val="21"/>
        </w:rPr>
        <w:t xml:space="preserve">测量模式：（0～100）NTU普通样品；（0～100）NTU颜色样品；</w:t>
      </w:r>
      <w:r/>
    </w:p>
    <w:p>
      <w:pPr>
        <w:numPr>
          <w:ilvl w:val="0"/>
          <w:numId w:val="29"/>
        </w:numPr>
        <w:spacing w:line="440" w:lineRule="exact"/>
        <w:rPr>
          <w:szCs w:val="21"/>
        </w:rPr>
      </w:pPr>
      <w:r>
        <w:rPr>
          <w:szCs w:val="21"/>
        </w:rPr>
        <w:t xml:space="preserve">准确度：误差≤±5%；</w:t>
      </w:r>
      <w:r/>
    </w:p>
    <w:p>
      <w:pPr>
        <w:numPr>
          <w:ilvl w:val="0"/>
          <w:numId w:val="29"/>
        </w:numPr>
        <w:spacing w:line="440" w:lineRule="exact"/>
        <w:rPr>
          <w:szCs w:val="21"/>
        </w:rPr>
      </w:pPr>
      <w:r>
        <w:rPr>
          <w:szCs w:val="21"/>
        </w:rPr>
        <w:t xml:space="preserve">示值稳定性：±0.5%FS/30分钟</w:t>
      </w:r>
      <w:r/>
    </w:p>
    <w:p>
      <w:pPr>
        <w:numPr>
          <w:ilvl w:val="0"/>
          <w:numId w:val="29"/>
        </w:numPr>
        <w:spacing w:line="440" w:lineRule="exact"/>
        <w:rPr>
          <w:szCs w:val="21"/>
        </w:rPr>
      </w:pPr>
      <w:r>
        <w:rPr>
          <w:szCs w:val="21"/>
        </w:rPr>
        <w:t xml:space="preserve">重复性：±2%；</w:t>
      </w:r>
      <w:r/>
    </w:p>
    <w:p>
      <w:pPr>
        <w:numPr>
          <w:ilvl w:val="0"/>
          <w:numId w:val="29"/>
        </w:numPr>
        <w:spacing w:line="440" w:lineRule="exact"/>
        <w:rPr>
          <w:szCs w:val="21"/>
        </w:rPr>
      </w:pPr>
      <w:r>
        <w:rPr>
          <w:szCs w:val="21"/>
        </w:rPr>
        <w:t xml:space="preserve">读数模式：常规模式、信号平均模式</w:t>
      </w:r>
      <w:r/>
    </w:p>
    <w:p>
      <w:pPr>
        <w:numPr>
          <w:ilvl w:val="0"/>
          <w:numId w:val="29"/>
        </w:numPr>
        <w:spacing w:line="440" w:lineRule="exact"/>
        <w:rPr>
          <w:szCs w:val="21"/>
        </w:rPr>
      </w:pPr>
      <w:r>
        <w:rPr>
          <w:szCs w:val="21"/>
        </w:rPr>
        <w:t xml:space="preserve">空白漂移值：±0.5%FS/30分钟</w:t>
      </w:r>
      <w:r/>
    </w:p>
    <w:p>
      <w:pPr>
        <w:numPr>
          <w:ilvl w:val="0"/>
          <w:numId w:val="29"/>
        </w:numPr>
        <w:spacing w:line="440" w:lineRule="exact"/>
        <w:rPr>
          <w:szCs w:val="21"/>
        </w:rPr>
      </w:pPr>
      <w:r>
        <w:rPr>
          <w:szCs w:val="21"/>
        </w:rPr>
        <w:t xml:space="preserve">灵敏度：0.01NTU</w:t>
      </w:r>
      <w:r/>
    </w:p>
    <w:p>
      <w:pPr>
        <w:numPr>
          <w:ilvl w:val="0"/>
          <w:numId w:val="29"/>
        </w:numPr>
        <w:spacing w:line="440" w:lineRule="exact"/>
        <w:rPr>
          <w:szCs w:val="21"/>
        </w:rPr>
      </w:pPr>
      <w:r>
        <w:rPr>
          <w:szCs w:val="21"/>
        </w:rPr>
        <w:t xml:space="preserve">数据存储数量：5000组</w:t>
      </w:r>
      <w:r/>
    </w:p>
    <w:p>
      <w:pPr>
        <w:numPr>
          <w:ilvl w:val="0"/>
          <w:numId w:val="29"/>
        </w:numPr>
        <w:spacing w:line="440" w:lineRule="exact"/>
        <w:rPr>
          <w:szCs w:val="21"/>
        </w:rPr>
      </w:pPr>
      <w:r>
        <w:rPr>
          <w:szCs w:val="21"/>
        </w:rPr>
        <w:t xml:space="preserve">测量方式：φ25mm管直读数据</w:t>
      </w:r>
      <w:r/>
    </w:p>
    <w:p>
      <w:pPr>
        <w:numPr>
          <w:ilvl w:val="0"/>
          <w:numId w:val="29"/>
        </w:numPr>
        <w:spacing w:line="440" w:lineRule="exact"/>
        <w:rPr>
          <w:szCs w:val="21"/>
        </w:rPr>
      </w:pPr>
      <w:r>
        <w:rPr>
          <w:szCs w:val="21"/>
        </w:rPr>
        <w:t xml:space="preserve">显示屏：不小于3.5吋高清彩色屏幕</w:t>
      </w:r>
      <w:r/>
    </w:p>
    <w:p>
      <w:pPr>
        <w:numPr>
          <w:ilvl w:val="0"/>
          <w:numId w:val="29"/>
        </w:numPr>
        <w:spacing w:line="440" w:lineRule="exact"/>
        <w:rPr>
          <w:szCs w:val="21"/>
        </w:rPr>
      </w:pPr>
      <w:r>
        <w:rPr>
          <w:szCs w:val="21"/>
        </w:rPr>
        <w:t xml:space="preserve">环境湿度：相对湿度≤85% RH（无冷凝）</w:t>
      </w:r>
      <w:r/>
    </w:p>
    <w:p>
      <w:pPr>
        <w:numPr>
          <w:ilvl w:val="0"/>
          <w:numId w:val="29"/>
        </w:numPr>
        <w:spacing w:line="440" w:lineRule="exact"/>
        <w:rPr>
          <w:szCs w:val="21"/>
        </w:rPr>
      </w:pPr>
      <w:r>
        <w:rPr>
          <w:szCs w:val="21"/>
        </w:rPr>
        <w:t xml:space="preserve">环境温度：5～40℃</w:t>
      </w:r>
      <w:r/>
    </w:p>
    <w:p>
      <w:pPr>
        <w:numPr>
          <w:ilvl w:val="0"/>
          <w:numId w:val="29"/>
        </w:numPr>
        <w:spacing w:line="440" w:lineRule="exact"/>
        <w:rPr>
          <w:szCs w:val="21"/>
        </w:rPr>
      </w:pPr>
      <w:r>
        <w:rPr>
          <w:szCs w:val="21"/>
        </w:rPr>
        <w:t xml:space="preserve">仪器功率：20W</w:t>
      </w:r>
      <w:r/>
    </w:p>
    <w:p>
      <w:pPr>
        <w:numPr>
          <w:ilvl w:val="0"/>
          <w:numId w:val="29"/>
        </w:numPr>
        <w:spacing w:line="440" w:lineRule="exact"/>
        <w:rPr>
          <w:rFonts w:hint="eastAsia" w:ascii="宋体" w:hAnsi="宋体" w:cs="宋体"/>
          <w:szCs w:val="21"/>
        </w:rPr>
      </w:pPr>
      <w:r>
        <w:rPr>
          <w:szCs w:val="21"/>
        </w:rPr>
        <w:t xml:space="preserve">工作电压：AC220V</w:t>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rPr>
          <w:rFonts w:hint="eastAsia" w:eastAsiaTheme="minorEastAsia"/>
          <w:b/>
          <w:bCs/>
          <w:szCs w:val="21"/>
        </w:rPr>
        <w:t xml:space="preserve">：</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30"/>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5.2、调试检验验收要求：设备和配件是否齐全，外观是否完好，设备各部分功能是否能正常使用，所提供设备及零配件规格是否与买方要求相符。</w:t>
      </w:r>
      <w:r/>
    </w:p>
    <w:p>
      <w:pPr>
        <w:ind w:firstLine="420"/>
        <w:spacing w:line="360" w:lineRule="auto"/>
        <w:rPr>
          <w:rFonts w:eastAsiaTheme="minorEastAsia"/>
        </w:rPr>
      </w:pPr>
      <w:r>
        <w:rPr>
          <w:rFonts w:hint="eastAsia" w:ascii="宋体" w:hAnsi="宋体" w:cs="宋体"/>
          <w:color w:val="000000"/>
          <w:szCs w:val="21"/>
        </w:rPr>
        <w:t xml:space="preserve">5.3、最终验收要求：技术指标要求符合招标要求。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478"/>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478"/>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8" w:name="_Toc231822743"/>
      <w:r>
        <w:rPr>
          <w:b/>
          <w:color w:val="000000"/>
          <w:sz w:val="28"/>
          <w:szCs w:val="28"/>
        </w:rPr>
        <w:t xml:space="preserve">第五章 </w:t>
      </w:r>
      <w:r>
        <w:rPr>
          <w:b/>
          <w:sz w:val="28"/>
          <w:szCs w:val="28"/>
        </w:rPr>
        <w:t xml:space="preserve">政府采购合同</w:t>
      </w:r>
      <w:bookmarkEnd w:id="118"/>
      <w:r/>
      <w:r/>
    </w:p>
    <w:p>
      <w:pPr>
        <w:jc w:val="center"/>
        <w:spacing w:before="360" w:after="360"/>
        <w:tabs>
          <w:tab w:val="left" w:pos="1440" w:leader="none"/>
          <w:tab w:val="left" w:pos="5670" w:leader="none"/>
        </w:tabs>
        <w:rPr>
          <w:rFonts w:hint="eastAsia" w:ascii="宋体" w:hAnsi="宋体" w:cs="宋体"/>
          <w:sz w:val="28"/>
          <w:szCs w:val="28"/>
        </w:rPr>
      </w:pPr>
      <w:r/>
      <w:bookmarkStart w:id="119" w:name="_Toc4445"/>
      <w:r/>
      <w:bookmarkStart w:id="120" w:name="_Toc231822744"/>
      <w:r/>
      <w:r/>
    </w:p>
    <w:p>
      <w:pPr>
        <w:pStyle w:val="1430"/>
        <w:rPr>
          <w:rFonts w:hint="default" w:ascii="Times New Roman" w:hAnsi="Times New Roman" w:cs="Times New Roman"/>
        </w:rPr>
      </w:pPr>
      <w:r>
        <w:rPr>
          <w:rFonts w:hint="default" w:ascii="Times New Roman" w:hAnsi="Times New Roman" w:cs="Times New Roman"/>
        </w:rPr>
      </w:r>
      <w:bookmarkEnd w:id="119"/>
      <w:r/>
      <w:r/>
    </w:p>
    <w:p>
      <w:pPr>
        <w:jc w:val="center"/>
        <w:spacing w:before="120" w:after="120" w:line="360" w:lineRule="auto"/>
        <w:widowControl/>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政府采购合同</w:t>
      </w:r>
      <w:r/>
    </w:p>
    <w:p>
      <w:pPr>
        <w:jc w:val="center"/>
        <w:spacing w:before="120" w:after="120" w:line="360" w:lineRule="auto"/>
        <w:widowControl/>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（拟签订的合同文本）</w:t>
      </w:r>
      <w:r/>
    </w:p>
    <w:p>
      <w:pPr>
        <w:spacing w:before="120" w:after="120" w:line="360" w:lineRule="auto"/>
        <w:widowControl/>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315"/>
        <w:spacing w:before="120" w:after="120"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before="120" w:after="120"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before="120" w:after="120" w:line="360" w:lineRule="auto"/>
        <w:widowControl/>
        <w:rPr>
          <w:rFonts w:hint="default" w:ascii="Times New Roman" w:hAnsi="Times New Roman" w:cs="Times New Roman"/>
          <w:szCs w:val="21"/>
        </w:rPr>
      </w:pPr>
      <w:r>
        <w:rPr>
          <w:rFonts w:hint="default" w:ascii="Times New Roman" w:hAnsi="Times New Roman" w:cs="Times New Roman"/>
          <w:szCs w:val="21"/>
        </w:rPr>
      </w:r>
      <w:r/>
    </w:p>
    <w:p>
      <w:pPr>
        <w:ind w:firstLine="1918"/>
        <w:spacing w:before="120" w:after="120" w:line="360" w:lineRule="auto"/>
        <w:widowControl/>
        <w:rPr>
          <w:rFonts w:hint="default" w:ascii="Times New Roman" w:hAnsi="Times New Roman" w:cs="Times New Roman"/>
          <w:sz w:val="30"/>
          <w:szCs w:val="30"/>
        </w:rPr>
      </w:pPr>
      <w:r>
        <w:rPr>
          <w:rFonts w:hint="default" w:ascii="Times New Roman" w:hAnsi="Times New Roman" w:cs="Times New Roman"/>
          <w:b/>
          <w:bCs/>
          <w:sz w:val="30"/>
          <w:szCs w:val="30"/>
        </w:rPr>
        <w:t xml:space="preserve">合同编号：</w:t>
      </w:r>
      <w:r>
        <w:rPr>
          <w:rFonts w:hint="default" w:ascii="Times New Roman" w:hAnsi="Times New Roman" w:cs="Times New Roman"/>
          <w:b/>
          <w:bCs/>
          <w:sz w:val="30"/>
          <w:szCs w:val="30"/>
          <w:u w:val="single"/>
        </w:rPr>
        <w:t xml:space="preserve">           </w:t>
      </w:r>
      <w:r/>
    </w:p>
    <w:p>
      <w:pPr>
        <w:ind w:firstLine="1918"/>
        <w:spacing w:before="120" w:after="120" w:line="360" w:lineRule="auto"/>
        <w:widowControl/>
        <w:rPr>
          <w:rFonts w:hint="default" w:ascii="Times New Roman" w:hAnsi="Times New Roman" w:cs="Times New Roman"/>
          <w:sz w:val="30"/>
          <w:szCs w:val="30"/>
        </w:rPr>
      </w:pPr>
      <w:r>
        <w:rPr>
          <w:rFonts w:hint="default" w:ascii="Times New Roman" w:hAnsi="Times New Roman" w:cs="Times New Roman"/>
          <w:b/>
          <w:bCs/>
          <w:sz w:val="30"/>
          <w:szCs w:val="30"/>
        </w:rPr>
        <w:t xml:space="preserve">项目名称：</w:t>
      </w:r>
      <w:r>
        <w:rPr>
          <w:rFonts w:hint="default" w:ascii="Times New Roman" w:hAnsi="Times New Roman" w:cs="Times New Roman"/>
          <w:b/>
          <w:bCs/>
          <w:sz w:val="30"/>
          <w:szCs w:val="30"/>
          <w:u w:val="single"/>
        </w:rPr>
        <w:t xml:space="preserve">           </w:t>
      </w:r>
      <w:r/>
    </w:p>
    <w:p>
      <w:pPr>
        <w:ind w:firstLine="1918"/>
        <w:spacing w:before="120" w:after="120" w:line="360" w:lineRule="auto"/>
        <w:widowControl/>
        <w:rPr>
          <w:rFonts w:hint="default" w:ascii="Times New Roman" w:hAnsi="Times New Roman" w:cs="Times New Roman"/>
          <w:sz w:val="30"/>
          <w:szCs w:val="30"/>
        </w:rPr>
      </w:pPr>
      <w:r>
        <w:rPr>
          <w:rFonts w:hint="default" w:ascii="Times New Roman" w:hAnsi="Times New Roman" w:cs="Times New Roman"/>
          <w:b/>
          <w:bCs/>
          <w:sz w:val="30"/>
          <w:szCs w:val="30"/>
        </w:rPr>
        <w:t xml:space="preserve">采购人（甲方）：</w:t>
      </w:r>
      <w:r>
        <w:rPr>
          <w:rFonts w:hint="default" w:ascii="Times New Roman" w:hAnsi="Times New Roman" w:cs="Times New Roman"/>
          <w:b/>
          <w:bCs/>
          <w:sz w:val="30"/>
          <w:szCs w:val="30"/>
          <w:u w:val="single"/>
        </w:rPr>
        <w:t xml:space="preserve">        </w:t>
      </w:r>
      <w:r/>
    </w:p>
    <w:p>
      <w:pPr>
        <w:ind w:firstLine="1916"/>
        <w:spacing w:before="120" w:after="120" w:line="360" w:lineRule="auto"/>
        <w:widowControl/>
        <w:rPr>
          <w:rFonts w:hint="default" w:ascii="Times New Roman" w:hAnsi="Times New Roman" w:cs="Times New Roman"/>
          <w:sz w:val="30"/>
          <w:szCs w:val="30"/>
        </w:rPr>
      </w:pPr>
      <w:r>
        <w:rPr>
          <w:rFonts w:hint="default" w:ascii="Times New Roman" w:hAnsi="Times New Roman" w:cs="Times New Roman"/>
          <w:b/>
          <w:bCs/>
          <w:sz w:val="30"/>
          <w:szCs w:val="30"/>
        </w:rPr>
        <w:t xml:space="preserve">供应商（乙方）：</w:t>
      </w:r>
      <w:r>
        <w:rPr>
          <w:rFonts w:hint="default" w:ascii="Times New Roman" w:hAnsi="Times New Roman" w:cs="Times New Roman"/>
          <w:b/>
          <w:bCs/>
          <w:sz w:val="30"/>
          <w:szCs w:val="30"/>
          <w:u w:val="single"/>
        </w:rPr>
        <w:t xml:space="preserve">        </w:t>
      </w:r>
      <w:r/>
    </w:p>
    <w:p>
      <w:pPr>
        <w:ind w:firstLine="1916"/>
        <w:spacing w:before="120" w:after="120" w:line="360" w:lineRule="auto"/>
        <w:widowControl/>
        <w:rPr>
          <w:rFonts w:hint="default" w:ascii="Times New Roman" w:hAnsi="Times New Roman" w:cs="Times New Roman"/>
          <w:sz w:val="30"/>
          <w:szCs w:val="30"/>
        </w:rPr>
      </w:pPr>
      <w:r>
        <w:rPr>
          <w:rFonts w:hint="default" w:ascii="Times New Roman" w:hAnsi="Times New Roman" w:cs="Times New Roman"/>
          <w:b/>
          <w:bCs/>
          <w:sz w:val="30"/>
          <w:szCs w:val="30"/>
        </w:rPr>
        <w:t xml:space="preserve">签订日期：</w:t>
      </w:r>
      <w:r>
        <w:rPr>
          <w:rFonts w:hint="default" w:ascii="Times New Roman" w:hAnsi="Times New Roman" w:cs="Times New Roman"/>
          <w:b/>
          <w:bCs/>
          <w:sz w:val="30"/>
          <w:szCs w:val="30"/>
          <w:u w:val="single"/>
        </w:rPr>
        <w:t xml:space="preserve">           </w:t>
      </w:r>
      <w:r/>
    </w:p>
    <w:p>
      <w:pPr>
        <w:jc w:val="left"/>
        <w:spacing w:before="120" w:after="120" w:line="360" w:lineRule="auto"/>
        <w:rPr>
          <w:rFonts w:hint="default" w:ascii="Times New Roman" w:hAnsi="Times New Roman" w:cs="Times New Roman"/>
          <w:sz w:val="32"/>
          <w:szCs w:val="32"/>
        </w:rPr>
      </w:pPr>
      <w:r>
        <w:rPr>
          <w:rFonts w:hint="default" w:ascii="Times New Roman" w:hAnsi="Times New Roman" w:cs="Times New Roman"/>
          <w:sz w:val="32"/>
          <w:szCs w:val="32"/>
        </w:rPr>
      </w:r>
      <w:r/>
    </w:p>
    <w:p>
      <w:pPr>
        <w:ind w:left="-420" w:right="-313" w:firstLine="241"/>
        <w:jc w:val="left"/>
        <w:spacing w:before="120" w:after="120"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r>
      <w:r/>
    </w:p>
    <w:p>
      <w:pPr>
        <w:ind w:left="108" w:firstLine="482"/>
        <w:jc w:val="left"/>
        <w:spacing w:line="480" w:lineRule="exact"/>
        <w:tabs>
          <w:tab w:val="left" w:pos="4785" w:leader="none"/>
        </w:tabs>
        <w:rPr>
          <w:rFonts w:hint="default" w:ascii="Times New Roman" w:hAnsi="Times New Roman" w:cs="Times New Roman"/>
          <w:b/>
          <w:bCs/>
          <w:sz w:val="24"/>
          <w:szCs w:val="24"/>
        </w:rPr>
        <w:sectPr>
          <w:footerReference w:type="default" r:id="rId16"/>
          <w:footnotePr/>
          <w:endnotePr/>
          <w:type w:val="nextPage"/>
          <w:pgSz w:w="11906" w:h="16838" w:orient="portrait"/>
          <w:pgMar w:top="1440" w:right="1080" w:bottom="1440" w:left="1080" w:header="851" w:footer="680" w:gutter="0"/>
          <w:cols w:num="1" w:sep="0" w:space="720" w:equalWidth="1"/>
          <w:docGrid w:linePitch="360"/>
        </w:sectPr>
      </w:pPr>
      <w:r>
        <w:rPr>
          <w:rFonts w:hint="default" w:ascii="Times New Roman" w:hAnsi="Times New Roman" w:cs="Times New Roman"/>
          <w:b/>
          <w:bCs/>
          <w:sz w:val="24"/>
          <w:szCs w:val="24"/>
        </w:rPr>
        <w:t xml:space="preserve">注：货物类采购合同参考格式，本合同内容条款在正式签署前可具体补充细化，仅作参考，最终合同以采购人法务审查通过的版本为准。</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甲方：江苏省特种设备安全监督检验研究院</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乙方：</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采购代理机构：</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一、说明：</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受甲方委托，采购代理机构于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日组织了</w:t>
      </w:r>
      <w:r>
        <w:rPr>
          <w:rFonts w:hint="default" w:ascii="Times New Roman" w:hAnsi="Times New Roman" w:cs="Times New Roman"/>
          <w:szCs w:val="21"/>
          <w:u w:val="single"/>
        </w:rPr>
        <w:t xml:space="preserve">江苏省特种设备安全监督检验研究院所需</w:t>
      </w:r>
      <w:r>
        <w:rPr>
          <w:rFonts w:hint="default" w:ascii="Times New Roman" w:hAnsi="Times New Roman" w:cs="Times New Roman"/>
          <w:szCs w:val="21"/>
          <w:u w:val="single"/>
        </w:rPr>
        <w:t xml:space="preserve">检测设备</w:t>
      </w:r>
      <w:r>
        <w:rPr>
          <w:rFonts w:hint="default" w:ascii="Times New Roman" w:hAnsi="Times New Roman" w:cs="Times New Roman"/>
          <w:szCs w:val="21"/>
        </w:rPr>
        <w:t xml:space="preserve">采购项目（项目编号：</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）的评审活动，经评委认真严格地评审，确定由乙方成交。</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二、合同条款：</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合同由甲乙双方签订，并依据</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号招标文件规定，按下列合同条款甲方同意购入，乙方同意出售下列设备及服务。</w:t>
      </w:r>
      <w:r/>
    </w:p>
    <w:p>
      <w:pPr>
        <w:pStyle w:val="1488"/>
        <w:ind w:left="0" w:firstLine="420"/>
        <w:spacing w:before="0" w:after="0" w:line="360" w:lineRule="auto"/>
        <w:tabs>
          <w:tab w:val="left" w:pos="4785" w:leader="none"/>
        </w:tabs>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 xml:space="preserve">1.设备名称、型号规格、数量及服务内容。</w:t>
      </w:r>
      <w:r/>
    </w:p>
    <w:tbl>
      <w:tblPr>
        <w:tblStyle w:val="14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1516"/>
        <w:gridCol w:w="1289"/>
        <w:gridCol w:w="1049"/>
        <w:gridCol w:w="940"/>
        <w:gridCol w:w="1603"/>
        <w:gridCol w:w="1526"/>
      </w:tblGrid>
      <w:tr>
        <w:trPr>
          <w:jc w:val="center"/>
          <w:trHeight w:val="19"/>
        </w:trPr>
        <w:tc>
          <w:tcPr>
            <w:tcW w:w="80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设备名称</w:t>
            </w:r>
            <w:r/>
          </w:p>
        </w:tc>
        <w:tc>
          <w:tcPr>
            <w:tcW w:w="80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品牌</w:t>
            </w:r>
            <w:r/>
          </w:p>
        </w:tc>
        <w:tc>
          <w:tcPr>
            <w:tcW w:w="68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型号</w:t>
            </w:r>
            <w:r/>
          </w:p>
        </w:tc>
        <w:tc>
          <w:tcPr>
            <w:tcW w:w="555"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单位</w:t>
            </w:r>
            <w:r/>
          </w:p>
        </w:tc>
        <w:tc>
          <w:tcPr>
            <w:tcW w:w="497"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数量</w:t>
            </w:r>
            <w:r/>
          </w:p>
        </w:tc>
        <w:tc>
          <w:tcPr>
            <w:tcW w:w="84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单价（元）</w:t>
            </w:r>
            <w:r/>
          </w:p>
        </w:tc>
        <w:tc>
          <w:tcPr>
            <w:tcW w:w="806"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总价（元）</w:t>
            </w:r>
            <w:r/>
          </w:p>
        </w:tc>
      </w:tr>
      <w:tr>
        <w:trPr>
          <w:jc w:val="center"/>
          <w:trHeight w:val="19"/>
        </w:trPr>
        <w:tc>
          <w:tcPr>
            <w:tcW w:w="808" w:type="pct"/>
            <w:vAlign w:val="center"/>
            <w:textDirection w:val="lrTb"/>
            <w:noWrap w:val="false"/>
          </w:tcPr>
          <w:p>
            <w:pPr>
              <w:jc w:val="center"/>
              <w:widowControl/>
              <w:rPr>
                <w:rFonts w:hint="default" w:ascii="Times New Roman" w:hAnsi="Times New Roman" w:cs="Times New Roman"/>
                <w:szCs w:val="21"/>
              </w:rPr>
            </w:pPr>
            <w:r>
              <w:rPr>
                <w:rFonts w:hint="default" w:ascii="Times New Roman" w:hAnsi="Times New Roman" w:cs="Times New Roman"/>
                <w:szCs w:val="21"/>
              </w:rPr>
            </w:r>
            <w:r/>
          </w:p>
        </w:tc>
        <w:tc>
          <w:tcPr>
            <w:tcW w:w="80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bCs/>
                <w:szCs w:val="21"/>
              </w:rPr>
            </w:pPr>
            <w:r>
              <w:rPr>
                <w:rFonts w:hint="default" w:ascii="Times New Roman" w:hAnsi="Times New Roman" w:cs="Times New Roman"/>
                <w:bCs/>
                <w:szCs w:val="21"/>
              </w:rPr>
            </w:r>
            <w:r/>
          </w:p>
        </w:tc>
        <w:tc>
          <w:tcPr>
            <w:tcW w:w="68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bCs/>
                <w:szCs w:val="21"/>
              </w:rPr>
            </w:pPr>
            <w:r>
              <w:rPr>
                <w:rFonts w:hint="default" w:ascii="Times New Roman" w:hAnsi="Times New Roman" w:cs="Times New Roman"/>
                <w:bCs/>
                <w:szCs w:val="21"/>
              </w:rPr>
            </w:r>
            <w:r/>
          </w:p>
        </w:tc>
        <w:tc>
          <w:tcPr>
            <w:tcW w:w="555"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497" w:type="pct"/>
            <w:vAlign w:val="center"/>
            <w:textDirection w:val="lrTb"/>
            <w:noWrap w:val="false"/>
          </w:tcPr>
          <w:p>
            <w:pPr>
              <w:jc w:val="center"/>
              <w:widowControl/>
              <w:rPr>
                <w:rFonts w:hint="default" w:ascii="Times New Roman" w:hAnsi="Times New Roman" w:cs="Times New Roman"/>
                <w:szCs w:val="21"/>
              </w:rPr>
            </w:pPr>
            <w:r>
              <w:rPr>
                <w:rFonts w:hint="default" w:ascii="Times New Roman" w:hAnsi="Times New Roman" w:cs="Times New Roman"/>
                <w:szCs w:val="21"/>
              </w:rPr>
            </w:r>
            <w:r/>
          </w:p>
        </w:tc>
        <w:tc>
          <w:tcPr>
            <w:tcW w:w="84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806"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r>
      <w:tr>
        <w:trPr>
          <w:jc w:val="center"/>
          <w:trHeight w:val="19"/>
        </w:trPr>
        <w:tc>
          <w:tcPr>
            <w:tcW w:w="808" w:type="pct"/>
            <w:vAlign w:val="center"/>
            <w:textDirection w:val="lrTb"/>
            <w:noWrap w:val="false"/>
          </w:tcPr>
          <w:p>
            <w:pPr>
              <w:jc w:val="center"/>
              <w:widowControl/>
              <w:rPr>
                <w:rFonts w:hint="default" w:ascii="Times New Roman" w:hAnsi="Times New Roman" w:cs="Times New Roman"/>
                <w:szCs w:val="21"/>
              </w:rPr>
            </w:pPr>
            <w:r>
              <w:rPr>
                <w:rFonts w:hint="default" w:ascii="Times New Roman" w:hAnsi="Times New Roman" w:cs="Times New Roman"/>
                <w:szCs w:val="21"/>
              </w:rPr>
            </w:r>
            <w:r/>
          </w:p>
        </w:tc>
        <w:tc>
          <w:tcPr>
            <w:tcW w:w="80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68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bCs/>
                <w:szCs w:val="21"/>
              </w:rPr>
            </w:pPr>
            <w:r>
              <w:rPr>
                <w:rFonts w:hint="default" w:ascii="Times New Roman" w:hAnsi="Times New Roman" w:cs="Times New Roman"/>
                <w:bCs/>
                <w:szCs w:val="21"/>
              </w:rPr>
            </w:r>
            <w:r/>
          </w:p>
        </w:tc>
        <w:tc>
          <w:tcPr>
            <w:tcW w:w="555"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497"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84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806"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r>
      <w:tr>
        <w:trPr>
          <w:jc w:val="center"/>
          <w:trHeight w:val="19"/>
        </w:trPr>
        <w:tc>
          <w:tcPr>
            <w:tcW w:w="808" w:type="pct"/>
            <w:vAlign w:val="center"/>
            <w:textDirection w:val="lrTb"/>
            <w:noWrap w:val="false"/>
          </w:tcPr>
          <w:p>
            <w:pPr>
              <w:jc w:val="center"/>
              <w:widowControl/>
              <w:rPr>
                <w:rFonts w:hint="default" w:ascii="Times New Roman" w:hAnsi="Times New Roman" w:cs="Times New Roman"/>
                <w:szCs w:val="22"/>
              </w:rPr>
            </w:pPr>
            <w:r>
              <w:rPr>
                <w:rFonts w:hint="default" w:ascii="Times New Roman" w:hAnsi="Times New Roman" w:cs="Times New Roman"/>
                <w:szCs w:val="22"/>
              </w:rPr>
            </w:r>
            <w:r/>
          </w:p>
        </w:tc>
        <w:tc>
          <w:tcPr>
            <w:tcW w:w="80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68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bCs/>
                <w:szCs w:val="21"/>
              </w:rPr>
            </w:pPr>
            <w:r>
              <w:rPr>
                <w:rFonts w:hint="default" w:ascii="Times New Roman" w:hAnsi="Times New Roman" w:cs="Times New Roman"/>
                <w:bCs/>
                <w:szCs w:val="21"/>
              </w:rPr>
            </w:r>
            <w:r/>
          </w:p>
        </w:tc>
        <w:tc>
          <w:tcPr>
            <w:tcW w:w="555"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497"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84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806"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r>
      <w:tr>
        <w:trPr>
          <w:jc w:val="center"/>
          <w:trHeight w:val="19"/>
        </w:trPr>
        <w:tc>
          <w:tcPr>
            <w:tcW w:w="808" w:type="pct"/>
            <w:vAlign w:val="center"/>
            <w:textDirection w:val="lrTb"/>
            <w:noWrap w:val="false"/>
          </w:tcPr>
          <w:p>
            <w:pPr>
              <w:jc w:val="center"/>
              <w:widowControl/>
              <w:rPr>
                <w:rFonts w:hint="default" w:ascii="Times New Roman" w:hAnsi="Times New Roman" w:cs="Times New Roman"/>
                <w:szCs w:val="22"/>
              </w:rPr>
            </w:pPr>
            <w:r>
              <w:rPr>
                <w:rFonts w:hint="default" w:ascii="Times New Roman" w:hAnsi="Times New Roman" w:cs="Times New Roman"/>
                <w:szCs w:val="22"/>
              </w:rPr>
            </w:r>
            <w:r/>
          </w:p>
        </w:tc>
        <w:tc>
          <w:tcPr>
            <w:tcW w:w="80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682"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bCs/>
                <w:szCs w:val="21"/>
              </w:rPr>
            </w:pPr>
            <w:r>
              <w:rPr>
                <w:rFonts w:hint="default" w:ascii="Times New Roman" w:hAnsi="Times New Roman" w:cs="Times New Roman"/>
                <w:bCs/>
                <w:szCs w:val="21"/>
              </w:rPr>
            </w:r>
            <w:r/>
          </w:p>
        </w:tc>
        <w:tc>
          <w:tcPr>
            <w:tcW w:w="555"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497" w:type="pct"/>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848"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c>
          <w:tcPr>
            <w:tcW w:w="806"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r>
            <w:r/>
          </w:p>
        </w:tc>
      </w:tr>
      <w:tr>
        <w:trPr>
          <w:jc w:val="center"/>
          <w:trHeight w:val="19"/>
        </w:trPr>
        <w:tc>
          <w:tcPr>
            <w:gridSpan w:val="4"/>
            <w:tcW w:w="2847" w:type="pct"/>
            <w:vAlign w:val="center"/>
            <w:textDirection w:val="lrTb"/>
            <w:noWrap w:val="false"/>
          </w:tcPr>
          <w:p>
            <w:pPr>
              <w:pStyle w:val="1439"/>
              <w:ind w:firstLine="0"/>
              <w:jc w:val="center"/>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bCs/>
                <w:szCs w:val="21"/>
              </w:rPr>
              <w:t xml:space="preserve">合计（元）</w:t>
            </w:r>
            <w:r/>
          </w:p>
        </w:tc>
        <w:tc>
          <w:tcPr>
            <w:gridSpan w:val="3"/>
            <w:tcW w:w="2152" w:type="pct"/>
            <w:vAlign w:val="center"/>
            <w:textDirection w:val="lrTb"/>
            <w:noWrap w:val="false"/>
          </w:tcPr>
          <w:p>
            <w:pPr>
              <w:pStyle w:val="1439"/>
              <w:ind w:firstLine="0"/>
              <w:spacing w:line="440" w:lineRule="exact"/>
              <w:tabs>
                <w:tab w:val="left" w:pos="-235" w:leader="none"/>
              </w:tabs>
              <w:rPr>
                <w:rFonts w:hint="default" w:ascii="Times New Roman" w:hAnsi="Times New Roman" w:cs="Times New Roman"/>
                <w:szCs w:val="21"/>
              </w:rPr>
            </w:pPr>
            <w:r>
              <w:rPr>
                <w:rFonts w:hint="default" w:ascii="Times New Roman" w:hAnsi="Times New Roman" w:cs="Times New Roman"/>
                <w:szCs w:val="21"/>
              </w:rPr>
              <w:t xml:space="preserve">￥</w:t>
            </w:r>
            <w:r/>
          </w:p>
        </w:tc>
      </w:tr>
    </w:tbl>
    <w:p>
      <w:pPr>
        <w:ind w:firstLine="420"/>
        <w:jc w:val="left"/>
        <w:spacing w:line="360" w:lineRule="auto"/>
        <w:tabs>
          <w:tab w:val="left" w:pos="4785" w:leader="none"/>
        </w:tabs>
        <w:rPr>
          <w:rFonts w:hint="default" w:ascii="Times New Roman" w:hAnsi="Times New Roman" w:cs="Times New Roman"/>
          <w:bCs/>
          <w:szCs w:val="21"/>
        </w:rPr>
      </w:pPr>
      <w:r>
        <w:rPr>
          <w:rFonts w:hint="default" w:ascii="Times New Roman" w:hAnsi="Times New Roman" w:cs="Times New Roman"/>
          <w:szCs w:val="21"/>
        </w:rPr>
        <w:t xml:space="preserve">2.合同总价（大写）：</w:t>
      </w:r>
      <w:r>
        <w:rPr>
          <w:rFonts w:hint="default" w:ascii="Times New Roman" w:hAnsi="Times New Roman" w:cs="Times New Roman"/>
          <w:b/>
          <w:bCs/>
          <w:szCs w:val="21"/>
        </w:rPr>
        <w:t xml:space="preserve">人民币</w:t>
      </w:r>
      <w:r>
        <w:rPr>
          <w:rFonts w:hint="default" w:ascii="Times New Roman" w:hAnsi="Times New Roman" w:cs="Times New Roman"/>
          <w:b/>
          <w:bCs/>
          <w:szCs w:val="21"/>
          <w:u w:val="single"/>
        </w:rPr>
        <w:t xml:space="preserve">               </w:t>
      </w:r>
      <w:r>
        <w:rPr>
          <w:rFonts w:hint="default" w:ascii="Times New Roman" w:hAnsi="Times New Roman" w:cs="Times New Roman"/>
          <w:szCs w:val="21"/>
        </w:rPr>
        <w:t xml:space="preserve">。</w:t>
      </w:r>
      <w:r>
        <w:rPr>
          <w:rFonts w:hint="default" w:ascii="Times New Roman" w:hAnsi="Times New Roman" w:cs="Times New Roman"/>
          <w:bCs/>
          <w:szCs w:val="21"/>
        </w:rPr>
        <w:t xml:space="preserve">（含13%增值税）</w:t>
      </w:r>
      <w:r/>
    </w:p>
    <w:p>
      <w:pPr>
        <w:ind w:firstLine="420"/>
        <w:jc w:val="left"/>
        <w:spacing w:line="360" w:lineRule="auto"/>
        <w:tabs>
          <w:tab w:val="left" w:pos="4785" w:leader="none"/>
        </w:tabs>
        <w:rPr>
          <w:rFonts w:hint="default" w:ascii="Times New Roman" w:hAnsi="Times New Roman" w:cs="Times New Roman"/>
          <w:bCs/>
          <w:szCs w:val="21"/>
        </w:rPr>
      </w:pPr>
      <w:r>
        <w:rPr>
          <w:rFonts w:hint="default" w:ascii="Times New Roman" w:hAnsi="Times New Roman" w:cs="Times New Roman"/>
          <w:bCs/>
          <w:szCs w:val="21"/>
        </w:rPr>
        <w:t xml:space="preserve">（小写）：</w:t>
      </w:r>
      <w:r>
        <w:rPr>
          <w:rFonts w:hint="default" w:ascii="Times New Roman" w:hAnsi="Times New Roman" w:cs="Times New Roman"/>
          <w:b/>
          <w:bCs/>
          <w:szCs w:val="21"/>
        </w:rPr>
        <w:t xml:space="preserve">￥</w:t>
      </w:r>
      <w:r>
        <w:rPr>
          <w:rFonts w:hint="default" w:ascii="Times New Roman" w:hAnsi="Times New Roman" w:cs="Times New Roman"/>
          <w:b/>
          <w:bCs/>
          <w:szCs w:val="21"/>
          <w:u w:val="single"/>
        </w:rPr>
        <w:t xml:space="preserve">       </w:t>
      </w:r>
      <w:r>
        <w:rPr>
          <w:rFonts w:hint="default" w:ascii="Times New Roman" w:hAnsi="Times New Roman" w:cs="Times New Roman"/>
          <w:b/>
          <w:bCs/>
          <w:szCs w:val="21"/>
        </w:rPr>
        <w:t xml:space="preserve">元。</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2.1合同总</w:t>
      </w:r>
      <w:r>
        <w:rPr>
          <w:rFonts w:hint="default" w:ascii="Times New Roman" w:hAnsi="Times New Roman" w:cs="Times New Roman"/>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3. 交付使用时间：</w:t>
      </w:r>
      <w:r>
        <w:rPr>
          <w:rFonts w:hint="default" w:ascii="Times New Roman" w:hAnsi="Times New Roman" w:cs="Times New Roman"/>
          <w:b/>
          <w:szCs w:val="21"/>
          <w:u w:val="single"/>
        </w:rPr>
        <w:t xml:space="preserve">合同签订后    日历天内供齐所有货物及服务，完成安装、调试及初步验收。</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rPr>
        <w:t xml:space="preserve">4. 收货人：</w:t>
      </w:r>
      <w:r>
        <w:rPr>
          <w:rFonts w:hint="default" w:ascii="Times New Roman" w:hAnsi="Times New Roman" w:cs="Times New Roman"/>
          <w:b/>
          <w:szCs w:val="21"/>
          <w:u w:val="single"/>
        </w:rPr>
        <w:t xml:space="preserve">江苏省特种设备安全监督检验研究院</w:t>
      </w:r>
      <w:r>
        <w:rPr>
          <w:rFonts w:hint="default" w:ascii="Times New Roman" w:hAnsi="Times New Roman" w:cs="Times New Roman"/>
          <w:szCs w:val="21"/>
          <w:u w:val="single"/>
        </w:rPr>
        <w:t xml:space="preserve">。</w:t>
      </w:r>
      <w:r/>
    </w:p>
    <w:p>
      <w:pPr>
        <w:pStyle w:val="1439"/>
        <w:spacing w:line="360" w:lineRule="auto"/>
        <w:tabs>
          <w:tab w:val="left" w:pos="-235" w:leader="none"/>
        </w:tabs>
        <w:rPr>
          <w:rFonts w:hint="default" w:ascii="Times New Roman" w:hAnsi="Times New Roman" w:cs="Times New Roman"/>
          <w:sz w:val="21"/>
          <w:szCs w:val="21"/>
          <w:u w:val="single"/>
        </w:rPr>
      </w:pPr>
      <w:r>
        <w:rPr>
          <w:rFonts w:hint="default" w:ascii="Times New Roman" w:hAnsi="Times New Roman" w:cs="Times New Roman"/>
          <w:b w:val="0"/>
          <w:sz w:val="21"/>
          <w:szCs w:val="21"/>
        </w:rPr>
        <w:t xml:space="preserve">5.</w:t>
      </w:r>
      <w:r>
        <w:rPr>
          <w:rFonts w:hint="default" w:ascii="Times New Roman" w:hAnsi="Times New Roman" w:cs="Times New Roman"/>
          <w:sz w:val="21"/>
          <w:szCs w:val="21"/>
        </w:rPr>
        <w:t xml:space="preserve"> 交货地点：</w:t>
      </w:r>
      <w:r>
        <w:rPr>
          <w:rFonts w:hint="default" w:ascii="Times New Roman" w:hAnsi="Times New Roman" w:cs="Times New Roman"/>
          <w:bCs/>
          <w:sz w:val="21"/>
          <w:szCs w:val="21"/>
          <w:u w:val="single"/>
        </w:rPr>
        <w:t xml:space="preserve">甲方指定地点。</w:t>
      </w:r>
      <w:r/>
    </w:p>
    <w:p>
      <w:pPr>
        <w:pStyle w:val="1439"/>
        <w:spacing w:line="360" w:lineRule="auto"/>
        <w:tabs>
          <w:tab w:val="left" w:pos="-235" w:leader="none"/>
        </w:tabs>
        <w:rPr>
          <w:rFonts w:hint="default" w:ascii="Times New Roman" w:hAnsi="Times New Roman" w:cs="Times New Roman"/>
          <w:sz w:val="21"/>
          <w:szCs w:val="21"/>
          <w:u w:val="single"/>
        </w:rPr>
      </w:pPr>
      <w:r>
        <w:rPr>
          <w:rFonts w:hint="default" w:ascii="Times New Roman" w:hAnsi="Times New Roman" w:cs="Times New Roman"/>
          <w:b w:val="0"/>
          <w:sz w:val="21"/>
          <w:szCs w:val="21"/>
        </w:rPr>
        <w:t xml:space="preserve">6.</w:t>
      </w:r>
      <w:r>
        <w:rPr>
          <w:rFonts w:hint="default" w:ascii="Times New Roman" w:hAnsi="Times New Roman" w:cs="Times New Roman"/>
          <w:sz w:val="21"/>
          <w:szCs w:val="21"/>
        </w:rPr>
        <w:t xml:space="preserve"> 设备的制造应符合下列标准或规范并据此验收：</w:t>
      </w:r>
      <w:r>
        <w:rPr>
          <w:rFonts w:hint="default" w:ascii="Times New Roman" w:hAnsi="Times New Roman" w:cs="Times New Roman"/>
          <w:bCs/>
          <w:sz w:val="21"/>
          <w:szCs w:val="21"/>
          <w:u w:val="single"/>
        </w:rPr>
        <w:t xml:space="preserve">招标文件、投标文件、双方签订的技术协议和国家的相关标准。</w:t>
      </w:r>
      <w:r>
        <w:rPr>
          <w:rFonts w:hint="default" w:ascii="Times New Roman" w:hAnsi="Times New Roman" w:cs="Times New Roman"/>
          <w:sz w:val="21"/>
          <w:szCs w:val="21"/>
        </w:rPr>
        <w:t xml:space="preserve">（上述标准或规范不一致时，则以要求较高者为准。）</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8. 甲方付款方式及期限：</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lang w:val="en-US" w:eastAsia="zh-CN"/>
        </w:rPr>
        <w:t xml:space="preserve">8</w:t>
      </w:r>
      <w:r>
        <w:rPr>
          <w:rFonts w:hint="default" w:ascii="Times New Roman" w:hAnsi="Times New Roman" w:cs="Times New Roman"/>
          <w:szCs w:val="21"/>
        </w:rPr>
        <w:t xml:space="preserve">.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lang w:val="en-US" w:eastAsia="zh-CN"/>
        </w:rPr>
        <w:t xml:space="preserve">8</w:t>
      </w:r>
      <w:r>
        <w:rPr>
          <w:rFonts w:hint="default" w:ascii="Times New Roman" w:hAnsi="Times New Roman" w:cs="Times New Roman"/>
          <w:szCs w:val="21"/>
        </w:rPr>
        <w:t xml:space="preserve">.2履约保函</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（1）履约保函金额：合同总价10%；</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（2）履约保函的形式：卖方应当以支票、汇票、本票或者金融机构、担保机构出具的保函等非现金形式提交；</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（3）履约保函的退还：在设备通过买方验收合格且满12个月无质量问题后的15个工作日内，买方将无息退还卖方的履约保函。</w:t>
      </w:r>
      <w:r/>
    </w:p>
    <w:p>
      <w:pPr>
        <w:numPr>
          <w:ilvl w:val="0"/>
          <w:numId w:val="31"/>
        </w:num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交付和验收</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9.1乙方应当在合同签订后，根据招标文件及投标文件的要求完成服务事项。</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9.2验收标准：按行业通行标准和乙方投标文件的承诺（不低于国家相关标准）。</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10. 质保期及售后服务</w:t>
      </w:r>
      <w:r/>
    </w:p>
    <w:p>
      <w:pPr>
        <w:ind w:firstLine="420"/>
        <w:jc w:val="left"/>
        <w:spacing w:line="360" w:lineRule="auto"/>
        <w:tabs>
          <w:tab w:val="left" w:pos="4785" w:leader="none"/>
        </w:tabs>
        <w:rPr>
          <w:rFonts w:hint="default" w:ascii="Times New Roman" w:hAnsi="Times New Roman" w:cs="Times New Roman"/>
          <w:b/>
          <w:bCs/>
          <w:szCs w:val="21"/>
        </w:rPr>
      </w:pPr>
      <w:r>
        <w:rPr>
          <w:rFonts w:hint="default" w:ascii="Times New Roman" w:hAnsi="Times New Roman" w:cs="Times New Roman"/>
          <w:szCs w:val="21"/>
        </w:rPr>
        <w:t xml:space="preserve">10.1 乙方所供设备、材料及安装的质量保证期：</w:t>
      </w:r>
      <w:r>
        <w:rPr>
          <w:rFonts w:hint="default" w:ascii="Times New Roman" w:hAnsi="Times New Roman" w:cs="Times New Roman"/>
          <w:b/>
          <w:bCs/>
          <w:szCs w:val="21"/>
          <w:u w:val="single"/>
        </w:rPr>
        <w:t xml:space="preserve">安装验收合格后  年。</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10.3 在质保期内，因甲方使用不当原因出现设备故障时，乙方在接到甲方通知后，应在10.2条款中所述的时限内响应并派</w:t>
      </w:r>
      <w:r>
        <w:rPr>
          <w:rFonts w:hint="default" w:ascii="Times New Roman" w:hAnsi="Times New Roman" w:cs="Times New Roman"/>
          <w:szCs w:val="21"/>
        </w:rPr>
        <w:t xml:space="preserve">设备厂家工程师</w:t>
      </w:r>
      <w:r>
        <w:rPr>
          <w:rFonts w:hint="default" w:ascii="Times New Roman" w:hAnsi="Times New Roman" w:cs="Times New Roman"/>
          <w:szCs w:val="21"/>
        </w:rPr>
        <w:t xml:space="preserve">赶到甲方现场，帮助排除故障、修复或更换零部件，需购买零部件时，仅收取成本费。</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10.4 质保期满后，如设备出现故障，</w:t>
      </w:r>
      <w:r>
        <w:rPr>
          <w:rFonts w:hint="default" w:ascii="Times New Roman" w:hAnsi="Times New Roman" w:cs="Times New Roman"/>
          <w:szCs w:val="21"/>
        </w:rPr>
        <w:t xml:space="preserve">乙方</w:t>
      </w:r>
      <w:r>
        <w:rPr>
          <w:rFonts w:hint="default" w:ascii="Times New Roman" w:hAnsi="Times New Roman" w:cs="Times New Roman"/>
          <w:szCs w:val="21"/>
        </w:rPr>
        <w:t xml:space="preserve">在接到甲方通知后，仍应在上述时限内响应、派</w:t>
      </w:r>
      <w:r>
        <w:rPr>
          <w:rFonts w:hint="default" w:ascii="Times New Roman" w:hAnsi="Times New Roman" w:cs="Times New Roman"/>
          <w:szCs w:val="21"/>
        </w:rPr>
        <w:t xml:space="preserve">设备厂家工程师</w:t>
      </w:r>
      <w:r>
        <w:rPr>
          <w:rFonts w:hint="default" w:ascii="Times New Roman" w:hAnsi="Times New Roman" w:cs="Times New Roman"/>
          <w:szCs w:val="21"/>
        </w:rPr>
        <w:t xml:space="preserve">赶到甲方现场，帮助排除故障、修复或更换零部件，需购买零部件时，酌情收取成本费。</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11. 技术资料</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按第四章技术规格、参数及其他要求中的要求提供相关资料（见附件）。</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12.货物风险承担</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 乙方的违约责任</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13.1乙方未按合同规定的质量要求交货，甲方有权拒收，由此造成的直接损失和间接损失由乙方承担。</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13.2</w:t>
      </w:r>
      <w:r>
        <w:rPr>
          <w:rFonts w:hint="default" w:ascii="Times New Roman" w:hAnsi="Times New Roman" w:cs="Times New Roman"/>
          <w:szCs w:val="21"/>
        </w:rPr>
        <w:t xml:space="preserve">乙方逾期交付的，每逾期1天，乙方应向甲方支付合同总价款的5‰的逾期违约金。</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default" w:ascii="Times New Roman" w:hAnsi="Times New Roman" w:cs="Times New Roman"/>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default" w:ascii="Times New Roman" w:hAnsi="Times New Roman" w:cs="Times New Roman"/>
          <w:szCs w:val="21"/>
        </w:rPr>
        <w:t xml:space="preserve">。</w:t>
      </w:r>
      <w:r/>
    </w:p>
    <w:p>
      <w:pPr>
        <w:ind w:firstLine="420"/>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13.7</w:t>
      </w:r>
      <w:r>
        <w:rPr>
          <w:rFonts w:hint="default" w:ascii="Times New Roman" w:hAnsi="Times New Roman" w:cs="Times New Roman"/>
          <w:szCs w:val="21"/>
        </w:rPr>
        <w:t xml:space="preserve">乙方所交付的货物或服务不符合合同规定的，甲方有权拒收。甲方拒收的，乙方应向甲方支付违约金</w:t>
      </w:r>
      <w:bookmarkStart w:id="121" w:name="OLE_LINK8"/>
      <w:r>
        <w:rPr>
          <w:rFonts w:hint="default" w:ascii="Times New Roman" w:hAnsi="Times New Roman" w:cs="Times New Roman"/>
          <w:szCs w:val="21"/>
        </w:rPr>
        <w:t xml:space="preserve">（违约金标准：合同金额50万（含）以下的违约金按照合同总价款的20%计算，合同金额50万至100万（含）的违约金按照合同总价款的10%计算，合同金额超过100万元的违约金按照合同总价款的5%计算）</w:t>
      </w:r>
      <w:bookmarkEnd w:id="121"/>
      <w:r>
        <w:rPr>
          <w:rFonts w:hint="default" w:ascii="Times New Roman" w:hAnsi="Times New Roman" w:cs="Times New Roman"/>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default" w:ascii="Times New Roman" w:hAnsi="Times New Roman" w:cs="Times New Roman"/>
          <w:szCs w:val="21"/>
        </w:rPr>
        <w:tab/>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14.甲方的违约责任</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16. 乙方在设备安装、调试、验收过程中，甲方提供下列条件和配合，超出下列范围的由乙方自理：</w:t>
      </w:r>
      <w:r>
        <w:rPr>
          <w:rFonts w:hint="default" w:ascii="Times New Roman" w:hAnsi="Times New Roman" w:cs="Times New Roman"/>
          <w:szCs w:val="21"/>
          <w:u w:val="single"/>
        </w:rPr>
        <w:t xml:space="preserve">无</w:t>
      </w:r>
      <w:r>
        <w:rPr>
          <w:rFonts w:hint="default" w:ascii="Times New Roman" w:hAnsi="Times New Roman" w:cs="Times New Roman"/>
          <w:szCs w:val="21"/>
        </w:rPr>
        <w:t xml:space="preserve">。</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default" w:ascii="Times New Roman" w:hAnsi="Times New Roman" w:cs="Times New Roman"/>
          <w:szCs w:val="21"/>
          <w:lang w:val="zh-CN"/>
        </w:rPr>
        <w:t xml:space="preserve">甲方为解决纠纷支付的律师费、诉讼费、差旅费等合理费用</w:t>
      </w:r>
      <w:r>
        <w:rPr>
          <w:rFonts w:hint="default" w:ascii="Times New Roman" w:hAnsi="Times New Roman" w:cs="Times New Roman"/>
          <w:szCs w:val="21"/>
        </w:rPr>
        <w:t xml:space="preserve">。</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三、合同的变更和终止</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default" w:ascii="Times New Roman" w:hAnsi="Times New Roman" w:cs="Times New Roman"/>
          <w:szCs w:val="21"/>
        </w:rPr>
      </w:pPr>
      <w:r/>
      <w:bookmarkStart w:id="122" w:name="_Toc19018"/>
      <w:r>
        <w:rPr>
          <w:rFonts w:hint="default" w:ascii="Times New Roman" w:hAnsi="Times New Roman" w:cs="Times New Roman"/>
          <w:szCs w:val="21"/>
        </w:rPr>
        <w:t xml:space="preserve">四、合同权利义务的转让</w:t>
      </w:r>
      <w:bookmarkEnd w:id="122"/>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五、货物、服务的购买或租赁权利瑕疵</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default" w:ascii="Times New Roman" w:hAnsi="Times New Roman" w:cs="Times New Roman"/>
          <w:szCs w:val="21"/>
        </w:rPr>
      </w:pPr>
      <w:r/>
      <w:bookmarkStart w:id="123" w:name="_Toc30322"/>
      <w:r>
        <w:rPr>
          <w:rFonts w:hint="default" w:ascii="Times New Roman" w:hAnsi="Times New Roman" w:cs="Times New Roman"/>
          <w:szCs w:val="21"/>
        </w:rPr>
        <w:t xml:space="preserve">六、争议解决条款</w:t>
      </w:r>
      <w:bookmarkEnd w:id="123"/>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default" w:ascii="Times New Roman" w:hAnsi="Times New Roman" w:cs="Times New Roman"/>
          <w:szCs w:val="21"/>
        </w:rPr>
      </w:pPr>
      <w:r/>
      <w:bookmarkStart w:id="124" w:name="_Toc20895"/>
      <w:r>
        <w:rPr>
          <w:rFonts w:hint="default" w:ascii="Times New Roman" w:hAnsi="Times New Roman" w:cs="Times New Roman"/>
          <w:szCs w:val="21"/>
        </w:rPr>
        <w:t xml:space="preserve">七、</w:t>
      </w:r>
      <w:bookmarkEnd w:id="124"/>
      <w:r>
        <w:rPr>
          <w:rFonts w:hint="default" w:ascii="Times New Roman" w:hAnsi="Times New Roman" w:cs="Times New Roman"/>
          <w:szCs w:val="21"/>
        </w:rPr>
        <w:t xml:space="preserve">廉洁条款</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八、保密条款</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九、不可抗力</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十、送达条款</w:t>
      </w:r>
      <w:r/>
    </w:p>
    <w:p>
      <w:pPr>
        <w:ind w:firstLine="420"/>
        <w:jc w:val="left"/>
        <w:spacing w:line="360" w:lineRule="auto"/>
        <w:tabs>
          <w:tab w:val="left" w:pos="4785" w:leader="none"/>
        </w:tabs>
        <w:rPr>
          <w:rFonts w:hint="default" w:ascii="Times New Roman" w:hAnsi="Times New Roman" w:cs="Times New Roman"/>
          <w:szCs w:val="21"/>
        </w:rPr>
      </w:pPr>
      <w:r>
        <w:rPr>
          <w:rFonts w:hint="default" w:ascii="Times New Roman" w:hAnsi="Times New Roman" w:cs="Times New Roman"/>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十一、其他</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11.1、合同的生效：本合同一式陆份，自甲乙双方签字并加盖骑缝章之日起生效。</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11.2、未尽事宜、双方协商解决，并按《中华人民共和国民法典》及相关法律、法规的规定调整。</w:t>
      </w:r>
      <w:r/>
    </w:p>
    <w:p>
      <w:pPr>
        <w:pStyle w:val="1468"/>
        <w:ind w:firstLine="42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Style w:val="1436"/>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rPr>
          <w:b/>
          <w:color w:val="000000"/>
          <w:sz w:val="28"/>
          <w:szCs w:val="28"/>
        </w:rPr>
        <w:t xml:space="preserve">第六章 投标文件格式及附件</w:t>
      </w:r>
      <w:bookmarkEnd w:id="120"/>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2"/>
          <w:footerReference w:type="default" r:id="rId17"/>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25" w:name="_Toc496780634"/>
      <w:r/>
      <w:bookmarkStart w:id="126" w:name="_Toc29373"/>
      <w:r/>
      <w:bookmarkStart w:id="127" w:name="_Toc4200"/>
      <w:r/>
      <w:bookmarkStart w:id="128" w:name="_Toc31843"/>
      <w:r/>
      <w:bookmarkStart w:id="129" w:name="_Toc24614"/>
      <w:r>
        <w:rPr>
          <w:b/>
          <w:color w:val="000000"/>
          <w:szCs w:val="21"/>
        </w:rPr>
        <w:t xml:space="preserve">评审索引</w:t>
      </w:r>
      <w:bookmarkEnd w:id="125"/>
      <w:r/>
      <w:bookmarkEnd w:id="126"/>
      <w:r>
        <w:rPr>
          <w:b/>
          <w:color w:val="000000"/>
          <w:szCs w:val="21"/>
        </w:rPr>
        <w:t xml:space="preserve">表</w:t>
      </w:r>
      <w:bookmarkEnd w:id="127"/>
      <w:r/>
      <w:bookmarkEnd w:id="128"/>
      <w:r/>
      <w:bookmarkEnd w:id="129"/>
      <w:r/>
      <w:r/>
    </w:p>
    <w:tbl>
      <w:tblPr>
        <w:tblStyle w:val="14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30" w:name="_Toc4034"/>
      <w:r/>
      <w:bookmarkStart w:id="131" w:name="_Toc231822745"/>
      <w:r/>
      <w:bookmarkStart w:id="132" w:name="_Toc15346"/>
      <w:r/>
      <w:bookmarkStart w:id="133" w:name="_Toc28190"/>
      <w:r/>
      <w:bookmarkStart w:id="134" w:name="_Toc9700"/>
      <w:r/>
      <w:bookmarkStart w:id="135" w:name="_Toc24640"/>
      <w:r/>
      <w:bookmarkStart w:id="136" w:name="_Toc1929"/>
      <w:r>
        <w:rPr>
          <w:b/>
          <w:color w:val="000000"/>
          <w:szCs w:val="21"/>
        </w:rPr>
        <w:t xml:space="preserve">附件一 投标函格式</w:t>
      </w:r>
      <w:bookmarkEnd w:id="130"/>
      <w:r/>
      <w:bookmarkEnd w:id="131"/>
      <w:r/>
      <w:bookmarkEnd w:id="132"/>
      <w:r/>
      <w:bookmarkEnd w:id="133"/>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34"/>
      <w:r/>
      <w:bookmarkEnd w:id="135"/>
      <w:r/>
      <w:bookmarkEnd w:id="136"/>
      <w:r/>
      <w:r/>
    </w:p>
    <w:p>
      <w:pPr>
        <w:jc w:val="left"/>
        <w:spacing w:line="360" w:lineRule="auto"/>
        <w:rPr>
          <w:b/>
          <w:color w:val="000000"/>
          <w:szCs w:val="21"/>
        </w:rPr>
        <w:outlineLvl w:val="1"/>
      </w:pPr>
      <w:r/>
      <w:bookmarkStart w:id="137" w:name="_Toc231822746"/>
      <w:r>
        <w:rPr>
          <w:b/>
          <w:color w:val="000000"/>
          <w:szCs w:val="21"/>
        </w:rPr>
        <w:t xml:space="preserve">附件二 开标一览表</w:t>
      </w:r>
      <w:bookmarkEnd w:id="137"/>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436"/>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8" w:name="_Toc5534"/>
      <w:r/>
      <w:bookmarkStart w:id="139" w:name="_Toc24465"/>
      <w:r/>
      <w:bookmarkStart w:id="140" w:name="_Toc11266"/>
      <w:r/>
      <w:bookmarkStart w:id="141" w:name="_Toc231822747"/>
      <w:r>
        <w:rPr>
          <w:b/>
          <w:color w:val="000000"/>
          <w:szCs w:val="21"/>
        </w:rPr>
        <w:t xml:space="preserve">附件三 分项报价表</w:t>
      </w:r>
      <w:bookmarkEnd w:id="138"/>
      <w:r/>
      <w:bookmarkEnd w:id="139"/>
      <w:r/>
      <w:bookmarkEnd w:id="140"/>
      <w:r/>
      <w:bookmarkEnd w:id="141"/>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436"/>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42" w:name="_Toc1916"/>
      <w:r/>
      <w:bookmarkStart w:id="143" w:name="_Toc31821"/>
      <w:r/>
      <w:bookmarkStart w:id="144" w:name="_Toc113527849"/>
      <w:r/>
      <w:bookmarkStart w:id="145" w:name="_Toc231822748"/>
      <w:r/>
      <w:bookmarkStart w:id="146" w:name="_Toc14830"/>
      <w:r>
        <w:rPr>
          <w:b/>
          <w:color w:val="000000"/>
          <w:szCs w:val="21"/>
        </w:rPr>
        <w:t xml:space="preserve">附件四 商务条款偏离表</w:t>
      </w:r>
      <w:bookmarkEnd w:id="142"/>
      <w:r/>
      <w:bookmarkEnd w:id="143"/>
      <w:r/>
      <w:bookmarkEnd w:id="144"/>
      <w:r/>
      <w:bookmarkEnd w:id="145"/>
      <w:r/>
      <w:bookmarkEnd w:id="146"/>
      <w:r/>
      <w:r/>
    </w:p>
    <w:tbl>
      <w:tblPr>
        <w:tblStyle w:val="1436"/>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7" w:name="_Toc25051"/>
      <w:r/>
      <w:bookmarkStart w:id="148" w:name="_Toc6138"/>
      <w:r/>
      <w:bookmarkStart w:id="149" w:name="_Toc231822749"/>
      <w:r/>
      <w:bookmarkStart w:id="150" w:name="_Toc7213"/>
      <w:r/>
      <w:bookmarkStart w:id="151" w:name="_Toc113527850"/>
      <w:r>
        <w:rPr>
          <w:b/>
          <w:color w:val="000000"/>
          <w:szCs w:val="21"/>
        </w:rPr>
        <w:t xml:space="preserve">附件五 技术条款偏离表</w:t>
      </w:r>
      <w:bookmarkEnd w:id="147"/>
      <w:r/>
      <w:bookmarkEnd w:id="148"/>
      <w:r/>
      <w:bookmarkEnd w:id="149"/>
      <w:r/>
      <w:bookmarkEnd w:id="150"/>
      <w:r/>
      <w:bookmarkEnd w:id="151"/>
      <w:r/>
      <w:r/>
    </w:p>
    <w:tbl>
      <w:tblPr>
        <w:tblStyle w:val="1436"/>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52" w:name="_Toc22252"/>
      <w:r/>
      <w:bookmarkStart w:id="153" w:name="_Toc3639"/>
      <w:r/>
      <w:bookmarkStart w:id="154"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55" w:name="_Toc231822750"/>
      <w:r>
        <w:rPr>
          <w:b/>
          <w:color w:val="000000"/>
          <w:szCs w:val="21"/>
        </w:rPr>
        <w:t xml:space="preserve">附件六</w:t>
      </w:r>
      <w:r>
        <w:rPr>
          <w:rFonts w:hint="eastAsia"/>
          <w:b/>
          <w:color w:val="000000"/>
          <w:szCs w:val="21"/>
        </w:rPr>
        <w:t xml:space="preserve"> </w:t>
      </w:r>
      <w:r>
        <w:rPr>
          <w:b/>
          <w:color w:val="000000"/>
          <w:szCs w:val="21"/>
        </w:rPr>
        <w:t xml:space="preserve">拟参与本项目服务人员一览表</w:t>
      </w:r>
      <w:bookmarkEnd w:id="155"/>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436"/>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56" w:name="_Toc231822751"/>
      <w:r>
        <w:rPr>
          <w:b/>
          <w:color w:val="000000"/>
          <w:szCs w:val="21"/>
        </w:rPr>
        <w:t xml:space="preserve">附件七</w:t>
      </w:r>
      <w:r>
        <w:rPr>
          <w:rFonts w:hint="eastAsia"/>
          <w:b/>
          <w:color w:val="000000"/>
          <w:szCs w:val="21"/>
        </w:rPr>
        <w:t xml:space="preserve"> </w:t>
      </w:r>
      <w:r>
        <w:rPr>
          <w:b/>
          <w:color w:val="000000"/>
          <w:szCs w:val="21"/>
        </w:rPr>
        <w:t xml:space="preserve">投标人类似业绩情况表</w:t>
      </w:r>
      <w:bookmarkEnd w:id="156"/>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436"/>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7" w:name="_Toc113527851"/>
      <w:r>
        <w:rPr>
          <w:b/>
          <w:bCs/>
          <w:color w:val="000000"/>
          <w:szCs w:val="21"/>
        </w:rPr>
        <w:br w:type="page" w:clear="all"/>
      </w:r>
      <w:r/>
    </w:p>
    <w:p>
      <w:pPr>
        <w:jc w:val="left"/>
        <w:spacing w:line="360" w:lineRule="auto"/>
        <w:rPr>
          <w:b/>
          <w:color w:val="000000"/>
          <w:szCs w:val="21"/>
        </w:rPr>
        <w:outlineLvl w:val="1"/>
      </w:pPr>
      <w:r/>
      <w:bookmarkStart w:id="158" w:name="_Toc231822752"/>
      <w:r>
        <w:rPr>
          <w:b/>
          <w:color w:val="000000"/>
          <w:szCs w:val="21"/>
        </w:rPr>
        <w:t xml:space="preserve">附件八 政府采购政策</w:t>
      </w:r>
      <w:bookmarkEnd w:id="152"/>
      <w:r/>
      <w:bookmarkEnd w:id="153"/>
      <w:r/>
      <w:bookmarkEnd w:id="154"/>
      <w:r/>
      <w:bookmarkEnd w:id="157"/>
      <w:r/>
      <w:bookmarkEnd w:id="158"/>
      <w:r/>
      <w:r/>
    </w:p>
    <w:p>
      <w:pPr>
        <w:jc w:val="center"/>
        <w:spacing w:line="360" w:lineRule="auto"/>
        <w:rPr>
          <w:b/>
          <w:color w:val="000000"/>
          <w:szCs w:val="21"/>
        </w:rPr>
      </w:pPr>
      <w:r/>
      <w:bookmarkStart w:id="159" w:name="_Toc28798"/>
      <w:r/>
      <w:bookmarkStart w:id="160" w:name="_Toc21802"/>
      <w:r/>
      <w:bookmarkStart w:id="161" w:name="_Toc231820635"/>
      <w:r/>
      <w:bookmarkStart w:id="162" w:name="_Toc17125"/>
      <w:r/>
      <w:bookmarkStart w:id="163" w:name="_Toc18700"/>
      <w:r/>
      <w:bookmarkStart w:id="164" w:name="_Toc92"/>
      <w:r/>
      <w:r/>
    </w:p>
    <w:p>
      <w:pPr>
        <w:jc w:val="center"/>
        <w:spacing w:line="360" w:lineRule="auto"/>
      </w:pPr>
      <w:r>
        <w:rPr>
          <w:b/>
          <w:color w:val="000000"/>
          <w:szCs w:val="21"/>
        </w:rPr>
        <w:t xml:space="preserve">（一）《中小企业声明函》</w:t>
      </w:r>
      <w:bookmarkEnd w:id="159"/>
      <w:r/>
      <w:bookmarkEnd w:id="160"/>
      <w:r/>
      <w:bookmarkEnd w:id="161"/>
      <w:r/>
      <w:bookmarkEnd w:id="162"/>
      <w:r>
        <w:br/>
      </w:r>
      <w:r>
        <w:br/>
      </w:r>
      <w:bookmarkEnd w:id="163"/>
      <w:r/>
      <w:bookmarkEnd w:id="164"/>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32"/>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32"/>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65" w:name="_Toc17686"/>
      <w:r/>
      <w:bookmarkStart w:id="166" w:name="_Toc17455"/>
      <w:r/>
      <w:bookmarkStart w:id="167" w:name="_Toc113527853"/>
      <w:r/>
      <w:bookmarkStart w:id="168" w:name="_Toc231820636"/>
      <w:r/>
      <w:bookmarkStart w:id="169" w:name="_Toc13680"/>
      <w:r>
        <w:rPr>
          <w:b/>
          <w:color w:val="000000"/>
          <w:szCs w:val="21"/>
        </w:rPr>
        <w:t xml:space="preserve">（二）残疾人福利性单位声明函</w:t>
      </w:r>
      <w:bookmarkEnd w:id="165"/>
      <w:r/>
      <w:bookmarkEnd w:id="166"/>
      <w:r/>
      <w:bookmarkEnd w:id="167"/>
      <w:r/>
      <w:bookmarkEnd w:id="168"/>
      <w:r/>
      <w:bookmarkEnd w:id="169"/>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70" w:name="_Toc231820637"/>
      <w:r/>
      <w:bookmarkStart w:id="171"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70"/>
      <w:r/>
      <w:bookmarkEnd w:id="171"/>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72" w:name="_Toc231820638"/>
      <w:r/>
      <w:bookmarkStart w:id="173" w:name="_Toc113527855"/>
      <w:r>
        <w:rPr>
          <w:b/>
          <w:color w:val="000000"/>
          <w:szCs w:val="21"/>
        </w:rPr>
        <w:t xml:space="preserve">（四）节能产品认证证书</w:t>
      </w:r>
      <w:bookmarkEnd w:id="172"/>
      <w:r/>
      <w:bookmarkEnd w:id="173"/>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4" w:name="_Toc231820639"/>
      <w:r/>
      <w:bookmarkStart w:id="175" w:name="_Toc113527856"/>
      <w:r>
        <w:rPr>
          <w:b/>
          <w:color w:val="000000"/>
          <w:szCs w:val="21"/>
        </w:rPr>
        <w:t xml:space="preserve">（五）环境标志产品认证证书</w:t>
      </w:r>
      <w:bookmarkEnd w:id="174"/>
      <w:r/>
      <w:bookmarkEnd w:id="175"/>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6" w:name="_Toc113527857"/>
      <w:r/>
      <w:bookmarkStart w:id="177" w:name="_Toc231820640"/>
      <w:r>
        <w:rPr>
          <w:b/>
          <w:color w:val="000000"/>
          <w:szCs w:val="21"/>
        </w:rPr>
        <w:t xml:space="preserve">（六）进口产品转让技术、消化吸收再创新方案</w:t>
      </w:r>
      <w:bookmarkEnd w:id="176"/>
      <w:r/>
      <w:bookmarkEnd w:id="177"/>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8" w:name="_Toc231820641"/>
      <w:r>
        <w:rPr>
          <w:rFonts w:hint="eastAsia"/>
          <w:b/>
          <w:color w:val="000000"/>
          <w:szCs w:val="21"/>
        </w:rPr>
        <w:t xml:space="preserve">（七）本国产品相关资信证明文件</w:t>
      </w:r>
      <w:bookmarkEnd w:id="178"/>
      <w:r/>
      <w:r/>
    </w:p>
    <w:p>
      <w:pPr>
        <w:ind w:firstLine="422"/>
        <w:jc w:val="left"/>
        <w:spacing w:line="360" w:lineRule="auto"/>
        <w:rPr>
          <w:b/>
          <w:color w:val="000000"/>
          <w:szCs w:val="21"/>
        </w:rPr>
      </w:pPr>
      <w:r/>
      <w:bookmarkStart w:id="179" w:name="_Toc231820642"/>
      <w:r>
        <w:rPr>
          <w:rFonts w:hint="eastAsia"/>
          <w:b/>
          <w:color w:val="000000"/>
          <w:szCs w:val="21"/>
        </w:rPr>
        <w:t xml:space="preserve">《关于符合本国产品标准的声明函》或财政部会同有关部门规定的有关证明文件</w:t>
      </w:r>
      <w:bookmarkEnd w:id="179"/>
      <w:r/>
      <w:r/>
    </w:p>
    <w:p>
      <w:pPr>
        <w:ind w:firstLine="422"/>
        <w:jc w:val="left"/>
        <w:spacing w:line="360" w:lineRule="auto"/>
        <w:rPr>
          <w:b/>
          <w:color w:val="000000"/>
          <w:szCs w:val="21"/>
        </w:rPr>
      </w:pPr>
      <w:r/>
      <w:bookmarkStart w:id="180" w:name="_Toc231820643"/>
      <w:r>
        <w:rPr>
          <w:rFonts w:hint="eastAsia"/>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80"/>
      <w:r/>
      <w:r/>
    </w:p>
    <w:p>
      <w:pPr>
        <w:jc w:val="center"/>
        <w:rPr>
          <w:b/>
          <w:color w:val="000000"/>
          <w:szCs w:val="21"/>
        </w:rPr>
      </w:pPr>
      <w:r/>
      <w:bookmarkStart w:id="181" w:name="_Toc231820644"/>
      <w:r/>
      <w:r/>
    </w:p>
    <w:p>
      <w:pPr>
        <w:jc w:val="center"/>
        <w:rPr>
          <w:b/>
          <w:color w:val="000000"/>
          <w:szCs w:val="21"/>
        </w:rPr>
      </w:pPr>
      <w:r>
        <w:rPr>
          <w:b/>
          <w:color w:val="000000"/>
          <w:szCs w:val="21"/>
        </w:rPr>
      </w:r>
      <w:r/>
    </w:p>
    <w:p>
      <w:pPr>
        <w:jc w:val="center"/>
        <w:rPr>
          <w:b/>
          <w:color w:val="000000"/>
          <w:szCs w:val="21"/>
        </w:rPr>
      </w:pPr>
      <w:r>
        <w:rPr>
          <w:rFonts w:hint="eastAsia"/>
          <w:b/>
          <w:color w:val="000000"/>
          <w:szCs w:val="21"/>
        </w:rPr>
        <w:t xml:space="preserve">关于符合本国产品标准的声明函</w:t>
      </w:r>
      <w:bookmarkEnd w:id="181"/>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本单位郑重声明，根据《国务院办公厅关于在政府采购中实施本国产品标准及相关政策的通知》</w:t>
      </w:r>
      <w:r>
        <w:rPr>
          <w:rFonts w:ascii="宋体" w:hAnsi="宋体"/>
          <w:color w:val="000000"/>
          <w:szCs w:val="21"/>
        </w:rPr>
        <w:t xml:space="preserve">(</w:t>
      </w:r>
      <w:r>
        <w:rPr>
          <w:rFonts w:hint="eastAsia" w:ascii="宋体" w:hAnsi="宋体"/>
          <w:color w:val="000000"/>
          <w:szCs w:val="21"/>
        </w:rPr>
        <w:t xml:space="preserve">国办发〔</w:t>
      </w:r>
      <w:r>
        <w:rPr>
          <w:rFonts w:ascii="宋体" w:hAnsi="宋体"/>
          <w:color w:val="000000"/>
          <w:szCs w:val="21"/>
        </w:rPr>
        <w:t xml:space="preserve">2025</w:t>
      </w:r>
      <w:r>
        <w:rPr>
          <w:rFonts w:hint="eastAsia" w:ascii="宋体" w:hAnsi="宋体"/>
          <w:color w:val="000000"/>
          <w:szCs w:val="21"/>
        </w:rPr>
        <w:t xml:space="preserve">〕</w:t>
      </w:r>
      <w:r>
        <w:rPr>
          <w:rFonts w:ascii="宋体" w:hAnsi="宋体"/>
          <w:color w:val="000000"/>
          <w:szCs w:val="21"/>
        </w:rPr>
        <w:t xml:space="preserve">34</w:t>
      </w:r>
      <w:r>
        <w:rPr>
          <w:rFonts w:hint="eastAsia" w:ascii="宋体" w:hAnsi="宋体"/>
          <w:color w:val="000000"/>
          <w:szCs w:val="21"/>
        </w:rPr>
        <w:t xml:space="preserve">号</w:t>
      </w:r>
      <w:r>
        <w:rPr>
          <w:rFonts w:ascii="宋体" w:hAnsi="宋体"/>
          <w:color w:val="000000"/>
          <w:szCs w:val="21"/>
        </w:rPr>
        <w:t xml:space="preserve">)</w:t>
      </w:r>
      <w:r>
        <w:rPr>
          <w:rFonts w:hint="eastAsia" w:ascii="宋体" w:hAnsi="宋体"/>
          <w:color w:val="000000"/>
          <w:szCs w:val="21"/>
        </w:rPr>
        <w:t xml:space="preserve">的规定，本单位提供的以下产品属于本国产品。具体情况如下：</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u w:val="single"/>
        </w:rPr>
        <w:t xml:space="preserve">产品名称</w:t>
      </w:r>
      <w:r>
        <w:rPr>
          <w:rFonts w:ascii="宋体" w:hAnsi="宋体"/>
          <w:color w:val="000000"/>
          <w:szCs w:val="21"/>
          <w:u w:val="single"/>
        </w:rPr>
        <w:t xml:space="preserve">1</w:t>
      </w:r>
      <w:r>
        <w:rPr>
          <w:rFonts w:ascii="宋体" w:hAnsi="宋体"/>
          <w:color w:val="000000"/>
          <w:szCs w:val="21"/>
        </w:rPr>
        <w:t xml:space="preserve">)</w:t>
      </w:r>
      <w:r>
        <w:rPr>
          <w:rFonts w:hint="eastAsia" w:ascii="宋体" w:hAnsi="宋体"/>
          <w:color w:val="000000"/>
          <w:szCs w:val="21"/>
          <w:vertAlign w:val="superscript"/>
        </w:rPr>
        <w:t xml:space="preserve">1</w:t>
      </w:r>
      <w:r>
        <w:rPr>
          <w:rFonts w:hint="eastAsia" w:ascii="宋体" w:hAnsi="宋体"/>
          <w:color w:val="000000"/>
          <w:szCs w:val="21"/>
        </w:rPr>
        <w:t xml:space="preserve">，生产厂为</w:t>
      </w:r>
      <w:r>
        <w:rPr>
          <w:rFonts w:ascii="宋体" w:hAnsi="宋体"/>
          <w:color w:val="000000"/>
          <w:szCs w:val="21"/>
        </w:rPr>
        <w:t xml:space="preserve">(</w:t>
      </w:r>
      <w:r>
        <w:rPr>
          <w:rFonts w:hint="eastAsia" w:ascii="宋体" w:hAnsi="宋体"/>
          <w:color w:val="000000"/>
          <w:szCs w:val="21"/>
          <w:u w:val="single"/>
        </w:rPr>
        <w:t xml:space="preserve">厂名</w:t>
      </w:r>
      <w:r>
        <w:rPr>
          <w:rFonts w:ascii="宋体" w:hAnsi="宋体"/>
          <w:color w:val="000000"/>
          <w:szCs w:val="21"/>
        </w:rPr>
        <w:t xml:space="preserve">)</w:t>
      </w:r>
      <w:r>
        <w:rPr>
          <w:rFonts w:hint="eastAsia" w:ascii="宋体" w:hAnsi="宋体"/>
          <w:color w:val="000000"/>
          <w:szCs w:val="21"/>
          <w:vertAlign w:val="superscript"/>
        </w:rPr>
        <w:t xml:space="preserve">2</w:t>
      </w:r>
      <w:r>
        <w:rPr>
          <w:rFonts w:hint="eastAsia" w:ascii="宋体" w:hAnsi="宋体"/>
          <w:color w:val="000000"/>
          <w:szCs w:val="21"/>
        </w:rPr>
        <w:t xml:space="preserve">，厂址为</w:t>
      </w:r>
      <w:r>
        <w:rPr>
          <w:rFonts w:ascii="宋体" w:hAnsi="宋体"/>
          <w:color w:val="000000"/>
          <w:szCs w:val="21"/>
        </w:rPr>
        <w:t xml:space="preserve">(</w:t>
      </w:r>
      <w:r>
        <w:rPr>
          <w:rFonts w:hint="eastAsia" w:ascii="宋体" w:hAnsi="宋体"/>
          <w:color w:val="000000"/>
          <w:szCs w:val="21"/>
          <w:u w:val="single"/>
        </w:rPr>
        <w:t xml:space="preserve">生产厂址</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1</w:t>
      </w:r>
      <w:r>
        <w:rPr>
          <w:rFonts w:ascii="宋体" w:hAnsi="宋体"/>
          <w:color w:val="000000"/>
          <w:szCs w:val="21"/>
        </w:rPr>
        <w:t xml:space="preserve">)</w:t>
      </w:r>
      <w:r>
        <w:rPr>
          <w:rFonts w:hint="eastAsia" w:ascii="宋体" w:hAnsi="宋体"/>
          <w:color w:val="000000"/>
          <w:szCs w:val="21"/>
        </w:rPr>
        <w:t xml:space="preserve">的中国境内生产的组件成本占比≥</w:t>
      </w:r>
      <w:r>
        <w:rPr>
          <w:rFonts w:ascii="宋体" w:hAnsi="宋体"/>
          <w:color w:val="000000"/>
          <w:szCs w:val="21"/>
        </w:rPr>
        <w:t xml:space="preserve">(</w:t>
      </w:r>
      <w:r>
        <w:rPr>
          <w:rFonts w:hint="eastAsia" w:ascii="宋体" w:hAnsi="宋体"/>
          <w:color w:val="000000"/>
          <w:szCs w:val="21"/>
          <w:u w:val="single"/>
        </w:rPr>
        <w:t xml:space="preserve">规定比例</w:t>
      </w:r>
      <w:r>
        <w:rPr>
          <w:rFonts w:ascii="宋体" w:hAnsi="宋体"/>
          <w:color w:val="000000"/>
          <w:szCs w:val="21"/>
        </w:rPr>
        <w:t xml:space="preserve">)</w:t>
      </w:r>
      <w:r>
        <w:rPr>
          <w:rFonts w:hint="eastAsia" w:ascii="宋体" w:hAnsi="宋体"/>
          <w:color w:val="000000"/>
          <w:szCs w:val="21"/>
          <w:vertAlign w:val="superscript"/>
        </w:rPr>
        <w:t xml:space="preserve">3</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1</w:t>
      </w:r>
      <w:r>
        <w:rPr>
          <w:rFonts w:ascii="宋体" w:hAnsi="宋体"/>
          <w:color w:val="000000"/>
          <w:szCs w:val="21"/>
        </w:rPr>
        <w:t xml:space="preserve">)</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u w:val="single"/>
        </w:rPr>
        <w:t xml:space="preserve">关键组件</w:t>
      </w:r>
      <w:r>
        <w:rPr>
          <w:rFonts w:ascii="宋体" w:hAnsi="宋体"/>
          <w:color w:val="000000"/>
          <w:szCs w:val="21"/>
          <w:u w:val="single"/>
        </w:rPr>
        <w:t xml:space="preserve">)</w:t>
      </w:r>
      <w:r>
        <w:rPr>
          <w:rFonts w:hint="eastAsia" w:ascii="宋体" w:hAnsi="宋体"/>
          <w:color w:val="000000"/>
          <w:szCs w:val="21"/>
          <w:vertAlign w:val="superscript"/>
        </w:rPr>
        <w:t xml:space="preserve">4</w:t>
      </w:r>
      <w:r>
        <w:rPr>
          <w:rFonts w:hint="eastAsia" w:ascii="宋体" w:hAnsi="宋体"/>
          <w:color w:val="000000"/>
          <w:szCs w:val="21"/>
        </w:rPr>
        <w:t xml:space="preserve">在中国境内生产。</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1</w:t>
      </w:r>
      <w:r>
        <w:rPr>
          <w:rFonts w:ascii="宋体" w:hAnsi="宋体"/>
          <w:color w:val="000000"/>
          <w:szCs w:val="21"/>
        </w:rPr>
        <w:t xml:space="preserve">)</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u w:val="single"/>
        </w:rPr>
        <w:t xml:space="preserve">关键工序</w:t>
      </w:r>
      <w:r>
        <w:rPr>
          <w:rFonts w:ascii="宋体" w:hAnsi="宋体"/>
          <w:color w:val="000000"/>
          <w:szCs w:val="21"/>
        </w:rPr>
        <w:t xml:space="preserve">)</w:t>
      </w:r>
      <w:r>
        <w:rPr>
          <w:rFonts w:hint="eastAsia" w:ascii="宋体" w:hAnsi="宋体"/>
          <w:color w:val="000000"/>
          <w:szCs w:val="21"/>
          <w:vertAlign w:val="superscript"/>
        </w:rPr>
        <w:t xml:space="preserve">5</w:t>
      </w:r>
      <w:r>
        <w:rPr>
          <w:rFonts w:hint="eastAsia" w:ascii="宋体" w:hAnsi="宋体"/>
          <w:color w:val="000000"/>
          <w:szCs w:val="21"/>
        </w:rPr>
        <w:t xml:space="preserve">在中国境内完成。</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u w:val="single"/>
        </w:rPr>
        <w:t xml:space="preserve">产品名称</w:t>
      </w:r>
      <w:r>
        <w:rPr>
          <w:rFonts w:ascii="宋体" w:hAnsi="宋体"/>
          <w:color w:val="000000"/>
          <w:szCs w:val="21"/>
          <w:u w:val="single"/>
        </w:rPr>
        <w:t xml:space="preserve">2</w:t>
      </w:r>
      <w:r>
        <w:rPr>
          <w:rFonts w:ascii="宋体" w:hAnsi="宋体"/>
          <w:color w:val="000000"/>
          <w:szCs w:val="21"/>
        </w:rPr>
        <w:t xml:space="preserve">)</w:t>
      </w:r>
      <w:r>
        <w:rPr>
          <w:rFonts w:hint="eastAsia" w:ascii="宋体" w:hAnsi="宋体"/>
          <w:color w:val="000000"/>
          <w:szCs w:val="21"/>
        </w:rPr>
        <w:t xml:space="preserve">，生产厂为</w:t>
      </w:r>
      <w:r>
        <w:rPr>
          <w:rFonts w:ascii="宋体" w:hAnsi="宋体"/>
          <w:color w:val="000000"/>
          <w:szCs w:val="21"/>
        </w:rPr>
        <w:t xml:space="preserve">(</w:t>
      </w:r>
      <w:r>
        <w:rPr>
          <w:rFonts w:hint="eastAsia" w:ascii="宋体" w:hAnsi="宋体"/>
          <w:color w:val="000000"/>
          <w:szCs w:val="21"/>
          <w:u w:val="single"/>
        </w:rPr>
        <w:t xml:space="preserve">厂名</w:t>
      </w:r>
      <w:r>
        <w:rPr>
          <w:rFonts w:ascii="宋体" w:hAnsi="宋体"/>
          <w:color w:val="000000"/>
          <w:szCs w:val="21"/>
        </w:rPr>
        <w:t xml:space="preserve">)</w:t>
      </w:r>
      <w:r>
        <w:rPr>
          <w:rFonts w:hint="eastAsia" w:ascii="宋体" w:hAnsi="宋体"/>
          <w:color w:val="000000"/>
          <w:szCs w:val="21"/>
        </w:rPr>
        <w:t xml:space="preserve">，厂址为</w:t>
      </w:r>
      <w:r>
        <w:rPr>
          <w:rFonts w:ascii="宋体" w:hAnsi="宋体"/>
          <w:color w:val="000000"/>
          <w:szCs w:val="21"/>
        </w:rPr>
        <w:t xml:space="preserve">(</w:t>
      </w:r>
      <w:r>
        <w:rPr>
          <w:rFonts w:hint="eastAsia" w:ascii="宋体" w:hAnsi="宋体"/>
          <w:color w:val="000000"/>
          <w:szCs w:val="21"/>
          <w:u w:val="single"/>
        </w:rPr>
        <w:t xml:space="preserve">生产厂址</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2</w:t>
      </w:r>
      <w:r>
        <w:rPr>
          <w:rFonts w:ascii="宋体" w:hAnsi="宋体"/>
          <w:color w:val="000000"/>
          <w:szCs w:val="21"/>
        </w:rPr>
        <w:t xml:space="preserve">)</w:t>
      </w:r>
      <w:r>
        <w:rPr>
          <w:rFonts w:hint="eastAsia" w:ascii="宋体" w:hAnsi="宋体"/>
          <w:color w:val="000000"/>
          <w:szCs w:val="21"/>
        </w:rPr>
        <w:t xml:space="preserve">的中国境内生产的组件成本占比≥</w:t>
      </w:r>
      <w:r>
        <w:rPr>
          <w:rFonts w:ascii="宋体" w:hAnsi="宋体"/>
          <w:color w:val="000000"/>
          <w:szCs w:val="21"/>
        </w:rPr>
        <w:t xml:space="preserve">(</w:t>
      </w:r>
      <w:r>
        <w:rPr>
          <w:rFonts w:hint="eastAsia" w:ascii="宋体" w:hAnsi="宋体"/>
          <w:color w:val="000000"/>
          <w:szCs w:val="21"/>
          <w:u w:val="single"/>
        </w:rPr>
        <w:t xml:space="preserve">规定比例</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2</w:t>
      </w:r>
      <w:r>
        <w:rPr>
          <w:rFonts w:ascii="宋体" w:hAnsi="宋体"/>
          <w:color w:val="000000"/>
          <w:szCs w:val="21"/>
        </w:rPr>
        <w:t xml:space="preserve">)</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u w:val="single"/>
        </w:rPr>
        <w:t xml:space="preserve">关键组件</w:t>
      </w:r>
      <w:r>
        <w:rPr>
          <w:rFonts w:ascii="宋体" w:hAnsi="宋体"/>
          <w:color w:val="000000"/>
          <w:szCs w:val="21"/>
        </w:rPr>
        <w:t xml:space="preserve">)</w:t>
      </w:r>
      <w:r>
        <w:rPr>
          <w:rFonts w:hint="eastAsia" w:ascii="宋体" w:hAnsi="宋体"/>
          <w:color w:val="000000"/>
          <w:szCs w:val="21"/>
        </w:rPr>
        <w:t xml:space="preserve">在中国境内生产。</w:t>
      </w:r>
      <w:r>
        <w:rPr>
          <w:rFonts w:ascii="宋体" w:hAnsi="宋体"/>
          <w:color w:val="000000"/>
          <w:szCs w:val="21"/>
        </w:rPr>
        <w:t xml:space="preserve">(</w:t>
      </w:r>
      <w:r>
        <w:rPr>
          <w:rFonts w:hint="eastAsia" w:ascii="宋体" w:hAnsi="宋体"/>
          <w:color w:val="000000"/>
          <w:szCs w:val="21"/>
          <w:u w:val="single"/>
        </w:rPr>
        <w:t xml:space="preserve">产品名称</w:t>
      </w:r>
      <w:r>
        <w:rPr>
          <w:rFonts w:ascii="宋体" w:hAnsi="宋体"/>
          <w:color w:val="000000"/>
          <w:szCs w:val="21"/>
          <w:u w:val="single"/>
        </w:rPr>
        <w:t xml:space="preserve">2</w:t>
      </w:r>
      <w:r>
        <w:rPr>
          <w:rFonts w:ascii="宋体" w:hAnsi="宋体"/>
          <w:color w:val="000000"/>
          <w:szCs w:val="21"/>
        </w:rPr>
        <w:t xml:space="preserve">)</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u w:val="single"/>
        </w:rPr>
        <w:t xml:space="preserve">关键工序</w:t>
      </w:r>
      <w:r>
        <w:rPr>
          <w:rFonts w:ascii="宋体" w:hAnsi="宋体"/>
          <w:color w:val="000000"/>
          <w:szCs w:val="21"/>
        </w:rPr>
        <w:t xml:space="preserve">)</w:t>
      </w:r>
      <w:r>
        <w:rPr>
          <w:rFonts w:hint="eastAsia" w:ascii="宋体" w:hAnsi="宋体"/>
          <w:color w:val="000000"/>
          <w:szCs w:val="21"/>
        </w:rPr>
        <w:t xml:space="preserve">在中国境内完成。</w:t>
      </w:r>
      <w:r/>
    </w:p>
    <w:p>
      <w:pPr>
        <w:ind w:firstLine="420"/>
        <w:spacing w:line="360" w:lineRule="auto"/>
        <w:rPr>
          <w:rFonts w:hint="eastAsia" w:ascii="宋体" w:hAnsi="宋体"/>
          <w:color w:val="000000"/>
          <w:szCs w:val="21"/>
        </w:rPr>
      </w:pP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本公司</w:t>
      </w:r>
      <w:r>
        <w:rPr>
          <w:rFonts w:ascii="宋体" w:hAnsi="宋体"/>
          <w:color w:val="000000"/>
          <w:szCs w:val="21"/>
        </w:rPr>
        <w:t xml:space="preserve">(</w:t>
      </w:r>
      <w:r>
        <w:rPr>
          <w:rFonts w:hint="eastAsia" w:ascii="宋体" w:hAnsi="宋体"/>
          <w:color w:val="000000"/>
          <w:szCs w:val="21"/>
        </w:rPr>
        <w:t xml:space="preserve">单位</w:t>
      </w:r>
      <w:r>
        <w:rPr>
          <w:rFonts w:ascii="宋体" w:hAnsi="宋体"/>
          <w:color w:val="000000"/>
          <w:szCs w:val="21"/>
        </w:rPr>
        <w:t xml:space="preserve">)</w:t>
      </w:r>
      <w:r>
        <w:rPr>
          <w:rFonts w:hint="eastAsia" w:ascii="宋体" w:hAnsi="宋体"/>
          <w:color w:val="000000"/>
          <w:szCs w:val="21"/>
        </w:rPr>
        <w:t xml:space="preserve">对上述声明内容的真实性负责。如有虚假，愿承担相应法律责任。</w:t>
      </w:r>
      <w:r/>
    </w:p>
    <w:p>
      <w:pPr>
        <w:ind w:firstLine="1134"/>
        <w:jc w:val="right"/>
        <w:spacing w:line="588" w:lineRule="exact"/>
        <w:tabs>
          <w:tab w:val="left" w:pos="4860" w:leader="none"/>
        </w:tabs>
        <w:rPr>
          <w:rFonts w:hint="eastAsia" w:ascii="宋体" w:hAnsi="宋体"/>
          <w:color w:val="000000"/>
          <w:szCs w:val="21"/>
        </w:rPr>
      </w:pPr>
      <w:r/>
      <w:bookmarkStart w:id="182" w:name="_Hlk218765471"/>
      <w:r>
        <w:rPr>
          <w:rFonts w:hint="eastAsia" w:ascii="宋体" w:hAnsi="宋体"/>
          <w:color w:val="000000"/>
          <w:szCs w:val="21"/>
        </w:rPr>
        <w:t xml:space="preserve">供应商全称（加盖公章）：</w:t>
      </w:r>
      <w:r/>
    </w:p>
    <w:p>
      <w:pPr>
        <w:ind w:firstLine="1134"/>
        <w:jc w:val="right"/>
        <w:spacing w:line="360" w:lineRule="auto"/>
        <w:rPr>
          <w:rFonts w:hint="eastAsia" w:ascii="宋体" w:hAnsi="宋体"/>
          <w:color w:val="000000"/>
          <w:szCs w:val="21"/>
        </w:rPr>
        <w:pBdr>
          <w:bottom w:val="single" w:color="auto" w:sz="6" w:space="1"/>
        </w:pBdr>
      </w:pPr>
      <w:r>
        <w:rPr>
          <w:rFonts w:hint="eastAsia" w:ascii="宋体" w:hAnsi="宋体"/>
          <w:color w:val="000000"/>
          <w:szCs w:val="21"/>
        </w:rPr>
        <w:t xml:space="preserve">                              日  期：</w:t>
      </w:r>
      <w:bookmarkEnd w:id="182"/>
      <w:r/>
      <w:r/>
    </w:p>
    <w:p>
      <w:pPr>
        <w:spacing w:before="62" w:after="62"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1.产品如有型号，请在“产品名称”栏一并填写。</w:t>
      </w:r>
      <w:r/>
    </w:p>
    <w:p>
      <w:pPr>
        <w:spacing w:before="62" w:after="62"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2.生产厂名与厂址应与生产厂营业执照载明的相关信息保持一致。</w:t>
      </w:r>
      <w:r/>
    </w:p>
    <w:p>
      <w:pPr>
        <w:spacing w:before="62" w:after="62"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3.该产品的中国境内生产的组件成本占比相关要求实施前，“规定比例”栏可不填，下同。</w:t>
      </w:r>
      <w:r/>
    </w:p>
    <w:p>
      <w:pPr>
        <w:spacing w:before="62" w:after="62"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4.该产品的关键组件要求实施前,“关键组件”栏可不填，下同。</w:t>
      </w:r>
      <w:r/>
    </w:p>
    <w:p>
      <w:pPr>
        <w:spacing w:before="62" w:after="62"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5.该产品的关键工序要求实施前,“关键工序”栏可不填，下同。</w:t>
      </w:r>
      <w:r/>
    </w:p>
    <w:p>
      <w:pPr>
        <w:spacing w:before="62" w:after="62"/>
        <w:rPr>
          <w:rFonts w:hint="eastAsia" w:asciiTheme="minorEastAsia" w:hAnsiTheme="minorEastAsia" w:eastAsiaTheme="minorEastAsia" w:cstheme="minorEastAsia"/>
          <w:bCs/>
          <w:color w:val="000000"/>
          <w:szCs w:val="21"/>
        </w:rPr>
      </w:pPr>
      <w:r/>
      <w:bookmarkStart w:id="183" w:name="_Hlk218765485"/>
      <w:r>
        <w:rPr>
          <w:rFonts w:hint="eastAsia" w:asciiTheme="minorEastAsia" w:hAnsiTheme="minorEastAsia" w:eastAsiaTheme="minorEastAsia" w:cstheme="minorEastAsia"/>
          <w:bCs/>
          <w:color w:val="000000"/>
          <w:szCs w:val="21"/>
        </w:rPr>
        <w:t xml:space="preserve">注：1）投标人如不提供此声明函，价格将不做相应扣除。 </w:t>
      </w:r>
      <w:r/>
    </w:p>
    <w:p>
      <w:pPr>
        <w:ind w:left="420" w:right="597"/>
        <w:spacing w:before="232" w:line="360" w:lineRule="auto"/>
        <w:rPr>
          <w:rFonts w:hint="eastAsia" w:asciiTheme="minorEastAsia" w:hAnsiTheme="minorEastAsia" w:eastAsiaTheme="minorEastAsia" w:cstheme="minorEastAsia"/>
          <w:color w:val="000000"/>
          <w:spacing w:val="6"/>
          <w:szCs w:val="21"/>
        </w:rPr>
        <w:sectPr>
          <w:footerReference w:type="default" r:id="rId19"/>
          <w:footnotePr/>
          <w:endnotePr/>
          <w:type w:val="nextPage"/>
          <w:pgSz w:w="11906" w:h="16838" w:orient="portrait"/>
          <w:pgMar w:top="1134" w:right="1134" w:bottom="1083" w:left="1134" w:header="850" w:footer="992" w:gutter="0"/>
          <w:cols w:num="1" w:sep="0" w:space="720" w:equalWidth="1"/>
          <w:docGrid w:linePitch="360"/>
        </w:sectPr>
      </w:pPr>
      <w:r>
        <w:rPr>
          <w:rFonts w:hint="eastAsia" w:asciiTheme="minorEastAsia" w:hAnsiTheme="minorEastAsia" w:eastAsiaTheme="minorEastAsia" w:cstheme="minorEastAsia"/>
          <w:bCs/>
          <w:color w:val="000000"/>
          <w:szCs w:val="21"/>
        </w:rPr>
        <w:t xml:space="preserve">2）此声明函将随中标结果同时公告，接受社会监督。</w:t>
      </w:r>
      <w:bookmarkEnd w:id="183"/>
      <w:r/>
      <w:r/>
    </w:p>
    <w:p>
      <w:pPr>
        <w:spacing w:line="360" w:lineRule="auto"/>
        <w:rPr>
          <w:b/>
          <w:bCs/>
        </w:rPr>
        <w:outlineLvl w:val="1"/>
      </w:pPr>
      <w:r/>
      <w:bookmarkStart w:id="184" w:name="_Toc27256"/>
      <w:r/>
      <w:bookmarkStart w:id="185" w:name="_Toc14428"/>
      <w:r/>
      <w:bookmarkStart w:id="186" w:name="_Toc231822753"/>
      <w:r/>
      <w:bookmarkStart w:id="187" w:name="_Toc113527858"/>
      <w:r/>
      <w:bookmarkStart w:id="188" w:name="_Toc3177"/>
      <w:r>
        <w:rPr>
          <w:b/>
          <w:bCs/>
          <w:lang w:val="zh-CN"/>
        </w:rPr>
        <w:t xml:space="preserve">附件</w:t>
      </w:r>
      <w:r>
        <w:rPr>
          <w:b/>
          <w:bCs/>
        </w:rPr>
        <w:t xml:space="preserve">九</w:t>
      </w:r>
      <w:r>
        <w:rPr>
          <w:b/>
          <w:bCs/>
          <w:lang w:val="zh-CN"/>
        </w:rPr>
        <w:t xml:space="preserve"> 资格</w:t>
      </w:r>
      <w:bookmarkEnd w:id="184"/>
      <w:r/>
      <w:bookmarkEnd w:id="185"/>
      <w:r>
        <w:rPr>
          <w:b/>
          <w:bCs/>
          <w:lang w:val="zh-CN"/>
        </w:rPr>
        <w:t xml:space="preserve">证明文件</w:t>
      </w:r>
      <w:bookmarkEnd w:id="186"/>
      <w:r/>
      <w:bookmarkEnd w:id="187"/>
      <w:r/>
      <w:bookmarkEnd w:id="188"/>
      <w:r/>
      <w:r/>
    </w:p>
    <w:p>
      <w:pPr>
        <w:spacing w:line="360" w:lineRule="auto"/>
        <w:rPr>
          <w:b/>
          <w:bCs/>
          <w:lang w:val="zh-CN"/>
        </w:rPr>
      </w:pPr>
      <w:r/>
      <w:bookmarkStart w:id="189" w:name="_Toc113527859"/>
      <w:r/>
      <w:bookmarkStart w:id="190" w:name="_Toc13646"/>
      <w:r/>
      <w:bookmarkStart w:id="191" w:name="_Toc4916"/>
      <w:r/>
      <w:bookmarkStart w:id="192" w:name="_Toc12234"/>
      <w:r/>
      <w:bookmarkStart w:id="193" w:name="_Toc231820646"/>
      <w:r>
        <w:rPr>
          <w:b/>
          <w:bCs/>
          <w:lang w:val="zh-CN"/>
        </w:rPr>
        <w:t xml:space="preserve">1、法人或其他组织的营业执照等证明文件（复印件加盖公章）</w:t>
      </w:r>
      <w:bookmarkEnd w:id="189"/>
      <w:r/>
      <w:bookmarkEnd w:id="190"/>
      <w:r/>
      <w:bookmarkEnd w:id="191"/>
      <w:r/>
      <w:bookmarkEnd w:id="192"/>
      <w:r/>
      <w:bookmarkEnd w:id="193"/>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94" w:name="_Toc24535"/>
      <w:r/>
      <w:bookmarkStart w:id="195" w:name="_Toc26588"/>
      <w:r/>
      <w:bookmarkStart w:id="196" w:name="_Toc1205"/>
      <w:r/>
      <w:bookmarkStart w:id="197" w:name="_Toc231820647"/>
      <w:r>
        <w:rPr>
          <w:b/>
          <w:bCs/>
          <w:lang w:val="zh-CN"/>
        </w:rPr>
        <w:t xml:space="preserve">2、法人代表授权书</w:t>
      </w:r>
      <w:bookmarkEnd w:id="194"/>
      <w:r/>
      <w:bookmarkEnd w:id="195"/>
      <w:r/>
      <w:bookmarkEnd w:id="196"/>
      <w:r>
        <w:rPr>
          <w:b/>
          <w:bCs/>
        </w:rPr>
        <w:t xml:space="preserve">（如果是法定代表人直接参与投标的可以不提供授权书，但须提供法定代表人身份证复印件</w:t>
      </w:r>
      <w:r>
        <w:rPr>
          <w:b/>
          <w:bCs/>
          <w:szCs w:val="21"/>
        </w:rPr>
        <w:t xml:space="preserve">）</w:t>
      </w:r>
      <w:bookmarkEnd w:id="197"/>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436"/>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8" w:name="_Toc8662"/>
      <w:r/>
      <w:bookmarkStart w:id="199" w:name="_Toc3499"/>
      <w:r/>
      <w:bookmarkStart w:id="200" w:name="_Toc1910"/>
      <w:r/>
      <w:bookmarkStart w:id="201" w:name="_Toc231820648"/>
      <w:r>
        <w:rPr>
          <w:b/>
          <w:bCs/>
        </w:rPr>
        <w:t xml:space="preserve">3、制造商授权书（如需）</w:t>
      </w:r>
      <w:bookmarkEnd w:id="198"/>
      <w:r/>
      <w:bookmarkEnd w:id="199"/>
      <w:r/>
      <w:bookmarkEnd w:id="200"/>
      <w:r/>
      <w:bookmarkEnd w:id="201"/>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2" w:name="_Toc231820649"/>
      <w:r/>
      <w:bookmarkStart w:id="203" w:name="_Toc3078"/>
      <w:r/>
      <w:bookmarkStart w:id="204" w:name="_Toc19702"/>
      <w:r/>
      <w:bookmarkStart w:id="205" w:name="_Toc113527862"/>
      <w:r/>
      <w:bookmarkStart w:id="206" w:name="_Toc24273"/>
      <w:r>
        <w:rPr>
          <w:b/>
          <w:bCs/>
        </w:rPr>
        <w:t xml:space="preserve">4、具有良好的商业信誉和健全的财务会计制度</w:t>
      </w:r>
      <w:bookmarkEnd w:id="202"/>
      <w:r/>
      <w:bookmarkEnd w:id="203"/>
      <w:r/>
      <w:bookmarkEnd w:id="204"/>
      <w:r/>
      <w:bookmarkEnd w:id="205"/>
      <w:r/>
      <w:bookmarkEnd w:id="206"/>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7" w:name="_Toc15262"/>
      <w:r/>
      <w:bookmarkStart w:id="208" w:name="_Toc23961"/>
      <w:r/>
      <w:bookmarkStart w:id="209" w:name="_Toc113527863"/>
      <w:r/>
      <w:bookmarkStart w:id="210" w:name="_Toc385"/>
      <w:r/>
      <w:bookmarkStart w:id="211" w:name="_Toc231820650"/>
      <w:r>
        <w:rPr>
          <w:b/>
          <w:bCs/>
        </w:rPr>
        <w:t xml:space="preserve">5、具有履行合同所必需的设备和专业技术能力</w:t>
      </w:r>
      <w:bookmarkEnd w:id="207"/>
      <w:r/>
      <w:bookmarkEnd w:id="208"/>
      <w:r/>
      <w:bookmarkEnd w:id="209"/>
      <w:r/>
      <w:bookmarkEnd w:id="210"/>
      <w:r/>
      <w:bookmarkEnd w:id="211"/>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2" w:name="_Toc231820651"/>
      <w:r/>
      <w:bookmarkStart w:id="213" w:name="_Toc1099"/>
      <w:r/>
      <w:bookmarkStart w:id="214" w:name="_Toc113527864"/>
      <w:r/>
      <w:bookmarkStart w:id="215" w:name="_Toc17836"/>
      <w:r/>
      <w:bookmarkStart w:id="216" w:name="_Toc18889"/>
      <w:r>
        <w:rPr>
          <w:b/>
          <w:bCs/>
        </w:rPr>
        <w:t xml:space="preserve">6、参加政府采购活动近三年内（成立时间不足三年的、自成立时间起），在经营活动中没有重大违法记录</w:t>
      </w:r>
      <w:bookmarkEnd w:id="212"/>
      <w:r/>
      <w:bookmarkEnd w:id="213"/>
      <w:r/>
      <w:bookmarkEnd w:id="214"/>
      <w:r/>
      <w:bookmarkEnd w:id="215"/>
      <w:r/>
      <w:bookmarkEnd w:id="216"/>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7" w:name="_Toc18345"/>
      <w:r/>
      <w:bookmarkStart w:id="218" w:name="_Toc113527865"/>
      <w:r/>
      <w:bookmarkStart w:id="219" w:name="_Toc13811"/>
      <w:r/>
      <w:bookmarkStart w:id="220" w:name="_Toc3968"/>
      <w:r/>
      <w:bookmarkStart w:id="221" w:name="_Toc231820652"/>
      <w:r>
        <w:rPr>
          <w:b/>
          <w:bCs/>
        </w:rPr>
        <w:t xml:space="preserve">7、依法缴纳税收的记录</w:t>
      </w:r>
      <w:bookmarkEnd w:id="217"/>
      <w:r/>
      <w:bookmarkEnd w:id="218"/>
      <w:r/>
      <w:bookmarkEnd w:id="219"/>
      <w:r/>
      <w:bookmarkEnd w:id="220"/>
      <w:r/>
      <w:bookmarkEnd w:id="221"/>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22" w:name="_Toc8843"/>
      <w:r/>
      <w:bookmarkStart w:id="223" w:name="_Toc231820653"/>
      <w:r/>
      <w:bookmarkStart w:id="224" w:name="_Toc17181"/>
      <w:r/>
      <w:bookmarkStart w:id="225" w:name="_Toc28812"/>
      <w:r/>
      <w:bookmarkStart w:id="226" w:name="_Toc113527866"/>
      <w:r>
        <w:rPr>
          <w:b/>
          <w:bCs/>
        </w:rPr>
        <w:t xml:space="preserve">8、依法缴纳社会保障资金的记录</w:t>
      </w:r>
      <w:bookmarkEnd w:id="222"/>
      <w:r/>
      <w:bookmarkEnd w:id="223"/>
      <w:r/>
      <w:bookmarkEnd w:id="224"/>
      <w:r/>
      <w:bookmarkEnd w:id="225"/>
      <w:r/>
      <w:bookmarkEnd w:id="226"/>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20"/>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7" w:name="_Toc113527867"/>
      <w:r/>
      <w:bookmarkStart w:id="228" w:name="_Toc9645"/>
      <w:r/>
      <w:bookmarkStart w:id="229" w:name="_Toc29638"/>
      <w:r/>
      <w:bookmarkStart w:id="230" w:name="_Toc23117"/>
      <w:r/>
      <w:bookmarkStart w:id="231" w:name="_Toc231820654"/>
      <w:r>
        <w:rPr>
          <w:b/>
          <w:bCs/>
        </w:rPr>
        <w:t xml:space="preserve">9、</w:t>
      </w:r>
      <w:bookmarkEnd w:id="227"/>
      <w:r/>
      <w:bookmarkEnd w:id="228"/>
      <w:r/>
      <w:bookmarkEnd w:id="229"/>
      <w:r/>
      <w:bookmarkEnd w:id="230"/>
      <w:r>
        <w:rPr>
          <w:b/>
          <w:bCs/>
        </w:rPr>
        <w:t xml:space="preserve">未被“信用中国”网站(www.creditchina.gov.cn)、“中国政府采购网”(www.ccgp.gov.cn)列入失信被执行人、重大税收违法案件当事人名单、政府采购严重失信行为记录名单的截图。</w:t>
      </w:r>
      <w:bookmarkEnd w:id="231"/>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32" w:name="_Toc20105"/>
      <w:r>
        <w:rPr>
          <w:b/>
          <w:bCs/>
          <w:color w:val="000000"/>
          <w:szCs w:val="21"/>
        </w:rPr>
        <w:br w:type="page" w:clear="all"/>
      </w:r>
      <w:r/>
    </w:p>
    <w:p>
      <w:pPr>
        <w:spacing w:line="360" w:lineRule="auto"/>
        <w:rPr>
          <w:b/>
          <w:bCs/>
        </w:rPr>
      </w:pPr>
      <w:r/>
      <w:bookmarkStart w:id="233" w:name="_Toc231820655"/>
      <w:r/>
      <w:bookmarkStart w:id="234" w:name="_Toc19453"/>
      <w:r/>
      <w:bookmarkStart w:id="235" w:name="_Toc113527868"/>
      <w:r/>
      <w:bookmarkStart w:id="236" w:name="_Toc3374"/>
      <w:r>
        <w:rPr>
          <w:b/>
          <w:bCs/>
        </w:rPr>
        <w:t xml:space="preserve">10、</w:t>
      </w:r>
      <w:r>
        <w:rPr>
          <w:rFonts w:hint="eastAsia"/>
          <w:b/>
          <w:bCs/>
        </w:rPr>
        <w:t xml:space="preserve">其他资格要求承诺函</w:t>
      </w:r>
      <w:bookmarkEnd w:id="233"/>
      <w:r/>
      <w:r/>
    </w:p>
    <w:p>
      <w:pPr>
        <w:ind w:firstLine="420"/>
        <w:jc w:val="center"/>
        <w:spacing w:line="360" w:lineRule="auto"/>
      </w:pPr>
      <w:r/>
      <w:bookmarkStart w:id="237" w:name="_Toc231820656"/>
      <w:r/>
      <w:r/>
    </w:p>
    <w:p>
      <w:pPr>
        <w:ind w:firstLine="420"/>
        <w:jc w:val="center"/>
        <w:spacing w:line="360" w:lineRule="auto"/>
      </w:pPr>
      <w:r>
        <w:rPr>
          <w:rFonts w:hint="eastAsia"/>
        </w:rPr>
        <w:t xml:space="preserve">我单位承诺：</w:t>
      </w:r>
      <w:bookmarkEnd w:id="237"/>
      <w:r/>
      <w:r/>
    </w:p>
    <w:p>
      <w:pPr>
        <w:ind w:firstLine="420"/>
        <w:spacing w:line="360" w:lineRule="auto"/>
      </w:pPr>
      <w:r/>
      <w:bookmarkStart w:id="238" w:name="_Toc231820657"/>
      <w:r>
        <w:rPr>
          <w:rFonts w:hint="eastAsia"/>
        </w:rPr>
        <w:t xml:space="preserve">1、 我单位独立参加本项目采购活动，未与其他潜在供应商组成联合体响应。未提供进口产品投标。</w:t>
      </w:r>
      <w:bookmarkEnd w:id="238"/>
      <w:r/>
      <w:r/>
    </w:p>
    <w:p>
      <w:pPr>
        <w:ind w:firstLine="420"/>
        <w:spacing w:line="360" w:lineRule="auto"/>
      </w:pPr>
      <w:r/>
      <w:bookmarkStart w:id="239" w:name="_Toc231820658"/>
      <w:r>
        <w:rPr>
          <w:rFonts w:hint="eastAsia"/>
        </w:rPr>
        <w:t xml:space="preserve">2、我单位参加本次采购活动，遵守并符合以下要求：</w:t>
      </w:r>
      <w:bookmarkEnd w:id="239"/>
      <w:r/>
      <w:r/>
    </w:p>
    <w:p>
      <w:pPr>
        <w:ind w:firstLine="420"/>
        <w:spacing w:line="360" w:lineRule="auto"/>
      </w:pPr>
      <w:r/>
      <w:bookmarkStart w:id="240" w:name="_Toc231820659"/>
      <w:r>
        <w:rPr>
          <w:rFonts w:hint="eastAsia"/>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40"/>
      <w:r/>
      <w:r/>
    </w:p>
    <w:p>
      <w:pPr>
        <w:ind w:firstLine="420"/>
        <w:spacing w:line="360" w:lineRule="auto"/>
      </w:pPr>
      <w:r/>
      <w:bookmarkStart w:id="241" w:name="_Toc231820660"/>
      <w:r>
        <w:rPr>
          <w:rFonts w:hint="eastAsia"/>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41"/>
      <w:r/>
      <w:r/>
    </w:p>
    <w:p>
      <w:pPr>
        <w:ind w:firstLine="420"/>
        <w:spacing w:line="360" w:lineRule="auto"/>
      </w:pPr>
      <w:r/>
      <w:bookmarkStart w:id="242" w:name="_Toc231820661"/>
      <w:r>
        <w:rPr>
          <w:rFonts w:hint="eastAsia"/>
        </w:rPr>
        <w:t xml:space="preserve">（3）公益一类事业单位、使用事业编制且由财政拨款保障的群团组织，不得参加本项目的采购活动；我单位性质不属于此类情况。</w:t>
      </w:r>
      <w:bookmarkEnd w:id="242"/>
      <w:r/>
      <w:r/>
    </w:p>
    <w:p>
      <w:pPr>
        <w:ind w:firstLine="420"/>
        <w:spacing w:line="360" w:lineRule="auto"/>
      </w:pPr>
      <w:r/>
      <w:bookmarkStart w:id="243" w:name="_Toc231820662"/>
      <w:r>
        <w:rPr>
          <w:rFonts w:hint="eastAsia"/>
        </w:rPr>
        <w:t xml:space="preserve">特此承诺。</w:t>
      </w:r>
      <w:bookmarkEnd w:id="243"/>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44" w:name="_Toc231820663"/>
      <w:r>
        <w:rPr>
          <w:rFonts w:hint="eastAsia"/>
          <w:b/>
          <w:bCs/>
        </w:rPr>
        <w:t xml:space="preserve">11、</w:t>
      </w:r>
      <w:r>
        <w:rPr>
          <w:b/>
          <w:bCs/>
        </w:rPr>
        <w:t xml:space="preserve">供应商认为其需要提供的其他资格证明文件。</w:t>
      </w:r>
      <w:bookmarkEnd w:id="232"/>
      <w:r/>
      <w:bookmarkEnd w:id="234"/>
      <w:r/>
      <w:bookmarkEnd w:id="235"/>
      <w:r/>
      <w:bookmarkEnd w:id="236"/>
      <w:r/>
      <w:bookmarkEnd w:id="244"/>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45" w:name="_Toc21790"/>
      <w:r/>
      <w:bookmarkStart w:id="246" w:name="_Toc5506"/>
      <w:r/>
      <w:bookmarkStart w:id="247" w:name="_Toc22079"/>
      <w:r/>
      <w:bookmarkEnd w:id="245"/>
      <w:r/>
      <w:bookmarkEnd w:id="246"/>
      <w:r/>
      <w:bookmarkEnd w:id="247"/>
      <w:r/>
      <w:r/>
    </w:p>
    <w:p>
      <w:pPr>
        <w:spacing w:line="360" w:lineRule="auto"/>
        <w:rPr>
          <w:b/>
          <w:bCs/>
        </w:rPr>
        <w:outlineLvl w:val="1"/>
      </w:pPr>
      <w:r/>
      <w:bookmarkStart w:id="248" w:name="_Toc231822754"/>
      <w:r>
        <w:rPr>
          <w:b/>
          <w:bCs/>
        </w:rPr>
        <w:t xml:space="preserve">附件十 其他相关文件</w:t>
      </w:r>
      <w:bookmarkEnd w:id="248"/>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436"/>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3"/>
      <w:footerReference w:type="first" r:id="rId24"/>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ZHTK--GBK1-0">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458"/>
                            <w:rPr>
                              <w:rStyle w:val="1474"/>
                            </w:rPr>
                          </w:pPr>
                          <w:r>
                            <w:rPr>
                              <w:rStyle w:val="1474"/>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458"/>
                      <w:rPr>
                        <w:rStyle w:val="1474"/>
                      </w:rPr>
                    </w:pPr>
                    <w:r>
                      <w:rPr>
                        <w:rStyle w:val="1474"/>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45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after="120" w:line="360" w:lineRule="auto"/>
      <w:rPr>
        <w:rFonts w:eastAsia="微软雅黑"/>
      </w:rPr>
    </w:pPr>
    <w:r>
      <w:rPr>
        <w:rFonts w:eastAsia="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rPr>
        <w:rFonts w:eastAsia="微软雅黑"/>
      </w:rPr>
      <w:b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458"/>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58"/>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58"/>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458"/>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45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5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58"/>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458"/>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5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4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459"/>
      <w:jc w:val="right"/>
      <w:rPr>
        <w:sz w:val="21"/>
      </w:rPr>
    </w:pPr>
    <w:r>
      <w:rPr>
        <w:rFonts w:hint="eastAsia"/>
      </w:rPr>
      <w:t xml:space="preserve">原子吸收光谱仪</w:t>
    </w:r>
    <w:r>
      <w:rPr>
        <w:rFonts w:hint="eastAsia"/>
        <w:szCs w:val="21"/>
      </w:rPr>
      <w:t xml:space="preserve">等18项设备</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459"/>
      <w:jc w:val="right"/>
    </w:pPr>
    <w:r>
      <w:t xml:space="preserve">  </w:t>
    </w:r>
    <w:r>
      <w:rPr>
        <w:rFonts w:hint="eastAsia"/>
      </w:rPr>
      <w:t xml:space="preserve">观片灯等23项设备招标文件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9"/>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459"/>
      <w:rPr>
        <w:sz w:val="21"/>
      </w:rPr>
    </w:pPr>
    <w:r>
      <w:rPr>
        <w:rFonts w:hint="eastAsia"/>
      </w:rPr>
      <w:t xml:space="preserve">                                                              </w:t>
    </w:r>
    <w:r>
      <w:t xml:space="preserve">         </w:t>
    </w:r>
    <w:r>
      <w:rPr>
        <w:rFonts w:hint="eastAsia"/>
      </w:rPr>
      <w:t xml:space="preserve">观片灯等23项设备招标文件</w:t>
    </w:r>
    <w:r/>
  </w:p>
  <w:p>
    <w:pPr>
      <w:pStyle w:val="1459"/>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481"/>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99"/>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23">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54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25">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241"/>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4"/>
  </w:num>
  <w:num w:numId="3">
    <w:abstractNumId w:val="16"/>
  </w:num>
  <w:num w:numId="4">
    <w:abstractNumId w:val="11"/>
  </w:num>
  <w:num w:numId="5">
    <w:abstractNumId w:val="8"/>
  </w:num>
  <w:num w:numId="6">
    <w:abstractNumId w:val="23"/>
  </w:num>
  <w:num w:numId="7">
    <w:abstractNumId w:val="18"/>
  </w:num>
  <w:num w:numId="8">
    <w:abstractNumId w:val="0"/>
  </w:num>
  <w:num w:numId="9">
    <w:abstractNumId w:val="9"/>
  </w:num>
  <w:num w:numId="10">
    <w:abstractNumId w:val="2"/>
  </w:num>
  <w:num w:numId="11">
    <w:abstractNumId w:val="26"/>
  </w:num>
  <w:num w:numId="12">
    <w:abstractNumId w:val="21"/>
  </w:num>
  <w:num w:numId="13">
    <w:abstractNumId w:val="27"/>
  </w:num>
  <w:num w:numId="14">
    <w:abstractNumId w:val="30"/>
  </w:num>
  <w:num w:numId="15">
    <w:abstractNumId w:val="19"/>
  </w:num>
  <w:num w:numId="16">
    <w:abstractNumId w:val="6"/>
  </w:num>
  <w:num w:numId="17">
    <w:abstractNumId w:val="5"/>
  </w:num>
  <w:num w:numId="18">
    <w:abstractNumId w:val="7"/>
  </w:num>
  <w:num w:numId="19">
    <w:abstractNumId w:val="17"/>
  </w:num>
  <w:num w:numId="20">
    <w:abstractNumId w:val="12"/>
  </w:num>
  <w:num w:numId="21">
    <w:abstractNumId w:val="31"/>
  </w:num>
  <w:num w:numId="22">
    <w:abstractNumId w:val="20"/>
  </w:num>
  <w:num w:numId="23">
    <w:abstractNumId w:val="25"/>
  </w:num>
  <w:num w:numId="24">
    <w:abstractNumId w:val="13"/>
  </w:num>
  <w:num w:numId="25">
    <w:abstractNumId w:val="14"/>
  </w:num>
  <w:num w:numId="26">
    <w:abstractNumId w:val="4"/>
  </w:num>
  <w:num w:numId="27">
    <w:abstractNumId w:val="3"/>
  </w:num>
  <w:num w:numId="28">
    <w:abstractNumId w:val="28"/>
  </w:num>
  <w:num w:numId="29">
    <w:abstractNumId w:val="1"/>
  </w:num>
  <w:num w:numId="30">
    <w:abstractNumId w:val="29"/>
  </w:num>
  <w:num w:numId="31">
    <w:abstractNumId w:val="15"/>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73">
    <w:name w:val="Heading 1 Char"/>
    <w:basedOn w:val="1435"/>
    <w:link w:val="1429"/>
    <w:uiPriority w:val="9"/>
    <w:rPr>
      <w:rFonts w:ascii="Arial" w:hAnsi="Arial" w:eastAsia="Arial" w:cs="Arial"/>
      <w:sz w:val="40"/>
      <w:szCs w:val="40"/>
    </w:rPr>
  </w:style>
  <w:style w:type="character" w:styleId="1274">
    <w:name w:val="Heading 2 Char"/>
    <w:basedOn w:val="1435"/>
    <w:link w:val="1430"/>
    <w:uiPriority w:val="9"/>
    <w:rPr>
      <w:rFonts w:ascii="Arial" w:hAnsi="Arial" w:eastAsia="Arial" w:cs="Arial"/>
      <w:sz w:val="34"/>
    </w:rPr>
  </w:style>
  <w:style w:type="character" w:styleId="1275">
    <w:name w:val="Heading 3 Char"/>
    <w:basedOn w:val="1435"/>
    <w:link w:val="1431"/>
    <w:uiPriority w:val="9"/>
    <w:rPr>
      <w:rFonts w:ascii="Arial" w:hAnsi="Arial" w:eastAsia="Arial" w:cs="Arial"/>
      <w:sz w:val="30"/>
      <w:szCs w:val="30"/>
    </w:rPr>
  </w:style>
  <w:style w:type="character" w:styleId="1276">
    <w:name w:val="Heading 4 Char"/>
    <w:basedOn w:val="1435"/>
    <w:link w:val="1432"/>
    <w:uiPriority w:val="9"/>
    <w:rPr>
      <w:rFonts w:ascii="Arial" w:hAnsi="Arial" w:eastAsia="Arial" w:cs="Arial"/>
      <w:b/>
      <w:bCs/>
      <w:sz w:val="26"/>
      <w:szCs w:val="26"/>
    </w:rPr>
  </w:style>
  <w:style w:type="character" w:styleId="1277">
    <w:name w:val="Heading 5 Char"/>
    <w:basedOn w:val="1435"/>
    <w:link w:val="1433"/>
    <w:uiPriority w:val="9"/>
    <w:rPr>
      <w:rFonts w:ascii="Arial" w:hAnsi="Arial" w:eastAsia="Arial" w:cs="Arial"/>
      <w:b/>
      <w:bCs/>
      <w:sz w:val="24"/>
      <w:szCs w:val="24"/>
    </w:rPr>
  </w:style>
  <w:style w:type="paragraph" w:styleId="1278">
    <w:name w:val="Heading 6"/>
    <w:basedOn w:val="1428"/>
    <w:next w:val="1428"/>
    <w:link w:val="1279"/>
    <w:uiPriority w:val="9"/>
    <w:unhideWhenUsed/>
    <w:qFormat/>
    <w:pPr>
      <w:keepLines/>
      <w:keepNext/>
      <w:spacing w:before="320" w:after="200"/>
      <w:outlineLvl w:val="5"/>
    </w:pPr>
    <w:rPr>
      <w:rFonts w:ascii="Arial" w:hAnsi="Arial" w:eastAsia="Arial" w:cs="Arial"/>
      <w:b/>
      <w:bCs/>
      <w:sz w:val="22"/>
      <w:szCs w:val="22"/>
    </w:rPr>
  </w:style>
  <w:style w:type="character" w:styleId="1279">
    <w:name w:val="Heading 6 Char"/>
    <w:basedOn w:val="1435"/>
    <w:link w:val="1278"/>
    <w:uiPriority w:val="9"/>
    <w:rPr>
      <w:rFonts w:ascii="Arial" w:hAnsi="Arial" w:eastAsia="Arial" w:cs="Arial"/>
      <w:b/>
      <w:bCs/>
      <w:sz w:val="22"/>
      <w:szCs w:val="22"/>
    </w:rPr>
  </w:style>
  <w:style w:type="character" w:styleId="1280">
    <w:name w:val="Heading 7 Char"/>
    <w:basedOn w:val="1435"/>
    <w:link w:val="1434"/>
    <w:uiPriority w:val="9"/>
    <w:rPr>
      <w:rFonts w:ascii="Arial" w:hAnsi="Arial" w:eastAsia="Arial" w:cs="Arial"/>
      <w:b/>
      <w:bCs/>
      <w:i/>
      <w:iCs/>
      <w:sz w:val="22"/>
      <w:szCs w:val="22"/>
    </w:rPr>
  </w:style>
  <w:style w:type="paragraph" w:styleId="1281">
    <w:name w:val="Heading 8"/>
    <w:basedOn w:val="1428"/>
    <w:next w:val="1428"/>
    <w:link w:val="1282"/>
    <w:uiPriority w:val="9"/>
    <w:unhideWhenUsed/>
    <w:qFormat/>
    <w:pPr>
      <w:keepLines/>
      <w:keepNext/>
      <w:spacing w:before="320" w:after="200"/>
      <w:outlineLvl w:val="7"/>
    </w:pPr>
    <w:rPr>
      <w:rFonts w:ascii="Arial" w:hAnsi="Arial" w:eastAsia="Arial" w:cs="Arial"/>
      <w:i/>
      <w:iCs/>
      <w:sz w:val="22"/>
      <w:szCs w:val="22"/>
    </w:rPr>
  </w:style>
  <w:style w:type="character" w:styleId="1282">
    <w:name w:val="Heading 8 Char"/>
    <w:basedOn w:val="1435"/>
    <w:link w:val="1281"/>
    <w:uiPriority w:val="9"/>
    <w:rPr>
      <w:rFonts w:ascii="Arial" w:hAnsi="Arial" w:eastAsia="Arial" w:cs="Arial"/>
      <w:i/>
      <w:iCs/>
      <w:sz w:val="22"/>
      <w:szCs w:val="22"/>
    </w:rPr>
  </w:style>
  <w:style w:type="paragraph" w:styleId="1283">
    <w:name w:val="Heading 9"/>
    <w:basedOn w:val="1428"/>
    <w:next w:val="1428"/>
    <w:link w:val="1284"/>
    <w:uiPriority w:val="9"/>
    <w:unhideWhenUsed/>
    <w:qFormat/>
    <w:pPr>
      <w:keepLines/>
      <w:keepNext/>
      <w:spacing w:before="320" w:after="200"/>
      <w:outlineLvl w:val="8"/>
    </w:pPr>
    <w:rPr>
      <w:rFonts w:ascii="Arial" w:hAnsi="Arial" w:eastAsia="Arial" w:cs="Arial"/>
      <w:i/>
      <w:iCs/>
      <w:sz w:val="21"/>
      <w:szCs w:val="21"/>
    </w:rPr>
  </w:style>
  <w:style w:type="character" w:styleId="1284">
    <w:name w:val="Heading 9 Char"/>
    <w:basedOn w:val="1435"/>
    <w:link w:val="1283"/>
    <w:uiPriority w:val="9"/>
    <w:rPr>
      <w:rFonts w:ascii="Arial" w:hAnsi="Arial" w:eastAsia="Arial" w:cs="Arial"/>
      <w:i/>
      <w:iCs/>
      <w:sz w:val="21"/>
      <w:szCs w:val="21"/>
    </w:rPr>
  </w:style>
  <w:style w:type="paragraph" w:styleId="1285">
    <w:name w:val="No Spacing"/>
    <w:uiPriority w:val="1"/>
    <w:qFormat/>
    <w:pPr>
      <w:spacing w:before="0" w:after="0" w:line="240" w:lineRule="auto"/>
    </w:pPr>
  </w:style>
  <w:style w:type="character" w:styleId="1286">
    <w:name w:val="Title Char"/>
    <w:basedOn w:val="1435"/>
    <w:link w:val="1469"/>
    <w:uiPriority w:val="10"/>
    <w:rPr>
      <w:sz w:val="48"/>
      <w:szCs w:val="48"/>
    </w:rPr>
  </w:style>
  <w:style w:type="character" w:styleId="1287">
    <w:name w:val="Subtitle Char"/>
    <w:basedOn w:val="1435"/>
    <w:link w:val="1462"/>
    <w:uiPriority w:val="11"/>
    <w:rPr>
      <w:sz w:val="24"/>
      <w:szCs w:val="24"/>
    </w:rPr>
  </w:style>
  <w:style w:type="paragraph" w:styleId="1288">
    <w:name w:val="Quote"/>
    <w:basedOn w:val="1428"/>
    <w:next w:val="1428"/>
    <w:link w:val="1289"/>
    <w:uiPriority w:val="29"/>
    <w:qFormat/>
    <w:pPr>
      <w:ind w:left="720" w:right="720"/>
    </w:pPr>
    <w:rPr>
      <w:i/>
    </w:rPr>
  </w:style>
  <w:style w:type="character" w:styleId="1289">
    <w:name w:val="Quote Char"/>
    <w:link w:val="1288"/>
    <w:uiPriority w:val="29"/>
    <w:rPr>
      <w:i/>
    </w:rPr>
  </w:style>
  <w:style w:type="paragraph" w:styleId="1290">
    <w:name w:val="Intense Quote"/>
    <w:basedOn w:val="1428"/>
    <w:next w:val="1428"/>
    <w:link w:val="12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1">
    <w:name w:val="Intense Quote Char"/>
    <w:link w:val="1290"/>
    <w:uiPriority w:val="30"/>
    <w:rPr>
      <w:i/>
    </w:rPr>
  </w:style>
  <w:style w:type="character" w:styleId="1292">
    <w:name w:val="Header Char"/>
    <w:basedOn w:val="1435"/>
    <w:link w:val="1459"/>
    <w:uiPriority w:val="99"/>
  </w:style>
  <w:style w:type="character" w:styleId="1293">
    <w:name w:val="Footer Char"/>
    <w:basedOn w:val="1435"/>
    <w:link w:val="1458"/>
    <w:uiPriority w:val="99"/>
  </w:style>
  <w:style w:type="character" w:styleId="1294">
    <w:name w:val="Caption Char"/>
    <w:basedOn w:val="1440"/>
    <w:link w:val="1458"/>
    <w:uiPriority w:val="99"/>
  </w:style>
  <w:style w:type="table" w:styleId="1295">
    <w:name w:val="Table Grid Light"/>
    <w:basedOn w:val="14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6">
    <w:name w:val="Plain Table 1"/>
    <w:basedOn w:val="14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7">
    <w:name w:val="Plain Table 2"/>
    <w:basedOn w:val="14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8">
    <w:name w:val="Plain Table 3"/>
    <w:basedOn w:val="14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9">
    <w:name w:val="Plain Table 4"/>
    <w:basedOn w:val="14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0">
    <w:name w:val="Plain Table 5"/>
    <w:basedOn w:val="14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01">
    <w:name w:val="Grid Table 1 Light"/>
    <w:basedOn w:val="14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02">
    <w:name w:val="Grid Table 1 Light - Accent 1"/>
    <w:basedOn w:val="14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03">
    <w:name w:val="Grid Table 1 Light - Accent 2"/>
    <w:basedOn w:val="14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4">
    <w:name w:val="Grid Table 1 Light - Accent 3"/>
    <w:basedOn w:val="14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5">
    <w:name w:val="Grid Table 1 Light - Accent 4"/>
    <w:basedOn w:val="14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6">
    <w:name w:val="Grid Table 1 Light - Accent 5"/>
    <w:basedOn w:val="14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7">
    <w:name w:val="Grid Table 1 Light - Accent 6"/>
    <w:basedOn w:val="14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8">
    <w:name w:val="Grid Table 2"/>
    <w:basedOn w:val="14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9">
    <w:name w:val="Grid Table 2 - Accent 1"/>
    <w:basedOn w:val="14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10">
    <w:name w:val="Grid Table 2 - Accent 2"/>
    <w:basedOn w:val="14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11">
    <w:name w:val="Grid Table 2 - Accent 3"/>
    <w:basedOn w:val="14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12">
    <w:name w:val="Grid Table 2 - Accent 4"/>
    <w:basedOn w:val="14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13">
    <w:name w:val="Grid Table 2 - Accent 5"/>
    <w:basedOn w:val="14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4">
    <w:name w:val="Grid Table 2 - Accent 6"/>
    <w:basedOn w:val="14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5">
    <w:name w:val="Grid Table 3"/>
    <w:basedOn w:val="14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1"/>
    <w:basedOn w:val="14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2"/>
    <w:basedOn w:val="14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3 - Accent 3"/>
    <w:basedOn w:val="14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9">
    <w:name w:val="Grid Table 3 - Accent 4"/>
    <w:basedOn w:val="14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0">
    <w:name w:val="Grid Table 3 - Accent 5"/>
    <w:basedOn w:val="14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1">
    <w:name w:val="Grid Table 3 - Accent 6"/>
    <w:basedOn w:val="14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2">
    <w:name w:val="Grid Table 4"/>
    <w:basedOn w:val="14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3">
    <w:name w:val="Grid Table 4 - Accent 1"/>
    <w:basedOn w:val="14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4">
    <w:name w:val="Grid Table 4 - Accent 2"/>
    <w:basedOn w:val="14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5">
    <w:name w:val="Grid Table 4 - Accent 3"/>
    <w:basedOn w:val="14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6">
    <w:name w:val="Grid Table 4 - Accent 4"/>
    <w:basedOn w:val="14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7">
    <w:name w:val="Grid Table 4 - Accent 5"/>
    <w:basedOn w:val="14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8">
    <w:name w:val="Grid Table 4 - Accent 6"/>
    <w:basedOn w:val="14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9">
    <w:name w:val="Grid Table 5 Dark"/>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30">
    <w:name w:val="Grid Table 5 Dark- Accent 1"/>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31">
    <w:name w:val="Grid Table 5 Dark - Accent 2"/>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32">
    <w:name w:val="Grid Table 5 Dark - Accent 3"/>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33">
    <w:name w:val="Grid Table 5 Dark- Accent 4"/>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4">
    <w:name w:val="Grid Table 5 Dark - Accent 5"/>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5">
    <w:name w:val="Grid Table 5 Dark - Accent 6"/>
    <w:basedOn w:val="14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6">
    <w:name w:val="Grid Table 6 Colorful"/>
    <w:basedOn w:val="14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7">
    <w:name w:val="Grid Table 6 Colorful - Accent 1"/>
    <w:basedOn w:val="14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8">
    <w:name w:val="Grid Table 6 Colorful - Accent 2"/>
    <w:basedOn w:val="14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9">
    <w:name w:val="Grid Table 6 Colorful - Accent 3"/>
    <w:basedOn w:val="14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40">
    <w:name w:val="Grid Table 6 Colorful - Accent 4"/>
    <w:basedOn w:val="14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41">
    <w:name w:val="Grid Table 6 Colorful - Accent 5"/>
    <w:basedOn w:val="14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2">
    <w:name w:val="Grid Table 6 Colorful - Accent 6"/>
    <w:basedOn w:val="14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3">
    <w:name w:val="Grid Table 7 Colorful"/>
    <w:basedOn w:val="14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4">
    <w:name w:val="Grid Table 7 Colorful - Accent 1"/>
    <w:basedOn w:val="14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5">
    <w:name w:val="Grid Table 7 Colorful - Accent 2"/>
    <w:basedOn w:val="14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6">
    <w:name w:val="Grid Table 7 Colorful - Accent 3"/>
    <w:basedOn w:val="14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7">
    <w:name w:val="Grid Table 7 Colorful - Accent 4"/>
    <w:basedOn w:val="14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8">
    <w:name w:val="Grid Table 7 Colorful - Accent 5"/>
    <w:basedOn w:val="14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9">
    <w:name w:val="Grid Table 7 Colorful - Accent 6"/>
    <w:basedOn w:val="14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50">
    <w:name w:val="List Table 1 Light"/>
    <w:basedOn w:val="14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1">
    <w:name w:val="List Table 1 Light - Accent 1"/>
    <w:basedOn w:val="14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52">
    <w:name w:val="List Table 1 Light - Accent 2"/>
    <w:basedOn w:val="14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53">
    <w:name w:val="List Table 1 Light - Accent 3"/>
    <w:basedOn w:val="14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4">
    <w:name w:val="List Table 1 Light - Accent 4"/>
    <w:basedOn w:val="14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5">
    <w:name w:val="List Table 1 Light - Accent 5"/>
    <w:basedOn w:val="14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6">
    <w:name w:val="List Table 1 Light - Accent 6"/>
    <w:basedOn w:val="14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7">
    <w:name w:val="List Table 2"/>
    <w:basedOn w:val="14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8">
    <w:name w:val="List Table 2 - Accent 1"/>
    <w:basedOn w:val="14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9">
    <w:name w:val="List Table 2 - Accent 2"/>
    <w:basedOn w:val="14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60">
    <w:name w:val="List Table 2 - Accent 3"/>
    <w:basedOn w:val="14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61">
    <w:name w:val="List Table 2 - Accent 4"/>
    <w:basedOn w:val="14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62">
    <w:name w:val="List Table 2 - Accent 5"/>
    <w:basedOn w:val="14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63">
    <w:name w:val="List Table 2 - Accent 6"/>
    <w:basedOn w:val="14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4">
    <w:name w:val="List Table 3"/>
    <w:basedOn w:val="14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5">
    <w:name w:val="List Table 3 - Accent 1"/>
    <w:basedOn w:val="14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6">
    <w:name w:val="List Table 3 - Accent 2"/>
    <w:basedOn w:val="14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7">
    <w:name w:val="List Table 3 - Accent 3"/>
    <w:basedOn w:val="14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8">
    <w:name w:val="List Table 3 - Accent 4"/>
    <w:basedOn w:val="14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9">
    <w:name w:val="List Table 3 - Accent 5"/>
    <w:basedOn w:val="14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70">
    <w:name w:val="List Table 3 - Accent 6"/>
    <w:basedOn w:val="14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71">
    <w:name w:val="List Table 4"/>
    <w:basedOn w:val="14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2">
    <w:name w:val="List Table 4 - Accent 1"/>
    <w:basedOn w:val="14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73">
    <w:name w:val="List Table 4 - Accent 2"/>
    <w:basedOn w:val="14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4">
    <w:name w:val="List Table 4 - Accent 3"/>
    <w:basedOn w:val="14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5">
    <w:name w:val="List Table 4 - Accent 4"/>
    <w:basedOn w:val="14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6">
    <w:name w:val="List Table 4 - Accent 5"/>
    <w:basedOn w:val="14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7">
    <w:name w:val="List Table 4 - Accent 6"/>
    <w:basedOn w:val="14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8">
    <w:name w:val="List Table 5 Dark"/>
    <w:basedOn w:val="14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1"/>
    <w:basedOn w:val="14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2"/>
    <w:basedOn w:val="14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5 Dark - Accent 3"/>
    <w:basedOn w:val="14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2">
    <w:name w:val="List Table 5 Dark - Accent 4"/>
    <w:basedOn w:val="14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3">
    <w:name w:val="List Table 5 Dark - Accent 5"/>
    <w:basedOn w:val="14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4">
    <w:name w:val="List Table 5 Dark - Accent 6"/>
    <w:basedOn w:val="14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5">
    <w:name w:val="List Table 6 Colorful"/>
    <w:basedOn w:val="14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6">
    <w:name w:val="List Table 6 Colorful - Accent 1"/>
    <w:basedOn w:val="14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7">
    <w:name w:val="List Table 6 Colorful - Accent 2"/>
    <w:basedOn w:val="14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8">
    <w:name w:val="List Table 6 Colorful - Accent 3"/>
    <w:basedOn w:val="14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9">
    <w:name w:val="List Table 6 Colorful - Accent 4"/>
    <w:basedOn w:val="14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90">
    <w:name w:val="List Table 6 Colorful - Accent 5"/>
    <w:basedOn w:val="14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91">
    <w:name w:val="List Table 6 Colorful - Accent 6"/>
    <w:basedOn w:val="14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92">
    <w:name w:val="List Table 7 Colorful"/>
    <w:basedOn w:val="14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93">
    <w:name w:val="List Table 7 Colorful - Accent 1"/>
    <w:basedOn w:val="14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4">
    <w:name w:val="List Table 7 Colorful - Accent 2"/>
    <w:basedOn w:val="14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5">
    <w:name w:val="List Table 7 Colorful - Accent 3"/>
    <w:basedOn w:val="14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6">
    <w:name w:val="List Table 7 Colorful - Accent 4"/>
    <w:basedOn w:val="14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7">
    <w:name w:val="List Table 7 Colorful - Accent 5"/>
    <w:basedOn w:val="14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8">
    <w:name w:val="List Table 7 Colorful - Accent 6"/>
    <w:basedOn w:val="14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9">
    <w:name w:val="Lined - Accent"/>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0">
    <w:name w:val="Lined - Accent 1"/>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1">
    <w:name w:val="Lined - Accent 2"/>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2">
    <w:name w:val="Lined - Accent 3"/>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3">
    <w:name w:val="Lined - Accent 4"/>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4">
    <w:name w:val="Lined - Accent 5"/>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5">
    <w:name w:val="Lined - Accent 6"/>
    <w:basedOn w:val="14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6">
    <w:name w:val="Bordered &amp; Lined - Accent"/>
    <w:basedOn w:val="14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7">
    <w:name w:val="Bordered &amp; Lined - Accent 1"/>
    <w:basedOn w:val="14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8">
    <w:name w:val="Bordered &amp; Lined - Accent 2"/>
    <w:basedOn w:val="14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9">
    <w:name w:val="Bordered &amp; Lined - Accent 3"/>
    <w:basedOn w:val="14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0">
    <w:name w:val="Bordered &amp; Lined - Accent 4"/>
    <w:basedOn w:val="14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1">
    <w:name w:val="Bordered &amp; Lined - Accent 5"/>
    <w:basedOn w:val="14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2">
    <w:name w:val="Bordered &amp; Lined - Accent 6"/>
    <w:basedOn w:val="14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13">
    <w:name w:val="Bordered"/>
    <w:basedOn w:val="14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4">
    <w:name w:val="Bordered - Accent 1"/>
    <w:basedOn w:val="14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5">
    <w:name w:val="Bordered - Accent 2"/>
    <w:basedOn w:val="14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6">
    <w:name w:val="Bordered - Accent 3"/>
    <w:basedOn w:val="14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7">
    <w:name w:val="Bordered - Accent 4"/>
    <w:basedOn w:val="14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8">
    <w:name w:val="Bordered - Accent 5"/>
    <w:basedOn w:val="14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9">
    <w:name w:val="Bordered - Accent 6"/>
    <w:basedOn w:val="14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420">
    <w:name w:val="footnote text"/>
    <w:basedOn w:val="1428"/>
    <w:link w:val="1421"/>
    <w:uiPriority w:val="99"/>
    <w:semiHidden/>
    <w:unhideWhenUsed/>
    <w:pPr>
      <w:spacing w:after="40" w:line="240" w:lineRule="auto"/>
    </w:pPr>
    <w:rPr>
      <w:sz w:val="18"/>
    </w:rPr>
  </w:style>
  <w:style w:type="character" w:styleId="1421">
    <w:name w:val="Footnote Text Char"/>
    <w:link w:val="1420"/>
    <w:uiPriority w:val="99"/>
    <w:rPr>
      <w:sz w:val="18"/>
    </w:rPr>
  </w:style>
  <w:style w:type="character" w:styleId="1422">
    <w:name w:val="footnote reference"/>
    <w:basedOn w:val="1435"/>
    <w:uiPriority w:val="99"/>
    <w:unhideWhenUsed/>
    <w:rPr>
      <w:vertAlign w:val="superscript"/>
    </w:rPr>
  </w:style>
  <w:style w:type="paragraph" w:styleId="1423">
    <w:name w:val="endnote text"/>
    <w:basedOn w:val="1428"/>
    <w:link w:val="1424"/>
    <w:uiPriority w:val="99"/>
    <w:semiHidden/>
    <w:unhideWhenUsed/>
    <w:pPr>
      <w:spacing w:after="0" w:line="240" w:lineRule="auto"/>
    </w:pPr>
    <w:rPr>
      <w:sz w:val="20"/>
    </w:rPr>
  </w:style>
  <w:style w:type="character" w:styleId="1424">
    <w:name w:val="Endnote Text Char"/>
    <w:link w:val="1423"/>
    <w:uiPriority w:val="99"/>
    <w:rPr>
      <w:sz w:val="20"/>
    </w:rPr>
  </w:style>
  <w:style w:type="character" w:styleId="1425">
    <w:name w:val="endnote reference"/>
    <w:basedOn w:val="1435"/>
    <w:uiPriority w:val="99"/>
    <w:semiHidden/>
    <w:unhideWhenUsed/>
    <w:rPr>
      <w:vertAlign w:val="superscript"/>
    </w:rPr>
  </w:style>
  <w:style w:type="paragraph" w:styleId="1426">
    <w:name w:val="TOC Heading"/>
    <w:uiPriority w:val="39"/>
    <w:unhideWhenUsed/>
  </w:style>
  <w:style w:type="paragraph" w:styleId="1427">
    <w:name w:val="table of figures"/>
    <w:basedOn w:val="1428"/>
    <w:next w:val="1428"/>
    <w:uiPriority w:val="99"/>
    <w:unhideWhenUsed/>
    <w:pPr>
      <w:spacing w:after="0" w:afterAutospacing="0"/>
    </w:pPr>
  </w:style>
  <w:style w:type="paragraph" w:styleId="142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429">
    <w:name w:val="Heading 1"/>
    <w:basedOn w:val="1428"/>
    <w:next w:val="1428"/>
    <w:uiPriority w:val="0"/>
    <w:qFormat/>
    <w:pPr>
      <w:jc w:val="center"/>
      <w:keepNext/>
      <w:spacing w:line="440" w:lineRule="exact"/>
      <w:outlineLvl w:val="0"/>
    </w:pPr>
    <w:rPr>
      <w:rFonts w:ascii="宋体"/>
      <w:sz w:val="28"/>
    </w:rPr>
  </w:style>
  <w:style w:type="paragraph" w:styleId="1430">
    <w:name w:val="Heading 2"/>
    <w:basedOn w:val="1428"/>
    <w:next w:val="1428"/>
    <w:uiPriority w:val="0"/>
    <w:qFormat/>
    <w:pPr>
      <w:keepLines/>
      <w:keepNext/>
      <w:spacing w:line="360" w:lineRule="auto"/>
      <w:outlineLvl w:val="1"/>
    </w:pPr>
    <w:rPr>
      <w:b/>
      <w:szCs w:val="21"/>
    </w:rPr>
  </w:style>
  <w:style w:type="paragraph" w:styleId="1431">
    <w:name w:val="Heading 3"/>
    <w:basedOn w:val="1428"/>
    <w:next w:val="1428"/>
    <w:uiPriority w:val="0"/>
    <w:qFormat/>
    <w:pPr>
      <w:ind w:firstLine="422"/>
      <w:keepNext/>
      <w:spacing w:line="360" w:lineRule="auto"/>
      <w:tabs>
        <w:tab w:val="left" w:pos="480" w:leader="none"/>
      </w:tabs>
      <w:outlineLvl w:val="2"/>
    </w:pPr>
    <w:rPr>
      <w:b/>
      <w:szCs w:val="21"/>
    </w:rPr>
  </w:style>
  <w:style w:type="paragraph" w:styleId="1432">
    <w:name w:val="Heading 4"/>
    <w:basedOn w:val="1428"/>
    <w:next w:val="1428"/>
    <w:uiPriority w:val="0"/>
    <w:qFormat/>
    <w:pPr>
      <w:keepLines/>
      <w:keepNext/>
      <w:spacing w:before="280" w:after="290" w:line="372" w:lineRule="auto"/>
      <w:outlineLvl w:val="3"/>
    </w:pPr>
    <w:rPr>
      <w:rFonts w:ascii="Arial" w:hAnsi="Arial" w:eastAsia="黑体" w:cs="Arial"/>
      <w:b/>
      <w:bCs/>
      <w:sz w:val="28"/>
      <w:szCs w:val="28"/>
    </w:rPr>
  </w:style>
  <w:style w:type="paragraph" w:styleId="1433">
    <w:name w:val="Heading 5"/>
    <w:basedOn w:val="1428"/>
    <w:next w:val="1428"/>
    <w:uiPriority w:val="1"/>
    <w:qFormat/>
    <w:pPr>
      <w:ind w:left="598"/>
      <w:spacing w:before="1"/>
      <w:outlineLvl w:val="4"/>
    </w:pPr>
    <w:rPr>
      <w:rFonts w:ascii="宋体" w:hAnsi="宋体" w:cs="宋体"/>
      <w:b/>
      <w:bCs/>
      <w:sz w:val="24"/>
      <w:szCs w:val="24"/>
      <w:lang w:val="zh-CN" w:bidi="zh-CN"/>
    </w:rPr>
  </w:style>
  <w:style w:type="paragraph" w:styleId="1434">
    <w:name w:val="Heading 7"/>
    <w:basedOn w:val="1428"/>
    <w:next w:val="1428"/>
    <w:uiPriority w:val="1"/>
    <w:qFormat/>
    <w:pPr>
      <w:ind w:left="1018"/>
      <w:outlineLvl w:val="6"/>
    </w:pPr>
    <w:rPr>
      <w:rFonts w:ascii="宋体" w:hAnsi="宋体" w:cs="宋体"/>
      <w:b/>
      <w:bCs/>
      <w:szCs w:val="21"/>
      <w:lang w:val="zh-CN" w:bidi="zh-CN"/>
    </w:rPr>
  </w:style>
  <w:style w:type="character" w:styleId="1435" w:default="1">
    <w:name w:val="Default Paragraph Font"/>
    <w:uiPriority w:val="1"/>
    <w:semiHidden/>
    <w:unhideWhenUsed/>
    <w:qFormat/>
  </w:style>
  <w:style w:type="table" w:styleId="1436" w:default="1">
    <w:name w:val="Normal Table"/>
    <w:uiPriority w:val="99"/>
    <w:semiHidden/>
    <w:unhideWhenUsed/>
    <w:qFormat/>
    <w:tblPr>
      <w:tblCellMar>
        <w:left w:w="108" w:type="dxa"/>
        <w:top w:w="0" w:type="dxa"/>
        <w:right w:w="108" w:type="dxa"/>
        <w:bottom w:w="0" w:type="dxa"/>
      </w:tblCellMar>
    </w:tblPr>
  </w:style>
  <w:style w:type="paragraph" w:styleId="1437">
    <w:name w:val="List 3"/>
    <w:basedOn w:val="1428"/>
    <w:uiPriority w:val="0"/>
    <w:qFormat/>
    <w:pPr>
      <w:contextualSpacing/>
      <w:ind w:left="600" w:hanging="200"/>
    </w:pPr>
  </w:style>
  <w:style w:type="paragraph" w:styleId="1438">
    <w:name w:val="toc 7"/>
    <w:basedOn w:val="1428"/>
    <w:next w:val="1428"/>
    <w:uiPriority w:val="0"/>
    <w:qFormat/>
    <w:pPr>
      <w:ind w:left="1200"/>
    </w:pPr>
  </w:style>
  <w:style w:type="paragraph" w:styleId="1439">
    <w:name w:val="Normal Indent"/>
    <w:basedOn w:val="1428"/>
    <w:uiPriority w:val="0"/>
    <w:qFormat/>
    <w:pPr>
      <w:ind w:firstLine="420"/>
    </w:pPr>
    <w:rPr>
      <w:b/>
      <w:sz w:val="24"/>
    </w:rPr>
  </w:style>
  <w:style w:type="paragraph" w:styleId="1440">
    <w:name w:val="Caption"/>
    <w:basedOn w:val="1428"/>
    <w:next w:val="1428"/>
    <w:uiPriority w:val="0"/>
    <w:qFormat/>
    <w:pPr>
      <w:jc w:val="center"/>
    </w:pPr>
    <w:rPr>
      <w:rFonts w:cs="Arial"/>
    </w:rPr>
  </w:style>
  <w:style w:type="paragraph" w:styleId="1441">
    <w:name w:val="Document Map"/>
    <w:basedOn w:val="1428"/>
    <w:uiPriority w:val="0"/>
    <w:qFormat/>
    <w:rPr>
      <w:rFonts w:ascii="宋体"/>
      <w:sz w:val="18"/>
      <w:szCs w:val="18"/>
    </w:rPr>
  </w:style>
  <w:style w:type="paragraph" w:styleId="1442">
    <w:name w:val="toa heading"/>
    <w:basedOn w:val="1428"/>
    <w:next w:val="1428"/>
    <w:uiPriority w:val="99"/>
    <w:qFormat/>
    <w:pPr>
      <w:spacing w:before="120"/>
    </w:pPr>
    <w:rPr>
      <w:rFonts w:ascii="Cambria" w:hAnsi="Cambria"/>
      <w:sz w:val="24"/>
    </w:rPr>
  </w:style>
  <w:style w:type="paragraph" w:styleId="1443">
    <w:name w:val="annotation text"/>
    <w:basedOn w:val="1428"/>
    <w:link w:val="1534"/>
    <w:uiPriority w:val="99"/>
    <w:qFormat/>
    <w:pPr>
      <w:jc w:val="left"/>
    </w:pPr>
  </w:style>
  <w:style w:type="paragraph" w:styleId="1444">
    <w:name w:val="Body Text"/>
    <w:basedOn w:val="1428"/>
    <w:next w:val="1445"/>
    <w:uiPriority w:val="0"/>
    <w:qFormat/>
    <w:rPr>
      <w:rFonts w:ascii="宋体"/>
      <w:sz w:val="28"/>
    </w:rPr>
  </w:style>
  <w:style w:type="paragraph" w:styleId="1445">
    <w:name w:val="Body Text First Indent"/>
    <w:basedOn w:val="1444"/>
    <w:uiPriority w:val="0"/>
    <w:qFormat/>
    <w:pPr>
      <w:ind w:firstLine="420"/>
    </w:pPr>
  </w:style>
  <w:style w:type="paragraph" w:styleId="1446">
    <w:name w:val="Body Text Indent"/>
    <w:basedOn w:val="1428"/>
    <w:next w:val="1447"/>
    <w:link w:val="1532"/>
    <w:uiPriority w:val="0"/>
    <w:qFormat/>
    <w:pPr>
      <w:ind w:firstLine="420"/>
      <w:spacing w:line="360" w:lineRule="auto"/>
    </w:pPr>
    <w:rPr>
      <w:rFonts w:ascii="宋体"/>
      <w:sz w:val="24"/>
    </w:rPr>
  </w:style>
  <w:style w:type="paragraph" w:styleId="1447">
    <w:name w:val="envelope return"/>
    <w:basedOn w:val="1428"/>
    <w:uiPriority w:val="99"/>
    <w:qFormat/>
    <w:rPr>
      <w:rFonts w:ascii="Arial" w:hAnsi="Arial"/>
    </w:rPr>
  </w:style>
  <w:style w:type="paragraph" w:styleId="1448">
    <w:name w:val="List 2"/>
    <w:basedOn w:val="1428"/>
    <w:uiPriority w:val="0"/>
    <w:qFormat/>
    <w:pPr>
      <w:ind w:left="400" w:hanging="200"/>
    </w:pPr>
  </w:style>
  <w:style w:type="paragraph" w:styleId="1449">
    <w:name w:val="Block Text"/>
    <w:basedOn w:val="1428"/>
    <w:uiPriority w:val="0"/>
    <w:qFormat/>
    <w:pPr>
      <w:ind w:left="540" w:right="26"/>
    </w:pPr>
    <w:rPr>
      <w:sz w:val="24"/>
    </w:rPr>
  </w:style>
  <w:style w:type="paragraph" w:styleId="1450">
    <w:name w:val="index 4"/>
    <w:basedOn w:val="1428"/>
    <w:next w:val="1428"/>
    <w:uiPriority w:val="0"/>
    <w:qFormat/>
    <w:pPr>
      <w:ind w:left="600"/>
    </w:pPr>
    <w:rPr>
      <w:rFonts w:ascii="宋体"/>
      <w:b/>
      <w:position w:val="-10"/>
      <w:sz w:val="24"/>
    </w:rPr>
  </w:style>
  <w:style w:type="paragraph" w:styleId="1451">
    <w:name w:val="toc 5"/>
    <w:basedOn w:val="1428"/>
    <w:next w:val="1428"/>
    <w:uiPriority w:val="0"/>
    <w:qFormat/>
    <w:pPr>
      <w:ind w:left="800"/>
    </w:pPr>
  </w:style>
  <w:style w:type="paragraph" w:styleId="1452">
    <w:name w:val="toc 3"/>
    <w:basedOn w:val="1428"/>
    <w:next w:val="1428"/>
    <w:uiPriority w:val="39"/>
    <w:qFormat/>
    <w:pPr>
      <w:ind w:left="400"/>
    </w:pPr>
  </w:style>
  <w:style w:type="paragraph" w:styleId="1453">
    <w:name w:val="Plain Text"/>
    <w:basedOn w:val="1428"/>
    <w:uiPriority w:val="0"/>
    <w:qFormat/>
    <w:rPr>
      <w:rFonts w:ascii="宋体"/>
    </w:rPr>
  </w:style>
  <w:style w:type="paragraph" w:styleId="1454">
    <w:name w:val="toc 8"/>
    <w:basedOn w:val="1428"/>
    <w:next w:val="1428"/>
    <w:uiPriority w:val="0"/>
    <w:qFormat/>
    <w:pPr>
      <w:ind w:left="1400"/>
    </w:pPr>
  </w:style>
  <w:style w:type="paragraph" w:styleId="1455">
    <w:name w:val="Date"/>
    <w:basedOn w:val="1428"/>
    <w:next w:val="1428"/>
    <w:uiPriority w:val="0"/>
    <w:qFormat/>
    <w:rPr>
      <w:rFonts w:ascii="宋体"/>
    </w:rPr>
  </w:style>
  <w:style w:type="paragraph" w:styleId="1456">
    <w:name w:val="Body Text Indent 2"/>
    <w:basedOn w:val="1428"/>
    <w:uiPriority w:val="0"/>
    <w:qFormat/>
    <w:pPr>
      <w:ind w:firstLine="525"/>
      <w:spacing w:line="420" w:lineRule="exact"/>
    </w:pPr>
    <w:rPr>
      <w:rFonts w:ascii="宋体"/>
    </w:rPr>
  </w:style>
  <w:style w:type="paragraph" w:styleId="1457">
    <w:name w:val="Balloon Text"/>
    <w:basedOn w:val="1428"/>
    <w:uiPriority w:val="0"/>
    <w:qFormat/>
    <w:rPr>
      <w:sz w:val="18"/>
      <w:szCs w:val="18"/>
    </w:rPr>
  </w:style>
  <w:style w:type="paragraph" w:styleId="1458">
    <w:name w:val="Footer"/>
    <w:basedOn w:val="1428"/>
    <w:uiPriority w:val="0"/>
    <w:qFormat/>
    <w:pPr>
      <w:jc w:val="left"/>
      <w:tabs>
        <w:tab w:val="center" w:pos="4153" w:leader="none"/>
        <w:tab w:val="right" w:pos="8306" w:leader="none"/>
      </w:tabs>
    </w:pPr>
    <w:rPr>
      <w:sz w:val="18"/>
    </w:rPr>
  </w:style>
  <w:style w:type="paragraph" w:styleId="1459">
    <w:name w:val="Header"/>
    <w:basedOn w:val="1428"/>
    <w:uiPriority w:val="0"/>
    <w:qFormat/>
    <w:pPr>
      <w:jc w:val="center"/>
      <w:tabs>
        <w:tab w:val="center" w:pos="4153" w:leader="none"/>
        <w:tab w:val="right" w:pos="8306" w:leader="none"/>
      </w:tabs>
      <w:pBdr>
        <w:bottom w:val="single" w:color="auto" w:sz="6" w:space="1"/>
      </w:pBdr>
    </w:pPr>
    <w:rPr>
      <w:sz w:val="18"/>
    </w:rPr>
  </w:style>
  <w:style w:type="paragraph" w:styleId="1460">
    <w:name w:val="toc 1"/>
    <w:basedOn w:val="1428"/>
    <w:next w:val="1428"/>
    <w:uiPriority w:val="39"/>
    <w:qFormat/>
  </w:style>
  <w:style w:type="paragraph" w:styleId="1461">
    <w:name w:val="toc 4"/>
    <w:basedOn w:val="1428"/>
    <w:next w:val="1428"/>
    <w:uiPriority w:val="0"/>
    <w:qFormat/>
    <w:pPr>
      <w:ind w:left="600"/>
    </w:pPr>
  </w:style>
  <w:style w:type="paragraph" w:styleId="1462">
    <w:name w:val="Subtitle"/>
    <w:basedOn w:val="1428"/>
    <w:next w:val="1428"/>
    <w:uiPriority w:val="0"/>
    <w:qFormat/>
    <w:pPr>
      <w:jc w:val="center"/>
      <w:spacing w:before="240" w:after="60" w:line="312" w:lineRule="auto"/>
      <w:outlineLvl w:val="1"/>
    </w:pPr>
    <w:rPr>
      <w:rFonts w:ascii="Cambria" w:hAnsi="Cambria"/>
      <w:b/>
      <w:bCs/>
      <w:sz w:val="32"/>
      <w:szCs w:val="32"/>
    </w:rPr>
  </w:style>
  <w:style w:type="paragraph" w:styleId="1463">
    <w:name w:val="toc 6"/>
    <w:basedOn w:val="1428"/>
    <w:next w:val="1428"/>
    <w:uiPriority w:val="0"/>
    <w:qFormat/>
    <w:pPr>
      <w:ind w:left="1000"/>
    </w:pPr>
  </w:style>
  <w:style w:type="paragraph" w:styleId="1464">
    <w:name w:val="Body Text Indent 3"/>
    <w:basedOn w:val="1428"/>
    <w:uiPriority w:val="0"/>
    <w:qFormat/>
    <w:pPr>
      <w:ind w:firstLine="100"/>
    </w:pPr>
    <w:rPr>
      <w:rFonts w:eastAsia="华文新魏"/>
      <w:b/>
      <w:bCs/>
      <w:sz w:val="84"/>
    </w:rPr>
  </w:style>
  <w:style w:type="paragraph" w:styleId="1465">
    <w:name w:val="toc 2"/>
    <w:basedOn w:val="1428"/>
    <w:next w:val="1428"/>
    <w:uiPriority w:val="39"/>
    <w:qFormat/>
    <w:pPr>
      <w:ind w:left="200"/>
    </w:pPr>
  </w:style>
  <w:style w:type="paragraph" w:styleId="1466">
    <w:name w:val="toc 9"/>
    <w:basedOn w:val="1428"/>
    <w:next w:val="1428"/>
    <w:uiPriority w:val="0"/>
    <w:qFormat/>
    <w:pPr>
      <w:ind w:left="1600"/>
    </w:pPr>
  </w:style>
  <w:style w:type="paragraph" w:styleId="1467">
    <w:name w:val="HTML Preformatted"/>
    <w:basedOn w:val="14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468">
    <w:name w:val="Normal (Web)"/>
    <w:basedOn w:val="14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69">
    <w:name w:val="Title"/>
    <w:basedOn w:val="1428"/>
    <w:uiPriority w:val="0"/>
    <w:qFormat/>
    <w:pPr>
      <w:jc w:val="center"/>
    </w:pPr>
    <w:rPr>
      <w:sz w:val="30"/>
      <w:szCs w:val="24"/>
    </w:rPr>
  </w:style>
  <w:style w:type="paragraph" w:styleId="1470">
    <w:name w:val="annotation subject"/>
    <w:basedOn w:val="1443"/>
    <w:next w:val="1443"/>
    <w:uiPriority w:val="0"/>
    <w:qFormat/>
    <w:rPr>
      <w:b/>
      <w:bCs/>
    </w:rPr>
  </w:style>
  <w:style w:type="paragraph" w:styleId="1471">
    <w:name w:val="Body Text First Indent 2"/>
    <w:basedOn w:val="1446"/>
    <w:link w:val="1540"/>
    <w:uiPriority w:val="0"/>
    <w:qFormat/>
    <w:pPr>
      <w:ind w:left="420"/>
      <w:spacing w:after="120" w:line="240" w:lineRule="auto"/>
    </w:pPr>
    <w:rPr>
      <w:sz w:val="21"/>
    </w:rPr>
  </w:style>
  <w:style w:type="table" w:styleId="1472">
    <w:name w:val="Table Grid"/>
    <w:basedOn w:val="143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73">
    <w:name w:val="Strong"/>
    <w:uiPriority w:val="0"/>
    <w:qFormat/>
    <w:rPr>
      <w:b/>
      <w:bCs/>
    </w:rPr>
  </w:style>
  <w:style w:type="character" w:styleId="1474">
    <w:name w:val="page number"/>
    <w:basedOn w:val="1435"/>
    <w:uiPriority w:val="0"/>
    <w:qFormat/>
  </w:style>
  <w:style w:type="character" w:styleId="1475">
    <w:name w:val="Emphasis"/>
    <w:uiPriority w:val="0"/>
    <w:qFormat/>
    <w:rPr>
      <w:i/>
    </w:rPr>
  </w:style>
  <w:style w:type="character" w:styleId="1476">
    <w:name w:val="Hyperlink"/>
    <w:uiPriority w:val="99"/>
    <w:qFormat/>
    <w:rPr>
      <w:color w:val="000000"/>
      <w:sz w:val="18"/>
      <w:szCs w:val="18"/>
      <w:u w:val="none"/>
    </w:rPr>
  </w:style>
  <w:style w:type="character" w:styleId="1477">
    <w:name w:val="annotation reference"/>
    <w:basedOn w:val="1435"/>
    <w:uiPriority w:val="0"/>
    <w:qFormat/>
    <w:rPr>
      <w:sz w:val="21"/>
      <w:szCs w:val="21"/>
    </w:rPr>
  </w:style>
  <w:style w:type="paragraph" w:styleId="1478" w:customStyle="1">
    <w:name w:val="[Normal]"/>
    <w:uiPriority w:val="99"/>
    <w:qFormat/>
    <w:rPr>
      <w:rFonts w:ascii="方正仿宋简体" w:hAnsi="方正仿宋简体" w:eastAsia="方正仿宋简体" w:cs="Courier New"/>
      <w:sz w:val="24"/>
      <w:szCs w:val="22"/>
      <w:lang w:val="zh-CN" w:eastAsia="zh-CN" w:bidi="ar-SA"/>
    </w:rPr>
  </w:style>
  <w:style w:type="paragraph" w:styleId="1479" w:customStyle="1">
    <w:name w:val="二级条标题"/>
    <w:basedOn w:val="1480"/>
    <w:next w:val="1428"/>
    <w:uiPriority w:val="0"/>
    <w:qFormat/>
    <w:pPr>
      <w:outlineLvl w:val="2"/>
    </w:pPr>
    <w:rPr>
      <w:szCs w:val="24"/>
    </w:rPr>
  </w:style>
  <w:style w:type="paragraph" w:styleId="1480" w:customStyle="1">
    <w:name w:val="一级条标题"/>
    <w:basedOn w:val="1481"/>
    <w:next w:val="1428"/>
    <w:uiPriority w:val="0"/>
    <w:qFormat/>
    <w:pPr>
      <w:outlineLvl w:val="1"/>
    </w:pPr>
    <w:rPr>
      <w:sz w:val="24"/>
    </w:rPr>
  </w:style>
  <w:style w:type="paragraph" w:styleId="1481" w:customStyle="1">
    <w:name w:val="章标题"/>
    <w:basedOn w:val="1428"/>
    <w:next w:val="1428"/>
    <w:uiPriority w:val="0"/>
    <w:qFormat/>
    <w:pPr>
      <w:numPr>
        <w:ilvl w:val="0"/>
        <w:numId w:val="1"/>
      </w:numPr>
      <w:jc w:val="left"/>
      <w:outlineLvl w:val="0"/>
    </w:pPr>
    <w:rPr>
      <w:b/>
      <w:sz w:val="28"/>
      <w:szCs w:val="28"/>
    </w:rPr>
  </w:style>
  <w:style w:type="paragraph" w:styleId="1482" w:customStyle="1">
    <w:name w:val="Char Char Char Char Char Char Char"/>
    <w:basedOn w:val="1428"/>
    <w:uiPriority w:val="0"/>
    <w:qFormat/>
    <w:pPr>
      <w:ind w:left="432" w:hanging="432"/>
      <w:jc w:val="center"/>
      <w:tabs>
        <w:tab w:val="left" w:pos="432" w:leader="none"/>
      </w:tabs>
    </w:pPr>
    <w:rPr>
      <w:rFonts w:ascii="仿宋_GB2312" w:hAnsi="仿宋_GB2312" w:eastAsia="仿宋_GB2312"/>
      <w:sz w:val="24"/>
      <w:szCs w:val="24"/>
    </w:rPr>
  </w:style>
  <w:style w:type="paragraph" w:styleId="1483" w:customStyle="1">
    <w:name w:val="Char Char Char Char Char Char Char1"/>
    <w:basedOn w:val="1428"/>
    <w:uiPriority w:val="0"/>
    <w:qFormat/>
    <w:rPr>
      <w:rFonts w:ascii="Tahoma" w:hAnsi="Tahoma" w:cs="仿宋_GB2312"/>
      <w:sz w:val="24"/>
      <w:szCs w:val="28"/>
    </w:rPr>
  </w:style>
  <w:style w:type="paragraph" w:styleId="1484" w:customStyle="1">
    <w:name w:val="正文文本首行缩进1"/>
    <w:basedOn w:val="1444"/>
    <w:uiPriority w:val="0"/>
    <w:qFormat/>
    <w:pPr>
      <w:ind w:firstLine="420"/>
    </w:pPr>
  </w:style>
  <w:style w:type="paragraph" w:styleId="1485" w:customStyle="1">
    <w:name w:val="表中字"/>
    <w:basedOn w:val="1428"/>
    <w:uiPriority w:val="0"/>
    <w:qFormat/>
    <w:pPr>
      <w:jc w:val="center"/>
    </w:pPr>
    <w:rPr>
      <w:szCs w:val="21"/>
    </w:rPr>
  </w:style>
  <w:style w:type="paragraph" w:styleId="1486" w:customStyle="1">
    <w:name w:val="Char Char"/>
    <w:basedOn w:val="1428"/>
    <w:uiPriority w:val="0"/>
    <w:qFormat/>
    <w:pPr>
      <w:ind w:left="360" w:hanging="360"/>
    </w:pPr>
    <w:rPr>
      <w:sz w:val="24"/>
      <w:szCs w:val="24"/>
    </w:rPr>
  </w:style>
  <w:style w:type="paragraph" w:styleId="1487" w:customStyle="1">
    <w:name w:val="正文1"/>
    <w:basedOn w:val="1428"/>
    <w:uiPriority w:val="0"/>
    <w:qFormat/>
    <w:pPr>
      <w:jc w:val="left"/>
      <w:spacing w:after="200" w:line="300" w:lineRule="atLeast"/>
      <w:widowControl/>
    </w:pPr>
    <w:rPr>
      <w:rFonts w:ascii="Calibri" w:hAnsi="Calibri" w:cs="宋体"/>
      <w:sz w:val="22"/>
      <w:szCs w:val="22"/>
    </w:rPr>
  </w:style>
  <w:style w:type="paragraph" w:styleId="1488" w:customStyle="1">
    <w:name w:val="彩色列表 - 强调文字颜色 11"/>
    <w:basedOn w:val="1428"/>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89" w:customStyle="1">
    <w:name w:val="图片格式"/>
    <w:basedOn w:val="1428"/>
    <w:next w:val="1428"/>
    <w:uiPriority w:val="0"/>
    <w:qFormat/>
    <w:pPr>
      <w:jc w:val="center"/>
      <w:keepNext/>
    </w:pPr>
  </w:style>
  <w:style w:type="paragraph" w:styleId="1490" w:customStyle="1">
    <w:name w:val="列表段落1"/>
    <w:basedOn w:val="1428"/>
    <w:uiPriority w:val="0"/>
    <w:qFormat/>
    <w:pPr>
      <w:ind w:firstLine="200"/>
    </w:pPr>
    <w:rPr>
      <w:rFonts w:ascii="Calibri" w:hAnsi="Calibri"/>
      <w:szCs w:val="22"/>
    </w:rPr>
  </w:style>
  <w:style w:type="paragraph" w:styleId="1491" w:customStyle="1">
    <w:name w:val="简单回函地址"/>
    <w:basedOn w:val="1428"/>
    <w:uiPriority w:val="0"/>
    <w:qFormat/>
    <w:rPr>
      <w:szCs w:val="24"/>
    </w:rPr>
  </w:style>
  <w:style w:type="paragraph" w:styleId="1492" w:customStyle="1">
    <w:name w:val="Table Sub Section"/>
    <w:basedOn w:val="1428"/>
    <w:uiPriority w:val="0"/>
    <w:qFormat/>
    <w:pPr>
      <w:jc w:val="left"/>
      <w:keepNext/>
      <w:spacing w:before="160" w:after="160" w:line="276" w:lineRule="auto"/>
      <w:widowControl/>
    </w:pPr>
    <w:rPr>
      <w:rFonts w:ascii="Arial" w:hAnsi="Arial"/>
      <w:b/>
      <w:color w:val="0f0f0f"/>
      <w:sz w:val="20"/>
      <w:lang w:eastAsia="en-US"/>
    </w:rPr>
  </w:style>
  <w:style w:type="paragraph" w:styleId="1493" w:customStyle="1">
    <w:name w:val="yiv1658056056msonormal"/>
    <w:basedOn w:val="1428"/>
    <w:uiPriority w:val="0"/>
    <w:qFormat/>
    <w:pPr>
      <w:jc w:val="left"/>
      <w:spacing w:before="100" w:beforeAutospacing="1" w:after="100" w:afterAutospacing="1"/>
      <w:widowControl/>
    </w:pPr>
    <w:rPr>
      <w:rFonts w:ascii="宋体" w:cs="宋体"/>
      <w:sz w:val="24"/>
      <w:szCs w:val="24"/>
    </w:rPr>
  </w:style>
  <w:style w:type="paragraph" w:styleId="1494" w:customStyle="1">
    <w:name w:val="列出段落1"/>
    <w:basedOn w:val="1428"/>
    <w:uiPriority w:val="0"/>
    <w:qFormat/>
    <w:pPr>
      <w:ind w:firstLine="200"/>
    </w:pPr>
    <w:rPr>
      <w:rFonts w:ascii="Calibri" w:hAnsi="Calibri"/>
      <w:szCs w:val="22"/>
    </w:rPr>
  </w:style>
  <w:style w:type="paragraph" w:styleId="1495" w:customStyle="1">
    <w:name w:val="样式 首行缩进:  2 字符"/>
    <w:basedOn w:val="1428"/>
    <w:uiPriority w:val="0"/>
    <w:qFormat/>
    <w:pPr>
      <w:ind w:firstLine="200"/>
      <w:spacing w:line="400" w:lineRule="exact"/>
    </w:pPr>
    <w:rPr>
      <w:rFonts w:cs="宋体"/>
      <w:sz w:val="24"/>
      <w:szCs w:val="24"/>
    </w:rPr>
  </w:style>
  <w:style w:type="paragraph" w:styleId="1496" w:customStyle="1">
    <w:name w:val="p0"/>
    <w:basedOn w:val="1428"/>
    <w:uiPriority w:val="0"/>
    <w:qFormat/>
    <w:pPr>
      <w:widowControl/>
    </w:pPr>
    <w:rPr>
      <w:szCs w:val="21"/>
    </w:rPr>
  </w:style>
  <w:style w:type="paragraph" w:styleId="1497" w:customStyle="1">
    <w:name w:val="列表段落2"/>
    <w:basedOn w:val="1428"/>
    <w:uiPriority w:val="0"/>
    <w:qFormat/>
    <w:pPr>
      <w:ind w:firstLine="200"/>
      <w:jc w:val="left"/>
      <w:spacing w:line="300" w:lineRule="auto"/>
    </w:pPr>
    <w:rPr>
      <w:szCs w:val="22"/>
    </w:rPr>
  </w:style>
  <w:style w:type="paragraph" w:styleId="1498" w:customStyle="1">
    <w:name w:val="Char Char Char"/>
    <w:basedOn w:val="1428"/>
    <w:uiPriority w:val="0"/>
    <w:qFormat/>
    <w:pPr>
      <w:jc w:val="center"/>
      <w:spacing w:line="400" w:lineRule="exact"/>
      <w:widowControl/>
    </w:pPr>
    <w:rPr>
      <w:szCs w:val="24"/>
    </w:rPr>
  </w:style>
  <w:style w:type="paragraph" w:styleId="1499" w:customStyle="1">
    <w:name w:val="编号一级列项"/>
    <w:basedOn w:val="1428"/>
    <w:uiPriority w:val="0"/>
    <w:qFormat/>
    <w:pPr>
      <w:numPr>
        <w:ilvl w:val="6"/>
        <w:numId w:val="1"/>
      </w:numPr>
      <w:jc w:val="left"/>
      <w:outlineLvl w:val="6"/>
    </w:pPr>
  </w:style>
  <w:style w:type="paragraph" w:styleId="150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501" w:customStyle="1">
    <w:name w:val="Normal1"/>
    <w:basedOn w:val="1428"/>
    <w:uiPriority w:val="0"/>
    <w:qFormat/>
    <w:pPr>
      <w:jc w:val="left"/>
      <w:spacing w:after="200" w:line="300" w:lineRule="atLeast"/>
      <w:widowControl/>
    </w:pPr>
    <w:rPr>
      <w:rFonts w:ascii="Calibri" w:hAnsi="Calibri" w:cs="宋体"/>
      <w:sz w:val="22"/>
      <w:szCs w:val="22"/>
    </w:rPr>
  </w:style>
  <w:style w:type="paragraph" w:styleId="1502" w:customStyle="1">
    <w:name w:val="标准文本"/>
    <w:basedOn w:val="1428"/>
    <w:uiPriority w:val="0"/>
    <w:qFormat/>
    <w:pPr>
      <w:ind w:firstLine="200"/>
      <w:spacing w:line="300" w:lineRule="auto"/>
    </w:pPr>
    <w:rPr>
      <w:rFonts w:ascii="宋体" w:cs="宋体"/>
      <w:szCs w:val="21"/>
    </w:rPr>
  </w:style>
  <w:style w:type="paragraph" w:styleId="1503" w:customStyle="1">
    <w:name w:val="正文文本首行缩进 21"/>
    <w:basedOn w:val="1428"/>
    <w:uiPriority w:val="0"/>
    <w:qFormat/>
    <w:pPr>
      <w:ind w:firstLine="200"/>
    </w:pPr>
    <w:rPr>
      <w:sz w:val="24"/>
      <w:szCs w:val="24"/>
    </w:rPr>
  </w:style>
  <w:style w:type="paragraph" w:styleId="1504"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505"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506"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507"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508"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509"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510"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511"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512"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513"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514"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515"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516"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517"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518"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519"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520"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521" w:customStyle="1">
    <w:name w:val="列出段落2"/>
    <w:basedOn w:val="1428"/>
    <w:uiPriority w:val="99"/>
    <w:qFormat/>
    <w:pPr>
      <w:ind w:firstLine="420"/>
    </w:pPr>
    <w:rPr>
      <w:rFonts w:ascii="Calibri" w:hAnsi="Calibri"/>
      <w:szCs w:val="22"/>
    </w:rPr>
  </w:style>
  <w:style w:type="paragraph" w:styleId="1522" w:customStyle="1">
    <w:name w:val="表格"/>
    <w:basedOn w:val="1462"/>
    <w:next w:val="1428"/>
    <w:uiPriority w:val="0"/>
    <w:qFormat/>
    <w:pPr>
      <w:jc w:val="left"/>
      <w:spacing w:line="240" w:lineRule="auto"/>
      <w:widowControl/>
      <w:outlineLvl w:val="9"/>
    </w:pPr>
    <w:rPr>
      <w:rFonts w:eastAsia="仿宋"/>
      <w:b w:val="0"/>
      <w:sz w:val="21"/>
    </w:rPr>
  </w:style>
  <w:style w:type="paragraph" w:styleId="1523" w:customStyle="1">
    <w:name w:val="列表段落3"/>
    <w:basedOn w:val="1428"/>
    <w:uiPriority w:val="34"/>
    <w:qFormat/>
    <w:pPr>
      <w:ind w:firstLine="420"/>
    </w:pPr>
    <w:rPr>
      <w:rFonts w:ascii="Calibri" w:hAnsi="Calibri"/>
      <w:szCs w:val="22"/>
    </w:rPr>
  </w:style>
  <w:style w:type="paragraph" w:styleId="1524"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525" w:customStyle="1">
    <w:name w:val="访问过的超链接1"/>
    <w:uiPriority w:val="0"/>
    <w:qFormat/>
    <w:rPr>
      <w:color w:val="000000"/>
      <w:sz w:val="18"/>
      <w:szCs w:val="18"/>
      <w:u w:val="none"/>
    </w:rPr>
  </w:style>
  <w:style w:type="character" w:styleId="1526" w:customStyle="1">
    <w:name w:val="c lh15"/>
    <w:basedOn w:val="1435"/>
    <w:uiPriority w:val="0"/>
    <w:qFormat/>
  </w:style>
  <w:style w:type="character" w:styleId="1527" w:customStyle="1">
    <w:name w:val="style21"/>
    <w:uiPriority w:val="0"/>
    <w:qFormat/>
    <w:rPr>
      <w:sz w:val="18"/>
      <w:szCs w:val="18"/>
    </w:rPr>
  </w:style>
  <w:style w:type="character" w:styleId="1528" w:customStyle="1">
    <w:name w:val="A13"/>
    <w:uiPriority w:val="0"/>
    <w:qFormat/>
    <w:rPr>
      <w:rFonts w:ascii="Univers LT Std 45 Light" w:eastAsia="Univers LT Std 45 Light" w:cs="Univers LT Std 45 Light"/>
      <w:color w:val="221e1f"/>
      <w:sz w:val="10"/>
      <w:szCs w:val="10"/>
    </w:rPr>
  </w:style>
  <w:style w:type="character" w:styleId="1529" w:customStyle="1">
    <w:name w:val="页脚 字符"/>
    <w:uiPriority w:val="0"/>
    <w:qFormat/>
  </w:style>
  <w:style w:type="character" w:styleId="1530" w:customStyle="1">
    <w:name w:val="font21"/>
    <w:uiPriority w:val="0"/>
    <w:qFormat/>
    <w:rPr>
      <w:rFonts w:ascii="宋体" w:eastAsia="宋体" w:cs="宋体"/>
      <w:color w:val="000000"/>
      <w:sz w:val="20"/>
      <w:szCs w:val="20"/>
      <w:u w:val="none"/>
      <w:lang w:bidi="ar-SA"/>
    </w:rPr>
  </w:style>
  <w:style w:type="character" w:styleId="1531" w:customStyle="1">
    <w:name w:val="font31"/>
    <w:uiPriority w:val="0"/>
    <w:qFormat/>
    <w:rPr>
      <w:rFonts w:ascii="宋体" w:eastAsia="宋体" w:cs="宋体"/>
      <w:color w:val="000000"/>
      <w:sz w:val="20"/>
      <w:szCs w:val="20"/>
      <w:u w:val="none"/>
      <w:lang w:bidi="ar-SA"/>
    </w:rPr>
  </w:style>
  <w:style w:type="character" w:styleId="1532" w:customStyle="1">
    <w:name w:val="正文文本缩进 字符"/>
    <w:link w:val="1446"/>
    <w:uiPriority w:val="0"/>
    <w:qFormat/>
    <w:rPr>
      <w:rFonts w:ascii="宋体"/>
      <w:sz w:val="24"/>
    </w:rPr>
  </w:style>
  <w:style w:type="character" w:styleId="1533" w:customStyle="1">
    <w:name w:val="doctitle"/>
    <w:basedOn w:val="1435"/>
    <w:uiPriority w:val="0"/>
    <w:qFormat/>
  </w:style>
  <w:style w:type="character" w:styleId="1534" w:customStyle="1">
    <w:name w:val="批注文字 字符"/>
    <w:link w:val="1443"/>
    <w:uiPriority w:val="99"/>
    <w:qFormat/>
    <w:rPr>
      <w:sz w:val="21"/>
    </w:rPr>
  </w:style>
  <w:style w:type="paragraph" w:styleId="1535">
    <w:name w:val="List Paragraph"/>
    <w:basedOn w:val="1428"/>
    <w:uiPriority w:val="1"/>
    <w:qFormat/>
    <w:pPr>
      <w:ind w:left="598" w:firstLine="420"/>
    </w:pPr>
    <w:rPr>
      <w:rFonts w:ascii="宋体" w:hAnsi="宋体" w:cs="宋体"/>
      <w:lang w:val="zh-CN" w:bidi="zh-CN"/>
    </w:rPr>
  </w:style>
  <w:style w:type="paragraph" w:styleId="1536" w:customStyle="1">
    <w:name w:val="Table Paragraph"/>
    <w:basedOn w:val="1428"/>
    <w:uiPriority w:val="1"/>
    <w:qFormat/>
    <w:rPr>
      <w:rFonts w:ascii="宋体" w:hAnsi="宋体" w:cs="宋体"/>
      <w:lang w:val="zh-CN" w:bidi="zh-CN"/>
    </w:rPr>
  </w:style>
  <w:style w:type="paragraph" w:styleId="1537" w:customStyle="1">
    <w:name w:val="列表段落31"/>
    <w:basedOn w:val="1428"/>
    <w:uiPriority w:val="34"/>
    <w:qFormat/>
    <w:pPr>
      <w:ind w:firstLine="420"/>
    </w:pPr>
    <w:rPr>
      <w:rFonts w:ascii="Calibri" w:hAnsi="Calibri"/>
      <w:szCs w:val="22"/>
    </w:rPr>
  </w:style>
  <w:style w:type="paragraph" w:styleId="1538" w:customStyle="1">
    <w:name w:val="修订1"/>
    <w:hidden/>
    <w:uiPriority w:val="99"/>
    <w:semiHidden/>
    <w:qFormat/>
    <w:rPr>
      <w:rFonts w:ascii="Times New Roman" w:hAnsi="Times New Roman" w:eastAsia="宋体" w:cs="Times New Roman"/>
      <w:sz w:val="21"/>
      <w:lang w:val="en-US" w:eastAsia="zh-CN" w:bidi="ar-SA"/>
    </w:rPr>
  </w:style>
  <w:style w:type="paragraph" w:styleId="1539" w:customStyle="1">
    <w:name w:val="首行缩进"/>
    <w:basedOn w:val="1428"/>
    <w:uiPriority w:val="0"/>
    <w:qFormat/>
    <w:pPr>
      <w:ind w:firstLine="480"/>
    </w:pPr>
    <w:rPr>
      <w:rFonts w:ascii="Calibri" w:hAnsi="Calibri" w:eastAsia="Calibri" w:cs="宋体"/>
      <w:sz w:val="20"/>
      <w:lang w:val="zh-CN"/>
    </w:rPr>
  </w:style>
  <w:style w:type="character" w:styleId="1540" w:customStyle="1">
    <w:name w:val="正文文本首行缩进 2 字符"/>
    <w:basedOn w:val="1532"/>
    <w:link w:val="1471"/>
    <w:uiPriority w:val="0"/>
    <w:qFormat/>
    <w:rPr>
      <w:rFonts w:ascii="宋体"/>
      <w:sz w:val="21"/>
    </w:rPr>
  </w:style>
  <w:style w:type="paragraph" w:styleId="1541" w:customStyle="1">
    <w:name w:val="修订2"/>
    <w:hidden/>
    <w:uiPriority w:val="99"/>
    <w:unhideWhenUsed/>
    <w:qFormat/>
    <w:rPr>
      <w:rFonts w:ascii="Times New Roman" w:hAnsi="Times New Roman" w:eastAsia="宋体" w:cs="Times New Roman"/>
      <w:sz w:val="21"/>
      <w:lang w:val="en-US" w:eastAsia="zh-CN" w:bidi="ar-SA"/>
    </w:rPr>
  </w:style>
  <w:style w:type="paragraph" w:styleId="1542" w:customStyle="1">
    <w:name w:val="正文缩进1"/>
    <w:basedOn w:val="1428"/>
    <w:uiPriority w:val="0"/>
    <w:qFormat/>
    <w:pPr>
      <w:ind w:firstLine="420"/>
    </w:pPr>
  </w:style>
  <w:style w:type="paragraph" w:styleId="1543" w:customStyle="1">
    <w:name w:val="修订3"/>
    <w:hidden/>
    <w:uiPriority w:val="99"/>
    <w:unhideWhenUsed/>
    <w:qFormat/>
    <w:rPr>
      <w:rFonts w:ascii="Times New Roman" w:hAnsi="Times New Roman" w:eastAsia="宋体" w:cs="Times New Roman"/>
      <w:sz w:val="21"/>
      <w:lang w:val="en-US" w:eastAsia="zh-CN" w:bidi="ar-SA"/>
    </w:rPr>
  </w:style>
  <w:style w:type="paragraph" w:styleId="1544" w:customStyle="1">
    <w:name w:val="正文首行缩进1"/>
    <w:basedOn w:val="1545"/>
    <w:uiPriority w:val="0"/>
    <w:qFormat/>
    <w:pPr>
      <w:ind w:firstLine="420"/>
      <w:spacing w:line="360" w:lineRule="auto"/>
    </w:pPr>
    <w:rPr>
      <w:rFonts w:ascii="Times New Roman"/>
      <w:szCs w:val="21"/>
    </w:rPr>
  </w:style>
  <w:style w:type="paragraph" w:styleId="1545" w:customStyle="1">
    <w:name w:val="正文文本1"/>
    <w:basedOn w:val="1428"/>
    <w:next w:val="1428"/>
    <w:uiPriority w:val="0"/>
    <w:qFormat/>
    <w:rPr>
      <w:rFonts w:ascii="宋体"/>
      <w:sz w:val="28"/>
    </w:rPr>
  </w:style>
  <w:style w:type="paragraph" w:styleId="1546" w:customStyle="1">
    <w:name w:val="页脚1"/>
    <w:basedOn w:val="1428"/>
    <w:uiPriority w:val="99"/>
    <w:qFormat/>
    <w:pPr>
      <w:jc w:val="left"/>
      <w:tabs>
        <w:tab w:val="center" w:pos="4153" w:leader="none"/>
        <w:tab w:val="right" w:pos="8306" w:leader="none"/>
      </w:tabs>
    </w:pPr>
    <w:rPr>
      <w:sz w:val="18"/>
    </w:rPr>
  </w:style>
  <w:style w:type="paragraph" w:styleId="1547" w:customStyle="1">
    <w:name w:val="LC主要特点"/>
    <w:basedOn w:val="1428"/>
    <w:uiPriority w:val="0"/>
    <w:qFormat/>
    <w:pPr>
      <w:outlineLvl w:val="3"/>
    </w:pPr>
    <w:rPr>
      <w:rFonts w:eastAsia="微软雅黑"/>
      <w:b/>
    </w:rPr>
  </w:style>
  <w:style w:type="paragraph" w:styleId="1548" w:customStyle="1">
    <w:name w:val="LC 文字内容 带符号编码"/>
    <w:next w:val="1428"/>
    <w:uiPriority w:val="0"/>
    <w:qFormat/>
    <w:pPr>
      <w:numPr>
        <w:ilvl w:val="0"/>
        <w:numId w:val="2"/>
      </w:numPr>
      <w:ind w:left="840"/>
      <w:jc w:val="both"/>
    </w:pPr>
    <w:rPr>
      <w:rFonts w:ascii="微软雅黑" w:hAnsi="微软雅黑" w:eastAsia="微软雅黑" w:cs="Times New Roman"/>
      <w:sz w:val="21"/>
      <w:lang w:val="en-US" w:eastAsia="zh-CN" w:bidi="ar-SA"/>
    </w:rPr>
  </w:style>
  <w:style w:type="paragraph" w:styleId="1549"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numbering" w:styleId="15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Birthday</dc:subject>
  <dc:creator>Emotiona</dc:creator>
  <cp:lastModifiedBy>宣家红</cp:lastModifiedBy>
  <cp:revision>16</cp:revision>
  <dcterms:created xsi:type="dcterms:W3CDTF">2026-06-08T06:51:00Z</dcterms:created>
  <dcterms:modified xsi:type="dcterms:W3CDTF">2026-09-04T08:44:37Z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342A20E8A0F444A787420476B3AEA7FB_13</vt:lpwstr>
  </property>
  <property fmtid="{D5CDD505-2E9C-101B-9397-08002B2CF9AE}" pid="4" name="KSOTemplateDocerSaveRecord">
    <vt:lpwstr>eyJoZGlkIjoiOTRmYWI3MDVmNTgxOTNlOGI1YjQ5YjRjZDMzYzRlMzQiLCJ1c2VySWQiOiIxODAwNDg2ODQ5In0=</vt:lpwstr>
  </property>
</Properties>
</file>