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8AF900">
      <w:pPr>
        <w:pStyle w:val="211"/>
        <w:widowControl/>
        <w:spacing w:line="360" w:lineRule="auto"/>
        <w:ind w:firstLine="0"/>
        <w:jc w:val="center"/>
        <w:rPr>
          <w:rFonts w:hint="eastAsia" w:ascii="宋体" w:hAnsi="宋体" w:eastAsia="宋体" w:cs="宋体"/>
          <w:b/>
          <w:bCs/>
          <w:color w:val="auto"/>
          <w:spacing w:val="34"/>
          <w:sz w:val="72"/>
          <w:szCs w:val="28"/>
          <w:highlight w:val="none"/>
        </w:rPr>
      </w:pPr>
      <w:r>
        <w:rPr>
          <w:rFonts w:hint="eastAsia" w:ascii="宋体" w:hAnsi="宋体" w:eastAsia="宋体" w:cs="宋体"/>
          <w:b/>
          <w:bCs/>
          <w:color w:val="auto"/>
          <w:spacing w:val="34"/>
          <w:sz w:val="72"/>
          <w:szCs w:val="28"/>
          <w:highlight w:val="none"/>
          <w:lang w:val="en-US" w:eastAsia="zh-CN"/>
        </w:rPr>
        <w:t>连云港市</w:t>
      </w:r>
      <w:r>
        <w:rPr>
          <w:rFonts w:hint="eastAsia" w:ascii="宋体" w:hAnsi="宋体" w:eastAsia="宋体" w:cs="宋体"/>
          <w:b/>
          <w:bCs/>
          <w:color w:val="auto"/>
          <w:spacing w:val="34"/>
          <w:sz w:val="72"/>
          <w:szCs w:val="28"/>
          <w:highlight w:val="none"/>
        </w:rPr>
        <w:t>政府采购</w:t>
      </w:r>
    </w:p>
    <w:p w14:paraId="36F113B6">
      <w:pPr>
        <w:pStyle w:val="211"/>
        <w:widowControl/>
        <w:spacing w:line="360" w:lineRule="auto"/>
        <w:ind w:firstLine="0"/>
        <w:jc w:val="center"/>
        <w:rPr>
          <w:rFonts w:hint="eastAsia" w:ascii="宋体" w:hAnsi="宋体" w:eastAsia="宋体" w:cs="宋体"/>
          <w:b/>
          <w:bCs/>
          <w:color w:val="auto"/>
          <w:spacing w:val="34"/>
          <w:sz w:val="72"/>
          <w:szCs w:val="28"/>
          <w:highlight w:val="none"/>
        </w:rPr>
      </w:pPr>
    </w:p>
    <w:p w14:paraId="3C702710">
      <w:pPr>
        <w:pStyle w:val="211"/>
        <w:widowControl/>
        <w:spacing w:line="360" w:lineRule="auto"/>
        <w:ind w:firstLine="0"/>
        <w:jc w:val="center"/>
        <w:rPr>
          <w:rFonts w:hint="eastAsia" w:ascii="宋体" w:hAnsi="宋体" w:eastAsia="宋体" w:cs="宋体"/>
          <w:color w:val="auto"/>
          <w:sz w:val="72"/>
          <w:highlight w:val="none"/>
        </w:rPr>
      </w:pPr>
      <w:r>
        <w:rPr>
          <w:rFonts w:hint="eastAsia" w:ascii="宋体" w:hAnsi="宋体" w:eastAsia="宋体" w:cs="宋体"/>
          <w:b/>
          <w:bCs/>
          <w:color w:val="auto"/>
          <w:sz w:val="72"/>
          <w:szCs w:val="72"/>
          <w:highlight w:val="none"/>
        </w:rPr>
        <w:t>竞争性磋商文件</w:t>
      </w:r>
      <w:r>
        <w:rPr>
          <w:rFonts w:hint="eastAsia" w:ascii="宋体" w:hAnsi="宋体" w:eastAsia="宋体" w:cs="宋体"/>
          <w:b/>
          <w:bCs/>
          <w:color w:val="auto"/>
          <w:sz w:val="72"/>
          <w:szCs w:val="72"/>
          <w:highlight w:val="none"/>
        </w:rPr>
        <w:br w:type="textWrapping"/>
      </w:r>
      <w:r>
        <w:rPr>
          <w:rFonts w:hint="eastAsia" w:ascii="宋体" w:hAnsi="宋体" w:eastAsia="宋体" w:cs="宋体"/>
          <w:color w:val="auto"/>
          <w:sz w:val="72"/>
          <w:highlight w:val="none"/>
        </w:rPr>
        <w:t xml:space="preserve">             </w:t>
      </w:r>
    </w:p>
    <w:p w14:paraId="1B074BFE">
      <w:pPr>
        <w:spacing w:line="360" w:lineRule="auto"/>
        <w:ind w:left="2404" w:hanging="1766"/>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rPr>
        <w:t>项目名称：</w:t>
      </w:r>
      <w:r>
        <w:rPr>
          <w:rFonts w:hint="eastAsia" w:ascii="宋体" w:hAnsi="宋体" w:eastAsia="宋体" w:cs="宋体"/>
          <w:b/>
          <w:bCs/>
          <w:color w:val="auto"/>
          <w:spacing w:val="16"/>
          <w:sz w:val="32"/>
          <w:szCs w:val="32"/>
          <w:highlight w:val="none"/>
          <w:lang w:eastAsia="zh-CN"/>
        </w:rPr>
        <w:t>国际学术交流中心消防整改项目（专门面向中小微企业)</w:t>
      </w:r>
    </w:p>
    <w:p w14:paraId="330DB65A">
      <w:pPr>
        <w:spacing w:line="360" w:lineRule="auto"/>
        <w:ind w:left="2404" w:hanging="1766"/>
        <w:rPr>
          <w:rFonts w:hint="eastAsia" w:hAnsi="宋体" w:eastAsia="宋体" w:cs="宋体"/>
          <w:b/>
          <w:bCs/>
          <w:color w:val="auto"/>
          <w:sz w:val="36"/>
          <w:highlight w:val="none"/>
          <w:u w:val="none"/>
          <w:lang w:val="en-US" w:eastAsia="zh-CN"/>
        </w:rPr>
      </w:pPr>
      <w:r>
        <w:rPr>
          <w:rFonts w:hint="eastAsia" w:ascii="宋体" w:hAnsi="宋体" w:eastAsia="宋体" w:cs="宋体"/>
          <w:b/>
          <w:bCs/>
          <w:color w:val="auto"/>
          <w:spacing w:val="16"/>
          <w:sz w:val="32"/>
          <w:szCs w:val="32"/>
          <w:highlight w:val="none"/>
        </w:rPr>
        <w:t>项目编号：</w:t>
      </w:r>
      <w:r>
        <w:rPr>
          <w:rFonts w:hint="eastAsia" w:ascii="宋体" w:hAnsi="宋体" w:eastAsia="宋体" w:cs="宋体"/>
          <w:b/>
          <w:bCs/>
          <w:color w:val="auto"/>
          <w:spacing w:val="16"/>
          <w:sz w:val="32"/>
          <w:szCs w:val="32"/>
          <w:highlight w:val="none"/>
          <w:lang w:eastAsia="zh-CN"/>
        </w:rPr>
        <w:t>JSZC-320000-JSWD-C2026-0040</w:t>
      </w:r>
      <w:r>
        <w:rPr>
          <w:rFonts w:hint="eastAsia" w:ascii="宋体" w:hAnsi="宋体" w:eastAsia="宋体" w:cs="宋体"/>
          <w:b/>
          <w:bCs/>
          <w:color w:val="auto"/>
          <w:spacing w:val="16"/>
          <w:sz w:val="32"/>
          <w:szCs w:val="32"/>
          <w:highlight w:val="none"/>
          <w:lang w:val="en-US" w:eastAsia="zh-CN"/>
        </w:rPr>
        <w:t xml:space="preserve"> </w:t>
      </w:r>
    </w:p>
    <w:p w14:paraId="6E623913">
      <w:pPr>
        <w:pStyle w:val="20"/>
        <w:spacing w:line="360" w:lineRule="auto"/>
        <w:rPr>
          <w:rFonts w:hint="eastAsia" w:hAnsi="宋体" w:eastAsia="宋体" w:cs="宋体"/>
          <w:b/>
          <w:bCs/>
          <w:color w:val="auto"/>
          <w:sz w:val="36"/>
          <w:highlight w:val="none"/>
          <w:u w:val="none"/>
          <w:lang w:val="en-US" w:eastAsia="zh-CN"/>
        </w:rPr>
      </w:pPr>
    </w:p>
    <w:p w14:paraId="71C0E2BA">
      <w:pPr>
        <w:pStyle w:val="20"/>
        <w:spacing w:line="360" w:lineRule="auto"/>
        <w:rPr>
          <w:rFonts w:hint="eastAsia" w:ascii="宋体" w:hAnsi="宋体" w:eastAsia="宋体" w:cs="宋体"/>
          <w:b/>
          <w:bCs/>
          <w:color w:val="auto"/>
          <w:sz w:val="36"/>
          <w:highlight w:val="none"/>
          <w:u w:val="single"/>
        </w:rPr>
      </w:pPr>
      <w:r>
        <w:rPr>
          <w:color w:val="auto"/>
          <w:highlight w:val="none"/>
        </w:rPr>
        <mc:AlternateContent>
          <mc:Choice Requires="wps">
            <w:drawing>
              <wp:inline distT="0" distB="0" distL="0" distR="0">
                <wp:extent cx="6025515" cy="76200"/>
                <wp:effectExtent l="0" t="0" r="13335" b="0"/>
                <wp:docPr id="3" name="任意多边形 1"/>
                <wp:cNvGraphicFramePr/>
                <a:graphic xmlns:a="http://schemas.openxmlformats.org/drawingml/2006/main">
                  <a:graphicData uri="http://schemas.microsoft.com/office/word/2010/wordprocessingShape">
                    <wps:wsp>
                      <wps:cNvSpPr/>
                      <wps:spPr bwMode="auto">
                        <a:xfrm flipV="1">
                          <a:off x="0" y="0"/>
                          <a:ext cx="6025515" cy="76200"/>
                        </a:xfrm>
                        <a:custGeom>
                          <a:avLst/>
                          <a:gdLst/>
                          <a:ahLst/>
                          <a:cxnLst/>
                          <a:rect l="0" t="0" r="r" b="b"/>
                          <a:pathLst>
                            <a:path w="9519" h="44" extrusionOk="0">
                              <a:moveTo>
                                <a:pt x="0" y="21"/>
                              </a:moveTo>
                              <a:lnTo>
                                <a:pt x="9518" y="21"/>
                              </a:lnTo>
                            </a:path>
                          </a:pathLst>
                        </a:custGeom>
                        <a:noFill/>
                        <a:ln w="27432" cap="flat" cmpd="sng">
                          <a:solidFill>
                            <a:srgbClr val="000000"/>
                          </a:solidFill>
                          <a:prstDash val="solid"/>
                          <a:bevel/>
                          <a:headEnd type="none" w="med" len="med"/>
                          <a:tailEnd type="none" w="med" len="med"/>
                        </a:ln>
                      </wps:spPr>
                      <wps:bodyPr rot="0">
                        <a:noAutofit/>
                      </wps:bodyPr>
                    </wps:wsp>
                  </a:graphicData>
                </a:graphic>
              </wp:inline>
            </w:drawing>
          </mc:Choice>
          <mc:Fallback>
            <w:pict>
              <v:shape id="任意多边形 1" o:spid="_x0000_s1026" o:spt="100" style="flip:y;height:6pt;width:474.45pt;" filled="f" stroked="t" coordsize="9519,44" o:gfxdata="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C/iIxA0gAAAAQBAAAPAAAAAAAAAAEAIAAAACIAAABkcnMvZG93bnJldi54bWxQ&#10;SwECFAAUAAAACACHTuJA02CSCm8CAAD5BAAADgAAAAAAAAABACAAAAAhAQAAZHJzL2Uyb0RvYy54&#10;bWxQSwUGAAAAAAYABgBZAQAAAgYAAAAA&#10;" path="m0,21l9518,21e">
                <v:fill on="f" focussize="0,0"/>
                <v:stroke weight="2.16pt" color="#000000" joinstyle="bevel"/>
                <v:imagedata o:title=""/>
                <o:lock v:ext="edit" aspectratio="f"/>
                <w10:wrap type="none"/>
                <w10:anchorlock/>
              </v:shape>
            </w:pict>
          </mc:Fallback>
        </mc:AlternateContent>
      </w:r>
    </w:p>
    <w:p w14:paraId="727B56B6">
      <w:pPr>
        <w:pStyle w:val="20"/>
        <w:spacing w:line="240" w:lineRule="auto"/>
        <w:ind w:firstLine="611"/>
        <w:rPr>
          <w:rFonts w:hint="eastAsia" w:ascii="宋体" w:hAnsi="宋体" w:eastAsia="宋体" w:cs="宋体"/>
          <w:b/>
          <w:bCs/>
          <w:color w:val="auto"/>
          <w:sz w:val="32"/>
          <w:highlight w:val="none"/>
        </w:rPr>
      </w:pPr>
    </w:p>
    <w:p w14:paraId="35738B59">
      <w:pPr>
        <w:pStyle w:val="20"/>
        <w:spacing w:line="240" w:lineRule="auto"/>
        <w:ind w:firstLine="1574"/>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   购   人：</w:t>
      </w:r>
      <w:r>
        <w:rPr>
          <w:rFonts w:hint="eastAsia" w:hAnsi="宋体" w:eastAsia="宋体" w:cs="宋体"/>
          <w:b/>
          <w:bCs/>
          <w:color w:val="auto"/>
          <w:sz w:val="32"/>
          <w:szCs w:val="32"/>
          <w:highlight w:val="none"/>
          <w:lang w:eastAsia="zh-CN"/>
        </w:rPr>
        <w:t>江苏省经贸技师学院</w:t>
      </w:r>
    </w:p>
    <w:p w14:paraId="538A735E">
      <w:pPr>
        <w:pStyle w:val="20"/>
        <w:spacing w:line="240" w:lineRule="auto"/>
        <w:rPr>
          <w:rFonts w:hint="eastAsia" w:ascii="宋体" w:hAnsi="宋体" w:eastAsia="宋体" w:cs="宋体"/>
          <w:b/>
          <w:bCs/>
          <w:color w:val="auto"/>
          <w:sz w:val="32"/>
          <w:highlight w:val="none"/>
        </w:rPr>
      </w:pPr>
    </w:p>
    <w:p w14:paraId="57382267">
      <w:pPr>
        <w:pStyle w:val="20"/>
        <w:spacing w:line="240" w:lineRule="auto"/>
        <w:ind w:firstLine="1574"/>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采购代理机构：</w:t>
      </w:r>
      <w:r>
        <w:rPr>
          <w:rFonts w:hint="eastAsia" w:hAnsi="宋体" w:eastAsia="宋体" w:cs="宋体"/>
          <w:b/>
          <w:bCs/>
          <w:color w:val="auto"/>
          <w:sz w:val="32"/>
          <w:szCs w:val="24"/>
          <w:highlight w:val="none"/>
          <w:lang w:eastAsia="zh-CN"/>
        </w:rPr>
        <w:t>江苏万达工程造价事务所有限公司</w:t>
      </w:r>
    </w:p>
    <w:p w14:paraId="04F21429">
      <w:pPr>
        <w:rPr>
          <w:rFonts w:hint="eastAsia"/>
          <w:color w:val="auto"/>
          <w:highlight w:val="none"/>
        </w:rPr>
      </w:pPr>
    </w:p>
    <w:p w14:paraId="41A8BE85">
      <w:pPr>
        <w:spacing w:line="240" w:lineRule="auto"/>
        <w:jc w:val="center"/>
        <w:outlineLvl w:val="0"/>
        <w:rPr>
          <w:rFonts w:hint="default" w:ascii="宋体" w:hAnsi="宋体" w:eastAsia="宋体" w:cs="宋体"/>
          <w:b/>
          <w:bCs/>
          <w:color w:val="auto"/>
          <w:sz w:val="32"/>
          <w:szCs w:val="20"/>
          <w:highlight w:val="none"/>
          <w:lang w:val="en-US" w:eastAsia="zh-CN"/>
        </w:rPr>
        <w:sectPr>
          <w:footerReference r:id="rId3" w:type="default"/>
          <w:pgSz w:w="11907" w:h="16840"/>
          <w:pgMar w:top="1440" w:right="1080" w:bottom="1440" w:left="1080" w:header="720" w:footer="720" w:gutter="0"/>
          <w:pgNumType w:start="0"/>
          <w:cols w:space="720" w:num="1"/>
          <w:titlePg/>
          <w:docGrid w:linePitch="360" w:charSpace="0"/>
        </w:sectPr>
      </w:pPr>
      <w:r>
        <w:rPr>
          <w:rFonts w:hint="eastAsia" w:ascii="宋体" w:hAnsi="宋体" w:eastAsia="宋体" w:cs="宋体"/>
          <w:b/>
          <w:bCs/>
          <w:color w:val="auto"/>
          <w:sz w:val="32"/>
          <w:szCs w:val="20"/>
          <w:highlight w:val="none"/>
          <w:lang w:val="en-US" w:eastAsia="zh-CN"/>
        </w:rPr>
        <w:t>2026年9月</w:t>
      </w:r>
    </w:p>
    <w:p w14:paraId="2F00F8F3">
      <w:pPr>
        <w:widowControl/>
        <w:spacing w:line="360" w:lineRule="auto"/>
        <w:jc w:val="center"/>
        <w:rPr>
          <w:rFonts w:hint="eastAsia" w:ascii="宋体" w:hAnsi="宋体" w:eastAsia="宋体" w:cs="宋体"/>
          <w:color w:val="auto"/>
          <w:sz w:val="48"/>
          <w:szCs w:val="48"/>
          <w:highlight w:val="none"/>
          <w:lang w:bidi="ar"/>
        </w:rPr>
      </w:pPr>
      <w:r>
        <w:rPr>
          <w:rFonts w:hint="eastAsia" w:ascii="宋体" w:hAnsi="宋体" w:eastAsia="宋体" w:cs="宋体"/>
          <w:color w:val="auto"/>
          <w:sz w:val="48"/>
          <w:szCs w:val="48"/>
          <w:highlight w:val="none"/>
          <w:lang w:bidi="ar"/>
        </w:rPr>
        <w:t>目 录</w:t>
      </w:r>
    </w:p>
    <w:p w14:paraId="1648FA72">
      <w:pPr>
        <w:widowControl/>
        <w:spacing w:line="360" w:lineRule="auto"/>
        <w:jc w:val="left"/>
        <w:rPr>
          <w:rFonts w:hint="eastAsia" w:ascii="宋体" w:hAnsi="宋体" w:eastAsia="宋体" w:cs="宋体"/>
          <w:color w:val="auto"/>
          <w:sz w:val="24"/>
          <w:highlight w:val="none"/>
          <w:lang w:bidi="ar"/>
        </w:rPr>
      </w:pPr>
    </w:p>
    <w:p w14:paraId="50DE5FE3">
      <w:pPr>
        <w:keepNext w:val="0"/>
        <w:keepLines w:val="0"/>
        <w:pageBreakBefore w:val="0"/>
        <w:widowControl/>
        <w:spacing w:line="360" w:lineRule="auto"/>
        <w:ind w:firstLine="56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第一章 竞争性磋商采购公告 </w:t>
      </w:r>
    </w:p>
    <w:p w14:paraId="759F2B7D">
      <w:pPr>
        <w:keepNext w:val="0"/>
        <w:keepLines w:val="0"/>
        <w:pageBreakBefore w:val="0"/>
        <w:widowControl/>
        <w:spacing w:line="360" w:lineRule="auto"/>
        <w:ind w:firstLine="56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第二章 磋商须知 </w:t>
      </w:r>
    </w:p>
    <w:p w14:paraId="2442C7E1">
      <w:pPr>
        <w:keepNext w:val="0"/>
        <w:keepLines w:val="0"/>
        <w:pageBreakBefore w:val="0"/>
        <w:widowControl/>
        <w:spacing w:line="360" w:lineRule="auto"/>
        <w:ind w:firstLine="560"/>
        <w:jc w:val="lef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第三章 政府采购合同格式 </w:t>
      </w:r>
    </w:p>
    <w:p w14:paraId="68C9BFB3">
      <w:pPr>
        <w:keepNext w:val="0"/>
        <w:keepLines w:val="0"/>
        <w:pageBreakBefore w:val="0"/>
        <w:widowControl/>
        <w:spacing w:line="360" w:lineRule="auto"/>
        <w:ind w:firstLine="560"/>
        <w:jc w:val="lef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 xml:space="preserve">第四章 项目需求 </w:t>
      </w:r>
    </w:p>
    <w:p w14:paraId="03DAC9CA">
      <w:pPr>
        <w:keepNext w:val="0"/>
        <w:keepLines w:val="0"/>
        <w:pageBreakBefore w:val="0"/>
        <w:widowControl/>
        <w:spacing w:line="360" w:lineRule="auto"/>
        <w:ind w:firstLine="560"/>
        <w:jc w:val="left"/>
        <w:rPr>
          <w:rFonts w:hint="eastAsia" w:ascii="宋体" w:hAnsi="宋体" w:eastAsia="宋体" w:cs="宋体"/>
          <w:color w:val="auto"/>
          <w:sz w:val="28"/>
          <w:szCs w:val="28"/>
          <w:highlight w:val="none"/>
          <w:lang w:eastAsia="zh-CN" w:bidi="ar"/>
        </w:rPr>
      </w:pPr>
      <w:r>
        <w:rPr>
          <w:rFonts w:hint="eastAsia" w:ascii="宋体" w:hAnsi="宋体" w:eastAsia="宋体" w:cs="宋体"/>
          <w:color w:val="auto"/>
          <w:sz w:val="28"/>
          <w:szCs w:val="28"/>
          <w:highlight w:val="none"/>
          <w:lang w:bidi="ar"/>
        </w:rPr>
        <w:t>第</w:t>
      </w:r>
      <w:r>
        <w:rPr>
          <w:rFonts w:hint="eastAsia" w:ascii="宋体" w:hAnsi="宋体" w:eastAsia="宋体" w:cs="宋体"/>
          <w:color w:val="auto"/>
          <w:sz w:val="28"/>
          <w:szCs w:val="28"/>
          <w:highlight w:val="none"/>
          <w:lang w:val="en-US" w:eastAsia="zh-CN" w:bidi="ar"/>
        </w:rPr>
        <w:t>五</w:t>
      </w:r>
      <w:r>
        <w:rPr>
          <w:rFonts w:hint="eastAsia" w:ascii="宋体" w:hAnsi="宋体" w:eastAsia="宋体" w:cs="宋体"/>
          <w:color w:val="auto"/>
          <w:sz w:val="28"/>
          <w:szCs w:val="28"/>
          <w:highlight w:val="none"/>
          <w:lang w:bidi="ar"/>
        </w:rPr>
        <w:t>章 工程量清单</w:t>
      </w:r>
      <w:r>
        <w:rPr>
          <w:rFonts w:hint="eastAsia" w:ascii="宋体" w:hAnsi="宋体" w:eastAsia="宋体" w:cs="宋体"/>
          <w:color w:val="auto"/>
          <w:sz w:val="28"/>
          <w:szCs w:val="28"/>
          <w:highlight w:val="none"/>
          <w:lang w:eastAsia="zh-CN" w:bidi="ar"/>
        </w:rPr>
        <w:t>（</w:t>
      </w:r>
      <w:r>
        <w:rPr>
          <w:rFonts w:hint="eastAsia" w:ascii="宋体" w:hAnsi="宋体" w:eastAsia="宋体" w:cs="宋体"/>
          <w:color w:val="auto"/>
          <w:sz w:val="28"/>
          <w:szCs w:val="28"/>
          <w:highlight w:val="none"/>
          <w:lang w:val="en-US" w:eastAsia="zh-CN" w:bidi="ar"/>
        </w:rPr>
        <w:t>另附</w:t>
      </w:r>
      <w:r>
        <w:rPr>
          <w:rFonts w:hint="eastAsia" w:ascii="宋体" w:hAnsi="宋体" w:eastAsia="宋体" w:cs="宋体"/>
          <w:color w:val="auto"/>
          <w:sz w:val="28"/>
          <w:szCs w:val="28"/>
          <w:highlight w:val="none"/>
          <w:lang w:eastAsia="zh-CN" w:bidi="ar"/>
        </w:rPr>
        <w:t>）</w:t>
      </w:r>
    </w:p>
    <w:p w14:paraId="51BE1AB2">
      <w:pPr>
        <w:keepNext w:val="0"/>
        <w:keepLines w:val="0"/>
        <w:pageBreakBefore w:val="0"/>
        <w:widowControl/>
        <w:spacing w:line="360" w:lineRule="auto"/>
        <w:ind w:firstLine="560"/>
        <w:jc w:val="lef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第</w:t>
      </w:r>
      <w:r>
        <w:rPr>
          <w:rFonts w:hint="eastAsia" w:ascii="宋体" w:hAnsi="宋体" w:eastAsia="宋体" w:cs="宋体"/>
          <w:color w:val="auto"/>
          <w:sz w:val="28"/>
          <w:szCs w:val="28"/>
          <w:highlight w:val="none"/>
          <w:lang w:val="en-US" w:eastAsia="zh-CN" w:bidi="ar"/>
        </w:rPr>
        <w:t>六</w:t>
      </w:r>
      <w:r>
        <w:rPr>
          <w:rFonts w:hint="eastAsia" w:ascii="宋体" w:hAnsi="宋体" w:eastAsia="宋体" w:cs="宋体"/>
          <w:color w:val="auto"/>
          <w:sz w:val="28"/>
          <w:szCs w:val="28"/>
          <w:highlight w:val="none"/>
          <w:lang w:bidi="ar"/>
        </w:rPr>
        <w:t xml:space="preserve">章 </w:t>
      </w:r>
      <w:r>
        <w:rPr>
          <w:rFonts w:hint="eastAsia" w:ascii="宋体" w:hAnsi="宋体" w:eastAsia="宋体" w:cs="宋体"/>
          <w:color w:val="auto"/>
          <w:sz w:val="28"/>
          <w:szCs w:val="28"/>
          <w:highlight w:val="none"/>
          <w:lang w:val="en-US" w:eastAsia="zh-CN" w:bidi="ar"/>
        </w:rPr>
        <w:t>竞争性</w:t>
      </w:r>
      <w:r>
        <w:rPr>
          <w:rFonts w:hint="eastAsia" w:ascii="宋体" w:hAnsi="宋体" w:eastAsia="宋体" w:cs="宋体"/>
          <w:color w:val="auto"/>
          <w:sz w:val="28"/>
          <w:szCs w:val="28"/>
          <w:highlight w:val="none"/>
          <w:lang w:bidi="ar"/>
        </w:rPr>
        <w:t>磋商响应文件</w:t>
      </w:r>
    </w:p>
    <w:p w14:paraId="5B740EBE">
      <w:pPr>
        <w:keepNext w:val="0"/>
        <w:keepLines w:val="0"/>
        <w:pageBreakBefore w:val="0"/>
        <w:widowControl/>
        <w:spacing w:line="360" w:lineRule="auto"/>
        <w:ind w:firstLine="560"/>
        <w:jc w:val="left"/>
        <w:rPr>
          <w:rFonts w:hint="eastAsia" w:ascii="宋体" w:hAnsi="宋体" w:eastAsia="宋体" w:cs="宋体"/>
          <w:color w:val="auto"/>
          <w:sz w:val="28"/>
          <w:szCs w:val="28"/>
          <w:highlight w:val="none"/>
          <w:lang w:bidi="ar"/>
        </w:rPr>
      </w:pPr>
      <w:r>
        <w:rPr>
          <w:rFonts w:hint="eastAsia" w:ascii="宋体" w:hAnsi="宋体" w:eastAsia="宋体" w:cs="宋体"/>
          <w:color w:val="auto"/>
          <w:sz w:val="28"/>
          <w:szCs w:val="28"/>
          <w:highlight w:val="none"/>
          <w:lang w:bidi="ar"/>
        </w:rPr>
        <w:t>第</w:t>
      </w:r>
      <w:r>
        <w:rPr>
          <w:rFonts w:hint="eastAsia" w:ascii="宋体" w:hAnsi="宋体" w:eastAsia="宋体" w:cs="宋体"/>
          <w:color w:val="auto"/>
          <w:sz w:val="28"/>
          <w:szCs w:val="28"/>
          <w:highlight w:val="none"/>
          <w:lang w:val="en-US" w:eastAsia="zh-CN" w:bidi="ar"/>
        </w:rPr>
        <w:t>七</w:t>
      </w:r>
      <w:r>
        <w:rPr>
          <w:rFonts w:hint="eastAsia" w:ascii="宋体" w:hAnsi="宋体" w:eastAsia="宋体" w:cs="宋体"/>
          <w:color w:val="auto"/>
          <w:sz w:val="28"/>
          <w:szCs w:val="28"/>
          <w:highlight w:val="none"/>
          <w:lang w:bidi="ar"/>
        </w:rPr>
        <w:t xml:space="preserve">章 评审方法和评审标准 </w:t>
      </w:r>
    </w:p>
    <w:p w14:paraId="2BE2688A">
      <w:pPr>
        <w:widowControl/>
        <w:spacing w:line="360" w:lineRule="auto"/>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   </w:t>
      </w:r>
    </w:p>
    <w:p w14:paraId="275D6246">
      <w:pPr>
        <w:widowControl/>
        <w:spacing w:line="360" w:lineRule="auto"/>
        <w:jc w:val="center"/>
        <w:rPr>
          <w:rFonts w:hint="eastAsia" w:ascii="宋体" w:hAnsi="宋体" w:eastAsia="宋体" w:cs="宋体"/>
          <w:b/>
          <w:bCs/>
          <w:color w:val="auto"/>
          <w:sz w:val="36"/>
          <w:szCs w:val="36"/>
          <w:highlight w:val="none"/>
          <w:lang w:bidi="ar"/>
        </w:rPr>
      </w:pPr>
    </w:p>
    <w:p w14:paraId="4975080F">
      <w:pPr>
        <w:pStyle w:val="17"/>
        <w:spacing w:line="360" w:lineRule="auto"/>
        <w:rPr>
          <w:rFonts w:hint="eastAsia" w:ascii="宋体" w:hAnsi="宋体" w:eastAsia="宋体" w:cs="宋体"/>
          <w:color w:val="auto"/>
          <w:highlight w:val="none"/>
        </w:rPr>
      </w:pPr>
    </w:p>
    <w:p w14:paraId="79C6DC1C">
      <w:pPr>
        <w:rPr>
          <w:rFonts w:hint="eastAsia" w:ascii="宋体" w:hAnsi="宋体" w:eastAsia="宋体" w:cs="宋体"/>
          <w:color w:val="auto"/>
          <w:highlight w:val="none"/>
        </w:rPr>
      </w:pPr>
    </w:p>
    <w:p w14:paraId="29488FA1">
      <w:pPr>
        <w:rPr>
          <w:rFonts w:hint="eastAsia" w:ascii="宋体" w:hAnsi="宋体" w:eastAsia="宋体" w:cs="宋体"/>
          <w:color w:val="auto"/>
          <w:highlight w:val="none"/>
        </w:rPr>
      </w:pPr>
    </w:p>
    <w:p w14:paraId="07BCF99F">
      <w:pPr>
        <w:rPr>
          <w:rFonts w:hint="eastAsia" w:ascii="宋体" w:hAnsi="宋体" w:eastAsia="宋体" w:cs="宋体"/>
          <w:color w:val="auto"/>
          <w:highlight w:val="none"/>
        </w:rPr>
      </w:pPr>
    </w:p>
    <w:p w14:paraId="5B077420">
      <w:pPr>
        <w:rPr>
          <w:rFonts w:hint="eastAsia" w:ascii="宋体" w:hAnsi="宋体" w:eastAsia="宋体" w:cs="宋体"/>
          <w:color w:val="auto"/>
          <w:highlight w:val="none"/>
        </w:rPr>
      </w:pPr>
    </w:p>
    <w:p w14:paraId="4A918D11">
      <w:pPr>
        <w:rPr>
          <w:rFonts w:hint="eastAsia" w:ascii="宋体" w:hAnsi="宋体" w:eastAsia="宋体" w:cs="宋体"/>
          <w:color w:val="auto"/>
          <w:highlight w:val="none"/>
        </w:rPr>
      </w:pPr>
    </w:p>
    <w:p w14:paraId="57E0B209">
      <w:pPr>
        <w:rPr>
          <w:rFonts w:hint="eastAsia" w:ascii="宋体" w:hAnsi="宋体" w:eastAsia="宋体" w:cs="宋体"/>
          <w:color w:val="auto"/>
          <w:highlight w:val="none"/>
        </w:rPr>
      </w:pPr>
    </w:p>
    <w:p w14:paraId="71EB87AB">
      <w:pPr>
        <w:rPr>
          <w:rFonts w:hint="eastAsia" w:ascii="宋体" w:hAnsi="宋体" w:eastAsia="宋体" w:cs="宋体"/>
          <w:color w:val="auto"/>
          <w:highlight w:val="none"/>
        </w:rPr>
      </w:pPr>
    </w:p>
    <w:p w14:paraId="313096ED">
      <w:pPr>
        <w:rPr>
          <w:rFonts w:hint="eastAsia" w:ascii="宋体" w:hAnsi="宋体" w:eastAsia="宋体" w:cs="宋体"/>
          <w:color w:val="auto"/>
          <w:highlight w:val="none"/>
        </w:rPr>
      </w:pPr>
    </w:p>
    <w:p w14:paraId="103941AD">
      <w:pPr>
        <w:rPr>
          <w:rFonts w:hint="eastAsia" w:ascii="宋体" w:hAnsi="宋体" w:eastAsia="宋体" w:cs="宋体"/>
          <w:color w:val="auto"/>
          <w:highlight w:val="none"/>
        </w:rPr>
      </w:pPr>
    </w:p>
    <w:p w14:paraId="04ECD0B4">
      <w:pPr>
        <w:rPr>
          <w:rFonts w:hint="eastAsia" w:ascii="宋体" w:hAnsi="宋体" w:eastAsia="宋体" w:cs="宋体"/>
          <w:color w:val="auto"/>
          <w:highlight w:val="none"/>
        </w:rPr>
      </w:pPr>
    </w:p>
    <w:p w14:paraId="3EE74343">
      <w:pPr>
        <w:rPr>
          <w:rFonts w:hint="eastAsia" w:ascii="宋体" w:hAnsi="宋体" w:eastAsia="宋体" w:cs="宋体"/>
          <w:color w:val="auto"/>
          <w:highlight w:val="none"/>
        </w:rPr>
      </w:pPr>
    </w:p>
    <w:p w14:paraId="5346B94F">
      <w:pPr>
        <w:rPr>
          <w:rFonts w:hint="eastAsia" w:ascii="宋体" w:hAnsi="宋体" w:eastAsia="宋体" w:cs="宋体"/>
          <w:color w:val="auto"/>
          <w:highlight w:val="none"/>
        </w:rPr>
      </w:pPr>
    </w:p>
    <w:p w14:paraId="353C9121">
      <w:pPr>
        <w:rPr>
          <w:rFonts w:hint="eastAsia" w:ascii="宋体" w:hAnsi="宋体" w:eastAsia="宋体" w:cs="宋体"/>
          <w:color w:val="auto"/>
          <w:highlight w:val="none"/>
        </w:rPr>
      </w:pPr>
    </w:p>
    <w:p w14:paraId="2BA9716D">
      <w:pPr>
        <w:rPr>
          <w:rFonts w:hint="eastAsia" w:ascii="宋体" w:hAnsi="宋体" w:eastAsia="宋体" w:cs="宋体"/>
          <w:color w:val="auto"/>
          <w:highlight w:val="none"/>
        </w:rPr>
      </w:pPr>
    </w:p>
    <w:p w14:paraId="1813EC16">
      <w:pPr>
        <w:rPr>
          <w:rFonts w:hint="eastAsia" w:ascii="宋体" w:hAnsi="宋体" w:eastAsia="宋体" w:cs="宋体"/>
          <w:color w:val="auto"/>
          <w:highlight w:val="none"/>
        </w:rPr>
      </w:pPr>
    </w:p>
    <w:p w14:paraId="228CFE97">
      <w:pPr>
        <w:rPr>
          <w:rFonts w:hint="eastAsia" w:ascii="宋体" w:hAnsi="宋体" w:eastAsia="宋体" w:cs="宋体"/>
          <w:color w:val="auto"/>
          <w:highlight w:val="none"/>
        </w:rPr>
      </w:pPr>
    </w:p>
    <w:p w14:paraId="48E2843F">
      <w:pPr>
        <w:rPr>
          <w:rFonts w:hint="eastAsia" w:ascii="宋体" w:hAnsi="宋体" w:eastAsia="宋体" w:cs="宋体"/>
          <w:color w:val="auto"/>
          <w:highlight w:val="none"/>
        </w:rPr>
      </w:pPr>
    </w:p>
    <w:p w14:paraId="473B252D">
      <w:pPr>
        <w:rPr>
          <w:rFonts w:hint="eastAsia" w:ascii="宋体" w:hAnsi="宋体" w:eastAsia="宋体" w:cs="宋体"/>
          <w:color w:val="auto"/>
          <w:highlight w:val="none"/>
        </w:rPr>
      </w:pPr>
    </w:p>
    <w:p w14:paraId="1CF726D8">
      <w:pPr>
        <w:rPr>
          <w:rFonts w:hint="eastAsia" w:ascii="宋体" w:hAnsi="宋体" w:eastAsia="宋体" w:cs="宋体"/>
          <w:color w:val="auto"/>
          <w:highlight w:val="none"/>
        </w:rPr>
      </w:pPr>
    </w:p>
    <w:p w14:paraId="3D31FA79">
      <w:pPr>
        <w:rPr>
          <w:rFonts w:hint="eastAsia" w:ascii="宋体" w:hAnsi="宋体" w:eastAsia="宋体" w:cs="宋体"/>
          <w:color w:val="auto"/>
          <w:highlight w:val="none"/>
        </w:rPr>
      </w:pPr>
    </w:p>
    <w:p w14:paraId="126C7E05">
      <w:pPr>
        <w:rPr>
          <w:rFonts w:hint="eastAsia" w:ascii="宋体" w:hAnsi="宋体" w:eastAsia="宋体" w:cs="宋体"/>
          <w:color w:val="auto"/>
          <w:highlight w:val="none"/>
        </w:rPr>
      </w:pPr>
    </w:p>
    <w:p w14:paraId="66F262BB">
      <w:pPr>
        <w:rPr>
          <w:rFonts w:hint="eastAsia" w:ascii="宋体" w:hAnsi="宋体" w:eastAsia="宋体" w:cs="宋体"/>
          <w:color w:val="auto"/>
          <w:highlight w:val="none"/>
        </w:rPr>
      </w:pPr>
    </w:p>
    <w:p w14:paraId="3C699D1C">
      <w:pPr>
        <w:rPr>
          <w:rFonts w:hint="eastAsia" w:ascii="宋体" w:hAnsi="宋体" w:eastAsia="宋体" w:cs="宋体"/>
          <w:color w:val="auto"/>
          <w:highlight w:val="none"/>
        </w:rPr>
      </w:pPr>
    </w:p>
    <w:p w14:paraId="64AFBA39">
      <w:pPr>
        <w:tabs>
          <w:tab w:val="right" w:pos="8788"/>
        </w:tabs>
        <w:jc w:val="left"/>
        <w:rPr>
          <w:rFonts w:hint="eastAsia" w:ascii="宋体" w:hAnsi="宋体" w:eastAsia="宋体" w:cs="宋体"/>
          <w:color w:val="auto"/>
          <w:highlight w:val="none"/>
          <w:lang w:eastAsia="zh-CN"/>
        </w:rPr>
        <w:sectPr>
          <w:footerReference r:id="rId4" w:type="default"/>
          <w:pgSz w:w="11907" w:h="16840"/>
          <w:pgMar w:top="1440" w:right="1080" w:bottom="1440" w:left="1080" w:header="851" w:footer="851" w:gutter="0"/>
          <w:cols w:space="720" w:num="1"/>
          <w:docGrid w:linePitch="360" w:charSpace="0"/>
        </w:sectPr>
      </w:pPr>
      <w:r>
        <w:rPr>
          <w:rFonts w:hint="eastAsia" w:ascii="宋体" w:hAnsi="宋体" w:eastAsia="宋体" w:cs="宋体"/>
          <w:color w:val="auto"/>
          <w:highlight w:val="none"/>
          <w:lang w:eastAsia="zh-CN"/>
        </w:rPr>
        <w:tab/>
      </w:r>
    </w:p>
    <w:p w14:paraId="4CE5D941">
      <w:pPr>
        <w:keepNext w:val="0"/>
        <w:keepLines w:val="0"/>
        <w:pageBreakBefore w:val="0"/>
        <w:widowControl/>
        <w:spacing w:line="360" w:lineRule="auto"/>
        <w:jc w:val="center"/>
        <w:outlineLvl w:val="0"/>
        <w:rPr>
          <w:rFonts w:hint="eastAsia" w:ascii="宋体" w:hAnsi="宋体" w:eastAsia="宋体" w:cs="宋体"/>
          <w:color w:val="auto"/>
          <w:highlight w:val="none"/>
        </w:rPr>
      </w:pPr>
      <w:bookmarkStart w:id="0" w:name="OLE_LINK2"/>
      <w:r>
        <w:rPr>
          <w:rFonts w:hint="eastAsia" w:ascii="宋体" w:hAnsi="宋体" w:eastAsia="宋体" w:cs="宋体"/>
          <w:b/>
          <w:bCs/>
          <w:color w:val="auto"/>
          <w:sz w:val="36"/>
          <w:szCs w:val="36"/>
          <w:highlight w:val="none"/>
          <w:lang w:bidi="ar"/>
        </w:rPr>
        <w:t xml:space="preserve">第一章 </w:t>
      </w:r>
      <w:bookmarkStart w:id="1" w:name="OLE_LINK1"/>
      <w:r>
        <w:rPr>
          <w:rFonts w:hint="eastAsia" w:ascii="宋体" w:hAnsi="宋体" w:eastAsia="宋体" w:cs="宋体"/>
          <w:b/>
          <w:bCs/>
          <w:color w:val="auto"/>
          <w:sz w:val="36"/>
          <w:szCs w:val="36"/>
          <w:highlight w:val="none"/>
          <w:lang w:bidi="ar"/>
        </w:rPr>
        <w:t>竞争性磋商采购公告</w:t>
      </w:r>
    </w:p>
    <w:p w14:paraId="34E8A172">
      <w:pPr>
        <w:keepNext w:val="0"/>
        <w:keepLines w:val="0"/>
        <w:pageBreakBefore w:val="0"/>
        <w:widowControl/>
        <w:pBdr>
          <w:top w:val="single" w:color="auto" w:sz="4" w:space="0"/>
          <w:left w:val="single" w:color="auto" w:sz="4" w:space="0"/>
          <w:bottom w:val="single" w:color="auto" w:sz="4" w:space="0"/>
          <w:right w:val="single" w:color="auto" w:sz="4" w:space="0"/>
          <w:between w:val="single" w:color="auto" w:sz="4" w:space="0"/>
        </w:pBdr>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项目概况：</w:t>
      </w:r>
      <w:r>
        <w:rPr>
          <w:rFonts w:hint="eastAsia" w:ascii="宋体" w:hAnsi="宋体" w:eastAsia="宋体" w:cs="宋体"/>
          <w:color w:val="auto"/>
          <w:sz w:val="24"/>
          <w:highlight w:val="none"/>
          <w:u w:val="single"/>
          <w:lang w:eastAsia="zh-CN" w:bidi="ar"/>
        </w:rPr>
        <w:t>国际学术交流中心消防整改项目（专门面向中小微企业)</w:t>
      </w:r>
      <w:r>
        <w:rPr>
          <w:rFonts w:hint="eastAsia" w:ascii="宋体" w:hAnsi="宋体" w:eastAsia="宋体" w:cs="宋体"/>
          <w:color w:val="auto"/>
          <w:sz w:val="24"/>
          <w:highlight w:val="none"/>
          <w:lang w:bidi="ar"/>
        </w:rPr>
        <w:t>采购项目的潜在供应商应在</w:t>
      </w:r>
      <w:r>
        <w:rPr>
          <w:rFonts w:hint="eastAsia" w:ascii="宋体" w:hAnsi="宋体" w:eastAsia="宋体" w:cs="宋体"/>
          <w:b/>
          <w:bCs/>
          <w:color w:val="auto"/>
          <w:sz w:val="24"/>
          <w:highlight w:val="none"/>
          <w:u w:val="single"/>
          <w:lang w:bidi="ar"/>
        </w:rPr>
        <w:t>江苏政府采购网“苏采云系统”内</w:t>
      </w:r>
      <w:r>
        <w:rPr>
          <w:rFonts w:hint="eastAsia" w:ascii="宋体" w:hAnsi="宋体" w:eastAsia="宋体" w:cs="宋体"/>
          <w:b/>
          <w:bCs/>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获取</w:t>
      </w:r>
      <w:r>
        <w:rPr>
          <w:rFonts w:hint="eastAsia" w:ascii="宋体" w:hAnsi="宋体" w:eastAsia="宋体" w:cs="宋体"/>
          <w:color w:val="auto"/>
          <w:sz w:val="24"/>
          <w:highlight w:val="none"/>
          <w:lang w:eastAsia="zh-CN" w:bidi="ar"/>
        </w:rPr>
        <w:t>磋商文件</w:t>
      </w:r>
      <w:r>
        <w:rPr>
          <w:rFonts w:hint="eastAsia" w:ascii="宋体" w:hAnsi="宋体" w:eastAsia="宋体" w:cs="宋体"/>
          <w:color w:val="auto"/>
          <w:sz w:val="24"/>
          <w:highlight w:val="none"/>
          <w:lang w:bidi="ar"/>
        </w:rPr>
        <w:t>，并于</w:t>
      </w:r>
      <w:r>
        <w:rPr>
          <w:rFonts w:hint="eastAsia" w:ascii="宋体" w:hAnsi="宋体" w:eastAsia="宋体" w:cs="宋体"/>
          <w:color w:val="auto"/>
          <w:sz w:val="24"/>
          <w:highlight w:val="none"/>
          <w:u w:val="single"/>
          <w:lang w:bidi="ar"/>
        </w:rPr>
        <w:t>202</w:t>
      </w:r>
      <w:r>
        <w:rPr>
          <w:rFonts w:hint="eastAsia" w:ascii="宋体" w:hAnsi="宋体" w:eastAsia="宋体" w:cs="宋体"/>
          <w:color w:val="auto"/>
          <w:sz w:val="24"/>
          <w:highlight w:val="none"/>
          <w:u w:val="single"/>
          <w:lang w:val="en-US" w:eastAsia="zh-CN" w:bidi="ar"/>
        </w:rPr>
        <w:t>6</w:t>
      </w:r>
      <w:r>
        <w:rPr>
          <w:rFonts w:hint="eastAsia" w:ascii="宋体" w:hAnsi="宋体" w:eastAsia="宋体" w:cs="宋体"/>
          <w:color w:val="auto"/>
          <w:sz w:val="24"/>
          <w:highlight w:val="none"/>
          <w:u w:val="single"/>
          <w:lang w:bidi="ar"/>
        </w:rPr>
        <w:t>年</w:t>
      </w:r>
      <w:r>
        <w:rPr>
          <w:rFonts w:hint="eastAsia" w:ascii="宋体" w:hAnsi="宋体" w:eastAsia="宋体" w:cs="宋体"/>
          <w:color w:val="auto"/>
          <w:sz w:val="24"/>
          <w:highlight w:val="none"/>
          <w:u w:val="single"/>
          <w:lang w:val="en-US" w:eastAsia="zh-CN" w:bidi="ar"/>
        </w:rPr>
        <w:t>9月14</w:t>
      </w:r>
      <w:r>
        <w:rPr>
          <w:rFonts w:hint="eastAsia" w:ascii="宋体" w:hAnsi="宋体" w:eastAsia="宋体" w:cs="宋体"/>
          <w:color w:val="auto"/>
          <w:sz w:val="24"/>
          <w:highlight w:val="none"/>
          <w:u w:val="single"/>
          <w:lang w:bidi="ar"/>
        </w:rPr>
        <w:t>日</w:t>
      </w:r>
      <w:r>
        <w:rPr>
          <w:rFonts w:hint="eastAsia" w:ascii="宋体" w:hAnsi="宋体" w:eastAsia="宋体" w:cs="宋体"/>
          <w:color w:val="auto"/>
          <w:sz w:val="24"/>
          <w:highlight w:val="none"/>
          <w:u w:val="single"/>
          <w:lang w:val="en-US" w:eastAsia="zh-CN" w:bidi="ar"/>
        </w:rPr>
        <w:t>9</w:t>
      </w:r>
      <w:r>
        <w:rPr>
          <w:rFonts w:hint="eastAsia" w:ascii="宋体" w:hAnsi="宋体" w:eastAsia="宋体" w:cs="宋体"/>
          <w:color w:val="auto"/>
          <w:sz w:val="24"/>
          <w:highlight w:val="none"/>
          <w:u w:val="single"/>
          <w:lang w:bidi="ar"/>
        </w:rPr>
        <w:t>点00分00 秒</w:t>
      </w:r>
      <w:r>
        <w:rPr>
          <w:rFonts w:hint="eastAsia" w:ascii="宋体" w:hAnsi="宋体" w:eastAsia="宋体" w:cs="宋体"/>
          <w:color w:val="auto"/>
          <w:sz w:val="24"/>
          <w:highlight w:val="none"/>
          <w:lang w:bidi="ar"/>
        </w:rPr>
        <w:t xml:space="preserve">（北京时间）前提交响应文件。 </w:t>
      </w:r>
    </w:p>
    <w:p w14:paraId="05E48A98">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一、项目基本情况 </w:t>
      </w:r>
    </w:p>
    <w:p w14:paraId="66AAA38C">
      <w:pPr>
        <w:keepNext w:val="0"/>
        <w:keepLines w:val="0"/>
        <w:pageBreakBefore w:val="0"/>
        <w:spacing w:line="360" w:lineRule="auto"/>
        <w:ind w:firstLine="480"/>
        <w:rPr>
          <w:rFonts w:hint="eastAsia" w:ascii="宋体" w:hAnsi="宋体" w:eastAsia="宋体" w:cs="宋体"/>
          <w:color w:val="auto"/>
          <w:sz w:val="24"/>
          <w:highlight w:val="none"/>
          <w:u w:val="none"/>
          <w:lang w:eastAsia="zh-CN" w:bidi="ar"/>
        </w:rPr>
      </w:pPr>
      <w:r>
        <w:rPr>
          <w:rFonts w:hint="eastAsia" w:ascii="宋体" w:hAnsi="宋体" w:eastAsia="宋体" w:cs="宋体"/>
          <w:color w:val="auto"/>
          <w:sz w:val="24"/>
          <w:highlight w:val="none"/>
          <w:lang w:val="en-US" w:eastAsia="zh-CN" w:bidi="ar"/>
        </w:rPr>
        <w:t>项目</w:t>
      </w:r>
      <w:r>
        <w:rPr>
          <w:rFonts w:hint="eastAsia" w:ascii="宋体" w:hAnsi="宋体" w:eastAsia="宋体" w:cs="宋体"/>
          <w:color w:val="auto"/>
          <w:sz w:val="24"/>
          <w:highlight w:val="none"/>
          <w:lang w:bidi="ar"/>
        </w:rPr>
        <w:t>名称：</w:t>
      </w:r>
      <w:r>
        <w:rPr>
          <w:rFonts w:hint="eastAsia" w:ascii="宋体" w:hAnsi="宋体" w:eastAsia="宋体" w:cs="宋体"/>
          <w:color w:val="auto"/>
          <w:sz w:val="24"/>
          <w:highlight w:val="none"/>
          <w:lang w:eastAsia="zh-CN" w:bidi="ar"/>
        </w:rPr>
        <w:t>国际学术交流中心消防整改项目（专门面向中小微企业)</w:t>
      </w:r>
    </w:p>
    <w:p w14:paraId="03721023">
      <w:pPr>
        <w:keepNext w:val="0"/>
        <w:keepLines w:val="0"/>
        <w:pageBreakBefore w:val="0"/>
        <w:spacing w:line="360" w:lineRule="auto"/>
        <w:ind w:firstLine="480"/>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val="en-US" w:eastAsia="zh-CN" w:bidi="ar"/>
        </w:rPr>
        <w:t>项目</w:t>
      </w:r>
      <w:r>
        <w:rPr>
          <w:rFonts w:hint="eastAsia" w:ascii="宋体" w:hAnsi="宋体" w:eastAsia="宋体" w:cs="宋体"/>
          <w:color w:val="auto"/>
          <w:sz w:val="24"/>
          <w:highlight w:val="none"/>
          <w:lang w:bidi="ar"/>
        </w:rPr>
        <w:t>编号：</w:t>
      </w:r>
      <w:r>
        <w:rPr>
          <w:rFonts w:hint="eastAsia" w:ascii="宋体" w:hAnsi="宋体" w:eastAsia="宋体" w:cs="宋体"/>
          <w:color w:val="auto"/>
          <w:sz w:val="24"/>
          <w:highlight w:val="none"/>
          <w:lang w:eastAsia="zh-CN" w:bidi="ar"/>
        </w:rPr>
        <w:t>JSZC-320000-JSWD-C2026-0040</w:t>
      </w:r>
      <w:r>
        <w:rPr>
          <w:rFonts w:hint="eastAsia" w:ascii="宋体" w:hAnsi="宋体" w:eastAsia="宋体" w:cs="宋体"/>
          <w:color w:val="auto"/>
          <w:sz w:val="24"/>
          <w:highlight w:val="none"/>
          <w:lang w:val="en-US" w:eastAsia="zh-CN" w:bidi="ar"/>
        </w:rPr>
        <w:t xml:space="preserve"> </w:t>
      </w:r>
      <w:r>
        <w:rPr>
          <w:rFonts w:hint="eastAsia" w:ascii="宋体" w:hAnsi="宋体" w:eastAsia="宋体" w:cs="宋体"/>
          <w:color w:val="auto"/>
          <w:sz w:val="24"/>
          <w:highlight w:val="none"/>
          <w:lang w:bidi="ar"/>
        </w:rPr>
        <w:tab/>
      </w:r>
    </w:p>
    <w:p w14:paraId="1B94C6CF">
      <w:pPr>
        <w:keepNext w:val="0"/>
        <w:keepLines w:val="0"/>
        <w:pageBreakBefore w:val="0"/>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采购方式：竞争性磋商 </w:t>
      </w:r>
    </w:p>
    <w:p w14:paraId="3322CF36">
      <w:pPr>
        <w:keepNext w:val="0"/>
        <w:keepLines w:val="0"/>
        <w:pageBreakBefore w:val="0"/>
        <w:spacing w:line="360" w:lineRule="auto"/>
        <w:ind w:firstLine="480"/>
        <w:rPr>
          <w:rFonts w:hint="eastAsia" w:ascii="宋体" w:hAnsi="宋体" w:eastAsia="宋体" w:cs="宋体"/>
          <w:b w:val="0"/>
          <w:bCs w:val="0"/>
          <w:color w:val="auto"/>
          <w:sz w:val="24"/>
          <w:highlight w:val="none"/>
          <w:lang w:eastAsia="zh-CN" w:bidi="ar"/>
        </w:rPr>
      </w:pPr>
      <w:r>
        <w:rPr>
          <w:rFonts w:hint="eastAsia" w:ascii="宋体" w:hAnsi="宋体" w:eastAsia="宋体" w:cs="宋体"/>
          <w:b w:val="0"/>
          <w:bCs w:val="0"/>
          <w:color w:val="auto"/>
          <w:sz w:val="24"/>
          <w:highlight w:val="none"/>
          <w:lang w:bidi="ar"/>
        </w:rPr>
        <w:t>预算金额</w:t>
      </w:r>
      <w:r>
        <w:rPr>
          <w:rFonts w:hint="eastAsia" w:ascii="宋体" w:hAnsi="宋体" w:eastAsia="宋体" w:cs="宋体"/>
          <w:b w:val="0"/>
          <w:bCs w:val="0"/>
          <w:color w:val="auto"/>
          <w:sz w:val="24"/>
          <w:highlight w:val="none"/>
          <w:lang w:eastAsia="zh-CN" w:bidi="ar"/>
        </w:rPr>
        <w:t>：</w:t>
      </w:r>
      <w:r>
        <w:rPr>
          <w:rFonts w:hint="eastAsia" w:ascii="宋体" w:hAnsi="宋体" w:eastAsia="宋体" w:cs="宋体"/>
          <w:b w:val="0"/>
          <w:bCs w:val="0"/>
          <w:color w:val="auto"/>
          <w:sz w:val="24"/>
          <w:highlight w:val="none"/>
          <w:lang w:val="en-US" w:eastAsia="zh-CN" w:bidi="ar"/>
        </w:rPr>
        <w:t>247.5</w:t>
      </w:r>
      <w:r>
        <w:rPr>
          <w:rFonts w:hint="eastAsia" w:ascii="宋体" w:hAnsi="宋体" w:eastAsia="宋体" w:cs="宋体"/>
          <w:b w:val="0"/>
          <w:bCs w:val="0"/>
          <w:color w:val="auto"/>
          <w:sz w:val="24"/>
          <w:highlight w:val="none"/>
          <w:lang w:eastAsia="zh-CN" w:bidi="ar"/>
        </w:rPr>
        <w:t>万元</w:t>
      </w:r>
      <w:r>
        <w:rPr>
          <w:rFonts w:hint="eastAsia" w:ascii="宋体" w:hAnsi="宋体" w:eastAsia="宋体" w:cs="宋体"/>
          <w:b w:val="0"/>
          <w:bCs w:val="0"/>
          <w:color w:val="auto"/>
          <w:sz w:val="24"/>
          <w:highlight w:val="none"/>
          <w:lang w:eastAsia="zh-CN" w:bidi="ar"/>
        </w:rPr>
        <w:tab/>
      </w:r>
    </w:p>
    <w:p w14:paraId="40C1054B">
      <w:pPr>
        <w:keepNext w:val="0"/>
        <w:keepLines w:val="0"/>
        <w:pageBreakBefore w:val="0"/>
        <w:spacing w:line="360" w:lineRule="auto"/>
        <w:ind w:firstLine="480"/>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最高投标</w:t>
      </w:r>
      <w:r>
        <w:rPr>
          <w:rFonts w:hint="eastAsia" w:ascii="宋体" w:hAnsi="宋体" w:eastAsia="宋体" w:cs="宋体"/>
          <w:b/>
          <w:bCs/>
          <w:color w:val="auto"/>
          <w:sz w:val="24"/>
          <w:highlight w:val="none"/>
        </w:rPr>
        <w:t>限价</w:t>
      </w:r>
      <w:r>
        <w:rPr>
          <w:rFonts w:hint="eastAsia" w:ascii="宋体" w:hAnsi="宋体" w:eastAsia="宋体" w:cs="宋体"/>
          <w:b/>
          <w:bCs/>
          <w:color w:val="auto"/>
          <w:sz w:val="24"/>
          <w:highlight w:val="none"/>
          <w:lang w:bidi="ar"/>
        </w:rPr>
        <w:t>：</w:t>
      </w:r>
      <w:r>
        <w:rPr>
          <w:rFonts w:hint="eastAsia" w:ascii="宋体" w:hAnsi="宋体" w:eastAsia="宋体" w:cs="宋体"/>
          <w:b/>
          <w:bCs/>
          <w:color w:val="auto"/>
          <w:sz w:val="24"/>
          <w:highlight w:val="none"/>
          <w:lang w:val="en-US" w:eastAsia="zh-CN" w:bidi="ar"/>
        </w:rPr>
        <w:t>247.490261</w:t>
      </w:r>
      <w:r>
        <w:rPr>
          <w:rFonts w:hint="eastAsia" w:ascii="宋体" w:hAnsi="宋体" w:eastAsia="宋体" w:cs="宋体"/>
          <w:b/>
          <w:bCs/>
          <w:color w:val="auto"/>
          <w:sz w:val="24"/>
          <w:highlight w:val="none"/>
          <w:lang w:bidi="ar"/>
        </w:rPr>
        <w:t>万元</w:t>
      </w:r>
      <w:r>
        <w:rPr>
          <w:rFonts w:hint="eastAsia" w:ascii="宋体" w:hAnsi="宋体" w:eastAsia="宋体" w:cs="宋体"/>
          <w:b/>
          <w:bCs/>
          <w:color w:val="auto"/>
          <w:sz w:val="24"/>
          <w:highlight w:val="none"/>
          <w:lang w:eastAsia="zh-CN" w:bidi="ar"/>
        </w:rPr>
        <w:t>，</w:t>
      </w:r>
      <w:r>
        <w:rPr>
          <w:rFonts w:hint="eastAsia" w:ascii="宋体" w:hAnsi="宋体" w:eastAsia="宋体" w:cs="宋体"/>
          <w:b/>
          <w:bCs/>
          <w:color w:val="auto"/>
          <w:sz w:val="24"/>
          <w:highlight w:val="none"/>
        </w:rPr>
        <w:t>投标报价超过最高</w:t>
      </w:r>
      <w:r>
        <w:rPr>
          <w:rFonts w:hint="eastAsia" w:ascii="宋体" w:hAnsi="宋体" w:eastAsia="宋体" w:cs="宋体"/>
          <w:b/>
          <w:bCs/>
          <w:color w:val="auto"/>
          <w:sz w:val="24"/>
          <w:highlight w:val="none"/>
          <w:lang w:bidi="ar"/>
        </w:rPr>
        <w:t>投标</w:t>
      </w:r>
      <w:r>
        <w:rPr>
          <w:rFonts w:hint="eastAsia" w:ascii="宋体" w:hAnsi="宋体" w:eastAsia="宋体" w:cs="宋体"/>
          <w:b/>
          <w:bCs/>
          <w:color w:val="auto"/>
          <w:sz w:val="24"/>
          <w:highlight w:val="none"/>
        </w:rPr>
        <w:t>限价的按无效报价处理。</w:t>
      </w:r>
    </w:p>
    <w:p w14:paraId="19A7BF31">
      <w:pPr>
        <w:keepNext w:val="0"/>
        <w:keepLines w:val="0"/>
        <w:pageBreakBefore w:val="0"/>
        <w:widowControl/>
        <w:spacing w:line="360" w:lineRule="auto"/>
        <w:ind w:firstLine="482"/>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采购需求：</w:t>
      </w:r>
      <w:r>
        <w:rPr>
          <w:rFonts w:hint="eastAsia" w:ascii="宋体" w:hAnsi="宋体" w:eastAsia="宋体" w:cs="宋体"/>
          <w:color w:val="auto"/>
          <w:sz w:val="24"/>
          <w:highlight w:val="none"/>
          <w:lang w:eastAsia="zh-CN" w:bidi="ar"/>
        </w:rPr>
        <w:t>国际学术交流中心消防整改项目</w:t>
      </w:r>
      <w:r>
        <w:rPr>
          <w:rFonts w:hint="eastAsia" w:ascii="宋体" w:hAnsi="宋体" w:eastAsia="宋体" w:cs="宋体"/>
          <w:color w:val="auto"/>
          <w:sz w:val="24"/>
          <w:highlight w:val="none"/>
          <w:lang w:bidi="ar"/>
        </w:rPr>
        <w:t>（专门面向中小微企业)，具体详见工程量清单</w:t>
      </w:r>
      <w:r>
        <w:rPr>
          <w:rFonts w:hint="eastAsia" w:ascii="宋体" w:hAnsi="宋体" w:eastAsia="宋体" w:cs="宋体"/>
          <w:color w:val="auto"/>
          <w:sz w:val="24"/>
          <w:highlight w:val="none"/>
          <w:lang w:eastAsia="zh-CN" w:bidi="ar"/>
        </w:rPr>
        <w:t>及图纸</w:t>
      </w:r>
      <w:r>
        <w:rPr>
          <w:rFonts w:hint="eastAsia" w:ascii="宋体" w:hAnsi="宋体" w:eastAsia="宋体" w:cs="宋体"/>
          <w:color w:val="auto"/>
          <w:sz w:val="24"/>
          <w:highlight w:val="none"/>
          <w:lang w:bidi="ar"/>
        </w:rPr>
        <w:t>。</w:t>
      </w:r>
    </w:p>
    <w:p w14:paraId="14F47C62">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对项目需求部分的询问、质疑请与采购人联系，由采购人负责答复。 </w:t>
      </w:r>
    </w:p>
    <w:p w14:paraId="44B4A4FF">
      <w:pPr>
        <w:keepNext w:val="0"/>
        <w:keepLines w:val="0"/>
        <w:pageBreakBefore w:val="0"/>
        <w:spacing w:line="360" w:lineRule="auto"/>
        <w:ind w:firstLine="480"/>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建设地点：</w:t>
      </w:r>
      <w:r>
        <w:rPr>
          <w:rFonts w:hint="eastAsia" w:ascii="宋体" w:hAnsi="宋体" w:eastAsia="宋体" w:cs="宋体"/>
          <w:color w:val="auto"/>
          <w:sz w:val="24"/>
          <w:highlight w:val="none"/>
          <w:lang w:eastAsia="zh-CN" w:bidi="ar"/>
        </w:rPr>
        <w:t>江苏省经贸技师学院</w:t>
      </w:r>
    </w:p>
    <w:p w14:paraId="53A96E01">
      <w:pPr>
        <w:pStyle w:val="209"/>
        <w:keepNext w:val="0"/>
        <w:keepLines w:val="0"/>
        <w:pageBreakBefore w:val="0"/>
        <w:spacing w:line="360" w:lineRule="auto"/>
        <w:ind w:firstLine="480"/>
        <w:rPr>
          <w:rFonts w:hint="eastAsia" w:ascii="宋体" w:hAnsi="宋体" w:eastAsia="宋体" w:cs="宋体"/>
          <w:b/>
          <w:bCs/>
          <w:color w:val="auto"/>
          <w:szCs w:val="24"/>
          <w:highlight w:val="none"/>
        </w:rPr>
      </w:pPr>
      <w:r>
        <w:rPr>
          <w:rFonts w:hint="eastAsia" w:ascii="宋体" w:hAnsi="宋体" w:eastAsia="宋体" w:cs="宋体"/>
          <w:color w:val="auto"/>
          <w:szCs w:val="24"/>
          <w:highlight w:val="none"/>
          <w:lang w:bidi="ar"/>
        </w:rPr>
        <w:t>承包方式：包工包料</w:t>
      </w:r>
    </w:p>
    <w:p w14:paraId="758EFB97">
      <w:pPr>
        <w:keepNext w:val="0"/>
        <w:keepLines w:val="0"/>
        <w:pageBreakBefore w:val="0"/>
        <w:spacing w:line="360" w:lineRule="auto"/>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bidi="ar"/>
        </w:rPr>
        <w:t>质量标准：</w:t>
      </w:r>
      <w:r>
        <w:rPr>
          <w:rFonts w:hint="eastAsia" w:ascii="宋体" w:hAnsi="宋体" w:eastAsia="宋体" w:cs="宋体"/>
          <w:color w:val="auto"/>
          <w:sz w:val="24"/>
          <w:highlight w:val="none"/>
        </w:rPr>
        <w:t>执行国家现行验收标准，等级为合格</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并通过消防验收。</w:t>
      </w:r>
    </w:p>
    <w:p w14:paraId="0C86AA2E">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工期要求：</w:t>
      </w:r>
      <w:r>
        <w:rPr>
          <w:rFonts w:hint="eastAsia" w:ascii="宋体" w:hAnsi="宋体" w:eastAsia="宋体" w:cs="宋体"/>
          <w:color w:val="auto"/>
          <w:sz w:val="24"/>
          <w:highlight w:val="none"/>
          <w:lang w:val="en-US" w:eastAsia="zh-CN" w:bidi="ar"/>
        </w:rPr>
        <w:t>90</w:t>
      </w:r>
      <w:r>
        <w:rPr>
          <w:rFonts w:hint="eastAsia" w:ascii="宋体" w:hAnsi="宋体" w:eastAsia="宋体" w:cs="宋体"/>
          <w:color w:val="auto"/>
          <w:sz w:val="24"/>
          <w:highlight w:val="none"/>
          <w:lang w:bidi="ar"/>
        </w:rPr>
        <w:t>日历天，</w:t>
      </w:r>
      <w:r>
        <w:rPr>
          <w:rFonts w:hint="eastAsia" w:ascii="宋体" w:hAnsi="宋体" w:eastAsia="宋体" w:cs="宋体"/>
          <w:color w:val="auto"/>
          <w:sz w:val="24"/>
          <w:highlight w:val="none"/>
        </w:rPr>
        <w:t>具体开工日期以采购人发出的书面通知为准</w:t>
      </w:r>
      <w:r>
        <w:rPr>
          <w:rFonts w:hint="eastAsia" w:ascii="宋体" w:hAnsi="宋体" w:eastAsia="宋体" w:cs="宋体"/>
          <w:color w:val="auto"/>
          <w:sz w:val="24"/>
          <w:highlight w:val="none"/>
          <w:lang w:bidi="ar"/>
        </w:rPr>
        <w:t>。</w:t>
      </w:r>
    </w:p>
    <w:p w14:paraId="299076A8">
      <w:pPr>
        <w:keepNext w:val="0"/>
        <w:keepLines w:val="0"/>
        <w:pageBreakBefore w:val="0"/>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本项目不接受联合体磋商，成交后不得转包或分包。</w:t>
      </w:r>
    </w:p>
    <w:p w14:paraId="7870137F">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二、申请人的资格要求 </w:t>
      </w:r>
    </w:p>
    <w:p w14:paraId="7D515B69">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1.满足《中华人民共和国政府采购法》第二十二条规定，提供下列材料： </w:t>
      </w:r>
    </w:p>
    <w:p w14:paraId="1A700149">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（1）法人或者其他组织的营业执照等证明文件，自然人的身份证明；</w:t>
      </w:r>
    </w:p>
    <w:p w14:paraId="6E43471B">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（2）具有良好的商业信誉和健全的财务会计制度</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(按连财购【2023】4号文件要求，符合要求的提交《财务状况报告及税收、社会保障资金缴纳情况承诺函》，并上传至电子</w:t>
      </w:r>
      <w:r>
        <w:rPr>
          <w:rFonts w:hint="eastAsia" w:ascii="宋体" w:hAnsi="宋体" w:eastAsia="宋体" w:cs="宋体"/>
          <w:color w:val="auto"/>
          <w:sz w:val="24"/>
          <w:highlight w:val="none"/>
          <w:lang w:eastAsia="zh-CN" w:bidi="ar"/>
        </w:rPr>
        <w:t>响应文件</w:t>
      </w:r>
      <w:r>
        <w:rPr>
          <w:rFonts w:hint="eastAsia" w:ascii="宋体" w:hAnsi="宋体" w:eastAsia="宋体" w:cs="宋体"/>
          <w:color w:val="auto"/>
          <w:sz w:val="24"/>
          <w:highlight w:val="none"/>
          <w:lang w:bidi="ar"/>
        </w:rPr>
        <w:t>中，格式详见</w:t>
      </w:r>
      <w:r>
        <w:rPr>
          <w:rFonts w:hint="eastAsia" w:ascii="宋体" w:hAnsi="宋体" w:eastAsia="宋体" w:cs="宋体"/>
          <w:color w:val="auto"/>
          <w:sz w:val="24"/>
          <w:highlight w:val="none"/>
          <w:lang w:eastAsia="zh-CN" w:bidi="ar"/>
        </w:rPr>
        <w:t>磋商文件</w:t>
      </w:r>
      <w:r>
        <w:rPr>
          <w:rFonts w:hint="eastAsia" w:ascii="宋体" w:hAnsi="宋体" w:eastAsia="宋体" w:cs="宋体"/>
          <w:color w:val="auto"/>
          <w:sz w:val="24"/>
          <w:highlight w:val="none"/>
          <w:lang w:bidi="ar"/>
        </w:rPr>
        <w:t>)</w:t>
      </w:r>
    </w:p>
    <w:p w14:paraId="3CC9DF03">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（3）依法缴纳税收和社会保障资金的相关证明材料</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（按连财购【2023】4号文件要求，符合要求的提交《财务状况报告及税收、社会保障资金缴纳情况承诺函》，并上传至电子</w:t>
      </w:r>
      <w:r>
        <w:rPr>
          <w:rFonts w:hint="eastAsia" w:ascii="宋体" w:hAnsi="宋体" w:eastAsia="宋体" w:cs="宋体"/>
          <w:color w:val="auto"/>
          <w:sz w:val="24"/>
          <w:highlight w:val="none"/>
          <w:lang w:eastAsia="zh-CN" w:bidi="ar"/>
        </w:rPr>
        <w:t>响应文件</w:t>
      </w:r>
      <w:r>
        <w:rPr>
          <w:rFonts w:hint="eastAsia" w:ascii="宋体" w:hAnsi="宋体" w:eastAsia="宋体" w:cs="宋体"/>
          <w:color w:val="auto"/>
          <w:sz w:val="24"/>
          <w:highlight w:val="none"/>
          <w:lang w:bidi="ar"/>
        </w:rPr>
        <w:t>中，格式详见</w:t>
      </w:r>
      <w:r>
        <w:rPr>
          <w:rFonts w:hint="eastAsia" w:ascii="宋体" w:hAnsi="宋体" w:eastAsia="宋体" w:cs="宋体"/>
          <w:color w:val="auto"/>
          <w:sz w:val="24"/>
          <w:highlight w:val="none"/>
          <w:lang w:eastAsia="zh-CN" w:bidi="ar"/>
        </w:rPr>
        <w:t>磋商文件</w:t>
      </w:r>
      <w:r>
        <w:rPr>
          <w:rFonts w:hint="eastAsia" w:ascii="宋体" w:hAnsi="宋体" w:eastAsia="宋体" w:cs="宋体"/>
          <w:color w:val="auto"/>
          <w:sz w:val="24"/>
          <w:highlight w:val="none"/>
          <w:lang w:bidi="ar"/>
        </w:rPr>
        <w:t>)</w:t>
      </w:r>
    </w:p>
    <w:p w14:paraId="0894A9C4">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（4）具备履行合同所必需的设备和专业技术能力的</w:t>
      </w:r>
      <w:r>
        <w:rPr>
          <w:rFonts w:hint="eastAsia" w:ascii="宋体" w:hAnsi="宋体" w:eastAsia="宋体" w:cs="宋体"/>
          <w:color w:val="auto"/>
          <w:sz w:val="24"/>
          <w:highlight w:val="none"/>
          <w:lang w:eastAsia="zh-CN" w:bidi="ar"/>
        </w:rPr>
        <w:t>证明材料</w:t>
      </w:r>
      <w:r>
        <w:rPr>
          <w:rFonts w:hint="eastAsia" w:ascii="宋体" w:hAnsi="宋体" w:eastAsia="宋体" w:cs="宋体"/>
          <w:color w:val="auto"/>
          <w:sz w:val="24"/>
          <w:highlight w:val="none"/>
          <w:lang w:bidi="ar"/>
        </w:rPr>
        <w:t>；</w:t>
      </w:r>
    </w:p>
    <w:p w14:paraId="772D34D0">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（5）参加政府采购活动前三年内在经营活动中没有重大违法记录的书面声明；</w:t>
      </w:r>
    </w:p>
    <w:p w14:paraId="4036F998">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w:t>
      </w:r>
      <w:r>
        <w:rPr>
          <w:rFonts w:hint="eastAsia" w:ascii="宋体" w:hAnsi="宋体" w:eastAsia="宋体" w:cs="宋体"/>
          <w:b/>
          <w:bCs/>
          <w:color w:val="auto"/>
          <w:sz w:val="24"/>
          <w:highlight w:val="none"/>
          <w:lang w:bidi="ar"/>
        </w:rPr>
        <w:t>落实政府采购政策需满足的资格要求</w:t>
      </w:r>
      <w:r>
        <w:rPr>
          <w:rFonts w:hint="eastAsia" w:ascii="宋体" w:hAnsi="宋体" w:eastAsia="宋体" w:cs="宋体"/>
          <w:color w:val="auto"/>
          <w:sz w:val="24"/>
          <w:highlight w:val="none"/>
          <w:lang w:bidi="ar"/>
        </w:rPr>
        <w:t>：</w:t>
      </w:r>
    </w:p>
    <w:p w14:paraId="27DC4AEE">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b/>
          <w:bCs/>
          <w:color w:val="auto"/>
          <w:sz w:val="24"/>
          <w:highlight w:val="none"/>
          <w:lang w:bidi="ar"/>
        </w:rPr>
        <w:t>执行财政部、工业和信息化部关于印发《政府采购促进中小企业发展管理办法》的通知（财库〔2020〕46号）、苏财购[2022]45号，</w:t>
      </w:r>
      <w:r>
        <w:rPr>
          <w:rFonts w:hint="eastAsia" w:ascii="宋体" w:hAnsi="宋体" w:eastAsia="宋体" w:cs="宋体"/>
          <w:b/>
          <w:bCs w:val="0"/>
          <w:color w:val="auto"/>
          <w:sz w:val="24"/>
          <w:szCs w:val="24"/>
          <w:highlight w:val="none"/>
          <w:lang w:val="en-US" w:eastAsia="zh-CN" w:bidi="ar-SA"/>
        </w:rPr>
        <w:t>本项目专门面向中型企业、小型企业、微型企业、残疾人福利性单位、监狱企业采购</w:t>
      </w:r>
      <w:r>
        <w:rPr>
          <w:rFonts w:hint="eastAsia" w:ascii="宋体" w:hAnsi="宋体" w:eastAsia="宋体" w:cs="宋体"/>
          <w:color w:val="auto"/>
          <w:sz w:val="24"/>
          <w:highlight w:val="none"/>
          <w:lang w:bidi="ar"/>
        </w:rPr>
        <w:t>，</w:t>
      </w:r>
      <w:r>
        <w:rPr>
          <w:rFonts w:hint="eastAsia" w:ascii="宋体" w:hAnsi="宋体" w:eastAsia="宋体" w:cs="宋体"/>
          <w:b/>
          <w:bCs w:val="0"/>
          <w:color w:val="auto"/>
          <w:sz w:val="24"/>
          <w:szCs w:val="24"/>
          <w:highlight w:val="none"/>
          <w:lang w:val="en-US" w:eastAsia="zh-CN" w:bidi="ar-SA"/>
        </w:rPr>
        <w:t>符合要求的供应商须提供《中小企业声明函》（详见响应文件格式）或《残疾人福利性单位声明函》（详见响应文件格式）或属于监狱企业的证明文件，否则投标无效</w:t>
      </w:r>
      <w:r>
        <w:rPr>
          <w:rFonts w:hint="eastAsia" w:ascii="宋体" w:hAnsi="宋体" w:eastAsia="宋体" w:cs="宋体"/>
          <w:color w:val="auto"/>
          <w:sz w:val="24"/>
          <w:highlight w:val="none"/>
          <w:lang w:bidi="ar"/>
        </w:rPr>
        <w:t>。</w:t>
      </w:r>
    </w:p>
    <w:p w14:paraId="6DDCA005">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w:t>
      </w:r>
      <w:r>
        <w:rPr>
          <w:rFonts w:hint="eastAsia" w:ascii="宋体" w:hAnsi="宋体" w:eastAsia="宋体" w:cs="宋体"/>
          <w:b/>
          <w:bCs/>
          <w:color w:val="auto"/>
          <w:sz w:val="24"/>
          <w:highlight w:val="none"/>
          <w:lang w:bidi="ar"/>
        </w:rPr>
        <w:t>本项目的特定资格要求</w:t>
      </w:r>
      <w:r>
        <w:rPr>
          <w:rFonts w:hint="eastAsia" w:ascii="宋体" w:hAnsi="宋体" w:eastAsia="宋体" w:cs="宋体"/>
          <w:color w:val="auto"/>
          <w:sz w:val="24"/>
          <w:highlight w:val="none"/>
          <w:lang w:bidi="ar"/>
        </w:rPr>
        <w:t>：</w:t>
      </w:r>
    </w:p>
    <w:p w14:paraId="0FBEF07A">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供应商须具备建设行政主管部门核发的</w:t>
      </w:r>
      <w:r>
        <w:rPr>
          <w:rFonts w:hint="eastAsia" w:ascii="宋体" w:hAnsi="宋体" w:eastAsia="宋体" w:cs="宋体"/>
          <w:b/>
          <w:bCs/>
          <w:color w:val="auto"/>
          <w:sz w:val="24"/>
          <w:szCs w:val="24"/>
          <w:highlight w:val="none"/>
          <w:lang w:val="en-US" w:eastAsia="zh-CN"/>
        </w:rPr>
        <w:t>消防设施工程专业承包二级及以上资质（在有效期内），且具有建设主管部门颁发的安全生产许可证（在有效期内）。</w:t>
      </w:r>
    </w:p>
    <w:p w14:paraId="3FD58DAC">
      <w:pPr>
        <w:keepNext w:val="0"/>
        <w:keepLines w:val="0"/>
        <w:pageBreakBefore w:val="0"/>
        <w:spacing w:line="360" w:lineRule="auto"/>
        <w:ind w:firstLine="480"/>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rPr>
        <w:t>磋商供应商</w:t>
      </w:r>
      <w:r>
        <w:rPr>
          <w:rFonts w:hint="eastAsia" w:ascii="宋体" w:hAnsi="宋体" w:eastAsia="宋体" w:cs="宋体"/>
          <w:color w:val="auto"/>
          <w:sz w:val="24"/>
          <w:highlight w:val="none"/>
          <w:lang w:bidi="ar"/>
        </w:rPr>
        <w:t>拟派项目负责人须具备建设行政主管部门颁发的</w:t>
      </w:r>
      <w:r>
        <w:rPr>
          <w:rFonts w:hint="eastAsia" w:ascii="宋体" w:hAnsi="宋体" w:eastAsia="宋体" w:cs="宋体"/>
          <w:b/>
          <w:bCs/>
          <w:color w:val="auto"/>
          <w:sz w:val="24"/>
          <w:szCs w:val="24"/>
          <w:highlight w:val="none"/>
          <w:lang w:val="en-US" w:eastAsia="zh-CN"/>
        </w:rPr>
        <w:t>机电工程专业</w:t>
      </w:r>
      <w:r>
        <w:rPr>
          <w:rFonts w:hint="eastAsia" w:ascii="宋体" w:hAnsi="宋体" w:eastAsia="宋体" w:cs="宋体"/>
          <w:b/>
          <w:bCs/>
          <w:color w:val="auto"/>
          <w:sz w:val="24"/>
          <w:highlight w:val="none"/>
          <w:u w:val="none"/>
          <w:lang w:val="en-US" w:eastAsia="zh-CN" w:bidi="ar"/>
        </w:rPr>
        <w:t>二级及以上</w:t>
      </w:r>
      <w:r>
        <w:rPr>
          <w:rFonts w:hint="eastAsia" w:ascii="宋体" w:hAnsi="宋体" w:eastAsia="宋体" w:cs="宋体"/>
          <w:b/>
          <w:bCs/>
          <w:color w:val="auto"/>
          <w:sz w:val="24"/>
          <w:highlight w:val="none"/>
          <w:u w:val="none"/>
          <w:lang w:bidi="ar"/>
        </w:rPr>
        <w:t>注册建造师资格</w:t>
      </w:r>
      <w:r>
        <w:rPr>
          <w:rFonts w:hint="eastAsia" w:ascii="宋体" w:hAnsi="宋体" w:eastAsia="宋体" w:cs="宋体"/>
          <w:b/>
          <w:color w:val="auto"/>
          <w:sz w:val="24"/>
          <w:highlight w:val="none"/>
          <w:u w:val="none"/>
          <w:lang w:bidi="ar"/>
        </w:rPr>
        <w:t>，并具备安全生产考核合格证B类证（有效的）</w:t>
      </w:r>
      <w:r>
        <w:rPr>
          <w:rFonts w:hint="eastAsia" w:ascii="宋体" w:hAnsi="宋体" w:eastAsia="宋体" w:cs="宋体"/>
          <w:b/>
          <w:color w:val="auto"/>
          <w:sz w:val="24"/>
          <w:highlight w:val="none"/>
          <w:lang w:bidi="ar"/>
        </w:rPr>
        <w:t>。</w:t>
      </w:r>
    </w:p>
    <w:p w14:paraId="67984CAF">
      <w:pPr>
        <w:keepNext w:val="0"/>
        <w:keepLines w:val="0"/>
        <w:pageBreakBefore w:val="0"/>
        <w:spacing w:line="360" w:lineRule="auto"/>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3</w:t>
      </w: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rPr>
        <w:t>本项目要求授权委托人必须为项目负责人，拟派项目负责人必须为投标单位的员工，提供2026年5月以来任意一个月由磋商供应商为其缴纳的社会保险（或养老保险）证明（加盖社保中心章或社保中心参保缴费证明电子专用章）；如是退休人员仍在执业有效期内的，应提供相关退休证明及聘用合同；供应商确定的项目负责人须全程参与磋商过程（含磋商、异议投诉等）。</w:t>
      </w:r>
    </w:p>
    <w:p w14:paraId="6423F7D6">
      <w:pPr>
        <w:keepNext w:val="0"/>
        <w:keepLines w:val="0"/>
        <w:pageBreakBefore w:val="0"/>
        <w:widowControl w:val="0"/>
        <w:spacing w:line="360" w:lineRule="auto"/>
        <w:ind w:right="0" w:firstLine="480"/>
        <w:jc w:val="both"/>
        <w:outlineLvl w:val="9"/>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szCs w:val="24"/>
          <w:highlight w:val="none"/>
          <w:lang w:val="en-US" w:eastAsia="zh-CN"/>
        </w:rPr>
        <w:t>本项目招标工作遵照苏建建管【2013】508号文、苏建招函【2015】16号文、连建发〔2025〕182号执行。投标企业及项目负责人未被建设行政主管部门限制在招标项目所在地投标、项目负责人无在建工程、绝不出借挂靠资质等采用信用承诺方式由</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自行承诺，承诺内容包括：对自身的信用状况、申请材料的真实性以及对违约责任做出书面承诺。（格式详见响应文件）</w:t>
      </w:r>
    </w:p>
    <w:p w14:paraId="3456BE7E">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投标供应商（超过3年）、法定代表人（超过5年）、项目负责人（超过5年）无行贿犯罪记录，由供应商自行承诺。（格式详见响应文件）</w:t>
      </w:r>
    </w:p>
    <w:p w14:paraId="4A3129D2">
      <w:pPr>
        <w:keepNext w:val="0"/>
        <w:keepLines w:val="0"/>
        <w:pageBreakBefore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bidi="ar"/>
        </w:rPr>
        <w:t>）</w:t>
      </w:r>
      <w:r>
        <w:rPr>
          <w:rFonts w:hint="eastAsia" w:ascii="宋体" w:hAnsi="宋体" w:eastAsia="宋体" w:cs="宋体"/>
          <w:color w:val="auto"/>
          <w:sz w:val="24"/>
          <w:szCs w:val="24"/>
          <w:highlight w:val="none"/>
          <w:lang w:val="en-US" w:eastAsia="zh-CN"/>
        </w:rPr>
        <w:t>本项目执行江苏省住房和城乡建设厅《关于开展建筑业企业资质动态监管工作的公告》、江苏省住房和城乡建设厅公告【2018】第6号、苏建招办【2022】2号文，</w:t>
      </w:r>
      <w:r>
        <w:rPr>
          <w:rFonts w:hint="eastAsia" w:ascii="宋体" w:hAnsi="宋体" w:eastAsia="宋体" w:cs="宋体"/>
          <w:b/>
          <w:bCs/>
          <w:color w:val="auto"/>
          <w:sz w:val="24"/>
          <w:szCs w:val="24"/>
          <w:highlight w:val="none"/>
          <w:lang w:val="en-US" w:eastAsia="zh-CN"/>
        </w:rPr>
        <w:t>供应商在响应文件递交截止时间当日，建筑业企业投标资质动态监管结果不处于不合格状态的。</w:t>
      </w:r>
      <w:r>
        <w:rPr>
          <w:rFonts w:hint="eastAsia" w:ascii="宋体" w:hAnsi="宋体" w:eastAsia="宋体" w:cs="宋体"/>
          <w:color w:val="auto"/>
          <w:sz w:val="24"/>
          <w:szCs w:val="24"/>
          <w:highlight w:val="none"/>
          <w:lang w:val="en-US" w:eastAsia="zh-CN"/>
        </w:rPr>
        <w:t>供应商的建筑业企业资质动态监管结果由采购人在响应文件递交截止时间当日登录“江苏省工程建设数字化监管”进行查询获取</w:t>
      </w:r>
      <w:r>
        <w:rPr>
          <w:rFonts w:hint="eastAsia" w:ascii="宋体" w:hAnsi="宋体" w:eastAsia="宋体" w:cs="宋体"/>
          <w:color w:val="auto"/>
          <w:sz w:val="24"/>
          <w:highlight w:val="none"/>
          <w:lang w:bidi="ar"/>
        </w:rPr>
        <w:t>。</w:t>
      </w:r>
    </w:p>
    <w:p w14:paraId="3714907F">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6</w:t>
      </w:r>
      <w:r>
        <w:rPr>
          <w:rFonts w:hint="eastAsia" w:ascii="宋体" w:hAnsi="宋体" w:eastAsia="宋体" w:cs="宋体"/>
          <w:color w:val="auto"/>
          <w:sz w:val="24"/>
          <w:highlight w:val="none"/>
          <w:lang w:bidi="ar"/>
        </w:rPr>
        <w:t>）</w:t>
      </w:r>
      <w:r>
        <w:rPr>
          <w:rFonts w:hint="eastAsia" w:ascii="宋体" w:hAnsi="宋体" w:eastAsia="宋体" w:cs="宋体"/>
          <w:color w:val="auto"/>
          <w:sz w:val="24"/>
          <w:szCs w:val="24"/>
          <w:highlight w:val="none"/>
          <w:lang w:val="en-US" w:eastAsia="zh-CN"/>
        </w:rPr>
        <w:t>本工程招标工作执行“江苏省清理拖欠工程款和农民工工资协调领导小组办公室、连云港市清理建设领域拖欠工程款和农民工工资领导小组办公室”相关通报文件精神，凡是在文件中以及在工程所在地被行政监督主管部门限制准入的投标单位和项目负责人，且未解禁的不得参加本次投标。</w:t>
      </w:r>
    </w:p>
    <w:p w14:paraId="26268065">
      <w:pPr>
        <w:keepNext w:val="0"/>
        <w:keepLines w:val="0"/>
        <w:pageBreakBefore w:val="0"/>
        <w:widowControl w:val="0"/>
        <w:spacing w:line="360" w:lineRule="auto"/>
        <w:ind w:righ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供应商应承诺贯穿工程整个招投标活动所提交的所有材料都是真实有效的，一旦发现有虚假行为，采购人立即中止该供应商的投标活动，并上报相关主管部门追究责任。供应商标中、标后被发现存在挂靠行为，将被取消投标或中标（候选人）资格、履约保证金不予退还、合同解除及清除出场，一切损失自行承担。</w:t>
      </w:r>
    </w:p>
    <w:p w14:paraId="228E1895">
      <w:pPr>
        <w:keepNext w:val="0"/>
        <w:keepLines w:val="0"/>
        <w:pageBreakBefore w:val="0"/>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rPr>
        <w:t>出借（挂靠）资质行为认定依据《住房和城乡建设部关于印发建筑工程施工发包与承包违法行为认定查处管理办法的通知》（建市规【2019】1号）等文件涉及“违法转包、分包、挂靠”等条款精神。</w:t>
      </w:r>
    </w:p>
    <w:p w14:paraId="25908A30">
      <w:pPr>
        <w:keepNext w:val="0"/>
        <w:keepLines w:val="0"/>
        <w:pageBreakBefore w:val="0"/>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7</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w:t>
      </w:r>
      <w:r>
        <w:rPr>
          <w:rFonts w:hint="eastAsia" w:ascii="宋体" w:hAnsi="宋体" w:eastAsia="宋体" w:cs="宋体"/>
          <w:color w:val="auto"/>
          <w:sz w:val="24"/>
          <w:highlight w:val="none"/>
          <w:lang w:bidi="ar"/>
        </w:rPr>
        <w:t>。</w:t>
      </w:r>
    </w:p>
    <w:p w14:paraId="343CF9A1">
      <w:pPr>
        <w:keepNext w:val="0"/>
        <w:keepLines w:val="0"/>
        <w:pageBreakBefore w:val="0"/>
        <w:spacing w:line="360" w:lineRule="auto"/>
        <w:ind w:firstLine="480"/>
        <w:rPr>
          <w:rFonts w:hint="default" w:ascii="宋体" w:hAnsi="宋体" w:eastAsia="宋体" w:cs="宋体"/>
          <w:b/>
          <w:bCs/>
          <w:color w:val="auto"/>
          <w:sz w:val="24"/>
          <w:highlight w:val="none"/>
          <w:lang w:val="en-US" w:eastAsia="zh-CN" w:bidi="ar"/>
        </w:rPr>
      </w:pPr>
      <w:r>
        <w:rPr>
          <w:rFonts w:hint="eastAsia" w:ascii="宋体" w:hAnsi="宋体" w:eastAsia="宋体" w:cs="宋体"/>
          <w:b w:val="0"/>
          <w:bCs w:val="0"/>
          <w:color w:val="auto"/>
          <w:sz w:val="24"/>
          <w:highlight w:val="none"/>
          <w:lang w:val="en-US" w:eastAsia="zh-CN" w:bidi="ar"/>
        </w:rPr>
        <w:t>4.</w:t>
      </w:r>
      <w:r>
        <w:rPr>
          <w:rFonts w:hint="eastAsia" w:ascii="宋体" w:hAnsi="宋体" w:eastAsia="宋体" w:cs="宋体"/>
          <w:b/>
          <w:bCs/>
          <w:color w:val="auto"/>
          <w:sz w:val="24"/>
          <w:highlight w:val="none"/>
          <w:lang w:val="en-US" w:eastAsia="zh-CN" w:bidi="ar"/>
        </w:rPr>
        <w:t>本项目其他要求：</w:t>
      </w:r>
    </w:p>
    <w:p w14:paraId="27A35707">
      <w:pPr>
        <w:keepNext w:val="0"/>
        <w:keepLines w:val="0"/>
        <w:pageBreakBefore w:val="0"/>
        <w:widowControl w:val="0"/>
        <w:spacing w:line="360" w:lineRule="auto"/>
        <w:ind w:firstLine="482"/>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1</w:t>
      </w:r>
      <w:r>
        <w:rPr>
          <w:rFonts w:hint="eastAsia" w:ascii="宋体" w:hAnsi="宋体" w:eastAsia="宋体" w:cs="宋体"/>
          <w:color w:val="auto"/>
          <w:sz w:val="24"/>
          <w:highlight w:val="none"/>
          <w:lang w:bidi="ar"/>
        </w:rPr>
        <w:t>）</w:t>
      </w:r>
      <w:r>
        <w:rPr>
          <w:rFonts w:hint="eastAsia" w:ascii="宋体" w:hAnsi="宋体" w:cs="宋体"/>
          <w:color w:val="auto"/>
          <w:sz w:val="24"/>
          <w:szCs w:val="24"/>
          <w:highlight w:val="none"/>
          <w:lang w:val="en-US" w:eastAsia="zh-CN"/>
        </w:rPr>
        <w:t>磋商单位负责人为同一人或者存在直接控股、管理关系的不同供应商，不得参加同一合同项下的政府采购活动。否则，相关磋商均无效</w:t>
      </w:r>
      <w:r>
        <w:rPr>
          <w:rFonts w:hint="eastAsia" w:ascii="宋体" w:hAnsi="宋体" w:eastAsia="宋体" w:cs="宋体"/>
          <w:color w:val="auto"/>
          <w:sz w:val="24"/>
          <w:highlight w:val="none"/>
          <w:lang w:bidi="ar"/>
        </w:rPr>
        <w:t>。</w:t>
      </w:r>
    </w:p>
    <w:p w14:paraId="29F8CC50">
      <w:pPr>
        <w:keepNext w:val="0"/>
        <w:keepLines w:val="0"/>
        <w:pageBreakBefore w:val="0"/>
        <w:widowControl w:val="0"/>
        <w:spacing w:line="360" w:lineRule="auto"/>
        <w:ind w:firstLine="482"/>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w:t>
      </w:r>
      <w:r>
        <w:rPr>
          <w:rFonts w:hint="eastAsia" w:ascii="宋体" w:hAnsi="宋体" w:eastAsia="宋体" w:cs="宋体"/>
          <w:color w:val="auto"/>
          <w:sz w:val="24"/>
          <w:highlight w:val="none"/>
          <w:lang w:val="en-US" w:eastAsia="zh-CN" w:bidi="ar"/>
        </w:rPr>
        <w:t>2</w:t>
      </w:r>
      <w:r>
        <w:rPr>
          <w:rFonts w:hint="eastAsia" w:ascii="宋体" w:hAnsi="宋体" w:eastAsia="宋体" w:cs="宋体"/>
          <w:color w:val="auto"/>
          <w:sz w:val="24"/>
          <w:highlight w:val="none"/>
          <w:lang w:bidi="ar"/>
        </w:rPr>
        <w:t>）</w:t>
      </w:r>
      <w:r>
        <w:rPr>
          <w:rFonts w:hint="eastAsia" w:ascii="宋体" w:hAnsi="宋体" w:eastAsia="宋体" w:cs="宋体"/>
          <w:color w:val="auto"/>
          <w:sz w:val="24"/>
          <w:szCs w:val="24"/>
          <w:highlight w:val="none"/>
        </w:rPr>
        <w:t>法律、法规规定的其他条件</w:t>
      </w:r>
      <w:r>
        <w:rPr>
          <w:rFonts w:hint="eastAsia" w:ascii="宋体" w:hAnsi="宋体" w:eastAsia="宋体" w:cs="宋体"/>
          <w:color w:val="auto"/>
          <w:sz w:val="24"/>
          <w:szCs w:val="24"/>
          <w:highlight w:val="none"/>
          <w:lang w:eastAsia="zh-CN"/>
        </w:rPr>
        <w:t>。</w:t>
      </w:r>
    </w:p>
    <w:p w14:paraId="468D41F3">
      <w:pPr>
        <w:keepNext w:val="0"/>
        <w:keepLines w:val="0"/>
        <w:pageBreakBefore w:val="0"/>
        <w:widowControl w:val="0"/>
        <w:spacing w:line="360" w:lineRule="auto"/>
        <w:ind w:right="0" w:firstLine="420"/>
        <w:jc w:val="both"/>
        <w:outlineLvl w:val="9"/>
        <w:rPr>
          <w:rFonts w:hint="eastAsia" w:ascii="宋体" w:hAnsi="宋体" w:eastAsia="宋体" w:cs="宋体"/>
          <w:b/>
          <w:bCs w:val="0"/>
          <w:color w:val="auto"/>
          <w:sz w:val="24"/>
          <w:szCs w:val="24"/>
          <w:highlight w:val="none"/>
        </w:rPr>
      </w:pPr>
      <w:r>
        <w:rPr>
          <w:rFonts w:hint="eastAsia" w:ascii="宋体" w:hAnsi="宋体" w:eastAsia="宋体" w:cs="宋体"/>
          <w:color w:val="auto"/>
          <w:szCs w:val="24"/>
          <w:highlight w:val="none"/>
        </w:rPr>
        <w:t xml:space="preserve"> </w:t>
      </w:r>
      <w:r>
        <w:rPr>
          <w:rFonts w:hint="eastAsia" w:ascii="宋体" w:hAnsi="宋体" w:eastAsia="宋体" w:cs="宋体"/>
          <w:b/>
          <w:bCs/>
          <w:color w:val="auto"/>
          <w:szCs w:val="24"/>
          <w:highlight w:val="none"/>
          <w:lang w:bidi="ar"/>
        </w:rPr>
        <w:t>三、</w:t>
      </w:r>
      <w:r>
        <w:rPr>
          <w:rFonts w:hint="eastAsia" w:ascii="宋体" w:hAnsi="宋体" w:eastAsia="宋体" w:cs="宋体"/>
          <w:b/>
          <w:bCs w:val="0"/>
          <w:color w:val="auto"/>
          <w:sz w:val="24"/>
          <w:szCs w:val="24"/>
          <w:highlight w:val="none"/>
        </w:rPr>
        <w:t>获取</w:t>
      </w:r>
      <w:r>
        <w:rPr>
          <w:rFonts w:hint="eastAsia" w:ascii="宋体" w:hAnsi="宋体" w:eastAsia="宋体" w:cs="宋体"/>
          <w:b/>
          <w:bCs w:val="0"/>
          <w:color w:val="auto"/>
          <w:sz w:val="24"/>
          <w:szCs w:val="24"/>
          <w:highlight w:val="none"/>
          <w:lang w:eastAsia="zh-CN"/>
        </w:rPr>
        <w:t>磋商</w:t>
      </w:r>
      <w:r>
        <w:rPr>
          <w:rFonts w:hint="eastAsia" w:ascii="宋体" w:hAnsi="宋体" w:eastAsia="宋体" w:cs="宋体"/>
          <w:b/>
          <w:bCs w:val="0"/>
          <w:color w:val="auto"/>
          <w:sz w:val="24"/>
          <w:szCs w:val="24"/>
          <w:highlight w:val="none"/>
        </w:rPr>
        <w:t>文件</w:t>
      </w:r>
    </w:p>
    <w:p w14:paraId="59A86A35">
      <w:pPr>
        <w:keepNext w:val="0"/>
        <w:keepLines w:val="0"/>
        <w:pageBreakBefore w:val="0"/>
        <w:widowControl w:val="0"/>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b w:val="0"/>
          <w:bCs w:val="0"/>
          <w:color w:val="auto"/>
          <w:sz w:val="24"/>
          <w:szCs w:val="24"/>
          <w:highlight w:val="none"/>
          <w:u w:val="none"/>
          <w:lang w:val="en-US" w:eastAsia="zh-CN"/>
        </w:rPr>
        <w:t>自本磋商公告发布之日起5个工作日</w:t>
      </w:r>
      <w:r>
        <w:rPr>
          <w:rFonts w:hint="eastAsia" w:ascii="宋体" w:hAnsi="宋体" w:eastAsia="宋体" w:cs="宋体"/>
          <w:color w:val="auto"/>
          <w:sz w:val="24"/>
          <w:szCs w:val="24"/>
          <w:highlight w:val="none"/>
        </w:rPr>
        <w:t>；</w:t>
      </w:r>
    </w:p>
    <w:p w14:paraId="121CAFEF">
      <w:pPr>
        <w:keepNext w:val="0"/>
        <w:keepLines w:val="0"/>
        <w:pageBreakBefore w:val="0"/>
        <w:widowControl w:val="0"/>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bidi="ar-SA"/>
        </w:rPr>
        <w:t>2、</w:t>
      </w:r>
      <w:r>
        <w:rPr>
          <w:rFonts w:hint="eastAsia" w:ascii="宋体" w:hAnsi="宋体" w:eastAsia="宋体" w:cs="宋体"/>
          <w:color w:val="auto"/>
          <w:sz w:val="24"/>
          <w:highlight w:val="none"/>
        </w:rPr>
        <w:t>方式：</w:t>
      </w:r>
      <w:r>
        <w:rPr>
          <w:rFonts w:hint="eastAsia" w:ascii="宋体" w:hAnsi="宋体" w:eastAsia="宋体" w:cs="宋体"/>
          <w:color w:val="auto"/>
          <w:sz w:val="24"/>
          <w:szCs w:val="24"/>
          <w:highlight w:val="none"/>
        </w:rPr>
        <w:t>在“江苏政府采购网”自行免费下载磋商文件</w:t>
      </w:r>
      <w:r>
        <w:rPr>
          <w:rFonts w:hint="eastAsia" w:ascii="宋体" w:hAnsi="宋体" w:eastAsia="宋体" w:cs="宋体"/>
          <w:color w:val="auto"/>
          <w:sz w:val="24"/>
          <w:highlight w:val="none"/>
          <w:lang w:bidi="ar"/>
        </w:rPr>
        <w:t>。</w:t>
      </w:r>
    </w:p>
    <w:p w14:paraId="1BB118C6">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四、</w:t>
      </w:r>
      <w:r>
        <w:rPr>
          <w:rFonts w:hint="eastAsia" w:ascii="宋体" w:hAnsi="宋体" w:eastAsia="宋体" w:cs="宋体"/>
          <w:b/>
          <w:bCs w:val="0"/>
          <w:color w:val="auto"/>
          <w:sz w:val="24"/>
          <w:szCs w:val="24"/>
          <w:highlight w:val="none"/>
          <w:lang w:val="en-US" w:eastAsia="zh-CN"/>
        </w:rPr>
        <w:t>提交响应文件截止时间</w:t>
      </w:r>
      <w:r>
        <w:rPr>
          <w:rFonts w:hint="eastAsia" w:ascii="宋体" w:hAnsi="宋体" w:eastAsia="宋体" w:cs="宋体"/>
          <w:b/>
          <w:bCs/>
          <w:color w:val="auto"/>
          <w:sz w:val="24"/>
          <w:highlight w:val="none"/>
          <w:lang w:bidi="ar"/>
        </w:rPr>
        <w:t xml:space="preserve"> </w:t>
      </w:r>
    </w:p>
    <w:p w14:paraId="0BBE17F4">
      <w:pPr>
        <w:keepNext w:val="0"/>
        <w:keepLines w:val="0"/>
        <w:pageBreakBefore w:val="0"/>
        <w:widowControl/>
        <w:spacing w:line="360" w:lineRule="auto"/>
        <w:ind w:firstLine="480"/>
        <w:jc w:val="left"/>
        <w:rPr>
          <w:rFonts w:hint="eastAsia" w:ascii="宋体" w:hAnsi="宋体" w:eastAsia="宋体" w:cs="宋体"/>
          <w:color w:val="auto"/>
          <w:sz w:val="24"/>
          <w:highlight w:val="none"/>
          <w:u w:val="none"/>
          <w:lang w:bidi="ar"/>
        </w:rPr>
      </w:pPr>
      <w:r>
        <w:rPr>
          <w:rFonts w:hint="eastAsia" w:ascii="宋体" w:hAnsi="宋体" w:eastAsia="宋体" w:cs="宋体"/>
          <w:color w:val="auto"/>
          <w:sz w:val="24"/>
          <w:highlight w:val="none"/>
          <w:u w:val="none"/>
          <w:lang w:bidi="ar"/>
        </w:rPr>
        <w:t>1</w:t>
      </w:r>
      <w:r>
        <w:rPr>
          <w:rFonts w:hint="eastAsia" w:ascii="宋体" w:hAnsi="宋体" w:eastAsia="宋体" w:cs="宋体"/>
          <w:color w:val="auto"/>
          <w:sz w:val="24"/>
          <w:highlight w:val="none"/>
          <w:u w:val="none"/>
          <w:lang w:eastAsia="zh-CN" w:bidi="ar"/>
        </w:rPr>
        <w:t>、时间：</w:t>
      </w:r>
      <w:r>
        <w:rPr>
          <w:rFonts w:hint="eastAsia" w:ascii="宋体" w:hAnsi="宋体" w:eastAsia="宋体" w:cs="宋体"/>
          <w:color w:val="auto"/>
          <w:sz w:val="24"/>
          <w:highlight w:val="none"/>
          <w:u w:val="none"/>
          <w:lang w:bidi="ar"/>
        </w:rPr>
        <w:t>2026年</w:t>
      </w:r>
      <w:r>
        <w:rPr>
          <w:rFonts w:hint="eastAsia" w:ascii="宋体" w:hAnsi="宋体" w:eastAsia="宋体" w:cs="宋体"/>
          <w:color w:val="auto"/>
          <w:sz w:val="24"/>
          <w:highlight w:val="none"/>
          <w:u w:val="none"/>
          <w:lang w:val="en-US" w:eastAsia="zh-CN" w:bidi="ar"/>
        </w:rPr>
        <w:t>9月14</w:t>
      </w:r>
      <w:r>
        <w:rPr>
          <w:rFonts w:hint="eastAsia" w:ascii="宋体" w:hAnsi="宋体" w:eastAsia="宋体" w:cs="宋体"/>
          <w:color w:val="auto"/>
          <w:sz w:val="24"/>
          <w:highlight w:val="none"/>
          <w:u w:val="none"/>
          <w:lang w:bidi="ar"/>
        </w:rPr>
        <w:t>日</w:t>
      </w:r>
      <w:r>
        <w:rPr>
          <w:rFonts w:hint="eastAsia" w:ascii="宋体" w:hAnsi="宋体" w:eastAsia="宋体" w:cs="宋体"/>
          <w:color w:val="auto"/>
          <w:sz w:val="24"/>
          <w:highlight w:val="none"/>
          <w:u w:val="none"/>
          <w:lang w:val="en-US" w:eastAsia="zh-CN" w:bidi="ar"/>
        </w:rPr>
        <w:t>9</w:t>
      </w:r>
      <w:r>
        <w:rPr>
          <w:rFonts w:hint="eastAsia" w:ascii="宋体" w:hAnsi="宋体" w:eastAsia="宋体" w:cs="宋体"/>
          <w:color w:val="auto"/>
          <w:sz w:val="24"/>
          <w:highlight w:val="none"/>
          <w:u w:val="none"/>
          <w:lang w:bidi="ar"/>
        </w:rPr>
        <w:t>点00分（北京时间）</w:t>
      </w:r>
    </w:p>
    <w:p w14:paraId="33A0ECF9">
      <w:pPr>
        <w:keepNext w:val="0"/>
        <w:keepLines w:val="0"/>
        <w:pageBreakBefore w:val="0"/>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地点：“苏采云”系统（网址：http://jszfcg.jsczt.cn/）“开标大厅”</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 xml:space="preserve"> </w:t>
      </w:r>
    </w:p>
    <w:p w14:paraId="71484A78">
      <w:pPr>
        <w:keepNext w:val="0"/>
        <w:keepLines w:val="0"/>
        <w:pageBreakBefore w:val="0"/>
        <w:widowControl/>
        <w:spacing w:line="360" w:lineRule="auto"/>
        <w:ind w:firstLine="482"/>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五、开标时间及地点：</w:t>
      </w:r>
    </w:p>
    <w:p w14:paraId="3AAB7736">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开标时间：</w:t>
      </w:r>
      <w:r>
        <w:rPr>
          <w:rFonts w:hint="eastAsia" w:ascii="宋体" w:hAnsi="宋体" w:eastAsia="宋体" w:cs="宋体"/>
          <w:b/>
          <w:bCs/>
          <w:color w:val="auto"/>
          <w:sz w:val="24"/>
          <w:highlight w:val="none"/>
          <w:u w:val="single"/>
          <w:lang w:bidi="ar"/>
        </w:rPr>
        <w:t>202</w:t>
      </w:r>
      <w:r>
        <w:rPr>
          <w:rFonts w:hint="eastAsia" w:ascii="宋体" w:hAnsi="宋体" w:eastAsia="宋体" w:cs="宋体"/>
          <w:b/>
          <w:bCs/>
          <w:color w:val="auto"/>
          <w:sz w:val="24"/>
          <w:highlight w:val="none"/>
          <w:u w:val="single"/>
          <w:lang w:val="en-US" w:eastAsia="zh-CN" w:bidi="ar"/>
        </w:rPr>
        <w:t>6</w:t>
      </w:r>
      <w:r>
        <w:rPr>
          <w:rFonts w:hint="eastAsia" w:ascii="宋体" w:hAnsi="宋体" w:eastAsia="宋体" w:cs="宋体"/>
          <w:b/>
          <w:bCs/>
          <w:color w:val="auto"/>
          <w:sz w:val="24"/>
          <w:highlight w:val="none"/>
          <w:u w:val="single"/>
          <w:lang w:bidi="ar"/>
        </w:rPr>
        <w:t>年</w:t>
      </w:r>
      <w:r>
        <w:rPr>
          <w:rFonts w:hint="eastAsia" w:ascii="宋体" w:hAnsi="宋体" w:eastAsia="宋体" w:cs="宋体"/>
          <w:b/>
          <w:bCs/>
          <w:color w:val="auto"/>
          <w:sz w:val="24"/>
          <w:highlight w:val="none"/>
          <w:u w:val="single"/>
          <w:lang w:val="en-US" w:eastAsia="zh-CN" w:bidi="ar"/>
        </w:rPr>
        <w:t>9月14</w:t>
      </w:r>
      <w:r>
        <w:rPr>
          <w:rFonts w:hint="eastAsia" w:ascii="宋体" w:hAnsi="宋体" w:eastAsia="宋体" w:cs="宋体"/>
          <w:b/>
          <w:bCs/>
          <w:color w:val="auto"/>
          <w:sz w:val="24"/>
          <w:highlight w:val="none"/>
          <w:u w:val="single"/>
          <w:lang w:bidi="ar"/>
        </w:rPr>
        <w:t>日</w:t>
      </w:r>
      <w:r>
        <w:rPr>
          <w:rFonts w:hint="eastAsia" w:ascii="宋体" w:hAnsi="宋体" w:eastAsia="宋体" w:cs="宋体"/>
          <w:b/>
          <w:bCs/>
          <w:color w:val="auto"/>
          <w:sz w:val="24"/>
          <w:highlight w:val="none"/>
          <w:u w:val="single"/>
          <w:lang w:val="en-US" w:eastAsia="zh-CN" w:bidi="ar"/>
        </w:rPr>
        <w:t>9</w:t>
      </w:r>
      <w:r>
        <w:rPr>
          <w:rFonts w:hint="eastAsia" w:ascii="宋体" w:hAnsi="宋体" w:eastAsia="宋体" w:cs="宋体"/>
          <w:b/>
          <w:bCs/>
          <w:color w:val="auto"/>
          <w:sz w:val="24"/>
          <w:highlight w:val="none"/>
          <w:u w:val="single"/>
          <w:lang w:bidi="ar"/>
        </w:rPr>
        <w:t>点00分00 秒</w:t>
      </w:r>
      <w:r>
        <w:rPr>
          <w:rFonts w:hint="eastAsia" w:ascii="宋体" w:hAnsi="宋体" w:eastAsia="宋体" w:cs="宋体"/>
          <w:color w:val="auto"/>
          <w:sz w:val="24"/>
          <w:highlight w:val="none"/>
          <w:lang w:bidi="ar"/>
        </w:rPr>
        <w:t>（北京时间）</w:t>
      </w:r>
    </w:p>
    <w:p w14:paraId="428EF158">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地点：“苏采云”系统（</w:t>
      </w:r>
      <w:r>
        <w:rPr>
          <w:rFonts w:hint="eastAsia" w:ascii="宋体" w:hAnsi="宋体" w:eastAsia="宋体" w:cs="宋体"/>
          <w:b/>
          <w:bCs/>
          <w:color w:val="auto"/>
          <w:sz w:val="24"/>
          <w:highlight w:val="none"/>
          <w:lang w:bidi="ar"/>
        </w:rPr>
        <w:t>网址：http://jszfcg.jsczt.cn/</w:t>
      </w:r>
      <w:r>
        <w:rPr>
          <w:rFonts w:hint="eastAsia" w:ascii="宋体" w:hAnsi="宋体" w:eastAsia="宋体" w:cs="宋体"/>
          <w:color w:val="auto"/>
          <w:sz w:val="24"/>
          <w:highlight w:val="none"/>
          <w:lang w:bidi="ar"/>
        </w:rPr>
        <w:t>）“开标大厅”</w:t>
      </w:r>
    </w:p>
    <w:p w14:paraId="27CFF320">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响应文件的解密：开标当天各供应商及时登录不见面开标大厅，响应文件递交截止时间后，采购人将在系统内公布供应商名单，然后通过开标会议区发出响应文件解密的指令，供应商按规定时间自行实施远程解密，</w:t>
      </w:r>
      <w:r>
        <w:rPr>
          <w:rFonts w:hint="eastAsia" w:ascii="宋体" w:hAnsi="宋体" w:eastAsia="宋体" w:cs="宋体"/>
          <w:b/>
          <w:bCs/>
          <w:color w:val="auto"/>
          <w:sz w:val="24"/>
          <w:highlight w:val="none"/>
          <w:lang w:bidi="ar"/>
        </w:rPr>
        <w:t>供应商解密限定在开标后30分钟之内完成。</w:t>
      </w:r>
      <w:r>
        <w:rPr>
          <w:rFonts w:hint="eastAsia" w:ascii="宋体" w:hAnsi="宋体" w:eastAsia="宋体" w:cs="宋体"/>
          <w:color w:val="auto"/>
          <w:sz w:val="24"/>
          <w:highlight w:val="none"/>
          <w:lang w:bidi="ar"/>
        </w:rPr>
        <w:t>因投标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6D26AC61">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六、公告期限 </w:t>
      </w:r>
    </w:p>
    <w:p w14:paraId="2B6574A6">
      <w:pPr>
        <w:keepNext w:val="0"/>
        <w:keepLines w:val="0"/>
        <w:pageBreakBefore w:val="0"/>
        <w:widowControl/>
        <w:spacing w:line="360" w:lineRule="auto"/>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自本公告发布之日起</w:t>
      </w: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bidi="ar"/>
        </w:rPr>
        <w:t>个工作日。</w:t>
      </w:r>
    </w:p>
    <w:p w14:paraId="5945D435">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七、其他补充事宜 </w:t>
      </w:r>
    </w:p>
    <w:p w14:paraId="0F115016">
      <w:pPr>
        <w:keepNext w:val="0"/>
        <w:keepLines w:val="0"/>
        <w:pageBreakBefore w:val="0"/>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磋商保证金：本项目不收磋商保证金，</w:t>
      </w:r>
      <w:r>
        <w:rPr>
          <w:rFonts w:hint="eastAsia" w:ascii="宋体" w:hAnsi="宋体" w:eastAsia="宋体" w:cs="宋体"/>
          <w:color w:val="auto"/>
          <w:sz w:val="24"/>
          <w:highlight w:val="none"/>
          <w:lang w:eastAsia="zh-CN" w:bidi="ar"/>
        </w:rPr>
        <w:t>磋商文件</w:t>
      </w:r>
      <w:r>
        <w:rPr>
          <w:rFonts w:hint="eastAsia" w:ascii="宋体" w:hAnsi="宋体" w:eastAsia="宋体" w:cs="宋体"/>
          <w:color w:val="auto"/>
          <w:sz w:val="24"/>
          <w:highlight w:val="none"/>
          <w:lang w:bidi="ar"/>
        </w:rPr>
        <w:t>中涉及磋商保证金的事项，均按免收磋商保证金执行。</w:t>
      </w:r>
    </w:p>
    <w:p w14:paraId="392569F2">
      <w:pPr>
        <w:keepNext w:val="0"/>
        <w:keepLines w:val="0"/>
        <w:pageBreakBefore w:val="0"/>
        <w:widowControl/>
        <w:spacing w:line="360" w:lineRule="auto"/>
        <w:ind w:firstLine="480"/>
        <w:jc w:val="lef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w:t>
      </w:r>
      <w:r>
        <w:rPr>
          <w:rFonts w:hint="eastAsia" w:ascii="宋体" w:hAnsi="宋体" w:eastAsia="宋体" w:cs="宋体"/>
          <w:color w:val="auto"/>
          <w:sz w:val="24"/>
          <w:highlight w:val="none"/>
          <w:lang w:eastAsia="zh-CN" w:bidi="ar"/>
        </w:rPr>
        <w:t>、本项目采用</w:t>
      </w:r>
      <w:r>
        <w:rPr>
          <w:rFonts w:hint="eastAsia" w:ascii="宋体" w:hAnsi="宋体" w:eastAsia="宋体" w:cs="宋体"/>
          <w:color w:val="auto"/>
          <w:sz w:val="24"/>
          <w:highlight w:val="none"/>
          <w:lang w:bidi="ar"/>
        </w:rPr>
        <w:t>不见面远程开标模式，供应商在各自地点通过不见面交易系统参加开标会。</w:t>
      </w:r>
    </w:p>
    <w:p w14:paraId="6A7224F3">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3</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请各供应商充分考虑项目周期，谨慎参与交易，中标后不得以任何理由放弃中标资格或不按规定履约。</w:t>
      </w:r>
    </w:p>
    <w:p w14:paraId="53FA7988">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4</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bidi="ar"/>
        </w:rPr>
        <w:t>本磋商文件中标注★的款项为实质性响应要求和条件，如不满足将按无效响应文件处理。</w:t>
      </w:r>
    </w:p>
    <w:p w14:paraId="353C5E69">
      <w:pPr>
        <w:keepNext w:val="0"/>
        <w:keepLines w:val="0"/>
        <w:pageBreakBefore w:val="0"/>
        <w:spacing w:line="360" w:lineRule="auto"/>
        <w:ind w:firstLine="484"/>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bidi="ar"/>
        </w:rPr>
        <w:t>5</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rPr>
        <w:t>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r>
        <w:rPr>
          <w:rFonts w:hint="eastAsia" w:ascii="宋体" w:hAnsi="宋体" w:eastAsia="宋体" w:cs="宋体"/>
          <w:color w:val="auto"/>
          <w:sz w:val="24"/>
          <w:highlight w:val="none"/>
          <w:lang w:eastAsia="zh-CN"/>
        </w:rPr>
        <w:t>。</w:t>
      </w:r>
    </w:p>
    <w:p w14:paraId="49E39254">
      <w:pPr>
        <w:keepNext w:val="0"/>
        <w:keepLines w:val="0"/>
        <w:pageBreakBefore w:val="0"/>
        <w:spacing w:line="360" w:lineRule="auto"/>
        <w:ind w:firstLine="484"/>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bidi="ar"/>
        </w:rPr>
        <w:t>6、供应商自行</w:t>
      </w:r>
      <w:r>
        <w:rPr>
          <w:rFonts w:hint="eastAsia" w:ascii="宋体" w:hAnsi="宋体" w:eastAsia="宋体" w:cs="宋体"/>
          <w:color w:val="auto"/>
          <w:sz w:val="24"/>
          <w:highlight w:val="none"/>
          <w:lang w:val="en-US" w:eastAsia="en-US" w:bidi="ar"/>
        </w:rPr>
        <w:t>踏勘现场。投标人踏勘现场发生的费用自理。除</w:t>
      </w:r>
      <w:r>
        <w:rPr>
          <w:rFonts w:hint="eastAsia" w:ascii="宋体" w:hAnsi="宋体" w:eastAsia="宋体" w:cs="宋体"/>
          <w:color w:val="auto"/>
          <w:sz w:val="24"/>
          <w:highlight w:val="none"/>
          <w:lang w:val="en-US" w:eastAsia="zh-CN" w:bidi="ar"/>
        </w:rPr>
        <w:t>采购</w:t>
      </w:r>
      <w:r>
        <w:rPr>
          <w:rFonts w:hint="eastAsia" w:ascii="宋体" w:hAnsi="宋体" w:eastAsia="宋体" w:cs="宋体"/>
          <w:color w:val="auto"/>
          <w:sz w:val="24"/>
          <w:highlight w:val="none"/>
          <w:lang w:val="en-US" w:eastAsia="en-US" w:bidi="ar"/>
        </w:rPr>
        <w:t>人的原因外，</w:t>
      </w:r>
      <w:r>
        <w:rPr>
          <w:rFonts w:hint="eastAsia" w:ascii="宋体" w:hAnsi="宋体" w:eastAsia="宋体" w:cs="宋体"/>
          <w:color w:val="auto"/>
          <w:sz w:val="24"/>
          <w:highlight w:val="none"/>
          <w:lang w:val="en-US" w:eastAsia="zh-CN" w:bidi="ar"/>
        </w:rPr>
        <w:t>供应商</w:t>
      </w:r>
      <w:r>
        <w:rPr>
          <w:rFonts w:hint="eastAsia" w:ascii="宋体" w:hAnsi="宋体" w:eastAsia="宋体" w:cs="宋体"/>
          <w:color w:val="auto"/>
          <w:sz w:val="24"/>
          <w:highlight w:val="none"/>
          <w:lang w:val="en-US" w:eastAsia="en-US" w:bidi="ar"/>
        </w:rPr>
        <w:t>自行负责在踏勘现场中发生的人员伤亡和财产损失。</w:t>
      </w:r>
      <w:r>
        <w:rPr>
          <w:rFonts w:hint="eastAsia" w:ascii="宋体" w:hAnsi="宋体" w:eastAsia="宋体" w:cs="宋体"/>
          <w:color w:val="auto"/>
          <w:sz w:val="24"/>
          <w:highlight w:val="none"/>
          <w:lang w:val="en-US" w:eastAsia="zh-CN" w:bidi="ar"/>
        </w:rPr>
        <w:t>（踏勘联系人：候老师；联系电话：13611555036。）</w:t>
      </w:r>
    </w:p>
    <w:p w14:paraId="432BB6B3">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八、本次磋商联系方式 </w:t>
      </w:r>
    </w:p>
    <w:p w14:paraId="13C5C9E9">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1.采购人信息</w:t>
      </w:r>
    </w:p>
    <w:p w14:paraId="2845D23C">
      <w:pPr>
        <w:keepNext w:val="0"/>
        <w:keepLines w:val="0"/>
        <w:pageBreakBefore w:val="0"/>
        <w:spacing w:line="360" w:lineRule="auto"/>
        <w:ind w:firstLine="484"/>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名称：</w:t>
      </w:r>
      <w:r>
        <w:rPr>
          <w:rFonts w:hint="eastAsia" w:ascii="宋体" w:hAnsi="宋体" w:eastAsia="宋体" w:cs="宋体"/>
          <w:color w:val="auto"/>
          <w:sz w:val="24"/>
          <w:highlight w:val="none"/>
          <w:lang w:eastAsia="zh-CN" w:bidi="ar"/>
        </w:rPr>
        <w:t>江苏省经贸技师学院</w:t>
      </w:r>
    </w:p>
    <w:p w14:paraId="67E1BC10">
      <w:pPr>
        <w:keepNext w:val="0"/>
        <w:keepLines w:val="0"/>
        <w:pageBreakBefore w:val="0"/>
        <w:spacing w:line="360" w:lineRule="auto"/>
        <w:ind w:firstLine="484"/>
        <w:rPr>
          <w:rFonts w:hint="eastAsia"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val="en-US" w:eastAsia="zh-CN" w:bidi="ar"/>
        </w:rPr>
        <w:t>地址</w:t>
      </w:r>
      <w:r>
        <w:rPr>
          <w:rFonts w:hint="eastAsia" w:ascii="宋体" w:hAnsi="宋体" w:eastAsia="宋体" w:cs="宋体"/>
          <w:color w:val="auto"/>
          <w:sz w:val="24"/>
          <w:highlight w:val="none"/>
          <w:lang w:bidi="ar"/>
        </w:rPr>
        <w:t>：‌江苏省连云港市海州区霞辉路1号‌</w:t>
      </w:r>
    </w:p>
    <w:p w14:paraId="6B490122">
      <w:pPr>
        <w:keepNext w:val="0"/>
        <w:keepLines w:val="0"/>
        <w:pageBreakBefore w:val="0"/>
        <w:spacing w:line="360" w:lineRule="auto"/>
        <w:ind w:firstLine="484"/>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联 系 人</w:t>
      </w:r>
      <w:r>
        <w:rPr>
          <w:rFonts w:hint="eastAsia" w:ascii="宋体" w:hAnsi="宋体" w:eastAsia="宋体" w:cs="宋体"/>
          <w:color w:val="auto"/>
          <w:sz w:val="24"/>
          <w:highlight w:val="none"/>
          <w:lang w:eastAsia="zh-CN" w:bidi="ar"/>
        </w:rPr>
        <w:t>：</w:t>
      </w:r>
      <w:r>
        <w:rPr>
          <w:rFonts w:hint="eastAsia" w:ascii="宋体" w:hAnsi="宋体" w:eastAsia="宋体" w:cs="宋体"/>
          <w:color w:val="auto"/>
          <w:sz w:val="24"/>
          <w:highlight w:val="none"/>
          <w:lang w:val="en-US" w:eastAsia="zh-CN" w:bidi="ar"/>
        </w:rPr>
        <w:t>唐老师</w:t>
      </w:r>
    </w:p>
    <w:p w14:paraId="7C5FC87B">
      <w:pPr>
        <w:keepNext w:val="0"/>
        <w:keepLines w:val="0"/>
        <w:pageBreakBefore w:val="0"/>
        <w:spacing w:line="360" w:lineRule="auto"/>
        <w:ind w:firstLine="484"/>
        <w:rPr>
          <w:rFonts w:hint="default" w:ascii="宋体" w:hAnsi="宋体" w:eastAsia="宋体" w:cs="宋体"/>
          <w:color w:val="auto"/>
          <w:sz w:val="24"/>
          <w:highlight w:val="none"/>
          <w:lang w:val="en-US" w:eastAsia="zh-CN" w:bidi="ar"/>
        </w:rPr>
      </w:pPr>
      <w:r>
        <w:rPr>
          <w:rFonts w:hint="eastAsia" w:ascii="宋体" w:hAnsi="宋体" w:eastAsia="宋体" w:cs="宋体"/>
          <w:color w:val="auto"/>
          <w:sz w:val="24"/>
          <w:highlight w:val="none"/>
          <w:lang w:bidi="ar"/>
        </w:rPr>
        <w:t>联系方式：</w:t>
      </w:r>
      <w:r>
        <w:rPr>
          <w:rFonts w:hint="eastAsia" w:ascii="宋体" w:hAnsi="宋体" w:eastAsia="宋体" w:cs="宋体"/>
          <w:color w:val="auto"/>
          <w:sz w:val="24"/>
          <w:highlight w:val="none"/>
          <w:lang w:val="en-US" w:eastAsia="zh-CN" w:bidi="ar"/>
        </w:rPr>
        <w:t>0518-85987199</w:t>
      </w:r>
    </w:p>
    <w:p w14:paraId="63128AC8">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2.采购代理机构信息</w:t>
      </w:r>
    </w:p>
    <w:p w14:paraId="0A48E492">
      <w:pPr>
        <w:keepNext w:val="0"/>
        <w:keepLines w:val="0"/>
        <w:pageBreakBefore w:val="0"/>
        <w:spacing w:line="360" w:lineRule="auto"/>
        <w:ind w:firstLine="484"/>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名称：</w:t>
      </w:r>
      <w:r>
        <w:rPr>
          <w:rFonts w:hint="eastAsia" w:ascii="宋体" w:hAnsi="宋体" w:eastAsia="宋体" w:cs="宋体"/>
          <w:color w:val="auto"/>
          <w:sz w:val="24"/>
          <w:highlight w:val="none"/>
          <w:lang w:eastAsia="zh-CN" w:bidi="ar"/>
        </w:rPr>
        <w:t>江苏万达工程造价事务所有限公司</w:t>
      </w:r>
      <w:bookmarkStart w:id="68" w:name="_GoBack"/>
      <w:bookmarkEnd w:id="68"/>
    </w:p>
    <w:p w14:paraId="2F62A050">
      <w:pPr>
        <w:keepNext w:val="0"/>
        <w:keepLines w:val="0"/>
        <w:pageBreakBefore w:val="0"/>
        <w:spacing w:line="360" w:lineRule="auto"/>
        <w:ind w:firstLine="484"/>
        <w:rPr>
          <w:rFonts w:hint="eastAsia" w:ascii="宋体" w:hAnsi="宋体" w:eastAsia="宋体" w:cs="宋体"/>
          <w:color w:val="auto"/>
          <w:sz w:val="24"/>
          <w:highlight w:val="none"/>
          <w:lang w:eastAsia="zh-CN" w:bidi="ar"/>
        </w:rPr>
      </w:pPr>
      <w:r>
        <w:rPr>
          <w:rFonts w:hint="eastAsia" w:ascii="宋体" w:hAnsi="宋体" w:eastAsia="宋体" w:cs="宋体"/>
          <w:color w:val="auto"/>
          <w:sz w:val="24"/>
          <w:highlight w:val="none"/>
          <w:lang w:bidi="ar"/>
        </w:rPr>
        <w:t>地址：</w:t>
      </w:r>
      <w:r>
        <w:rPr>
          <w:rFonts w:hint="eastAsia" w:ascii="宋体" w:hAnsi="宋体" w:eastAsia="宋体" w:cs="宋体"/>
          <w:color w:val="auto"/>
          <w:sz w:val="24"/>
          <w:highlight w:val="none"/>
          <w:lang w:eastAsia="zh-CN" w:bidi="ar"/>
        </w:rPr>
        <w:t>连云港市海州区朝阳东路36号凤凰大厦19楼</w:t>
      </w:r>
    </w:p>
    <w:p w14:paraId="6C9453F8">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联 系 人：</w:t>
      </w:r>
      <w:r>
        <w:rPr>
          <w:rFonts w:hint="eastAsia" w:ascii="宋体" w:hAnsi="宋体" w:eastAsia="宋体" w:cs="宋体"/>
          <w:color w:val="auto"/>
          <w:sz w:val="24"/>
          <w:highlight w:val="none"/>
          <w:lang w:val="en-US" w:eastAsia="zh-CN" w:bidi="ar"/>
        </w:rPr>
        <w:t>刘承杰</w:t>
      </w:r>
      <w:r>
        <w:rPr>
          <w:rFonts w:hint="eastAsia" w:ascii="宋体" w:hAnsi="宋体" w:eastAsia="宋体" w:cs="宋体"/>
          <w:color w:val="auto"/>
          <w:sz w:val="24"/>
          <w:highlight w:val="none"/>
          <w:lang w:bidi="ar"/>
        </w:rPr>
        <w:t xml:space="preserve">                                     </w:t>
      </w:r>
    </w:p>
    <w:p w14:paraId="6F95D429">
      <w:pPr>
        <w:keepNext w:val="0"/>
        <w:keepLines w:val="0"/>
        <w:pageBreakBefore w:val="0"/>
        <w:spacing w:line="360" w:lineRule="auto"/>
        <w:ind w:firstLine="484"/>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联系方式：</w:t>
      </w:r>
      <w:r>
        <w:rPr>
          <w:rFonts w:hint="eastAsia" w:ascii="宋体" w:hAnsi="宋体" w:eastAsia="宋体" w:cs="宋体"/>
          <w:color w:val="auto"/>
          <w:sz w:val="24"/>
          <w:highlight w:val="none"/>
          <w:lang w:val="en-US" w:eastAsia="zh-CN" w:bidi="ar"/>
        </w:rPr>
        <w:t>15061306882</w:t>
      </w:r>
      <w:r>
        <w:rPr>
          <w:rFonts w:hint="eastAsia" w:ascii="宋体" w:hAnsi="宋体" w:eastAsia="宋体" w:cs="宋体"/>
          <w:color w:val="auto"/>
          <w:sz w:val="24"/>
          <w:highlight w:val="none"/>
          <w:lang w:bidi="ar"/>
        </w:rPr>
        <w:t xml:space="preserve">          </w:t>
      </w:r>
    </w:p>
    <w:p w14:paraId="6ED4AF4B">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bidi="ar"/>
        </w:rPr>
        <w:t xml:space="preserve">九、电子招投标说明 </w:t>
      </w:r>
    </w:p>
    <w:p w14:paraId="7582C0B8">
      <w:pPr>
        <w:keepNext w:val="0"/>
        <w:keepLines w:val="0"/>
        <w:pageBreakBefore w:val="0"/>
        <w:widowControl/>
        <w:spacing w:line="360" w:lineRule="auto"/>
        <w:ind w:firstLine="482"/>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根据省财政厅《关于更换全省政府采购交易系统CA数字证书和电子签章的通知》（苏财购〔2023〕101号），</w:t>
      </w:r>
      <w:r>
        <w:rPr>
          <w:rFonts w:hint="eastAsia" w:ascii="宋体" w:hAnsi="宋体" w:eastAsia="宋体" w:cs="宋体"/>
          <w:b/>
          <w:bCs/>
          <w:color w:val="auto"/>
          <w:sz w:val="24"/>
          <w:highlight w:val="none"/>
        </w:rPr>
        <w:t>“苏采云”政府采购交易系统（以下简称苏采云系统）</w:t>
      </w:r>
      <w:r>
        <w:rPr>
          <w:rFonts w:hint="eastAsia" w:ascii="宋体" w:hAnsi="宋体" w:eastAsia="宋体" w:cs="宋体"/>
          <w:color w:val="auto"/>
          <w:sz w:val="24"/>
          <w:highlight w:val="none"/>
        </w:rPr>
        <w:t>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color w:val="auto"/>
          <w:sz w:val="24"/>
          <w:highlight w:val="none"/>
        </w:rPr>
        <w:t>http://www.ccgp-jiangsu.gov.cn/jiangsu/zlxz/ee/ee3a4bc5a3454aa2b0d9312230633ce9.html。</w:t>
      </w:r>
      <w:r>
        <w:rPr>
          <w:rFonts w:hint="eastAsia" w:ascii="宋体" w:hAnsi="宋体" w:eastAsia="宋体" w:cs="宋体"/>
          <w:color w:val="auto"/>
          <w:sz w:val="24"/>
          <w:highlight w:val="none"/>
        </w:rPr>
        <w:t>领取CA和办理电子签章，具体联系方式见《苏采云系统供应商操作手册》（以下简称《操作手册》）、进行注册并按《操作手册》要求制作、上传电子</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w:t>
      </w:r>
      <w:bookmarkEnd w:id="0"/>
      <w:bookmarkEnd w:id="1"/>
    </w:p>
    <w:p w14:paraId="0B2D7668">
      <w:pPr>
        <w:widowControl/>
        <w:spacing w:line="360" w:lineRule="auto"/>
        <w:ind w:firstLine="5760"/>
        <w:jc w:val="right"/>
        <w:rPr>
          <w:rFonts w:hint="eastAsia" w:ascii="宋体" w:hAnsi="宋体" w:eastAsia="宋体" w:cs="宋体"/>
          <w:color w:val="auto"/>
          <w:sz w:val="24"/>
          <w:highlight w:val="none"/>
          <w:lang w:bidi="ar"/>
        </w:rPr>
      </w:pPr>
    </w:p>
    <w:p w14:paraId="62D4D7FF">
      <w:pPr>
        <w:widowControl/>
        <w:spacing w:line="360" w:lineRule="auto"/>
        <w:ind w:firstLine="5760"/>
        <w:jc w:val="right"/>
        <w:rPr>
          <w:rFonts w:hint="eastAsia" w:ascii="宋体" w:hAnsi="宋体" w:eastAsia="宋体" w:cs="宋体"/>
          <w:color w:val="auto"/>
          <w:sz w:val="24"/>
          <w:highlight w:val="none"/>
          <w:lang w:bidi="ar"/>
        </w:rPr>
      </w:pPr>
    </w:p>
    <w:p w14:paraId="104535FB">
      <w:pPr>
        <w:widowControl/>
        <w:spacing w:line="360" w:lineRule="auto"/>
        <w:ind w:firstLine="5760"/>
        <w:jc w:val="right"/>
        <w:rPr>
          <w:rFonts w:hint="eastAsia" w:ascii="宋体" w:hAnsi="宋体" w:eastAsia="宋体" w:cs="宋体"/>
          <w:color w:val="auto"/>
          <w:sz w:val="24"/>
          <w:highlight w:val="none"/>
          <w:lang w:bidi="ar"/>
        </w:rPr>
      </w:pPr>
    </w:p>
    <w:p w14:paraId="1A122423">
      <w:pPr>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p>
    <w:p w14:paraId="70D11F54">
      <w:pPr>
        <w:widowControl/>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第二章 磋商须知</w:t>
      </w:r>
    </w:p>
    <w:p w14:paraId="70EEEE88">
      <w:pPr>
        <w:keepLines w:val="0"/>
        <w:pageBreakBefore w:val="0"/>
        <w:widowControl w:val="0"/>
        <w:spacing w:after="143" w:line="360" w:lineRule="auto"/>
        <w:jc w:val="center"/>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（参加竞争性磋商的供应商以下简称“供应商”）</w:t>
      </w:r>
    </w:p>
    <w:p w14:paraId="41404FDC">
      <w:pPr>
        <w:keepNext w:val="0"/>
        <w:keepLines w:val="0"/>
        <w:pageBreakBefore w:val="0"/>
        <w:widowControl w:val="0"/>
        <w:spacing w:before="0" w:after="0" w:line="480" w:lineRule="exact"/>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一、总则</w:t>
      </w:r>
    </w:p>
    <w:p w14:paraId="6DE38FC5">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采购方式</w:t>
      </w:r>
    </w:p>
    <w:p w14:paraId="1D8FD038">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 本次政府采购活动采取竞争性磋商(以下简称磋商)方式，本磋商文件仅适用于磋商公告中所述项目</w:t>
      </w:r>
      <w:r>
        <w:rPr>
          <w:rFonts w:hint="eastAsia" w:ascii="宋体" w:hAnsi="宋体" w:eastAsia="宋体" w:cs="宋体"/>
          <w:color w:val="auto"/>
          <w:sz w:val="24"/>
          <w:szCs w:val="24"/>
          <w:highlight w:val="none"/>
          <w:lang w:eastAsia="zh-CN"/>
        </w:rPr>
        <w:t>。</w:t>
      </w:r>
    </w:p>
    <w:p w14:paraId="5AAFF117">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2、合格的供应商</w:t>
      </w:r>
    </w:p>
    <w:p w14:paraId="39BC1D6F">
      <w:pPr>
        <w:keepNext w:val="0"/>
        <w:keepLines w:val="0"/>
        <w:pageBreakBefore w:val="0"/>
        <w:widowControl w:val="0"/>
        <w:tabs>
          <w:tab w:val="left" w:pos="900"/>
        </w:tabs>
        <w:spacing w:line="480" w:lineRule="exact"/>
        <w:ind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2.1满足磋商公告中供应商资格要求的规定</w:t>
      </w:r>
      <w:r>
        <w:rPr>
          <w:rFonts w:hint="eastAsia" w:ascii="宋体" w:hAnsi="宋体" w:eastAsia="宋体" w:cs="宋体"/>
          <w:color w:val="auto"/>
          <w:sz w:val="24"/>
          <w:szCs w:val="24"/>
          <w:highlight w:val="none"/>
          <w:lang w:eastAsia="zh-CN"/>
        </w:rPr>
        <w:t>。</w:t>
      </w:r>
    </w:p>
    <w:p w14:paraId="3F169521">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2.2满足本磋商文件实质性要求和条件的规定。</w:t>
      </w:r>
    </w:p>
    <w:p w14:paraId="09D5D9B5">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3、适用法律</w:t>
      </w:r>
    </w:p>
    <w:p w14:paraId="6CA77651">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本次磋商及由此产生的合同受中华人民共和国有关的法律法规制约和保护。</w:t>
      </w:r>
    </w:p>
    <w:p w14:paraId="4DDFAB68">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4、参加磋商费用</w:t>
      </w:r>
    </w:p>
    <w:p w14:paraId="1712F8C2">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4.1参加</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应自行承担所有与参加磋商有关的费用。无论磋商过程中的做法和结果如何，采购人或采购代理机构在任何情况下均无义务和责任承担这些费用。</w:t>
      </w:r>
    </w:p>
    <w:p w14:paraId="1AC04678">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4.2</w:t>
      </w:r>
      <w:r>
        <w:rPr>
          <w:rFonts w:hint="eastAsia" w:ascii="宋体" w:hAnsi="宋体" w:eastAsia="宋体" w:cs="宋体"/>
          <w:i w:val="0"/>
          <w:iCs w:val="0"/>
          <w:color w:val="auto"/>
          <w:sz w:val="24"/>
          <w:highlight w:val="none"/>
          <w:lang w:val="en-US" w:eastAsia="zh-CN"/>
        </w:rPr>
        <w:t>本项目的招标代理服务收费按“</w:t>
      </w:r>
      <w:r>
        <w:rPr>
          <w:rFonts w:hint="eastAsia" w:ascii="宋体" w:hAnsi="宋体" w:eastAsia="宋体" w:cs="宋体"/>
          <w:i w:val="0"/>
          <w:iCs w:val="0"/>
          <w:color w:val="auto"/>
          <w:sz w:val="24"/>
          <w:highlight w:val="none"/>
          <w:lang w:eastAsia="zh-CN"/>
        </w:rPr>
        <w:t>苏招协【2022】002</w:t>
      </w:r>
      <w:r>
        <w:rPr>
          <w:rFonts w:hint="eastAsia" w:ascii="宋体" w:hAnsi="宋体" w:eastAsia="宋体" w:cs="宋体"/>
          <w:i w:val="0"/>
          <w:iCs w:val="0"/>
          <w:color w:val="auto"/>
          <w:sz w:val="24"/>
          <w:highlight w:val="none"/>
          <w:lang w:val="zh-CN" w:eastAsia="zh-CN"/>
        </w:rPr>
        <w:t>号</w:t>
      </w:r>
      <w:r>
        <w:rPr>
          <w:rFonts w:hint="eastAsia" w:ascii="宋体" w:hAnsi="宋体" w:eastAsia="宋体" w:cs="宋体"/>
          <w:i w:val="0"/>
          <w:iCs w:val="0"/>
          <w:color w:val="auto"/>
          <w:sz w:val="24"/>
          <w:highlight w:val="none"/>
          <w:lang w:eastAsia="zh-CN"/>
        </w:rPr>
        <w:t>文</w:t>
      </w:r>
      <w:r>
        <w:rPr>
          <w:rFonts w:hint="eastAsia" w:ascii="宋体" w:hAnsi="宋体" w:eastAsia="宋体" w:cs="宋体"/>
          <w:i w:val="0"/>
          <w:iCs w:val="0"/>
          <w:color w:val="auto"/>
          <w:sz w:val="24"/>
          <w:highlight w:val="none"/>
          <w:lang w:val="en-US" w:eastAsia="zh-CN"/>
        </w:rPr>
        <w:t>”</w:t>
      </w:r>
      <w:r>
        <w:rPr>
          <w:rFonts w:hint="eastAsia" w:ascii="宋体" w:hAnsi="宋体" w:eastAsia="宋体" w:cs="宋体"/>
          <w:i w:val="0"/>
          <w:iCs w:val="0"/>
          <w:color w:val="auto"/>
          <w:sz w:val="24"/>
          <w:highlight w:val="none"/>
          <w:lang w:eastAsia="zh-CN"/>
        </w:rPr>
        <w:t>收费标准的</w:t>
      </w:r>
      <w:r>
        <w:rPr>
          <w:rFonts w:hint="eastAsia" w:ascii="宋体" w:hAnsi="宋体" w:eastAsia="宋体" w:cs="宋体"/>
          <w:i w:val="0"/>
          <w:iCs w:val="0"/>
          <w:color w:val="auto"/>
          <w:sz w:val="24"/>
          <w:highlight w:val="none"/>
          <w:lang w:val="en-US" w:eastAsia="zh-CN"/>
        </w:rPr>
        <w:t>38%</w:t>
      </w:r>
      <w:r>
        <w:rPr>
          <w:rFonts w:hint="eastAsia" w:ascii="宋体" w:hAnsi="宋体" w:eastAsia="宋体" w:cs="宋体"/>
          <w:i w:val="0"/>
          <w:iCs w:val="0"/>
          <w:color w:val="auto"/>
          <w:sz w:val="24"/>
          <w:highlight w:val="none"/>
          <w:lang w:eastAsia="zh-CN"/>
        </w:rPr>
        <w:t>收取；</w:t>
      </w:r>
      <w:r>
        <w:rPr>
          <w:rFonts w:hint="eastAsia" w:ascii="宋体" w:hAnsi="宋体" w:eastAsia="宋体" w:cs="宋体"/>
          <w:i w:val="0"/>
          <w:iCs w:val="0"/>
          <w:color w:val="auto"/>
          <w:sz w:val="24"/>
          <w:highlight w:val="none"/>
          <w:lang w:val="en-US" w:eastAsia="zh-CN"/>
        </w:rPr>
        <w:t>造价咨询服务费按照“苏建价【2022】7号文”收费标准的38%收取。以上</w:t>
      </w:r>
      <w:r>
        <w:rPr>
          <w:rFonts w:hint="eastAsia" w:ascii="宋体" w:hAnsi="宋体" w:eastAsia="宋体" w:cs="宋体"/>
          <w:i w:val="0"/>
          <w:iCs w:val="0"/>
          <w:color w:val="auto"/>
          <w:sz w:val="24"/>
          <w:highlight w:val="none"/>
          <w:lang w:eastAsia="zh-CN"/>
        </w:rPr>
        <w:t>由中标人领取中标通知书时一次性付清。投标单位在投标报价时应综合考虑以上费用，但不得单列。</w:t>
      </w:r>
    </w:p>
    <w:p w14:paraId="59802E33">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5、磋商文件的约束力</w:t>
      </w:r>
    </w:p>
    <w:p w14:paraId="2BF4CCBB">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供应商一旦参加本项目采购活动，即被认为接受了本磋商文件的规定和约束。</w:t>
      </w:r>
    </w:p>
    <w:p w14:paraId="77DAD653">
      <w:pPr>
        <w:keepNext w:val="0"/>
        <w:keepLines w:val="0"/>
        <w:pageBreakBefore w:val="0"/>
        <w:widowControl w:val="0"/>
        <w:spacing w:line="480" w:lineRule="exact"/>
        <w:ind w:left="0" w:firstLine="482"/>
        <w:jc w:val="both"/>
        <w:outlineLvl w:val="9"/>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bidi="ar-SA"/>
        </w:rPr>
        <w:t>二、磋商文件</w:t>
      </w:r>
    </w:p>
    <w:p w14:paraId="41ACF226">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磋商文件构成</w:t>
      </w:r>
    </w:p>
    <w:p w14:paraId="2E1B6915">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6.1 磋商文件由以下部分组成</w:t>
      </w:r>
      <w:r>
        <w:rPr>
          <w:rFonts w:hint="eastAsia" w:ascii="宋体" w:hAnsi="宋体" w:eastAsia="宋体" w:cs="宋体"/>
          <w:color w:val="auto"/>
          <w:sz w:val="24"/>
          <w:szCs w:val="24"/>
          <w:highlight w:val="none"/>
        </w:rPr>
        <w:t>：</w:t>
      </w:r>
    </w:p>
    <w:p w14:paraId="36E00A44">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_Toc9367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竞争性磋商采购公告</w:t>
      </w:r>
      <w:r>
        <w:rPr>
          <w:rFonts w:hint="eastAsia" w:ascii="宋体" w:hAnsi="宋体" w:eastAsia="宋体" w:cs="宋体"/>
          <w:color w:val="auto"/>
          <w:sz w:val="24"/>
          <w:szCs w:val="24"/>
          <w:highlight w:val="none"/>
        </w:rPr>
        <w:fldChar w:fldCharType="end"/>
      </w:r>
    </w:p>
    <w:p w14:paraId="5B9E2447">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_Toc21453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）磋商须知</w:t>
      </w:r>
      <w:r>
        <w:rPr>
          <w:rFonts w:hint="eastAsia" w:ascii="宋体" w:hAnsi="宋体" w:eastAsia="宋体" w:cs="宋体"/>
          <w:color w:val="auto"/>
          <w:sz w:val="24"/>
          <w:szCs w:val="24"/>
          <w:highlight w:val="none"/>
        </w:rPr>
        <w:fldChar w:fldCharType="end"/>
      </w:r>
    </w:p>
    <w:p w14:paraId="38E0361E">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_Toc14554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）合同条款及格式</w:t>
      </w:r>
      <w:r>
        <w:rPr>
          <w:rFonts w:hint="eastAsia" w:ascii="宋体" w:hAnsi="宋体" w:eastAsia="宋体" w:cs="宋体"/>
          <w:color w:val="auto"/>
          <w:sz w:val="24"/>
          <w:szCs w:val="24"/>
          <w:highlight w:val="none"/>
        </w:rPr>
        <w:fldChar w:fldCharType="end"/>
      </w:r>
    </w:p>
    <w:p w14:paraId="6A9E162B">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_Toc18837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项目需求</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4EF14639">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_Toc28603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）工程量清单</w:t>
      </w:r>
      <w:r>
        <w:rPr>
          <w:rFonts w:hint="eastAsia" w:ascii="宋体" w:hAnsi="宋体" w:eastAsia="宋体" w:cs="宋体"/>
          <w:color w:val="auto"/>
          <w:sz w:val="24"/>
          <w:szCs w:val="24"/>
          <w:highlight w:val="none"/>
          <w:lang w:eastAsia="zh-CN"/>
        </w:rPr>
        <w:t>（另附）</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38288E87">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_Toc9612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26276C38">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_Toc31702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）评审方法和评审标准</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fldChar w:fldCharType="end"/>
      </w:r>
    </w:p>
    <w:p w14:paraId="5910A39C">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6.2</w:t>
      </w:r>
      <w:r>
        <w:rPr>
          <w:rFonts w:hint="eastAsia" w:ascii="宋体" w:hAnsi="宋体" w:eastAsia="宋体" w:cs="宋体"/>
          <w:color w:val="auto"/>
          <w:sz w:val="24"/>
          <w:szCs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7AA38659">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7、磋商文件的澄清</w:t>
      </w:r>
    </w:p>
    <w:p w14:paraId="74FC9A98">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7.1 </w:t>
      </w:r>
      <w:r>
        <w:rPr>
          <w:rFonts w:hint="eastAsia" w:ascii="宋体" w:hAnsi="宋体" w:eastAsia="宋体" w:cs="宋体"/>
          <w:color w:val="auto"/>
          <w:sz w:val="24"/>
          <w:szCs w:val="24"/>
          <w:highlight w:val="none"/>
        </w:rPr>
        <w:t>任何要求对磋商文件进行澄清的供应商，应在磋商截止期5日前按磋商公告中的通讯地址，以书面形式通知采购人或采购代理机构。</w:t>
      </w:r>
    </w:p>
    <w:p w14:paraId="1CD2B8A0">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磋商文件的澄清和修改</w:t>
      </w:r>
    </w:p>
    <w:p w14:paraId="69E8878F">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 在响应文件提交截止时间前，采购人或采购代理机构可以对磋商文件进行澄清和修改, 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 更正公告内容将作为磋商文件的组成部分，并对供应商具有约束力。不足5日的，采购人或采购代理机构将顺延提交首次响应文件截止时间。</w:t>
      </w:r>
    </w:p>
    <w:p w14:paraId="025BB92F">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8.2 采购人或采购代理机构可以视采购项目的具体情况，组织供应商进行现场考察或召开磋商前答疑会，但不单独或分别组织只有一个供应商参加的现场考察和答疑会</w:t>
      </w:r>
      <w:r>
        <w:rPr>
          <w:rFonts w:hint="eastAsia" w:ascii="宋体" w:hAnsi="宋体" w:eastAsia="宋体" w:cs="宋体"/>
          <w:color w:val="auto"/>
          <w:sz w:val="24"/>
          <w:szCs w:val="24"/>
          <w:highlight w:val="none"/>
        </w:rPr>
        <w:t>。</w:t>
      </w:r>
    </w:p>
    <w:p w14:paraId="255A8472">
      <w:pPr>
        <w:keepNext w:val="0"/>
        <w:keepLines w:val="0"/>
        <w:pageBreakBefore w:val="0"/>
        <w:widowControl w:val="0"/>
        <w:spacing w:before="0" w:after="0" w:line="480" w:lineRule="exact"/>
        <w:ind w:left="0" w:firstLine="482"/>
        <w:jc w:val="both"/>
        <w:outlineLvl w:val="9"/>
        <w:rPr>
          <w:rFonts w:hint="eastAsia" w:ascii="宋体" w:hAnsi="宋体" w:eastAsia="宋体" w:cs="宋体"/>
          <w:b/>
          <w:bCs/>
          <w:color w:val="auto"/>
          <w:sz w:val="24"/>
          <w:szCs w:val="24"/>
          <w:highlight w:val="none"/>
          <w:lang w:val="en-US" w:eastAsia="zh-CN" w:bidi="ar-SA"/>
        </w:rPr>
      </w:pPr>
      <w:bookmarkStart w:id="2" w:name="_Hlt26668969"/>
      <w:bookmarkEnd w:id="2"/>
      <w:bookmarkStart w:id="3" w:name="_Hlt26954830"/>
      <w:bookmarkEnd w:id="3"/>
      <w:bookmarkStart w:id="4" w:name="_Hlt26670348"/>
      <w:bookmarkEnd w:id="4"/>
      <w:bookmarkStart w:id="5" w:name="_Hlt26954828"/>
      <w:bookmarkEnd w:id="5"/>
      <w:bookmarkStart w:id="6" w:name="_Hlt26670345"/>
      <w:bookmarkEnd w:id="6"/>
      <w:bookmarkStart w:id="7" w:name="_Hlt26670354"/>
      <w:bookmarkEnd w:id="7"/>
      <w:bookmarkStart w:id="8" w:name="_Hlt26954832"/>
      <w:bookmarkEnd w:id="8"/>
      <w:bookmarkStart w:id="9" w:name="_Toc14577359"/>
      <w:bookmarkStart w:id="10" w:name="_Toc513029221"/>
      <w:bookmarkStart w:id="11" w:name="_Toc61149559"/>
      <w:r>
        <w:rPr>
          <w:rFonts w:hint="eastAsia" w:ascii="宋体" w:hAnsi="宋体" w:eastAsia="宋体" w:cs="宋体"/>
          <w:b/>
          <w:bCs/>
          <w:color w:val="auto"/>
          <w:sz w:val="24"/>
          <w:szCs w:val="24"/>
          <w:highlight w:val="none"/>
          <w:lang w:val="en-US" w:eastAsia="zh-CN" w:bidi="ar-SA"/>
        </w:rPr>
        <w:t>三、响应文件的报价</w:t>
      </w:r>
    </w:p>
    <w:p w14:paraId="19B83E4C">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磋商响应报价</w:t>
      </w:r>
    </w:p>
    <w:p w14:paraId="09AD870F">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9.1 </w:t>
      </w:r>
      <w:r>
        <w:rPr>
          <w:rFonts w:hint="eastAsia" w:ascii="宋体" w:hAnsi="宋体" w:eastAsia="宋体" w:cs="宋体"/>
          <w:color w:val="auto"/>
          <w:sz w:val="24"/>
          <w:szCs w:val="24"/>
          <w:highlight w:val="none"/>
        </w:rPr>
        <w:t>磋商响应报价应是</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所确定的采购范围内的全部工作内容的价格体现。其应包括但不限于施工设备、劳务、管理、材料、采购、运输、装卸、现场垃圾清理费用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保管、安装、维护、利润、税金及政策性文件规定的各项应有费用</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p>
    <w:p w14:paraId="4F8DDE88">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9.2 </w:t>
      </w:r>
      <w:r>
        <w:rPr>
          <w:rFonts w:hint="eastAsia" w:ascii="宋体" w:hAnsi="宋体" w:eastAsia="宋体" w:cs="宋体"/>
          <w:color w:val="auto"/>
          <w:sz w:val="24"/>
          <w:szCs w:val="24"/>
          <w:highlight w:val="none"/>
        </w:rPr>
        <w:t>磋商响应报价方式：本工程采用下列第</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种方式。</w:t>
      </w:r>
    </w:p>
    <w:p w14:paraId="615BB479">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固定单价报价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要求及施工现场条件，充分考虑施工期间各类建材的市场风险和政策性调整确定风险系数计入总报价，今后不作调整。设计变更和采购人要求变动的内容除外。</w:t>
      </w:r>
    </w:p>
    <w:p w14:paraId="2CA34449">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可调价格报价：</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的磋商响应报价可根据合同实施期间的市场变化和政策性调整而变动。</w:t>
      </w:r>
    </w:p>
    <w:p w14:paraId="435C1740">
      <w:pPr>
        <w:keepNext w:val="0"/>
        <w:keepLines w:val="0"/>
        <w:pageBreakBefore w:val="0"/>
        <w:widowControl w:val="0"/>
        <w:tabs>
          <w:tab w:val="left" w:pos="900"/>
        </w:tabs>
        <w:spacing w:line="480" w:lineRule="exact"/>
        <w:ind w:left="0" w:firstLine="482"/>
        <w:jc w:val="both"/>
        <w:outlineLvl w:val="9"/>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本次采购采用竞争性磋商，因第二轮报价</w:t>
      </w:r>
      <w:r>
        <w:rPr>
          <w:rFonts w:hint="eastAsia" w:ascii="Times New Roman" w:hAnsi="Times New Roman" w:eastAsia="宋体" w:cs="Times New Roman"/>
          <w:b/>
          <w:bCs/>
          <w:color w:val="auto"/>
          <w:sz w:val="24"/>
          <w:szCs w:val="24"/>
          <w:highlight w:val="none"/>
          <w:lang w:eastAsia="zh-CN"/>
        </w:rPr>
        <w:t>（</w:t>
      </w:r>
      <w:r>
        <w:rPr>
          <w:rFonts w:hint="eastAsia" w:ascii="Times New Roman" w:hAnsi="Times New Roman" w:eastAsia="宋体" w:cs="Times New Roman"/>
          <w:b/>
          <w:bCs/>
          <w:color w:val="auto"/>
          <w:sz w:val="24"/>
          <w:szCs w:val="24"/>
          <w:highlight w:val="none"/>
          <w:lang w:val="en-US" w:eastAsia="zh-CN"/>
        </w:rPr>
        <w:t>最后报价</w:t>
      </w:r>
      <w:r>
        <w:rPr>
          <w:rFonts w:hint="eastAsia" w:ascii="Times New Roman" w:hAnsi="Times New Roman" w:eastAsia="宋体" w:cs="Times New Roman"/>
          <w:b/>
          <w:bCs/>
          <w:color w:val="auto"/>
          <w:sz w:val="24"/>
          <w:szCs w:val="24"/>
          <w:highlight w:val="none"/>
          <w:lang w:eastAsia="zh-CN"/>
        </w:rPr>
        <w:t>）</w:t>
      </w:r>
      <w:r>
        <w:rPr>
          <w:rFonts w:hint="eastAsia" w:ascii="Times New Roman" w:hAnsi="Times New Roman" w:eastAsia="宋体" w:cs="Times New Roman"/>
          <w:b/>
          <w:bCs/>
          <w:color w:val="auto"/>
          <w:sz w:val="24"/>
          <w:szCs w:val="24"/>
          <w:highlight w:val="none"/>
        </w:rPr>
        <w:t>只报总价，结算时，以成交人提交的综合单价同比下浮【下浮率=（1-第二轮报价/第一轮报价）*100% 】</w:t>
      </w:r>
    </w:p>
    <w:p w14:paraId="606272AB">
      <w:pPr>
        <w:keepNext w:val="0"/>
        <w:keepLines w:val="0"/>
        <w:pageBreakBefore w:val="0"/>
        <w:widowControl w:val="0"/>
        <w:tabs>
          <w:tab w:val="left" w:pos="900"/>
        </w:tabs>
        <w:spacing w:line="480" w:lineRule="exact"/>
        <w:ind w:left="0" w:firstLine="482"/>
        <w:jc w:val="both"/>
        <w:outlineLvl w:val="9"/>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p>
    <w:p w14:paraId="417A355B">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9.3</w:t>
      </w:r>
      <w:r>
        <w:rPr>
          <w:rFonts w:hint="eastAsia" w:ascii="宋体" w:hAnsi="宋体" w:eastAsia="宋体" w:cs="宋体"/>
          <w:color w:val="auto"/>
          <w:sz w:val="24"/>
          <w:szCs w:val="24"/>
          <w:highlight w:val="none"/>
        </w:rPr>
        <w:t xml:space="preserve"> 磋商响应报价的计价方法</w:t>
      </w:r>
    </w:p>
    <w:p w14:paraId="132FA27D">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本工程项目采用</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工程量清单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计价方法。</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应根据采购人提供的工程量清单计算单价、合价以及各种政策性费用。</w:t>
      </w:r>
    </w:p>
    <w:p w14:paraId="7D0A62CB">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除非合同中另有规定，</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在报价中所报的单价和合价，以及磋商响应报价汇总表中的价格均包括完成该工程项目的施工设备、劳务、管理、材料、采购、运输、装卸、现场垃圾清理费用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保管、安装、维护、利润、税金及政策性文件规定的各项应有费用。</w:t>
      </w:r>
    </w:p>
    <w:p w14:paraId="5B00D013">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施工用水电差价</w:t>
      </w:r>
      <w:r>
        <w:rPr>
          <w:rFonts w:hint="eastAsia" w:ascii="宋体" w:hAnsi="宋体" w:eastAsia="宋体" w:cs="宋体"/>
          <w:color w:val="auto"/>
          <w:sz w:val="24"/>
          <w:szCs w:val="24"/>
          <w:highlight w:val="none"/>
          <w:lang w:eastAsia="zh-CN"/>
        </w:rPr>
        <w:t>计入</w:t>
      </w:r>
      <w:r>
        <w:rPr>
          <w:rFonts w:hint="eastAsia" w:ascii="宋体" w:hAnsi="宋体" w:eastAsia="宋体" w:cs="宋体"/>
          <w:color w:val="auto"/>
          <w:sz w:val="24"/>
          <w:szCs w:val="24"/>
          <w:highlight w:val="none"/>
        </w:rPr>
        <w:t>报价，采购人不再另行支付。</w:t>
      </w:r>
    </w:p>
    <w:p w14:paraId="01AF26FE">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本项目采用营改增后的一般计税方法计算报价</w:t>
      </w:r>
      <w:r>
        <w:rPr>
          <w:rFonts w:hint="eastAsia" w:ascii="宋体" w:hAnsi="宋体" w:eastAsia="宋体" w:cs="宋体"/>
          <w:color w:val="auto"/>
          <w:sz w:val="24"/>
          <w:szCs w:val="24"/>
          <w:highlight w:val="none"/>
          <w:lang w:eastAsia="zh-CN"/>
        </w:rPr>
        <w:t>。</w:t>
      </w:r>
    </w:p>
    <w:p w14:paraId="6BDF3080">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.4 可选用的工程预算、费用定额和政策性文件</w:t>
      </w:r>
    </w:p>
    <w:p w14:paraId="29FAA429">
      <w:pPr>
        <w:keepNext w:val="0"/>
        <w:keepLines w:val="0"/>
        <w:pageBreakBefore w:val="0"/>
        <w:widowControl w:val="0"/>
        <w:tabs>
          <w:tab w:val="left" w:pos="900"/>
        </w:tabs>
        <w:spacing w:line="480" w:lineRule="exact"/>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9.4.1</w:t>
      </w:r>
      <w:r>
        <w:rPr>
          <w:rFonts w:hint="eastAsia" w:ascii="宋体" w:hAnsi="宋体" w:eastAsia="宋体" w:cs="宋体"/>
          <w:color w:val="auto"/>
          <w:sz w:val="24"/>
          <w:szCs w:val="24"/>
          <w:highlight w:val="none"/>
        </w:rPr>
        <w:t>用于响应报价可参考的依据为：（1）《建设工程工程量清单计价标准》GB/T50500-2024和相关工程国家及行业工程量计算标准；</w:t>
      </w:r>
    </w:p>
    <w:p w14:paraId="3BF05380">
      <w:pPr>
        <w:keepNext w:val="0"/>
        <w:keepLines w:val="0"/>
        <w:pageBreakBefore w:val="0"/>
        <w:widowControl w:val="0"/>
        <w:tabs>
          <w:tab w:val="left" w:pos="900"/>
        </w:tabs>
        <w:spacing w:line="480" w:lineRule="exact"/>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(包括工程量清单、合同条款、招标图纸、技术标准规范等)及其补遗、答疑、澄清或修正；</w:t>
      </w:r>
    </w:p>
    <w:p w14:paraId="0215209E">
      <w:pPr>
        <w:keepNext w:val="0"/>
        <w:keepLines w:val="0"/>
        <w:pageBreakBefore w:val="0"/>
        <w:widowControl w:val="0"/>
        <w:tabs>
          <w:tab w:val="left" w:pos="900"/>
        </w:tabs>
        <w:spacing w:line="480" w:lineRule="exact"/>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（3）国家及省级、行业建设主管部门颁发的工程计量与计价相关规定,以及根据工程需要补充的工程量计算规则；</w:t>
      </w:r>
    </w:p>
    <w:p w14:paraId="253E42CF">
      <w:pPr>
        <w:keepNext w:val="0"/>
        <w:keepLines w:val="0"/>
        <w:pageBreakBefore w:val="0"/>
        <w:widowControl w:val="0"/>
        <w:tabs>
          <w:tab w:val="left" w:pos="900"/>
        </w:tabs>
        <w:spacing w:line="480" w:lineRule="exact"/>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（4）与招标工程相关的技术标准规范等技术资料；</w:t>
      </w:r>
    </w:p>
    <w:p w14:paraId="12B1B495">
      <w:pPr>
        <w:keepNext w:val="0"/>
        <w:keepLines w:val="0"/>
        <w:pageBreakBefore w:val="0"/>
        <w:widowControl w:val="0"/>
        <w:tabs>
          <w:tab w:val="left" w:pos="900"/>
        </w:tabs>
        <w:spacing w:line="480" w:lineRule="exact"/>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（5）工程特点及交付标准、地勘水文资料、现场踏勘情况；</w:t>
      </w:r>
    </w:p>
    <w:p w14:paraId="400710E0">
      <w:pPr>
        <w:keepNext w:val="0"/>
        <w:keepLines w:val="0"/>
        <w:pageBreakBefore w:val="0"/>
        <w:widowControl w:val="0"/>
        <w:tabs>
          <w:tab w:val="left" w:pos="900"/>
        </w:tabs>
        <w:spacing w:line="480" w:lineRule="exact"/>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（6）投标人的工程实施方案及投标工期；</w:t>
      </w:r>
    </w:p>
    <w:p w14:paraId="07D747AF">
      <w:pPr>
        <w:keepNext w:val="0"/>
        <w:keepLines w:val="0"/>
        <w:pageBreakBefore w:val="0"/>
        <w:widowControl w:val="0"/>
        <w:tabs>
          <w:tab w:val="left" w:pos="900"/>
        </w:tabs>
        <w:spacing w:line="480" w:lineRule="exact"/>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（7）投标人企业定额、工程造价数据、市场价格信息及价格变动预期、装备及管理水平、造价资讯等；</w:t>
      </w:r>
    </w:p>
    <w:p w14:paraId="1AF2C4CE">
      <w:pPr>
        <w:keepNext w:val="0"/>
        <w:keepLines w:val="0"/>
        <w:pageBreakBefore w:val="0"/>
        <w:widowControl w:val="0"/>
        <w:tabs>
          <w:tab w:val="left" w:pos="900"/>
        </w:tabs>
        <w:spacing w:line="480" w:lineRule="exact"/>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（8）全面考虑施工期间的人工、机械、设备、材料等的市场价格波动的情况、施工现场条件等因素，结合自身管理及自身所能承受价格风险的情况自主报价。</w:t>
      </w:r>
    </w:p>
    <w:p w14:paraId="1D2EEF2A">
      <w:pPr>
        <w:keepNext w:val="0"/>
        <w:keepLines w:val="0"/>
        <w:pageBreakBefore w:val="0"/>
        <w:widowControl w:val="0"/>
        <w:tabs>
          <w:tab w:val="left" w:pos="900"/>
        </w:tabs>
        <w:spacing w:line="480" w:lineRule="exact"/>
        <w:ind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eastAsia="zh-CN"/>
        </w:rPr>
        <w:t>）本项目最高投标限价中，安全生产措施费已按《江苏省建设工程费用参考》文件计入。投标报价中安全生产措施费的具体费率由投标人根据项目实际自行确定，但不得低于《江苏省建设工程费用参考》文件规定的下限值。如未按要求填报安全生产措施费，其费用视为已按《江苏省建设工程费用参考》文件规定的下限值综合考虑在投标总价中。</w:t>
      </w:r>
    </w:p>
    <w:p w14:paraId="47D968B6">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9.4.2</w:t>
      </w:r>
      <w:r>
        <w:rPr>
          <w:rFonts w:hint="eastAsia" w:ascii="宋体" w:hAnsi="宋体" w:eastAsia="宋体" w:cs="宋体"/>
          <w:color w:val="auto"/>
          <w:sz w:val="24"/>
          <w:szCs w:val="24"/>
          <w:highlight w:val="none"/>
        </w:rPr>
        <w:t xml:space="preserve"> 政策性文件按照现行江苏省建设厅、市</w:t>
      </w:r>
      <w:r>
        <w:rPr>
          <w:rFonts w:hint="eastAsia" w:ascii="宋体" w:hAnsi="宋体" w:eastAsia="宋体" w:cs="宋体"/>
          <w:color w:val="auto"/>
          <w:sz w:val="24"/>
          <w:szCs w:val="24"/>
          <w:highlight w:val="none"/>
          <w:lang w:eastAsia="zh-CN"/>
        </w:rPr>
        <w:t>（县级）</w:t>
      </w:r>
      <w:r>
        <w:rPr>
          <w:rFonts w:hint="eastAsia" w:ascii="宋体" w:hAnsi="宋体" w:eastAsia="宋体" w:cs="宋体"/>
          <w:color w:val="auto"/>
          <w:sz w:val="24"/>
          <w:szCs w:val="24"/>
          <w:highlight w:val="none"/>
        </w:rPr>
        <w:t>建设局颁发的相关文件规定执行。</w:t>
      </w:r>
    </w:p>
    <w:p w14:paraId="605A6F52">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报价</w:t>
      </w:r>
      <w:r>
        <w:rPr>
          <w:rFonts w:hint="eastAsia" w:ascii="宋体" w:hAnsi="宋体" w:eastAsia="宋体" w:cs="宋体"/>
          <w:color w:val="auto"/>
          <w:sz w:val="24"/>
          <w:szCs w:val="24"/>
          <w:highlight w:val="none"/>
        </w:rPr>
        <w:t>货币</w:t>
      </w:r>
    </w:p>
    <w:p w14:paraId="6EBF4AF0">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.1 磋商响</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以人民币报价。</w:t>
      </w:r>
    </w:p>
    <w:p w14:paraId="4B89DB3A">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磋商响应报价的编制要求</w:t>
      </w:r>
    </w:p>
    <w:p w14:paraId="291E42C7">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11</w:t>
      </w:r>
      <w:r>
        <w:rPr>
          <w:rFonts w:hint="eastAsia" w:ascii="宋体" w:hAnsi="宋体" w:eastAsia="宋体" w:cs="宋体"/>
          <w:b w:val="0"/>
          <w:bCs w:val="0"/>
          <w:color w:val="auto"/>
          <w:sz w:val="24"/>
          <w:szCs w:val="24"/>
          <w:highlight w:val="none"/>
        </w:rPr>
        <w:t xml:space="preserve">.1 </w:t>
      </w:r>
      <w:r>
        <w:rPr>
          <w:rFonts w:hint="eastAsia" w:ascii="宋体" w:hAnsi="宋体" w:eastAsia="宋体" w:cs="宋体"/>
          <w:b w:val="0"/>
          <w:bCs w:val="0"/>
          <w:color w:val="auto"/>
          <w:sz w:val="24"/>
          <w:szCs w:val="24"/>
          <w:highlight w:val="none"/>
          <w:lang w:eastAsia="zh-CN"/>
        </w:rPr>
        <w:t>磋商供应商必须按工程量清单，用综合单价法编制磋商预算。工程量清单数量、独立费不得变更、不得优惠，否则视为重大偏差</w:t>
      </w:r>
      <w:r>
        <w:rPr>
          <w:rFonts w:hint="eastAsia" w:ascii="宋体" w:hAnsi="宋体" w:eastAsia="宋体" w:cs="宋体"/>
          <w:b w:val="0"/>
          <w:bCs w:val="0"/>
          <w:color w:val="auto"/>
          <w:sz w:val="24"/>
          <w:szCs w:val="24"/>
          <w:highlight w:val="none"/>
        </w:rPr>
        <w:t>。</w:t>
      </w:r>
    </w:p>
    <w:p w14:paraId="4F0BDF44">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strike w:val="0"/>
          <w:dstrike w:val="0"/>
          <w:color w:val="auto"/>
          <w:sz w:val="24"/>
          <w:szCs w:val="24"/>
          <w:highlight w:val="none"/>
          <w:lang w:eastAsia="zh-CN"/>
        </w:rPr>
      </w:pPr>
      <w:r>
        <w:rPr>
          <w:rFonts w:hint="eastAsia" w:ascii="宋体" w:hAnsi="宋体" w:eastAsia="宋体" w:cs="宋体"/>
          <w:strike w:val="0"/>
          <w:dstrike w:val="0"/>
          <w:color w:val="auto"/>
          <w:sz w:val="24"/>
          <w:szCs w:val="24"/>
          <w:highlight w:val="none"/>
          <w:lang w:val="en-US" w:eastAsia="zh-CN"/>
        </w:rPr>
        <w:t>11</w:t>
      </w:r>
      <w:r>
        <w:rPr>
          <w:rFonts w:hint="eastAsia" w:ascii="宋体" w:hAnsi="宋体" w:eastAsia="宋体" w:cs="宋体"/>
          <w:strike w:val="0"/>
          <w:dstrike w:val="0"/>
          <w:color w:val="auto"/>
          <w:sz w:val="24"/>
          <w:szCs w:val="24"/>
          <w:highlight w:val="none"/>
        </w:rPr>
        <w:t>.2 所有材料等检验、检测费均由</w:t>
      </w:r>
      <w:r>
        <w:rPr>
          <w:rFonts w:hint="eastAsia" w:ascii="宋体" w:hAnsi="宋体" w:eastAsia="宋体" w:cs="宋体"/>
          <w:strike w:val="0"/>
          <w:dstrike w:val="0"/>
          <w:color w:val="auto"/>
          <w:sz w:val="24"/>
          <w:szCs w:val="24"/>
          <w:highlight w:val="none"/>
          <w:lang w:eastAsia="zh-CN"/>
        </w:rPr>
        <w:t>供应商</w:t>
      </w:r>
      <w:r>
        <w:rPr>
          <w:rFonts w:hint="eastAsia" w:ascii="宋体" w:hAnsi="宋体" w:eastAsia="宋体" w:cs="宋体"/>
          <w:strike w:val="0"/>
          <w:dstrike w:val="0"/>
          <w:color w:val="auto"/>
          <w:sz w:val="24"/>
          <w:szCs w:val="24"/>
          <w:highlight w:val="none"/>
        </w:rPr>
        <w:t>在磋商响应报价时根据自身预测自行报价，计入磋商响应报价，施工过程中发生的一切材料检测费用均由成交</w:t>
      </w:r>
      <w:r>
        <w:rPr>
          <w:rFonts w:hint="eastAsia" w:ascii="宋体" w:hAnsi="宋体" w:eastAsia="宋体" w:cs="宋体"/>
          <w:strike w:val="0"/>
          <w:dstrike w:val="0"/>
          <w:color w:val="auto"/>
          <w:sz w:val="24"/>
          <w:szCs w:val="24"/>
          <w:highlight w:val="none"/>
          <w:lang w:eastAsia="zh-CN"/>
        </w:rPr>
        <w:t>供应商</w:t>
      </w:r>
      <w:r>
        <w:rPr>
          <w:rFonts w:hint="eastAsia" w:ascii="宋体" w:hAnsi="宋体" w:eastAsia="宋体" w:cs="宋体"/>
          <w:strike w:val="0"/>
          <w:dstrike w:val="0"/>
          <w:color w:val="auto"/>
          <w:sz w:val="24"/>
          <w:szCs w:val="24"/>
          <w:highlight w:val="none"/>
        </w:rPr>
        <w:t>支付</w:t>
      </w: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rPr>
        <w:t>包括新材料、新工艺、新设备的实验费及环境检测费等</w:t>
      </w:r>
      <w:r>
        <w:rPr>
          <w:rFonts w:hint="eastAsia" w:ascii="宋体" w:hAnsi="宋体" w:eastAsia="宋体" w:cs="宋体"/>
          <w:strike w:val="0"/>
          <w:dstrike w:val="0"/>
          <w:color w:val="auto"/>
          <w:sz w:val="24"/>
          <w:szCs w:val="24"/>
          <w:highlight w:val="none"/>
          <w:lang w:eastAsia="zh-CN"/>
        </w:rPr>
        <w:t>）</w:t>
      </w:r>
    </w:p>
    <w:p w14:paraId="20F5871F">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 xml:space="preserve"> 工程中产生的垃圾均需由成交供应商自行负责清运，费用由成交供应商承担。</w:t>
      </w:r>
    </w:p>
    <w:p w14:paraId="64C6765B">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 xml:space="preserve"> 磋商供应商可自行对施工现场和周围环境进行勘察，以充分了解工地位置、环境、道路、储存空间、装卸限制及任何其他足以影响报价之情况，任何因忽视或误解工地情况而导致的成本增加或工期延长等情况一律不予认可。</w:t>
      </w:r>
    </w:p>
    <w:p w14:paraId="781A9AAF">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采购人向磋商供应商提供的有关施工现场的资料和数据是采购人现有的能使磋商供应商利用的资料。采购人对磋商供应商由此做出的推论、理解和结论概不负责。</w:t>
      </w:r>
    </w:p>
    <w:p w14:paraId="2ADAA7E6">
      <w:pPr>
        <w:keepNext w:val="0"/>
        <w:keepLines w:val="0"/>
        <w:pageBreakBefore w:val="0"/>
        <w:widowControl/>
        <w:spacing w:line="480" w:lineRule="exact"/>
        <w:ind w:firstLine="482"/>
        <w:jc w:val="left"/>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eastAsia="zh-CN" w:bidi="ar"/>
        </w:rPr>
        <w:t>注：</w:t>
      </w:r>
      <w:r>
        <w:rPr>
          <w:rFonts w:hint="eastAsia" w:ascii="宋体" w:hAnsi="宋体" w:eastAsia="宋体" w:cs="宋体"/>
          <w:b/>
          <w:bCs/>
          <w:color w:val="auto"/>
          <w:sz w:val="24"/>
          <w:highlight w:val="none"/>
          <w:lang w:bidi="ar"/>
        </w:rPr>
        <w:t>参与第二次报价</w:t>
      </w:r>
      <w:r>
        <w:rPr>
          <w:rFonts w:hint="eastAsia" w:ascii="宋体" w:hAnsi="宋体" w:eastAsia="宋体" w:cs="宋体"/>
          <w:b/>
          <w:bCs/>
          <w:color w:val="auto"/>
          <w:sz w:val="24"/>
          <w:highlight w:val="none"/>
          <w:lang w:eastAsia="zh-CN" w:bidi="ar"/>
        </w:rPr>
        <w:t>（</w:t>
      </w:r>
      <w:r>
        <w:rPr>
          <w:rFonts w:hint="eastAsia" w:ascii="宋体" w:hAnsi="宋体" w:eastAsia="宋体" w:cs="宋体"/>
          <w:b/>
          <w:bCs/>
          <w:color w:val="auto"/>
          <w:sz w:val="24"/>
          <w:highlight w:val="none"/>
          <w:lang w:val="en-US" w:eastAsia="zh-CN" w:bidi="ar"/>
        </w:rPr>
        <w:t>最后报价</w:t>
      </w:r>
      <w:r>
        <w:rPr>
          <w:rFonts w:hint="eastAsia" w:ascii="宋体" w:hAnsi="宋体" w:eastAsia="宋体" w:cs="宋体"/>
          <w:b/>
          <w:bCs/>
          <w:color w:val="auto"/>
          <w:sz w:val="24"/>
          <w:highlight w:val="none"/>
          <w:lang w:eastAsia="zh-CN" w:bidi="ar"/>
        </w:rPr>
        <w:t>）</w:t>
      </w:r>
      <w:r>
        <w:rPr>
          <w:rFonts w:hint="eastAsia" w:ascii="宋体" w:hAnsi="宋体" w:eastAsia="宋体" w:cs="宋体"/>
          <w:b/>
          <w:bCs/>
          <w:color w:val="auto"/>
          <w:sz w:val="24"/>
          <w:highlight w:val="none"/>
          <w:lang w:bidi="ar"/>
        </w:rPr>
        <w:t>的供应商未报价，按照无效响应处理。</w:t>
      </w:r>
    </w:p>
    <w:p w14:paraId="4190670F">
      <w:pPr>
        <w:keepNext w:val="0"/>
        <w:keepLines w:val="0"/>
        <w:pageBreakBefore w:val="0"/>
        <w:widowControl w:val="0"/>
        <w:spacing w:before="0" w:after="0" w:line="480" w:lineRule="exact"/>
        <w:ind w:left="0" w:firstLine="482"/>
        <w:jc w:val="both"/>
        <w:outlineLvl w:val="9"/>
        <w:rPr>
          <w:rFonts w:hint="eastAsia" w:ascii="宋体" w:hAnsi="宋体" w:eastAsia="宋体" w:cs="宋体"/>
          <w:b/>
          <w:bCs/>
          <w:color w:val="auto"/>
          <w:sz w:val="24"/>
          <w:szCs w:val="24"/>
          <w:highlight w:val="none"/>
          <w:lang w:val="en-US" w:eastAsia="zh-CN" w:bidi="ar-SA"/>
        </w:rPr>
      </w:pPr>
      <w:bookmarkStart w:id="12" w:name="_Toc61149553"/>
      <w:bookmarkStart w:id="13" w:name="_Toc462564072"/>
      <w:bookmarkStart w:id="14" w:name="_Toc513029213"/>
      <w:bookmarkStart w:id="15" w:name="_Toc14577351"/>
      <w:r>
        <w:rPr>
          <w:rFonts w:hint="eastAsia" w:ascii="宋体" w:hAnsi="宋体" w:eastAsia="宋体" w:cs="宋体"/>
          <w:b/>
          <w:bCs/>
          <w:color w:val="auto"/>
          <w:sz w:val="24"/>
          <w:szCs w:val="24"/>
          <w:highlight w:val="none"/>
          <w:lang w:val="en-US" w:eastAsia="zh-CN" w:bidi="ar-SA"/>
        </w:rPr>
        <w:t>四、响应文件的编制</w:t>
      </w:r>
      <w:bookmarkEnd w:id="9"/>
      <w:bookmarkEnd w:id="10"/>
      <w:bookmarkEnd w:id="11"/>
      <w:bookmarkEnd w:id="12"/>
      <w:bookmarkEnd w:id="13"/>
      <w:bookmarkEnd w:id="14"/>
      <w:bookmarkEnd w:id="15"/>
    </w:p>
    <w:p w14:paraId="11E559D5">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bookmarkStart w:id="16" w:name="_Hlt26954850"/>
      <w:bookmarkEnd w:id="16"/>
      <w:bookmarkStart w:id="17" w:name="_Hlt26670489"/>
      <w:bookmarkEnd w:id="17"/>
      <w:bookmarkStart w:id="18" w:name="_Hlt26954852"/>
      <w:bookmarkEnd w:id="18"/>
      <w:bookmarkStart w:id="19" w:name="_Hlt26954749"/>
      <w:bookmarkEnd w:id="19"/>
      <w:bookmarkStart w:id="20" w:name="_Hlt26670493"/>
      <w:bookmarkEnd w:id="20"/>
      <w:bookmarkStart w:id="21" w:name="_Hlt26954734"/>
      <w:bookmarkEnd w:id="21"/>
      <w:bookmarkStart w:id="22" w:name="_Hlt26954739"/>
      <w:bookmarkEnd w:id="22"/>
      <w:bookmarkStart w:id="23" w:name="_Hlt26954854"/>
      <w:bookmarkEnd w:id="23"/>
      <w:bookmarkStart w:id="24" w:name="_Toc14577353"/>
      <w:bookmarkStart w:id="25" w:name="_Toc14577352"/>
      <w:bookmarkStart w:id="26" w:name="_Toc61149554"/>
      <w:bookmarkStart w:id="27" w:name="_Toc462564074"/>
      <w:bookmarkStart w:id="28" w:name="_Toc61149555"/>
      <w:bookmarkStart w:id="29" w:name="_Toc513029215"/>
      <w:bookmarkStart w:id="30" w:name="_Toc462564073"/>
      <w:bookmarkStart w:id="31" w:name="_Toc513029214"/>
      <w:bookmarkStart w:id="32" w:name="_Toc61149562"/>
      <w:bookmarkStart w:id="33" w:name="_Toc513029224"/>
      <w:bookmarkStart w:id="34" w:name="_Toc14577362"/>
      <w:r>
        <w:rPr>
          <w:rFonts w:hint="eastAsia" w:ascii="宋体" w:hAnsi="宋体" w:eastAsia="宋体" w:cs="宋体"/>
          <w:color w:val="auto"/>
          <w:sz w:val="24"/>
          <w:szCs w:val="24"/>
          <w:highlight w:val="none"/>
          <w:lang w:val="en-US" w:eastAsia="zh-CN"/>
        </w:rPr>
        <w:t>12</w:t>
      </w:r>
      <w:bookmarkEnd w:id="24"/>
      <w:bookmarkEnd w:id="25"/>
      <w:bookmarkEnd w:id="26"/>
      <w:bookmarkEnd w:id="27"/>
      <w:bookmarkEnd w:id="28"/>
      <w:bookmarkEnd w:id="29"/>
      <w:bookmarkEnd w:id="30"/>
      <w:bookmarkEnd w:id="31"/>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响应文件的语言及度量衡单位</w:t>
      </w:r>
    </w:p>
    <w:p w14:paraId="02B822C1">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.1 供应商提交的响应文件以及供应商与</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就有关磋商的所有来往通知、函件和文件均应使用简体中文。</w:t>
      </w:r>
    </w:p>
    <w:p w14:paraId="7AF77CF4">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.2 除技术性能另有规定外，响应文件所使用的度量衡单位，均须采用国家法定计量单位。</w:t>
      </w:r>
      <w:bookmarkStart w:id="35" w:name="_Toc61149558"/>
      <w:bookmarkEnd w:id="35"/>
      <w:bookmarkStart w:id="36" w:name="_Toc14577357"/>
      <w:bookmarkEnd w:id="36"/>
      <w:bookmarkStart w:id="37" w:name="_Toc513029219"/>
      <w:bookmarkEnd w:id="37"/>
      <w:bookmarkStart w:id="38" w:name="_Toc513029217"/>
      <w:bookmarkStart w:id="39" w:name="_Toc61149557"/>
      <w:bookmarkStart w:id="40" w:name="_Toc14577355"/>
    </w:p>
    <w:p w14:paraId="547485D7">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响应文件构成</w:t>
      </w:r>
    </w:p>
    <w:p w14:paraId="33D78196">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bookmarkStart w:id="41" w:name="_Hlt26668999"/>
      <w:bookmarkEnd w:id="41"/>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.1 供应商编写的响应文件应包括资格证明文件、符合性证明文件、分项报价表、技术要求响应及偏离表、商务要求响应及偏离表、其他证明文件、磋商响应函等部分。</w:t>
      </w:r>
    </w:p>
    <w:p w14:paraId="1F257DB3">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bookmarkEnd w:id="38"/>
      <w:bookmarkEnd w:id="39"/>
      <w:bookmarkEnd w:id="40"/>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证明磋商响应标的符合磋商文件规定的文件</w:t>
      </w:r>
    </w:p>
    <w:p w14:paraId="7455B9F3">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14.1 供应商应按照磋商文件要求提交证明文件，证明其及磋商响应标的符合磋商文件规定。</w:t>
      </w:r>
    </w:p>
    <w:p w14:paraId="6D3B089B">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磋商文件对证明文件无明确形式要求的，证明文件可以以文字资料、图纸和数据等形式提交</w:t>
      </w:r>
      <w:r>
        <w:rPr>
          <w:rFonts w:hint="eastAsia" w:ascii="宋体" w:hAnsi="宋体" w:eastAsia="宋体" w:cs="宋体"/>
          <w:color w:val="auto"/>
          <w:sz w:val="24"/>
          <w:szCs w:val="24"/>
          <w:highlight w:val="none"/>
          <w:lang w:eastAsia="zh-CN"/>
        </w:rPr>
        <w:t>。</w:t>
      </w:r>
    </w:p>
    <w:p w14:paraId="45403DE7">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分项报价表</w:t>
      </w:r>
    </w:p>
    <w:p w14:paraId="4382DB55">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供应商应按照磋商文件规定格式填报分项报价表。</w:t>
      </w:r>
    </w:p>
    <w:p w14:paraId="0059514B">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磋商货币。响应文件中的单价和总价无特殊规定的采用人民币报价，以元为单位标注。磋商文件中另有规定的按规定执行。</w:t>
      </w:r>
    </w:p>
    <w:p w14:paraId="4FCD5EA8">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技术要求响应及偏离表、商务要求响应及偏离表</w:t>
      </w:r>
    </w:p>
    <w:p w14:paraId="3DF06CD1">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.1供应商需对磋商文件中的商务要求逐项作出响应或偏离，并说明原因。</w:t>
      </w:r>
    </w:p>
    <w:p w14:paraId="2E273AC1">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16</w:t>
      </w:r>
      <w:r>
        <w:rPr>
          <w:rFonts w:hint="eastAsia" w:ascii="宋体" w:hAnsi="宋体" w:eastAsia="宋体" w:cs="宋体"/>
          <w:color w:val="auto"/>
          <w:sz w:val="24"/>
          <w:szCs w:val="24"/>
          <w:highlight w:val="none"/>
        </w:rPr>
        <w:t>.2供应商可在响应文件中提供认为需要的其他技术文件或说明。</w:t>
      </w:r>
    </w:p>
    <w:p w14:paraId="5779EC59">
      <w:pPr>
        <w:keepNext w:val="0"/>
        <w:keepLines w:val="0"/>
        <w:pageBreakBefore w:val="0"/>
        <w:widowControl w:val="0"/>
        <w:numPr>
          <w:ilvl w:val="0"/>
          <w:numId w:val="0"/>
        </w:numPr>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17、</w:t>
      </w:r>
      <w:r>
        <w:rPr>
          <w:rFonts w:hint="eastAsia" w:ascii="宋体" w:hAnsi="宋体" w:eastAsia="宋体" w:cs="宋体"/>
          <w:color w:val="auto"/>
          <w:sz w:val="24"/>
          <w:szCs w:val="24"/>
          <w:highlight w:val="none"/>
        </w:rPr>
        <w:t>服务承诺、培训计划、人员安排及其他</w:t>
      </w:r>
    </w:p>
    <w:p w14:paraId="31BD693E">
      <w:pPr>
        <w:keepNext w:val="0"/>
        <w:keepLines w:val="0"/>
        <w:pageBreakBefore w:val="0"/>
        <w:widowControl w:val="0"/>
        <w:tabs>
          <w:tab w:val="left" w:pos="900"/>
        </w:tabs>
        <w:spacing w:line="480" w:lineRule="exact"/>
        <w:ind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供应商需根据磋商文件要求提供有关售后服务的管理制度，售后服务机构的分布情况，售后服务人员的数量、素质、技术水平及售后服务的反应能力等。</w:t>
      </w:r>
    </w:p>
    <w:p w14:paraId="20ADB7B1">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供应商需根据磋商文件要求提供培训计划。</w:t>
      </w:r>
    </w:p>
    <w:p w14:paraId="2781D122">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供应商需根据磋商文件要求提供磋商响应标的的主要组成部分、功能设计、实现思路及关键技术等。</w:t>
      </w:r>
    </w:p>
    <w:p w14:paraId="04ECF71E">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磋商有效期</w:t>
      </w:r>
    </w:p>
    <w:p w14:paraId="2CF49850">
      <w:pPr>
        <w:keepNext w:val="0"/>
        <w:keepLines w:val="0"/>
        <w:pageBreakBefore w:val="0"/>
        <w:widowControl w:val="0"/>
        <w:tabs>
          <w:tab w:val="left" w:pos="900"/>
        </w:tabs>
        <w:spacing w:line="480" w:lineRule="exact"/>
        <w:ind w:left="0" w:firstLine="48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磋商有效期为</w:t>
      </w:r>
      <w:r>
        <w:rPr>
          <w:rFonts w:hint="eastAsia" w:ascii="宋体" w:hAnsi="宋体" w:eastAsia="宋体" w:cs="宋体"/>
          <w:color w:val="auto"/>
          <w:sz w:val="24"/>
          <w:szCs w:val="24"/>
          <w:highlight w:val="none"/>
          <w:lang w:eastAsia="zh-CN"/>
        </w:rPr>
        <w:t>采购人或采购代理机构</w:t>
      </w:r>
      <w:r>
        <w:rPr>
          <w:rFonts w:hint="eastAsia" w:ascii="宋体" w:hAnsi="宋体" w:eastAsia="宋体" w:cs="宋体"/>
          <w:color w:val="auto"/>
          <w:sz w:val="24"/>
          <w:szCs w:val="24"/>
          <w:highlight w:val="none"/>
        </w:rPr>
        <w:t>规定的提交响应文件截止之日后</w:t>
      </w:r>
      <w:r>
        <w:rPr>
          <w:rFonts w:hint="eastAsia" w:ascii="宋体" w:hAnsi="宋体" w:eastAsia="宋体" w:cs="宋体"/>
          <w:b/>
          <w:bCs/>
          <w:color w:val="auto"/>
          <w:sz w:val="24"/>
          <w:szCs w:val="24"/>
          <w:highlight w:val="none"/>
          <w:u w:val="single"/>
        </w:rPr>
        <w:t>六十（60）天</w:t>
      </w:r>
      <w:r>
        <w:rPr>
          <w:rFonts w:hint="eastAsia" w:ascii="宋体" w:hAnsi="宋体" w:eastAsia="宋体" w:cs="宋体"/>
          <w:color w:val="auto"/>
          <w:sz w:val="24"/>
          <w:szCs w:val="24"/>
          <w:highlight w:val="none"/>
        </w:rPr>
        <w:t>。磋商有效期比规定短的将被视为非实质性响应磋商文件而予以拒绝。</w:t>
      </w:r>
    </w:p>
    <w:p w14:paraId="64FEB9C2">
      <w:pPr>
        <w:keepNext w:val="0"/>
        <w:keepLines w:val="0"/>
        <w:pageBreakBefore w:val="0"/>
        <w:widowControl w:val="0"/>
        <w:tabs>
          <w:tab w:val="left" w:pos="900"/>
        </w:tabs>
        <w:spacing w:line="480" w:lineRule="exact"/>
        <w:ind w:left="0" w:firstLine="480"/>
        <w:jc w:val="both"/>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19、磋商有效期的延长</w:t>
      </w:r>
    </w:p>
    <w:p w14:paraId="20601576">
      <w:pPr>
        <w:keepNext w:val="0"/>
        <w:keepLines w:val="0"/>
        <w:pageBreakBefore w:val="0"/>
        <w:widowControl w:val="0"/>
        <w:spacing w:before="0" w:after="0" w:line="480" w:lineRule="exact"/>
        <w:ind w:left="0" w:firstLine="480"/>
        <w:jc w:val="both"/>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19.1 在特殊情况下，采购人或采购代理机构于原磋商有效期满之前，可向供应商提出延长磋商有效期的要求。这种要求与答复均应采用书面形式。供应商可以拒绝采购人或采购代理机构的这一要求而放弃磋商，同意延长磋商有效期的供应商既不能要求也不允许修改其响应文件。受磋商有效期约束的所有权利与义务均延长至新的有效期。</w:t>
      </w:r>
    </w:p>
    <w:p w14:paraId="3286B004">
      <w:pPr>
        <w:keepNext w:val="0"/>
        <w:keepLines w:val="0"/>
        <w:pageBreakBefore w:val="0"/>
        <w:widowControl w:val="0"/>
        <w:spacing w:before="0" w:after="0" w:line="480" w:lineRule="exact"/>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五、响应文件的递交</w:t>
      </w:r>
      <w:bookmarkEnd w:id="32"/>
      <w:bookmarkEnd w:id="33"/>
      <w:bookmarkEnd w:id="34"/>
    </w:p>
    <w:p w14:paraId="5842EC1B">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bookmarkStart w:id="42" w:name="_Hlt26954864"/>
      <w:bookmarkEnd w:id="42"/>
      <w:bookmarkStart w:id="43" w:name="_Hlt26954856"/>
      <w:bookmarkEnd w:id="43"/>
      <w:bookmarkStart w:id="44" w:name="_Hlt26670523"/>
      <w:bookmarkEnd w:id="44"/>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、电子磋商响应文件的递交</w:t>
      </w:r>
    </w:p>
    <w:p w14:paraId="72433D27">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20</w:t>
      </w:r>
      <w:r>
        <w:rPr>
          <w:rFonts w:hint="eastAsia" w:ascii="宋体" w:hAnsi="宋体" w:eastAsia="宋体" w:cs="宋体"/>
          <w:color w:val="auto"/>
          <w:sz w:val="24"/>
          <w:highlight w:val="none"/>
        </w:rPr>
        <w:t>.1供应商应当按照《操作手册》规定，在提交响应文件截止时间前制作并上传电子响应文件。</w:t>
      </w:r>
    </w:p>
    <w:p w14:paraId="1F5DCACC">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、提交响应文件截止时间</w:t>
      </w:r>
    </w:p>
    <w:p w14:paraId="0A17A53A">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1供应商上传电子响应文件的时间不得迟于磋商公告中规定的提交响应文件截止时间。</w:t>
      </w:r>
    </w:p>
    <w:p w14:paraId="1CF9964E">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供应商应充分考虑到网络环境、网络宽带等风险因素，如因供应商自身原因造成的电子响应文件上传不成功的按照本磋商文件第二章第2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条规定做无效响应处理。</w:t>
      </w:r>
    </w:p>
    <w:p w14:paraId="1A63F4BF">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21</w:t>
      </w:r>
      <w:r>
        <w:rPr>
          <w:rFonts w:hint="eastAsia" w:ascii="宋体" w:hAnsi="宋体" w:eastAsia="宋体" w:cs="宋体"/>
          <w:color w:val="auto"/>
          <w:sz w:val="24"/>
          <w:highlight w:val="none"/>
        </w:rPr>
        <w:t>.2采购人或采购代理机构可以按照规定，通过修改磋商文件酌情延长提交响应文件截止日期，在此情况下，供应商的所有权利和义务以及供应商受制的截止日期均应以延长后新的截止日期为准。</w:t>
      </w:r>
    </w:p>
    <w:p w14:paraId="68389710">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、响应文件的拒收</w:t>
      </w:r>
    </w:p>
    <w:p w14:paraId="2BF661BF">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 采购人或采购代理机构拒绝接收在其规定的提交响应文件截止时间后上传的任何电子响应文件。</w:t>
      </w:r>
    </w:p>
    <w:p w14:paraId="23DAE91D">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、响应文件的撤回和修改</w:t>
      </w:r>
    </w:p>
    <w:p w14:paraId="2B46934A">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.1响应文件的撤回</w:t>
      </w:r>
    </w:p>
    <w:p w14:paraId="594FF1B0">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.1.1 电子响应文件的撤回</w:t>
      </w:r>
    </w:p>
    <w:p w14:paraId="6F7927C7">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供应商可在提交响应文件截止时间前，撤回其电子响应文件，具体操作方法见《操作手册》。</w:t>
      </w:r>
    </w:p>
    <w:p w14:paraId="3D9EFF7A">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.1.2供应商撤回电子响应文件，则认为其不再参与本项目磋商活动。</w:t>
      </w:r>
    </w:p>
    <w:p w14:paraId="3C05FB3F">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.2响应文件的修改</w:t>
      </w:r>
    </w:p>
    <w:p w14:paraId="5C3A5FE8">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供应商可在提交响应文件截止时间前，对其电子响应文件进行修改，具体操作方法见《操作手册》。</w:t>
      </w:r>
    </w:p>
    <w:p w14:paraId="3CFBC9AD">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.3 在提交响应文件截止时间之后，供应商不得对其电子响应文件作任何修改。</w:t>
      </w:r>
    </w:p>
    <w:p w14:paraId="241EED71">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.4 在提交响应文件截止时间至磋商文件中规定的磋商有效期满之间的这段时间内，供应商不得撤回其响应文件。</w:t>
      </w:r>
    </w:p>
    <w:p w14:paraId="73312C73">
      <w:pPr>
        <w:keepNext w:val="0"/>
        <w:keepLines w:val="0"/>
        <w:pageBreakBefore w:val="0"/>
        <w:widowControl w:val="0"/>
        <w:spacing w:before="0" w:after="0" w:line="480" w:lineRule="exact"/>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六、响应文件的解密与评审</w:t>
      </w:r>
    </w:p>
    <w:p w14:paraId="4DF77E2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24、响应文件解密</w:t>
      </w:r>
    </w:p>
    <w:p w14:paraId="15754BB4">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24.1供应商应当按照《操作手册》规定，在苏采云系统规定的时间内对磋商响应文件进行解密。</w:t>
      </w:r>
    </w:p>
    <w:p w14:paraId="5D8BE8C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25、磋商小组</w:t>
      </w:r>
    </w:p>
    <w:p w14:paraId="45FA502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25.1采购人或采购代理机构将组织磋商小组对响应文件进行评审。磋商小组由采购人代表和有关技术、经济等方面的专家组成，且人员构成符合政府采购有关规定。</w:t>
      </w:r>
    </w:p>
    <w:p w14:paraId="3FE82E0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25.2磋商小组独立工作，负责评审所有响应文件并确定成交侯选人。</w:t>
      </w:r>
    </w:p>
    <w:p w14:paraId="55F339C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26、评审过程的保密与公正</w:t>
      </w:r>
    </w:p>
    <w:p w14:paraId="132E1B1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26.1磋商小组、采购人和采购代理机构工作人员、相关监督人员等与评审工作有关的人员，对评审情况以及在评审过程中获悉的国家秘密、商业秘密负有保密责任。</w:t>
      </w:r>
    </w:p>
    <w:p w14:paraId="284BAFC0">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26.2在评审过程中，供应商不得以任何行为影响磋商评审过程，否则其响应文件将被作为无效响应文件。</w:t>
      </w:r>
    </w:p>
    <w:p w14:paraId="4DDDFDED">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26.3在项目评审期间，采购人或采购代理机构将设专门人员与供应商联系。</w:t>
      </w:r>
    </w:p>
    <w:p w14:paraId="2C7239F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26.4采购人或采购代理机构和磋商小组不向未成交的供应商解释未成交原因，也不公布评审过程中的相关细节。</w:t>
      </w:r>
    </w:p>
    <w:p w14:paraId="347BAD6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27、评审过程中的的澄清</w:t>
      </w:r>
    </w:p>
    <w:p w14:paraId="4707EE66">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06FEBA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磋商小组并非对每个供应商都作澄清要求。</w:t>
      </w:r>
    </w:p>
    <w:p w14:paraId="36F584B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FDB8301">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27.3接到磋商小组澄清、说明和更正要求的供应商如未按规定做出澄清、说明和 更正，其风险由供应商自行承担。</w:t>
      </w:r>
    </w:p>
    <w:p w14:paraId="6DACE28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28、对响应文件的审查</w:t>
      </w:r>
    </w:p>
    <w:p w14:paraId="0D8B22D7">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28.1响应文件审查分为资格审查和符合性审查。</w:t>
      </w:r>
    </w:p>
    <w:p w14:paraId="18E1010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28.1.1资格审查：由磋商小组依据法律法规和磋商文件的规定，对响应文件中的资格证明文件进行审查，以确定供应商是否具备参加磋商的资格。</w:t>
      </w:r>
    </w:p>
    <w:p w14:paraId="24587113">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磋商小组在进行资格审查的同时，将在信用中国、中国政府采购网网站查询供应商的信用记录，以确定供应商是否具备磋商资格,查询结果留存并归档。</w:t>
      </w:r>
    </w:p>
    <w:p w14:paraId="7838FC8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接受联合体的项目，两个以上的自然人、法人或者其他组织组成一个联合体，以一个供应商的身份共同参加政府采购活动的,联合体成员中任何一方存在不良信用记录的，视同联合体存在不良应用记录。</w:t>
      </w:r>
    </w:p>
    <w:p w14:paraId="3F95653C">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28.1.2符合性审查：依据磋商文件的规定，由磋商小组从响应文件的有效性、完整性和对磋商文件的响应程度进行审查，以确定是否对磋商文件的实质性要求作出响应。</w:t>
      </w:r>
    </w:p>
    <w:p w14:paraId="5272BAFF">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28.1.3未通过资格审查或符合性审查的供应商，磋商小组将在苏采云系统中告知未通过资格审查或符合性审查的原因，评审结束后，磋商小组将不再告知未通过资格审查或符合性审查的原因。</w:t>
      </w:r>
    </w:p>
    <w:p w14:paraId="25A6D202">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28.2在详细评审之前，磋商小组将首先审查每份响应文件是否实质性响应了磋商文件的要求。实质性响应的响应文件应该是与磋商文件要求的条款、条件和规格相符，没有重大偏离或保留。</w:t>
      </w:r>
    </w:p>
    <w:p w14:paraId="73EEF9B8">
      <w:pPr>
        <w:keepNext w:val="0"/>
        <w:keepLines w:val="0"/>
        <w:pageBreakBefore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480" w:lineRule="exact"/>
        <w:ind w:left="0"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4022E3A1">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28</w:t>
      </w:r>
      <w:r>
        <w:rPr>
          <w:rFonts w:hint="eastAsia" w:ascii="宋体" w:hAnsi="宋体" w:eastAsia="宋体" w:cs="宋体"/>
          <w:color w:val="auto"/>
          <w:sz w:val="24"/>
          <w:highlight w:val="none"/>
        </w:rPr>
        <w:t>.3被认定为未实质性响应磋商文件的响应文件的情形</w:t>
      </w:r>
    </w:p>
    <w:p w14:paraId="544C77D2">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w:t>
      </w:r>
      <w:r>
        <w:rPr>
          <w:rFonts w:hint="eastAsia" w:ascii="宋体" w:hAnsi="宋体" w:eastAsia="宋体" w:cs="宋体"/>
          <w:b/>
          <w:bCs/>
          <w:color w:val="auto"/>
          <w:sz w:val="24"/>
          <w:highlight w:val="none"/>
        </w:rPr>
        <w:t xml:space="preserve"> 响应文件中的磋商响应函未加盖磋商供应商的公章；</w:t>
      </w:r>
    </w:p>
    <w:p w14:paraId="7D08FB2E">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28.3.2</w:t>
      </w:r>
      <w:r>
        <w:rPr>
          <w:rFonts w:hint="eastAsia" w:ascii="宋体" w:hAnsi="宋体" w:eastAsia="宋体" w:cs="宋体"/>
          <w:b/>
          <w:bCs/>
          <w:color w:val="auto"/>
          <w:sz w:val="24"/>
          <w:highlight w:val="none"/>
        </w:rPr>
        <w:t xml:space="preserve"> 响应文件中的磋商响应函未加盖企业法定代表人（或企业法定代表人委托代理人）印章（或签字）的；</w:t>
      </w:r>
    </w:p>
    <w:p w14:paraId="4AA62A54">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28.3.3</w:t>
      </w:r>
      <w:r>
        <w:rPr>
          <w:rFonts w:hint="eastAsia" w:ascii="宋体" w:hAnsi="宋体" w:eastAsia="宋体" w:cs="宋体"/>
          <w:b/>
          <w:bCs/>
          <w:color w:val="auto"/>
          <w:sz w:val="24"/>
          <w:highlight w:val="none"/>
        </w:rPr>
        <w:t xml:space="preserve"> 磋商响应函加盖企业法定代表人委托代理人印章（或签字），企业法定代表人委托代理人没有合法、有效的委托书（原件）的；</w:t>
      </w:r>
    </w:p>
    <w:p w14:paraId="03A8DF96">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28.3.4</w:t>
      </w:r>
      <w:r>
        <w:rPr>
          <w:rFonts w:hint="eastAsia" w:ascii="宋体" w:hAnsi="宋体" w:eastAsia="宋体" w:cs="宋体"/>
          <w:b/>
          <w:bCs/>
          <w:color w:val="auto"/>
          <w:sz w:val="24"/>
          <w:highlight w:val="none"/>
        </w:rPr>
        <w:t xml:space="preserve"> 磋商供应商资质条件不符合国家有关规定，或者不满足磋商文件规定的资格条件的；</w:t>
      </w:r>
    </w:p>
    <w:p w14:paraId="5C8747BB">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28.3.5</w:t>
      </w:r>
      <w:r>
        <w:rPr>
          <w:rFonts w:hint="eastAsia" w:ascii="宋体" w:hAnsi="宋体" w:eastAsia="宋体" w:cs="宋体"/>
          <w:b/>
          <w:bCs/>
          <w:color w:val="auto"/>
          <w:sz w:val="24"/>
          <w:highlight w:val="none"/>
        </w:rPr>
        <w:t xml:space="preserve"> 响应文件报价低于工程成本或者高于磋商文件设定的预算价或者采购人设置的最高限价的；</w:t>
      </w:r>
    </w:p>
    <w:p w14:paraId="3D9163F6">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28.3.6</w:t>
      </w:r>
      <w:r>
        <w:rPr>
          <w:rFonts w:hint="eastAsia" w:ascii="宋体" w:hAnsi="宋体" w:eastAsia="宋体" w:cs="宋体"/>
          <w:b/>
          <w:bCs/>
          <w:color w:val="auto"/>
          <w:sz w:val="24"/>
          <w:highlight w:val="none"/>
        </w:rPr>
        <w:t xml:space="preserve"> 同一供应商提交两个及以上不同的响应文件或者</w:t>
      </w:r>
      <w:r>
        <w:rPr>
          <w:rFonts w:hint="eastAsia" w:ascii="宋体" w:hAnsi="宋体" w:eastAsia="宋体" w:cs="宋体"/>
          <w:b/>
          <w:bCs/>
          <w:color w:val="auto"/>
          <w:sz w:val="24"/>
          <w:highlight w:val="none"/>
          <w:lang w:eastAsia="zh-CN"/>
        </w:rPr>
        <w:t>最后</w:t>
      </w:r>
      <w:r>
        <w:rPr>
          <w:rFonts w:hint="eastAsia" w:ascii="宋体" w:hAnsi="宋体" w:eastAsia="宋体" w:cs="宋体"/>
          <w:b/>
          <w:bCs/>
          <w:color w:val="auto"/>
          <w:sz w:val="24"/>
          <w:highlight w:val="none"/>
        </w:rPr>
        <w:t>报价</w:t>
      </w:r>
      <w:r>
        <w:rPr>
          <w:rFonts w:hint="eastAsia" w:ascii="宋体" w:hAnsi="宋体" w:eastAsia="宋体" w:cs="宋体"/>
          <w:b/>
          <w:bCs/>
          <w:color w:val="auto"/>
          <w:sz w:val="24"/>
          <w:highlight w:val="none"/>
          <w:lang w:eastAsia="zh-CN"/>
        </w:rPr>
        <w:t>的</w:t>
      </w:r>
      <w:r>
        <w:rPr>
          <w:rFonts w:hint="eastAsia" w:ascii="宋体" w:hAnsi="宋体" w:eastAsia="宋体" w:cs="宋体"/>
          <w:b/>
          <w:bCs/>
          <w:color w:val="auto"/>
          <w:sz w:val="24"/>
          <w:highlight w:val="none"/>
        </w:rPr>
        <w:t>；</w:t>
      </w:r>
    </w:p>
    <w:p w14:paraId="12321903">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28.3.7</w:t>
      </w:r>
      <w:r>
        <w:rPr>
          <w:rFonts w:hint="eastAsia" w:ascii="宋体" w:hAnsi="宋体" w:eastAsia="宋体" w:cs="宋体"/>
          <w:b/>
          <w:bCs/>
          <w:color w:val="auto"/>
          <w:sz w:val="24"/>
          <w:highlight w:val="none"/>
        </w:rPr>
        <w:t xml:space="preserve"> 响应文件中已标价工程量清单与磋商文件规定的暂估价、暂列金额及甲供材料价格不一致的；</w:t>
      </w:r>
    </w:p>
    <w:p w14:paraId="43B4BE02">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28.3.8</w:t>
      </w:r>
      <w:r>
        <w:rPr>
          <w:rFonts w:hint="eastAsia" w:ascii="宋体" w:hAnsi="宋体" w:eastAsia="宋体" w:cs="宋体"/>
          <w:b/>
          <w:bCs/>
          <w:color w:val="auto"/>
          <w:sz w:val="24"/>
          <w:highlight w:val="none"/>
        </w:rPr>
        <w:t xml:space="preserve"> 响应文件的已标价工程量清单与磋商文件提供的工程量清单中的项目编码、项目名称、项目特征、计量单位、工程量不一致的；</w:t>
      </w:r>
    </w:p>
    <w:p w14:paraId="283773BF">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28.3.9</w:t>
      </w:r>
      <w:r>
        <w:rPr>
          <w:rFonts w:hint="eastAsia" w:ascii="宋体" w:hAnsi="宋体" w:eastAsia="宋体" w:cs="宋体"/>
          <w:b/>
          <w:bCs/>
          <w:color w:val="auto"/>
          <w:sz w:val="24"/>
          <w:highlight w:val="none"/>
        </w:rPr>
        <w:t>供应商未按照磋商文件要求上传电子响应文件的；</w:t>
      </w:r>
    </w:p>
    <w:p w14:paraId="4A1D8975">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28.3.10</w:t>
      </w:r>
      <w:r>
        <w:rPr>
          <w:rFonts w:hint="eastAsia" w:ascii="宋体" w:hAnsi="宋体" w:eastAsia="宋体" w:cs="宋体"/>
          <w:b/>
          <w:bCs/>
          <w:color w:val="auto"/>
          <w:sz w:val="24"/>
          <w:highlight w:val="none"/>
        </w:rPr>
        <w:t xml:space="preserve"> 不同磋商供应商的响应文件以及响应文件制作过程出现了评审委员会认为不应当雷同的情况的；</w:t>
      </w:r>
    </w:p>
    <w:p w14:paraId="6837DF22">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28.3.11</w:t>
      </w:r>
      <w:r>
        <w:rPr>
          <w:rFonts w:hint="eastAsia" w:ascii="宋体" w:hAnsi="宋体" w:eastAsia="宋体" w:cs="宋体"/>
          <w:b/>
          <w:bCs/>
          <w:color w:val="auto"/>
          <w:sz w:val="24"/>
          <w:highlight w:val="none"/>
        </w:rPr>
        <w:t xml:space="preserve"> 以他人的名义参与磋商、串通磋商、以行贿手段谋取成交或者以其他弄虚作假方式参与磋商的；</w:t>
      </w:r>
    </w:p>
    <w:p w14:paraId="6106B491">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28.3.12</w:t>
      </w:r>
      <w:r>
        <w:rPr>
          <w:rFonts w:hint="eastAsia" w:ascii="宋体" w:hAnsi="宋体" w:eastAsia="宋体" w:cs="宋体"/>
          <w:b/>
          <w:bCs/>
          <w:color w:val="auto"/>
          <w:sz w:val="24"/>
          <w:highlight w:val="none"/>
        </w:rPr>
        <w:t xml:space="preserve"> 响应文件关键内容模糊、无法辨认的。</w:t>
      </w:r>
    </w:p>
    <w:p w14:paraId="6042C195">
      <w:pPr>
        <w:keepLines w:val="0"/>
        <w:pageBreakBefore w:val="0"/>
        <w:widowControl w:val="0"/>
        <w:tabs>
          <w:tab w:val="left" w:pos="900"/>
        </w:tabs>
        <w:spacing w:line="480" w:lineRule="exact"/>
        <w:ind w:left="0" w:firstLine="482"/>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28.3.13</w:t>
      </w:r>
      <w:r>
        <w:rPr>
          <w:rFonts w:hint="eastAsia" w:ascii="宋体" w:hAnsi="宋体" w:eastAsia="宋体" w:cs="宋体"/>
          <w:b/>
          <w:bCs/>
          <w:color w:val="auto"/>
          <w:sz w:val="24"/>
          <w:highlight w:val="none"/>
        </w:rPr>
        <w:t>不符合磋商文件中规定的实质性要求和条件的；（</w:t>
      </w:r>
      <w:r>
        <w:rPr>
          <w:rFonts w:hint="eastAsia" w:ascii="宋体" w:hAnsi="宋体" w:eastAsia="宋体" w:cs="宋体"/>
          <w:b/>
          <w:bCs/>
          <w:color w:val="auto"/>
          <w:sz w:val="24"/>
          <w:highlight w:val="none"/>
          <w:lang w:val="en-US" w:eastAsia="zh-CN"/>
        </w:rPr>
        <w:t>本磋商文件中标注★的款项为实质性响应要求和条件，如不满足将按无效响应处理。</w:t>
      </w:r>
      <w:r>
        <w:rPr>
          <w:rFonts w:hint="eastAsia" w:ascii="宋体" w:hAnsi="宋体" w:eastAsia="宋体" w:cs="宋体"/>
          <w:b/>
          <w:bCs/>
          <w:color w:val="auto"/>
          <w:sz w:val="24"/>
          <w:highlight w:val="none"/>
        </w:rPr>
        <w:t>）</w:t>
      </w:r>
    </w:p>
    <w:p w14:paraId="4D949173">
      <w:pPr>
        <w:keepLines w:val="0"/>
        <w:pageBreakBefore w:val="0"/>
        <w:widowControl w:val="0"/>
        <w:spacing w:line="480" w:lineRule="exact"/>
        <w:ind w:left="0" w:firstLine="482"/>
        <w:jc w:val="left"/>
        <w:rPr>
          <w:rFonts w:hint="default" w:ascii="宋体" w:hAnsi="宋体" w:eastAsia="宋体" w:cs="宋体"/>
          <w:b/>
          <w:bCs/>
          <w:color w:val="auto"/>
          <w:sz w:val="24"/>
          <w:highlight w:val="none"/>
          <w:lang w:val="en-US"/>
        </w:rPr>
      </w:pPr>
      <w:r>
        <w:rPr>
          <w:rFonts w:hint="eastAsia" w:ascii="宋体" w:hAnsi="宋体" w:eastAsia="宋体" w:cs="宋体"/>
          <w:b/>
          <w:bCs/>
          <w:color w:val="auto"/>
          <w:sz w:val="24"/>
          <w:highlight w:val="none"/>
          <w:lang w:val="en-US" w:eastAsia="zh-CN"/>
        </w:rPr>
        <w:t>28.3.14响应文件含有采购人不能接受的附加条件的。</w:t>
      </w:r>
    </w:p>
    <w:p w14:paraId="23E2864B">
      <w:pPr>
        <w:keepLines w:val="0"/>
        <w:pageBreakBefore w:val="0"/>
        <w:widowControl w:val="0"/>
        <w:tabs>
          <w:tab w:val="left" w:pos="900"/>
        </w:tabs>
        <w:spacing w:line="480" w:lineRule="exact"/>
        <w:ind w:left="0" w:firstLine="482"/>
        <w:jc w:val="left"/>
        <w:rPr>
          <w:rFonts w:hint="default" w:ascii="宋体" w:hAnsi="宋体" w:eastAsia="宋体" w:cs="宋体"/>
          <w:b/>
          <w:bCs/>
          <w:color w:val="auto"/>
          <w:sz w:val="24"/>
          <w:highlight w:val="none"/>
          <w:lang w:val="en-US" w:eastAsia="zh-CN"/>
        </w:rPr>
      </w:pPr>
      <w:bookmarkStart w:id="45" w:name="_Toc513029234"/>
      <w:bookmarkStart w:id="46" w:name="_Toc16938550"/>
      <w:bookmarkStart w:id="47" w:name="_Toc20823306"/>
      <w:r>
        <w:rPr>
          <w:rFonts w:hint="eastAsia" w:ascii="宋体" w:hAnsi="宋体" w:eastAsia="宋体" w:cs="宋体"/>
          <w:b/>
          <w:bCs/>
          <w:color w:val="auto"/>
          <w:sz w:val="24"/>
          <w:highlight w:val="none"/>
          <w:lang w:val="en-US" w:eastAsia="zh-CN"/>
        </w:rPr>
        <w:t>28.3.15响应文件未按照磋商文件要求加盖CA电子公章的。</w:t>
      </w:r>
      <w:bookmarkEnd w:id="45"/>
      <w:bookmarkEnd w:id="46"/>
      <w:bookmarkEnd w:id="47"/>
    </w:p>
    <w:p w14:paraId="472C3AB7">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bookmarkStart w:id="48" w:name="_Toc513029235"/>
      <w:bookmarkStart w:id="49" w:name="_Toc20823307"/>
      <w:bookmarkStart w:id="50" w:name="_Toc16938551"/>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.4未实质性响应磋商文件的响应文件按无效响应处理。</w:t>
      </w:r>
    </w:p>
    <w:p w14:paraId="6B3D3307">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.5如果响应文件实质上没有响应磋商文件的要求，磋商小组将予以拒绝，供应商不得通过修改或撤销不合要求的偏离或保留而使其成为实质性响应的文件。</w:t>
      </w:r>
    </w:p>
    <w:p w14:paraId="2E435744">
      <w:pPr>
        <w:keepLines w:val="0"/>
        <w:pageBreakBefore w:val="0"/>
        <w:widowControl w:val="0"/>
        <w:tabs>
          <w:tab w:val="left" w:pos="900"/>
        </w:tabs>
        <w:spacing w:line="480" w:lineRule="exact"/>
        <w:ind w:left="0"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.6供应商在项目评审全过程中应保持通讯畅通，并安排专人与采购人或采购代理机构及磋商小组联系。</w:t>
      </w:r>
      <w:bookmarkEnd w:id="48"/>
      <w:bookmarkEnd w:id="49"/>
      <w:bookmarkEnd w:id="50"/>
    </w:p>
    <w:p w14:paraId="45B4E60A">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、磋商程序及评审方法和评审标准</w:t>
      </w:r>
    </w:p>
    <w:p w14:paraId="4F7460FF">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.1磋商程序</w:t>
      </w:r>
    </w:p>
    <w:p w14:paraId="680B4757">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29</w:t>
      </w:r>
      <w:r>
        <w:rPr>
          <w:rFonts w:hint="eastAsia" w:ascii="宋体" w:hAnsi="宋体" w:eastAsia="宋体" w:cs="宋体"/>
          <w:color w:val="auto"/>
          <w:sz w:val="24"/>
          <w:highlight w:val="none"/>
        </w:rPr>
        <w:t>.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3E8BF1AA">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4F921255">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916F539">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p>
    <w:p w14:paraId="7372362C">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0B25AB27">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2604F5F5">
      <w:pPr>
        <w:keepNext w:val="0"/>
        <w:keepLines w:val="0"/>
        <w:pageBreakBefore w:val="0"/>
        <w:widowControl w:val="0"/>
        <w:spacing w:line="480" w:lineRule="exact"/>
        <w:ind w:left="0"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29.1.4政府采购评审中出现下列情形之一的，评审委员会应当启动异常低价投标审查程序：</w:t>
      </w:r>
    </w:p>
    <w:p w14:paraId="4E8794FB">
      <w:pPr>
        <w:keepNext w:val="0"/>
        <w:keepLines w:val="0"/>
        <w:pageBreakBefore w:val="0"/>
        <w:widowControl w:val="0"/>
        <w:spacing w:line="480" w:lineRule="exact"/>
        <w:ind w:left="0"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1.投标报价低于全部通过符合性审查供应商投标报价平均值65%的，即投标报价&lt;全部通过符合性审查供应商投标报价平均值×65%；</w:t>
      </w:r>
    </w:p>
    <w:p w14:paraId="0B0E0015">
      <w:pPr>
        <w:keepNext w:val="0"/>
        <w:keepLines w:val="0"/>
        <w:pageBreakBefore w:val="0"/>
        <w:widowControl w:val="0"/>
        <w:spacing w:line="480" w:lineRule="exact"/>
        <w:ind w:left="0"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2.投标报价低于通过符合性审查的次低报价供应商投标报价65%的，即投标报价&lt;通过符合性审查的次低报价供应商投标报价×65%；</w:t>
      </w:r>
    </w:p>
    <w:p w14:paraId="10E5AA55">
      <w:pPr>
        <w:keepNext w:val="0"/>
        <w:keepLines w:val="0"/>
        <w:pageBreakBefore w:val="0"/>
        <w:widowControl w:val="0"/>
        <w:spacing w:line="480" w:lineRule="exact"/>
        <w:ind w:left="0"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3.投标报价低于采购项目最高限价65%的，即投标报价&lt;采购项目最高限价×65%；</w:t>
      </w:r>
    </w:p>
    <w:p w14:paraId="2A9BBF72">
      <w:pPr>
        <w:keepNext w:val="0"/>
        <w:keepLines w:val="0"/>
        <w:pageBreakBefore w:val="0"/>
        <w:widowControl w:val="0"/>
        <w:spacing w:line="480" w:lineRule="exact"/>
        <w:ind w:left="0"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4.评审委员会基于专业判断，认为供应商报价过低，有可能影响产品质量或者不能诚信履约的其他情形。</w:t>
      </w:r>
    </w:p>
    <w:p w14:paraId="2E4DE1CD">
      <w:pPr>
        <w:keepNext w:val="0"/>
        <w:keepLines w:val="0"/>
        <w:pageBreakBefore w:val="0"/>
        <w:widowControl w:val="0"/>
        <w:spacing w:line="480" w:lineRule="exact"/>
        <w:ind w:left="0"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p>
    <w:p w14:paraId="45031FFD">
      <w:pPr>
        <w:keepNext w:val="0"/>
        <w:keepLines w:val="0"/>
        <w:pageBreakBefore w:val="0"/>
        <w:widowControl w:val="0"/>
        <w:spacing w:line="480" w:lineRule="exact"/>
        <w:ind w:left="0"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22A981E3">
      <w:pPr>
        <w:keepNext w:val="0"/>
        <w:keepLines w:val="0"/>
        <w:pageBreakBefore w:val="0"/>
        <w:widowControl w:val="0"/>
        <w:spacing w:line="480" w:lineRule="exact"/>
        <w:ind w:left="0" w:firstLine="482"/>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E1D5F3D">
      <w:pPr>
        <w:keepNext w:val="0"/>
        <w:keepLines w:val="0"/>
        <w:pageBreakBefore w:val="0"/>
        <w:widowControl w:val="0"/>
        <w:spacing w:line="480" w:lineRule="exact"/>
        <w:ind w:left="0" w:firstLine="482"/>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751DB767">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 评审方法和评审标准</w:t>
      </w:r>
    </w:p>
    <w:p w14:paraId="43F20F1C">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.2.1评审方法。经磋商确定最终采购需求和提交最后报价的供应商后，由磋商小组采用综合评分法对提交最后报价的供应商的响应文件和最后报价进行综合评分。</w:t>
      </w:r>
    </w:p>
    <w:p w14:paraId="669D868E">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3B389150">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.2.2评审标准</w:t>
      </w:r>
    </w:p>
    <w:p w14:paraId="41283921">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见本磋商文件第</w:t>
      </w:r>
      <w:r>
        <w:rPr>
          <w:rFonts w:hint="eastAsia" w:ascii="宋体" w:hAnsi="宋体" w:eastAsia="宋体" w:cs="宋体"/>
          <w:color w:val="auto"/>
          <w:sz w:val="24"/>
          <w:highlight w:val="none"/>
          <w:lang w:eastAsia="zh-CN"/>
        </w:rPr>
        <w:t>七</w:t>
      </w:r>
      <w:r>
        <w:rPr>
          <w:rFonts w:hint="eastAsia" w:ascii="宋体" w:hAnsi="宋体" w:eastAsia="宋体" w:cs="宋体"/>
          <w:color w:val="auto"/>
          <w:sz w:val="24"/>
          <w:highlight w:val="none"/>
        </w:rPr>
        <w:t>章规定。</w:t>
      </w:r>
    </w:p>
    <w:p w14:paraId="241FC259">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.3采购活动终止的情况</w:t>
      </w:r>
    </w:p>
    <w:p w14:paraId="4F1E1E99">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出现下列情形之一的，本次竞争性磋商采购活动将被终止：</w:t>
      </w:r>
    </w:p>
    <w:p w14:paraId="0534E60A">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.3.1因情况变化，不再符合规定的竞争性磋商采购方式适用情形的。</w:t>
      </w:r>
    </w:p>
    <w:p w14:paraId="24C7BBF3">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.3.2出现影响采购公正的违法、违规行为的。</w:t>
      </w:r>
    </w:p>
    <w:p w14:paraId="272E624C">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.3.3除本磋商文件第二章第2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.1.2条第三款规定的情形外，在采购过程中符合要求的供应商或者最后报价未超过采购预算的供应商不足3家的。</w:t>
      </w:r>
    </w:p>
    <w:p w14:paraId="50D2FF7A">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.3.4在苏采云系统规定时间内成功解密电子响应文件的供应商不足3家的。</w:t>
      </w:r>
    </w:p>
    <w:p w14:paraId="79F80127">
      <w:pPr>
        <w:keepNext w:val="0"/>
        <w:keepLines w:val="0"/>
        <w:pageBreakBefore w:val="0"/>
        <w:widowControl w:val="0"/>
        <w:spacing w:before="0" w:after="0" w:line="480" w:lineRule="exact"/>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七、成交</w:t>
      </w:r>
    </w:p>
    <w:p w14:paraId="33F579DB">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、确定成交单位</w:t>
      </w:r>
    </w:p>
    <w:p w14:paraId="48CFA606">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1磋商小组根据综合评分情况，按照评审得分由高到低顺序推荐3名成交候选供应商，并编写评审报告。符合本磋商文件第二章第29.1.2条情形的，可以推荐2名成交候选供应商。评审得分相同的，按照最后报价由低到高的顺序推荐。评审得分且最后报价相同的，按照技术指标优劣顺序推荐。</w:t>
      </w:r>
    </w:p>
    <w:p w14:paraId="1597B71C">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.2采购人从评审报告提出的成交候选供应商中，按照排序由高到低的原则确定成交供应商。采购人确定成交供应商后，采购人或采购代理机构将在“江苏政府采购网”发布成交结果公告，公告期限为1个工作日。</w:t>
      </w:r>
    </w:p>
    <w:p w14:paraId="1F5CFC75">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.3若有充分证据证明，成交供应商出现下列情况之一的，一经查实，将被取消成交资格：</w:t>
      </w:r>
    </w:p>
    <w:p w14:paraId="43F19EDE">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.3.1提供虚假材料谋取成交的。</w:t>
      </w:r>
    </w:p>
    <w:p w14:paraId="21E9C40E">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.3.2与评审专家、采购人、其他供应商或者采购代理机构工作人员恶意串通的。</w:t>
      </w:r>
    </w:p>
    <w:p w14:paraId="25C16064">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.3.3向评审专家、采购人或采购代理机构工作人员行贿或者提供其他不正当利益的。</w:t>
      </w:r>
    </w:p>
    <w:p w14:paraId="457177D7">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.3.4恶意竞争，最后报价明显低于其自身合理成本且又无法提供证明的。</w:t>
      </w:r>
    </w:p>
    <w:p w14:paraId="6F85CD04">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.3.5不满足本磋商文件规定的实质性要求，但在评审过程中又未被磋商小组发现的。</w:t>
      </w:r>
    </w:p>
    <w:p w14:paraId="0945C9A2">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.3.6成交后无正当理由拒不与采购人签订政府采购合同或者未按照磋商文件确定的事项签订政府采购合同的。</w:t>
      </w:r>
    </w:p>
    <w:p w14:paraId="186EF1BB">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30</w:t>
      </w:r>
      <w:r>
        <w:rPr>
          <w:rFonts w:hint="eastAsia" w:ascii="宋体" w:hAnsi="宋体" w:eastAsia="宋体" w:cs="宋体"/>
          <w:color w:val="auto"/>
          <w:sz w:val="24"/>
          <w:highlight w:val="none"/>
        </w:rPr>
        <w:t>.3.7将政府采购合同转包的。</w:t>
      </w:r>
    </w:p>
    <w:p w14:paraId="6BA64264">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、质疑处理</w:t>
      </w:r>
    </w:p>
    <w:p w14:paraId="7900469C">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.1 提出质疑的供应商应当是参与所质疑项目采购活动的供应商。潜在供应商依法获取其可质疑的</w:t>
      </w:r>
      <w:r>
        <w:rPr>
          <w:rFonts w:hint="eastAsia" w:ascii="宋体" w:hAnsi="宋体" w:eastAsia="宋体" w:cs="宋体"/>
          <w:color w:val="auto"/>
          <w:sz w:val="24"/>
          <w:highlight w:val="none"/>
          <w:lang w:eastAsia="zh-CN"/>
        </w:rPr>
        <w:t>磋商采购文件</w:t>
      </w:r>
      <w:r>
        <w:rPr>
          <w:rFonts w:hint="eastAsia" w:ascii="宋体" w:hAnsi="宋体" w:eastAsia="宋体" w:cs="宋体"/>
          <w:color w:val="auto"/>
          <w:sz w:val="24"/>
          <w:highlight w:val="none"/>
        </w:rPr>
        <w:t>的，可以对</w:t>
      </w:r>
      <w:r>
        <w:rPr>
          <w:rFonts w:hint="eastAsia" w:ascii="宋体" w:hAnsi="宋体" w:eastAsia="宋体" w:cs="宋体"/>
          <w:color w:val="auto"/>
          <w:sz w:val="24"/>
          <w:highlight w:val="none"/>
          <w:lang w:eastAsia="zh-CN"/>
        </w:rPr>
        <w:t>磋商采购文件</w:t>
      </w:r>
      <w:r>
        <w:rPr>
          <w:rFonts w:hint="eastAsia" w:ascii="宋体" w:hAnsi="宋体" w:eastAsia="宋体" w:cs="宋体"/>
          <w:color w:val="auto"/>
          <w:sz w:val="24"/>
          <w:highlight w:val="none"/>
        </w:rPr>
        <w:t>提出质疑。</w:t>
      </w:r>
    </w:p>
    <w:p w14:paraId="1AD6A55E">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.2供应商认为</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、采购过程和采购结果使自己的权益受到损害的，可以在知道或应知其权益受到损害之日起七个工作日内，以书面形式向采购代理机构或采购人提出质疑。上述应知其权益受到损害之日，是指：</w:t>
      </w:r>
    </w:p>
    <w:p w14:paraId="302DC46A">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.2.1对可以质疑的</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提出质疑的，为收到</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之日或者</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公告期限届满之日。</w:t>
      </w:r>
    </w:p>
    <w:p w14:paraId="09DF5B67">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.2.2对采购过程提出质疑的，为各采购程序环节结束之日。</w:t>
      </w:r>
    </w:p>
    <w:p w14:paraId="1763CBCC">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.2.3对成交结果提出质疑的，为成交结果公告期限届满之日。</w:t>
      </w:r>
    </w:p>
    <w:p w14:paraId="3A2A5AFF">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378E3CFE">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452F39EC">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4供应商（含潜在供应商）对采购方式、采购需求、供应商资格条件、评审方法与评审标准、合同文本的询问、质疑请向采购人或采购代理机构提出，由采购人或采购代理机构负责答复。供应商对其他事项的询问、质疑请向采购人或采购代理机构提出，由采购人或采购代理机构负责答复。</w:t>
      </w:r>
    </w:p>
    <w:p w14:paraId="4202B1FA">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采购人或采购代理机构只接收以纸质原件形式送达的质疑,建议供应商尽量通过到达现场的方式提交质疑。（采购人和采购代理机构不接受未填写快递运单的快件）</w:t>
      </w:r>
    </w:p>
    <w:p w14:paraId="5B437115">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采购人质疑接收人及联系方式见磋商公告。</w:t>
      </w:r>
    </w:p>
    <w:p w14:paraId="5B22F04C">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 以下情形的质疑不予受理</w:t>
      </w:r>
    </w:p>
    <w:p w14:paraId="2FBF793C">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.5.1 内容不符合《政府采购质疑和投诉办法》第十二条规定的质疑。</w:t>
      </w:r>
    </w:p>
    <w:p w14:paraId="47B67163">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.5.2 超出政府采购法定期限的质疑。</w:t>
      </w:r>
    </w:p>
    <w:p w14:paraId="3D10EA7E">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.5.3 以传真、电子邮件等方式递交的非原件形式的质疑。</w:t>
      </w:r>
    </w:p>
    <w:p w14:paraId="4BA3ADEB">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.5.4 未参加磋商活动的供应商或在磋商活动中自身权益未受到损害的供应商所提出的质疑。</w:t>
      </w:r>
    </w:p>
    <w:p w14:paraId="23D0B6AC">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.5.5供应商组成联合体参加磋商，联合体中任何一方或多方未按要求签字、盖章、加盖公章的质疑。</w:t>
      </w:r>
    </w:p>
    <w:p w14:paraId="5B138792">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w:t>
      </w:r>
      <w:r>
        <w:rPr>
          <w:rFonts w:hint="eastAsia" w:ascii="宋体" w:hAnsi="宋体" w:eastAsia="宋体" w:cs="宋体"/>
          <w:color w:val="auto"/>
          <w:sz w:val="24"/>
          <w:highlight w:val="none"/>
        </w:rPr>
        <w:t>.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4C7A6323">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、成交通知书</w:t>
      </w:r>
    </w:p>
    <w:p w14:paraId="78CD21A7">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EBDD0BD">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3BCEC12E">
      <w:pPr>
        <w:keepNext w:val="0"/>
        <w:keepLines w:val="0"/>
        <w:pageBreakBefore w:val="0"/>
        <w:widowControl w:val="0"/>
        <w:spacing w:line="480" w:lineRule="exact"/>
        <w:ind w:left="0"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成交供应商在领取成交通知书时，需提供一正</w:t>
      </w:r>
      <w:r>
        <w:rPr>
          <w:rFonts w:hint="eastAsia" w:ascii="宋体" w:hAnsi="宋体" w:eastAsia="宋体" w:cs="宋体"/>
          <w:color w:val="auto"/>
          <w:sz w:val="24"/>
          <w:highlight w:val="none"/>
          <w:lang w:eastAsia="zh-CN"/>
        </w:rPr>
        <w:t>二</w:t>
      </w:r>
      <w:r>
        <w:rPr>
          <w:rFonts w:hint="eastAsia" w:ascii="宋体" w:hAnsi="宋体" w:eastAsia="宋体" w:cs="宋体"/>
          <w:color w:val="auto"/>
          <w:sz w:val="24"/>
          <w:highlight w:val="none"/>
        </w:rPr>
        <w:t>副与电子响应文件一致的纸质文件</w:t>
      </w:r>
      <w:r>
        <w:rPr>
          <w:rFonts w:hint="eastAsia" w:ascii="宋体" w:hAnsi="宋体" w:eastAsia="宋体" w:cs="宋体"/>
          <w:color w:val="auto"/>
          <w:sz w:val="24"/>
          <w:highlight w:val="none"/>
          <w:lang w:eastAsia="zh-CN"/>
        </w:rPr>
        <w:t>。</w:t>
      </w:r>
    </w:p>
    <w:p w14:paraId="059F36B0">
      <w:pPr>
        <w:keepNext w:val="0"/>
        <w:keepLines w:val="0"/>
        <w:pageBreakBefore w:val="0"/>
        <w:widowControl w:val="0"/>
        <w:spacing w:before="0" w:after="0" w:line="480" w:lineRule="exact"/>
        <w:ind w:left="0" w:firstLine="482"/>
        <w:jc w:val="both"/>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八、授予合同</w:t>
      </w:r>
    </w:p>
    <w:p w14:paraId="57C9A01A">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、签订合同</w:t>
      </w:r>
    </w:p>
    <w:p w14:paraId="43228EC0">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.l成交供应商应当在成交通知书发出之日起三十日内，按照磋商文件确定的合同文本以及采购标的、技术和服务要求等事项签订采购合同。</w:t>
      </w:r>
    </w:p>
    <w:p w14:paraId="4603BB92">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.2磋商文件、成交供应商的响应文件及磋商过程中有关澄清、承诺文件均应作为合同附件。</w:t>
      </w:r>
    </w:p>
    <w:p w14:paraId="66035A07">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.3签订合同后，成交供应商不得将合同标的进行转包。未经采购人同意，成交供应商也不得采用分包形式履行合同,否则采购人有权终止合同。转包或分包造成采购人损失的，成交供应商应承担相应赔偿责任。</w:t>
      </w:r>
    </w:p>
    <w:p w14:paraId="16871415">
      <w:pPr>
        <w:keepLines w:val="0"/>
        <w:pageBreakBefore w:val="0"/>
        <w:widowControl w:val="0"/>
        <w:spacing w:after="0" w:line="480" w:lineRule="exact"/>
        <w:ind w:left="0" w:firstLine="480"/>
        <w:jc w:val="both"/>
        <w:rPr>
          <w:rFonts w:hint="default" w:ascii="宋体" w:hAnsi="宋体" w:eastAsia="宋体" w:cs="Times New Roman"/>
          <w:color w:val="auto"/>
          <w:sz w:val="21"/>
          <w:szCs w:val="20"/>
          <w:highlight w:val="none"/>
          <w:lang w:val="en-US" w:eastAsia="zh-CN" w:bidi="ar-SA"/>
        </w:rPr>
      </w:pPr>
      <w:r>
        <w:rPr>
          <w:rFonts w:hint="eastAsia" w:ascii="宋体" w:hAnsi="宋体" w:eastAsia="宋体" w:cs="宋体"/>
          <w:color w:val="auto"/>
          <w:sz w:val="24"/>
          <w:szCs w:val="20"/>
          <w:highlight w:val="none"/>
          <w:lang w:val="en-US" w:eastAsia="zh-CN" w:bidi="ar-SA"/>
        </w:rPr>
        <w:t>33.4采购人自采购合同签订之日起2个工作日内 (合同的签订日期计算),将政府采购合同在“江苏省政府采购网”上公告。</w:t>
      </w:r>
    </w:p>
    <w:p w14:paraId="028603C7">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、标的物的追加</w:t>
      </w:r>
    </w:p>
    <w:p w14:paraId="0587551B">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3C2E6836">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、政府采购履约资金扶持政策</w:t>
      </w:r>
    </w:p>
    <w:p w14:paraId="0133230D">
      <w:pPr>
        <w:keepNext w:val="0"/>
        <w:keepLines w:val="0"/>
        <w:pageBreakBefore w:val="0"/>
        <w:widowControl w:val="0"/>
        <w:spacing w:line="480" w:lineRule="exact"/>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成交供应商可凭政府采购合同办理融资贷款，详情请见江苏政府采购网“政采贷”专栏</w:t>
      </w:r>
      <w:r>
        <w:rPr>
          <w:rFonts w:hint="eastAsia" w:ascii="宋体" w:hAnsi="宋体" w:eastAsia="宋体" w:cs="宋体"/>
          <w:color w:val="auto"/>
          <w:sz w:val="24"/>
          <w:szCs w:val="24"/>
          <w:highlight w:val="none"/>
        </w:rPr>
        <w:t>。</w:t>
      </w:r>
    </w:p>
    <w:p w14:paraId="1E3AF9D4">
      <w:pPr>
        <w:keepNext w:val="0"/>
        <w:keepLines w:val="0"/>
        <w:pageBreakBefore w:val="0"/>
        <w:widowControl w:val="0"/>
        <w:spacing w:line="480" w:lineRule="exact"/>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36、履约保证金</w:t>
      </w:r>
    </w:p>
    <w:p w14:paraId="772BE785">
      <w:pPr>
        <w:keepNext w:val="0"/>
        <w:keepLines w:val="0"/>
        <w:pageBreakBefore w:val="0"/>
        <w:widowControl w:val="0"/>
        <w:spacing w:line="480" w:lineRule="exact"/>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36.1本项目收取履约保证金，具体详见项目需求。</w:t>
      </w:r>
    </w:p>
    <w:p w14:paraId="33182397">
      <w:pPr>
        <w:keepLines w:val="0"/>
        <w:pageBreakBefore w:val="0"/>
        <w:widowControl w:val="0"/>
        <w:numPr>
          <w:ilvl w:val="0"/>
          <w:numId w:val="0"/>
        </w:numPr>
        <w:spacing w:before="0" w:after="0" w:line="480" w:lineRule="exact"/>
        <w:ind w:left="0" w:firstLine="482"/>
        <w:jc w:val="left"/>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37、政策功能</w:t>
      </w:r>
    </w:p>
    <w:p w14:paraId="54D5CEF8">
      <w:pPr>
        <w:keepNext w:val="0"/>
        <w:keepLines w:val="0"/>
        <w:pageBreakBefore w:val="0"/>
        <w:widowControl w:val="0"/>
        <w:spacing w:line="480" w:lineRule="exact"/>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7310C8AD">
      <w:pPr>
        <w:keepNext w:val="0"/>
        <w:keepLines w:val="0"/>
        <w:pageBreakBefore w:val="0"/>
        <w:widowControl w:val="0"/>
        <w:spacing w:line="480" w:lineRule="exact"/>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37.2 参加本项目政府采购活动的供应商应当提供的材料： </w:t>
      </w:r>
    </w:p>
    <w:p w14:paraId="0DA0A157">
      <w:pPr>
        <w:keepNext w:val="0"/>
        <w:keepLines w:val="0"/>
        <w:pageBreakBefore w:val="0"/>
        <w:widowControl w:val="0"/>
        <w:spacing w:line="480" w:lineRule="exact"/>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（1）供应商为中型企业、小型企业、微型企业的，提供《中小企业声明函》（第六章 响应文件格式）。</w:t>
      </w:r>
    </w:p>
    <w:p w14:paraId="7A6D284B">
      <w:pPr>
        <w:keepNext w:val="0"/>
        <w:keepLines w:val="0"/>
        <w:pageBreakBefore w:val="0"/>
        <w:widowControl w:val="0"/>
        <w:spacing w:line="480" w:lineRule="exact"/>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（2）符合《关于促进残疾人就业政府采购政策的通知》（财库〔2017〕141号）规定的条件并提供《残疾人福利性单位声明函》（第六章 响应文件格式）的残疾人福利性单位视同小型、微型企业。</w:t>
      </w:r>
    </w:p>
    <w:p w14:paraId="082F4585">
      <w:pPr>
        <w:keepNext w:val="0"/>
        <w:keepLines w:val="0"/>
        <w:pageBreakBefore w:val="0"/>
        <w:widowControl w:val="0"/>
        <w:spacing w:line="480" w:lineRule="exact"/>
        <w:ind w:left="0"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符合《关于政府采购支持监狱企业发展有关问题的通知》（财库〔2014〕68号）规定的监狱企业并提供省级以上监狱管理局、戒毒管理局（含新疆生产建设兵团）出具的属于监狱企业证明文件的，视同小型、微型企业。</w:t>
      </w:r>
    </w:p>
    <w:p w14:paraId="4DF2D589">
      <w:pPr>
        <w:keepNext w:val="0"/>
        <w:keepLines w:val="0"/>
        <w:pageBreakBefore w:val="0"/>
        <w:widowControl w:val="0"/>
        <w:spacing w:line="480" w:lineRule="exact"/>
        <w:ind w:left="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37.3 享受扶持政策获得政府采购合同的，小微型企业不得将合同分包给大中型企业，中型企业不得将合同分包给大型企业</w:t>
      </w:r>
      <w:r>
        <w:rPr>
          <w:rFonts w:hint="eastAsia" w:ascii="宋体" w:hAnsi="宋体" w:eastAsia="宋体" w:cs="宋体"/>
          <w:color w:val="auto"/>
          <w:sz w:val="24"/>
          <w:highlight w:val="none"/>
        </w:rPr>
        <w:t>。</w:t>
      </w:r>
    </w:p>
    <w:p w14:paraId="1C30F519">
      <w:pPr>
        <w:keepLines w:val="0"/>
        <w:pageBreakBefore w:val="0"/>
        <w:widowControl w:val="0"/>
        <w:numPr>
          <w:ilvl w:val="0"/>
          <w:numId w:val="0"/>
        </w:numPr>
        <w:spacing w:before="0" w:after="0" w:line="480" w:lineRule="exact"/>
        <w:ind w:left="0" w:firstLine="482"/>
        <w:jc w:val="left"/>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38、支持绿色发展</w:t>
      </w:r>
    </w:p>
    <w:p w14:paraId="027995EE">
      <w:pPr>
        <w:keepLines w:val="0"/>
        <w:pageBreakBefore w:val="0"/>
        <w:widowControl w:val="0"/>
        <w:numPr>
          <w:ilvl w:val="0"/>
          <w:numId w:val="0"/>
        </w:numPr>
        <w:spacing w:before="0" w:after="0" w:line="480" w:lineRule="exact"/>
        <w:ind w:left="0" w:firstLine="480"/>
        <w:jc w:val="left"/>
        <w:outlineLvl w:val="9"/>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采购文件要求提供相关产品认证证书。</w:t>
      </w:r>
    </w:p>
    <w:p w14:paraId="1A39A452">
      <w:pPr>
        <w:keepNext/>
        <w:keepLines w:val="0"/>
        <w:pageBreakBefore w:val="0"/>
        <w:widowControl w:val="0"/>
        <w:spacing w:line="480" w:lineRule="exact"/>
        <w:ind w:firstLine="480"/>
        <w:jc w:val="both"/>
        <w:outlineLvl w:val="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p>
    <w:p w14:paraId="7A330A6E">
      <w:pPr>
        <w:keepNext/>
        <w:keepLines w:val="0"/>
        <w:pageBreakBefore w:val="0"/>
        <w:widowControl w:val="0"/>
        <w:spacing w:line="480" w:lineRule="exact"/>
        <w:ind w:firstLine="480"/>
        <w:jc w:val="both"/>
        <w:outlineLvl w:val="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3.落实挥发性有机化合物（VOCs）治理要求，政府采购项目中涉及涂料、胶黏剂、油墨、清洗剂等挥发性有机物产品的，属于强制性标准的，投标人须执行国家和我省 VOCs含量限制标准；投标人优先使用低挥发性原辅材料，将使用低VOCs含量的涂料、胶黏剂等纳入政府采购合同条款。</w:t>
      </w:r>
    </w:p>
    <w:p w14:paraId="66FD0523">
      <w:pPr>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br w:type="page" w:clear="all"/>
      </w:r>
    </w:p>
    <w:p w14:paraId="49DE1225">
      <w:pPr>
        <w:keepNext w:val="0"/>
        <w:keepLines w:val="0"/>
        <w:pageBreakBefore w:val="0"/>
        <w:widowControl/>
        <w:spacing w:line="360" w:lineRule="auto"/>
        <w:jc w:val="center"/>
        <w:outlineLvl w:val="0"/>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第三章 政府采购合同格式</w:t>
      </w:r>
    </w:p>
    <w:p w14:paraId="673B7CA3">
      <w:pPr>
        <w:widowControl/>
        <w:spacing w:line="360" w:lineRule="auto"/>
        <w:jc w:val="center"/>
        <w:rPr>
          <w:rFonts w:hint="eastAsia" w:ascii="宋体" w:hAnsi="宋体" w:eastAsia="宋体" w:cs="宋体"/>
          <w:b/>
          <w:bCs/>
          <w:color w:val="auto"/>
          <w:sz w:val="56"/>
          <w:szCs w:val="56"/>
          <w:highlight w:val="none"/>
          <w:lang w:bidi="ar"/>
        </w:rPr>
      </w:pPr>
    </w:p>
    <w:p w14:paraId="489F3E06">
      <w:pPr>
        <w:rPr>
          <w:rFonts w:ascii="宋体" w:hAnsi="宋体"/>
          <w:b/>
          <w:bCs/>
          <w:color w:val="auto"/>
          <w:sz w:val="52"/>
          <w:highlight w:val="none"/>
        </w:rPr>
      </w:pPr>
      <w:r>
        <w:rPr>
          <w:rFonts w:ascii="宋体" w:hAnsi="宋体"/>
          <w:b/>
          <w:bCs/>
          <w:color w:val="auto"/>
          <w:sz w:val="52"/>
          <w:highlight w:val="none"/>
        </w:rPr>
        <w:br w:type="page" w:clear="all"/>
      </w:r>
    </w:p>
    <w:p w14:paraId="42EDF32E">
      <w:pPr>
        <w:widowControl/>
        <w:spacing w:line="360" w:lineRule="auto"/>
        <w:ind w:firstLine="1044"/>
        <w:jc w:val="left"/>
        <w:rPr>
          <w:rFonts w:hint="eastAsia" w:ascii="宋体" w:hAnsi="宋体" w:eastAsia="宋体" w:cs="宋体"/>
          <w:b/>
          <w:bCs/>
          <w:color w:val="auto"/>
          <w:sz w:val="52"/>
          <w:szCs w:val="52"/>
          <w:highlight w:val="none"/>
          <w:lang w:bidi="ar"/>
        </w:rPr>
      </w:pPr>
    </w:p>
    <w:p w14:paraId="4A243D51">
      <w:pPr>
        <w:widowControl/>
        <w:spacing w:line="360" w:lineRule="auto"/>
        <w:ind w:firstLine="1044"/>
        <w:jc w:val="left"/>
        <w:rPr>
          <w:rFonts w:hint="eastAsia" w:ascii="宋体" w:hAnsi="宋体" w:eastAsia="宋体" w:cs="宋体"/>
          <w:b/>
          <w:bCs/>
          <w:color w:val="auto"/>
          <w:sz w:val="52"/>
          <w:szCs w:val="52"/>
          <w:highlight w:val="none"/>
          <w:lang w:bidi="ar"/>
        </w:rPr>
      </w:pPr>
    </w:p>
    <w:p w14:paraId="384A2CD7">
      <w:pPr>
        <w:widowControl/>
        <w:tabs>
          <w:tab w:val="left" w:pos="899"/>
        </w:tabs>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43"/>
          <w:szCs w:val="43"/>
          <w:highlight w:val="none"/>
          <w:u w:val="single"/>
          <w:lang w:bidi="ar"/>
        </w:rPr>
        <w:t xml:space="preserve">                   </w:t>
      </w:r>
      <w:r>
        <w:rPr>
          <w:rFonts w:hint="eastAsia" w:ascii="宋体" w:hAnsi="宋体" w:eastAsia="宋体" w:cs="宋体"/>
          <w:b/>
          <w:bCs/>
          <w:color w:val="auto"/>
          <w:sz w:val="43"/>
          <w:szCs w:val="43"/>
          <w:highlight w:val="none"/>
          <w:lang w:bidi="ar"/>
        </w:rPr>
        <w:t>合同</w:t>
      </w:r>
    </w:p>
    <w:p w14:paraId="62A49004">
      <w:pPr>
        <w:widowControl/>
        <w:spacing w:line="360" w:lineRule="auto"/>
        <w:ind w:firstLine="863"/>
        <w:jc w:val="left"/>
        <w:rPr>
          <w:rFonts w:hint="eastAsia" w:ascii="宋体" w:hAnsi="宋体" w:eastAsia="宋体" w:cs="宋体"/>
          <w:b/>
          <w:bCs/>
          <w:color w:val="auto"/>
          <w:sz w:val="43"/>
          <w:szCs w:val="43"/>
          <w:highlight w:val="none"/>
          <w:lang w:bidi="ar"/>
        </w:rPr>
      </w:pPr>
    </w:p>
    <w:p w14:paraId="7BC79489">
      <w:pPr>
        <w:widowControl/>
        <w:spacing w:line="360" w:lineRule="auto"/>
        <w:ind w:firstLine="863"/>
        <w:jc w:val="left"/>
        <w:rPr>
          <w:rFonts w:hint="eastAsia" w:ascii="宋体" w:hAnsi="宋体" w:eastAsia="宋体" w:cs="宋体"/>
          <w:b/>
          <w:bCs/>
          <w:color w:val="auto"/>
          <w:sz w:val="43"/>
          <w:szCs w:val="43"/>
          <w:highlight w:val="none"/>
          <w:lang w:bidi="ar"/>
        </w:rPr>
      </w:pPr>
    </w:p>
    <w:p w14:paraId="789A867D">
      <w:pPr>
        <w:pStyle w:val="209"/>
        <w:spacing w:line="360" w:lineRule="auto"/>
        <w:ind w:firstLine="863"/>
        <w:rPr>
          <w:rFonts w:hint="eastAsia" w:ascii="宋体" w:hAnsi="宋体" w:eastAsia="宋体" w:cs="宋体"/>
          <w:b/>
          <w:bCs/>
          <w:color w:val="auto"/>
          <w:sz w:val="43"/>
          <w:szCs w:val="43"/>
          <w:highlight w:val="none"/>
          <w:lang w:bidi="ar"/>
        </w:rPr>
      </w:pPr>
    </w:p>
    <w:p w14:paraId="73A4934A">
      <w:pPr>
        <w:spacing w:line="360" w:lineRule="auto"/>
        <w:rPr>
          <w:rFonts w:hint="eastAsia" w:ascii="宋体" w:hAnsi="宋体" w:eastAsia="宋体" w:cs="宋体"/>
          <w:color w:val="auto"/>
          <w:highlight w:val="none"/>
        </w:rPr>
      </w:pPr>
    </w:p>
    <w:p w14:paraId="1D755F49">
      <w:pPr>
        <w:widowControl/>
        <w:spacing w:line="360" w:lineRule="auto"/>
        <w:ind w:firstLine="803"/>
        <w:jc w:val="left"/>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合同编号：  </w:t>
      </w:r>
    </w:p>
    <w:p w14:paraId="0859159F">
      <w:pPr>
        <w:widowControl/>
        <w:spacing w:line="360" w:lineRule="auto"/>
        <w:ind w:firstLine="863"/>
        <w:jc w:val="left"/>
        <w:rPr>
          <w:rFonts w:hint="eastAsia" w:ascii="宋体" w:hAnsi="宋体" w:eastAsia="宋体" w:cs="宋体"/>
          <w:b/>
          <w:bCs/>
          <w:color w:val="auto"/>
          <w:sz w:val="43"/>
          <w:szCs w:val="43"/>
          <w:highlight w:val="none"/>
          <w:lang w:bidi="ar"/>
        </w:rPr>
      </w:pPr>
    </w:p>
    <w:p w14:paraId="644D37C7">
      <w:pPr>
        <w:widowControl/>
        <w:spacing w:line="360" w:lineRule="auto"/>
        <w:ind w:firstLine="863"/>
        <w:jc w:val="left"/>
        <w:rPr>
          <w:rFonts w:hint="eastAsia" w:ascii="宋体" w:hAnsi="宋体" w:eastAsia="宋体" w:cs="宋体"/>
          <w:b/>
          <w:bCs/>
          <w:color w:val="auto"/>
          <w:sz w:val="43"/>
          <w:szCs w:val="43"/>
          <w:highlight w:val="none"/>
          <w:lang w:bidi="ar"/>
        </w:rPr>
      </w:pPr>
    </w:p>
    <w:p w14:paraId="18203FAB">
      <w:pPr>
        <w:widowControl/>
        <w:spacing w:line="360" w:lineRule="auto"/>
        <w:ind w:firstLine="863"/>
        <w:jc w:val="left"/>
        <w:rPr>
          <w:rFonts w:hint="eastAsia" w:ascii="宋体" w:hAnsi="宋体" w:eastAsia="宋体" w:cs="宋体"/>
          <w:b/>
          <w:bCs/>
          <w:color w:val="auto"/>
          <w:sz w:val="43"/>
          <w:szCs w:val="43"/>
          <w:highlight w:val="none"/>
          <w:lang w:bidi="ar"/>
        </w:rPr>
      </w:pPr>
    </w:p>
    <w:p w14:paraId="2C74F4D5">
      <w:pPr>
        <w:widowControl/>
        <w:spacing w:line="360" w:lineRule="auto"/>
        <w:ind w:firstLine="803"/>
        <w:jc w:val="left"/>
        <w:rPr>
          <w:rFonts w:hint="eastAsia" w:ascii="宋体" w:hAnsi="宋体" w:eastAsia="宋体" w:cs="宋体"/>
          <w:color w:val="auto"/>
          <w:sz w:val="20"/>
          <w:szCs w:val="22"/>
          <w:highlight w:val="none"/>
        </w:rPr>
      </w:pPr>
      <w:r>
        <w:rPr>
          <w:rFonts w:hint="eastAsia" w:ascii="宋体" w:hAnsi="宋体" w:eastAsia="宋体" w:cs="宋体"/>
          <w:b/>
          <w:bCs/>
          <w:color w:val="auto"/>
          <w:sz w:val="40"/>
          <w:szCs w:val="40"/>
          <w:highlight w:val="none"/>
          <w:lang w:bidi="ar"/>
        </w:rPr>
        <w:t xml:space="preserve">采购人：  </w:t>
      </w:r>
    </w:p>
    <w:p w14:paraId="017B2440">
      <w:pPr>
        <w:widowControl/>
        <w:spacing w:line="360" w:lineRule="auto"/>
        <w:ind w:firstLine="803"/>
        <w:jc w:val="left"/>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40"/>
          <w:szCs w:val="40"/>
          <w:highlight w:val="none"/>
          <w:lang w:bidi="ar"/>
        </w:rPr>
        <w:t xml:space="preserve">成交供应商：  </w:t>
      </w:r>
    </w:p>
    <w:p w14:paraId="27E8DB24">
      <w:pPr>
        <w:spacing w:line="360" w:lineRule="auto"/>
        <w:jc w:val="center"/>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br w:type="page" w:clear="all"/>
      </w:r>
      <w:r>
        <w:rPr>
          <w:rFonts w:hint="eastAsia" w:ascii="宋体" w:hAnsi="宋体" w:eastAsia="宋体" w:cs="宋体"/>
          <w:b/>
          <w:bCs/>
          <w:color w:val="auto"/>
          <w:sz w:val="31"/>
          <w:szCs w:val="31"/>
          <w:highlight w:val="none"/>
          <w:lang w:val="en-US" w:eastAsia="zh-CN" w:bidi="ar"/>
        </w:rPr>
        <w:t xml:space="preserve">第一部分 </w:t>
      </w:r>
      <w:r>
        <w:rPr>
          <w:rFonts w:hint="eastAsia" w:ascii="宋体" w:hAnsi="宋体" w:eastAsia="宋体" w:cs="宋体"/>
          <w:b/>
          <w:bCs/>
          <w:color w:val="auto"/>
          <w:sz w:val="31"/>
          <w:szCs w:val="31"/>
          <w:highlight w:val="none"/>
          <w:lang w:bidi="ar"/>
        </w:rPr>
        <w:t>协议书格式</w:t>
      </w:r>
    </w:p>
    <w:p w14:paraId="2056A3B0">
      <w:pPr>
        <w:keepNext w:val="0"/>
        <w:keepLines w:val="0"/>
        <w:pageBreakBefore w:val="0"/>
        <w:widowControl w:val="0"/>
        <w:spacing w:line="360" w:lineRule="auto"/>
        <w:ind w:left="0" w:firstLine="482"/>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发包人</w:t>
      </w:r>
      <w:r>
        <w:rPr>
          <w:rFonts w:hint="eastAsia" w:ascii="宋体" w:hAnsi="宋体" w:eastAsia="宋体" w:cs="宋体"/>
          <w:b/>
          <w:color w:val="auto"/>
          <w:sz w:val="24"/>
          <w:szCs w:val="24"/>
          <w:highlight w:val="none"/>
          <w:u w:val="single"/>
          <w:lang w:eastAsia="zh-CN"/>
        </w:rPr>
        <w:t>（全称）</w:t>
      </w:r>
      <w:r>
        <w:rPr>
          <w:rFonts w:hint="eastAsia" w:ascii="宋体" w:hAnsi="宋体" w:eastAsia="宋体" w:cs="宋体"/>
          <w:b/>
          <w:color w:val="auto"/>
          <w:sz w:val="24"/>
          <w:szCs w:val="24"/>
          <w:highlight w:val="none"/>
          <w:u w:val="single"/>
        </w:rPr>
        <w:t>：</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        </w:t>
      </w:r>
    </w:p>
    <w:p w14:paraId="50EAAF78">
      <w:pPr>
        <w:keepNext w:val="0"/>
        <w:keepLines w:val="0"/>
        <w:pageBreakBefore w:val="0"/>
        <w:widowControl w:val="0"/>
        <w:spacing w:line="360" w:lineRule="auto"/>
        <w:ind w:left="0" w:firstLine="482"/>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single"/>
        </w:rPr>
        <w:t>承包人（全称）</w:t>
      </w:r>
      <w:r>
        <w:rPr>
          <w:rFonts w:hint="eastAsia" w:ascii="宋体" w:hAnsi="宋体" w:eastAsia="宋体" w:cs="宋体"/>
          <w:b/>
          <w:color w:val="auto"/>
          <w:sz w:val="24"/>
          <w:szCs w:val="24"/>
          <w:highlight w:val="none"/>
          <w:u w:val="single"/>
          <w:lang w:eastAsia="zh-CN"/>
        </w:rPr>
        <w:t>：</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none"/>
          <w:lang w:val="en-US" w:eastAsia="zh-CN"/>
        </w:rPr>
        <w:t xml:space="preserve">                                         </w:t>
      </w:r>
    </w:p>
    <w:p w14:paraId="3728A94A">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根据《中华人民共和国民法典》、《中华人民共和国建筑法》及有关法律规定，遵循平等、自愿、公平和诚实信用的原则，双方就</w:t>
      </w:r>
      <w:r>
        <w:rPr>
          <w:rFonts w:hint="eastAsia" w:ascii="宋体" w:hAnsi="宋体" w:eastAsia="宋体" w:cs="宋体"/>
          <w:b/>
          <w:bCs/>
          <w:color w:val="auto"/>
          <w:sz w:val="24"/>
          <w:szCs w:val="24"/>
          <w:highlight w:val="none"/>
          <w:u w:val="single"/>
          <w:lang w:eastAsia="zh-CN" w:bidi="ar"/>
        </w:rPr>
        <w:t>国际学术交流中心消防整改项目（专门面向中小微企业)</w:t>
      </w:r>
      <w:r>
        <w:rPr>
          <w:rFonts w:hint="eastAsia" w:ascii="宋体" w:hAnsi="宋体" w:eastAsia="宋体" w:cs="宋体"/>
          <w:color w:val="auto"/>
          <w:sz w:val="24"/>
          <w:szCs w:val="24"/>
          <w:highlight w:val="none"/>
          <w:lang w:bidi="ar"/>
        </w:rPr>
        <w:t xml:space="preserve">及有关事项协商一致，共同达成如下协议： </w:t>
      </w:r>
    </w:p>
    <w:p w14:paraId="202C7AA4">
      <w:pPr>
        <w:keepNext w:val="0"/>
        <w:keepLines w:val="0"/>
        <w:pageBreakBefore w:val="0"/>
        <w:widowControl w:val="0"/>
        <w:numPr>
          <w:ilvl w:val="0"/>
          <w:numId w:val="2"/>
        </w:numPr>
        <w:spacing w:line="360" w:lineRule="auto"/>
        <w:ind w:lef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工程概况 </w:t>
      </w:r>
    </w:p>
    <w:p w14:paraId="4086E065">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bidi="ar"/>
        </w:rPr>
        <w:t>1.工程名称：</w:t>
      </w:r>
      <w:r>
        <w:rPr>
          <w:rFonts w:hint="eastAsia" w:ascii="宋体" w:hAnsi="宋体" w:eastAsia="宋体" w:cs="宋体"/>
          <w:color w:val="auto"/>
          <w:sz w:val="24"/>
          <w:highlight w:val="none"/>
          <w:u w:val="single"/>
          <w:lang w:eastAsia="zh-CN" w:bidi="ar"/>
        </w:rPr>
        <w:t>国际学术交流中心消防整改项目（专门面向中小微企业)</w:t>
      </w:r>
    </w:p>
    <w:p w14:paraId="66F06A40">
      <w:pPr>
        <w:keepNext w:val="0"/>
        <w:keepLines w:val="0"/>
        <w:pageBreakBefore w:val="0"/>
        <w:widowControl w:val="0"/>
        <w:spacing w:line="360" w:lineRule="auto"/>
        <w:ind w:left="0" w:firstLine="480"/>
        <w:rPr>
          <w:rFonts w:hint="default"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bidi="ar"/>
        </w:rPr>
        <w:t>2.工程地点</w:t>
      </w:r>
      <w:r>
        <w:rPr>
          <w:rFonts w:hint="eastAsia" w:ascii="宋体" w:hAnsi="宋体" w:eastAsia="宋体" w:cs="宋体"/>
          <w:b w:val="0"/>
          <w:bCs w:val="0"/>
          <w:color w:val="auto"/>
          <w:sz w:val="24"/>
          <w:szCs w:val="24"/>
          <w:highlight w:val="none"/>
          <w:u w:val="none"/>
          <w:lang w:bidi="ar"/>
        </w:rPr>
        <w:t>：</w:t>
      </w:r>
      <w:r>
        <w:rPr>
          <w:rFonts w:hint="eastAsia" w:ascii="宋体" w:hAnsi="宋体" w:eastAsia="宋体" w:cs="宋体"/>
          <w:b w:val="0"/>
          <w:bCs w:val="0"/>
          <w:color w:val="auto"/>
          <w:sz w:val="24"/>
          <w:szCs w:val="24"/>
          <w:highlight w:val="none"/>
          <w:u w:val="single"/>
          <w:lang w:val="en-US" w:eastAsia="zh-CN" w:bidi="ar"/>
        </w:rPr>
        <w:t xml:space="preserve">         </w:t>
      </w:r>
    </w:p>
    <w:p w14:paraId="42F07388">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u w:val="single"/>
          <w:lang w:val="en-US" w:eastAsia="zh-CN" w:bidi="ar"/>
        </w:rPr>
      </w:pPr>
      <w:r>
        <w:rPr>
          <w:rFonts w:hint="eastAsia" w:ascii="宋体" w:hAnsi="宋体" w:eastAsia="宋体" w:cs="宋体"/>
          <w:b w:val="0"/>
          <w:bCs w:val="0"/>
          <w:color w:val="auto"/>
          <w:sz w:val="24"/>
          <w:szCs w:val="24"/>
          <w:highlight w:val="none"/>
          <w:lang w:bidi="ar"/>
        </w:rPr>
        <w:t>3.工程立项批准文号：</w:t>
      </w:r>
      <w:r>
        <w:rPr>
          <w:rFonts w:hint="eastAsia" w:ascii="宋体" w:hAnsi="宋体" w:eastAsia="宋体" w:cs="宋体"/>
          <w:b w:val="0"/>
          <w:bCs w:val="0"/>
          <w:color w:val="auto"/>
          <w:sz w:val="24"/>
          <w:szCs w:val="24"/>
          <w:highlight w:val="none"/>
          <w:u w:val="single"/>
          <w:lang w:val="en-US" w:eastAsia="zh-CN" w:bidi="ar"/>
        </w:rPr>
        <w:t xml:space="preserve">  /  ；</w:t>
      </w:r>
    </w:p>
    <w:p w14:paraId="03EE223D">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lang w:bidi="ar"/>
        </w:rPr>
        <w:t>4.资金来源：</w:t>
      </w:r>
      <w:r>
        <w:rPr>
          <w:rFonts w:hint="eastAsia" w:ascii="宋体" w:hAnsi="宋体" w:eastAsia="宋体" w:cs="宋体"/>
          <w:b w:val="0"/>
          <w:bCs w:val="0"/>
          <w:color w:val="auto"/>
          <w:sz w:val="24"/>
          <w:szCs w:val="24"/>
          <w:highlight w:val="none"/>
          <w:u w:val="single"/>
          <w:lang w:eastAsia="zh-CN" w:bidi="ar"/>
        </w:rPr>
        <w:t>财政；</w:t>
      </w:r>
      <w:r>
        <w:rPr>
          <w:rFonts w:hint="eastAsia" w:ascii="宋体" w:hAnsi="宋体" w:eastAsia="宋体" w:cs="宋体"/>
          <w:b w:val="0"/>
          <w:bCs w:val="0"/>
          <w:color w:val="auto"/>
          <w:sz w:val="24"/>
          <w:szCs w:val="24"/>
          <w:highlight w:val="none"/>
          <w:u w:val="none"/>
          <w:lang w:val="en-US" w:eastAsia="zh-CN" w:bidi="ar"/>
        </w:rPr>
        <w:t xml:space="preserve">         </w:t>
      </w:r>
      <w:r>
        <w:rPr>
          <w:rFonts w:hint="eastAsia" w:ascii="宋体" w:hAnsi="宋体" w:eastAsia="宋体" w:cs="宋体"/>
          <w:b w:val="0"/>
          <w:bCs w:val="0"/>
          <w:color w:val="auto"/>
          <w:sz w:val="24"/>
          <w:szCs w:val="24"/>
          <w:highlight w:val="none"/>
          <w:u w:val="none"/>
          <w:lang w:bidi="ar"/>
        </w:rPr>
        <w:t xml:space="preserve"> </w:t>
      </w:r>
    </w:p>
    <w:p w14:paraId="51EE99FA">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5.工程内容：</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bidi="ar"/>
        </w:rPr>
        <w:t>；</w:t>
      </w:r>
    </w:p>
    <w:p w14:paraId="0833AE46">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群体工程应附《承包人承揽工程项目一览表》（附件1）。 </w:t>
      </w:r>
    </w:p>
    <w:p w14:paraId="408C6730">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6.工程承包范围：</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bidi="ar"/>
        </w:rPr>
        <w:t xml:space="preserve">； </w:t>
      </w:r>
    </w:p>
    <w:p w14:paraId="0DD97506">
      <w:pPr>
        <w:keepNext w:val="0"/>
        <w:keepLines w:val="0"/>
        <w:pageBreakBefore w:val="0"/>
        <w:widowControl w:val="0"/>
        <w:spacing w:line="360" w:lineRule="auto"/>
        <w:ind w:lef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二、合同工期 </w:t>
      </w:r>
    </w:p>
    <w:p w14:paraId="3571EF90">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计划开工日期：</w:t>
      </w:r>
      <w:r>
        <w:rPr>
          <w:rFonts w:hint="eastAsia" w:ascii="宋体" w:hAnsi="宋体" w:eastAsia="宋体" w:cs="宋体"/>
          <w:b/>
          <w:color w:val="auto"/>
          <w:sz w:val="24"/>
          <w:szCs w:val="24"/>
          <w:highlight w:val="none"/>
          <w:u w:val="single"/>
          <w:lang w:val="en-US" w:eastAsia="zh-CN"/>
        </w:rPr>
        <w:t>2026</w:t>
      </w:r>
      <w:r>
        <w:rPr>
          <w:rFonts w:hint="eastAsia" w:ascii="宋体" w:hAnsi="宋体" w:eastAsia="宋体" w:cs="宋体"/>
          <w:color w:val="auto"/>
          <w:sz w:val="24"/>
          <w:szCs w:val="24"/>
          <w:highlight w:val="none"/>
        </w:rPr>
        <w:t>年</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bidi="ar"/>
        </w:rPr>
        <w:t xml:space="preserve"> 具体开工日期以发包人书面通知为准。</w:t>
      </w:r>
    </w:p>
    <w:p w14:paraId="6108CF84">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计划竣工日期：</w:t>
      </w:r>
      <w:r>
        <w:rPr>
          <w:rFonts w:hint="eastAsia" w:ascii="宋体" w:hAnsi="宋体" w:eastAsia="宋体" w:cs="宋体"/>
          <w:b/>
          <w:color w:val="auto"/>
          <w:sz w:val="24"/>
          <w:szCs w:val="24"/>
          <w:highlight w:val="none"/>
          <w:u w:val="single"/>
          <w:lang w:val="en-US" w:eastAsia="zh-CN"/>
        </w:rPr>
        <w:t>2026</w:t>
      </w:r>
      <w:r>
        <w:rPr>
          <w:rFonts w:hint="eastAsia" w:ascii="宋体" w:hAnsi="宋体" w:eastAsia="宋体" w:cs="宋体"/>
          <w:color w:val="auto"/>
          <w:sz w:val="24"/>
          <w:szCs w:val="24"/>
          <w:highlight w:val="none"/>
        </w:rPr>
        <w:t>年</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bidi="ar"/>
        </w:rPr>
        <w:t xml:space="preserve"> </w:t>
      </w:r>
    </w:p>
    <w:p w14:paraId="5E3A9E57">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工期总日历天数：</w:t>
      </w:r>
      <w:r>
        <w:rPr>
          <w:rFonts w:hint="eastAsia" w:ascii="宋体" w:hAnsi="宋体" w:eastAsia="宋体" w:cs="宋体"/>
          <w:b/>
          <w:bCs/>
          <w:color w:val="auto"/>
          <w:sz w:val="24"/>
          <w:szCs w:val="24"/>
          <w:highlight w:val="none"/>
          <w:u w:val="single"/>
          <w:lang w:val="en-US" w:eastAsia="zh-CN" w:bidi="ar"/>
        </w:rPr>
        <w:t xml:space="preserve">   </w:t>
      </w:r>
      <w:r>
        <w:rPr>
          <w:rFonts w:hint="eastAsia" w:ascii="宋体" w:hAnsi="宋体" w:eastAsia="宋体" w:cs="宋体"/>
          <w:b/>
          <w:bCs/>
          <w:color w:val="auto"/>
          <w:sz w:val="24"/>
          <w:szCs w:val="24"/>
          <w:highlight w:val="none"/>
          <w:u w:val="single"/>
          <w:lang w:bidi="ar"/>
        </w:rPr>
        <w:t>日历天</w:t>
      </w:r>
      <w:r>
        <w:rPr>
          <w:rFonts w:hint="eastAsia" w:ascii="宋体" w:hAnsi="宋体" w:eastAsia="宋体" w:cs="宋体"/>
          <w:color w:val="auto"/>
          <w:sz w:val="24"/>
          <w:szCs w:val="24"/>
          <w:highlight w:val="none"/>
          <w:lang w:bidi="ar"/>
        </w:rPr>
        <w:t xml:space="preserve">。工期总日历天数与根据前述计划开竣工日期计算的工期天数不一致的，以工期总日历天数为准。 </w:t>
      </w:r>
    </w:p>
    <w:p w14:paraId="02FE55C1">
      <w:pPr>
        <w:keepNext w:val="0"/>
        <w:keepLines w:val="0"/>
        <w:pageBreakBefore w:val="0"/>
        <w:widowControl w:val="0"/>
        <w:spacing w:line="360" w:lineRule="auto"/>
        <w:ind w:lef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三、质量标准 </w:t>
      </w:r>
    </w:p>
    <w:p w14:paraId="21BC00EE">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工程质量符合</w:t>
      </w:r>
      <w:r>
        <w:rPr>
          <w:rFonts w:hint="eastAsia" w:ascii="宋体" w:hAnsi="宋体" w:eastAsia="宋体" w:cs="宋体"/>
          <w:b/>
          <w:bCs/>
          <w:color w:val="auto"/>
          <w:sz w:val="24"/>
          <w:szCs w:val="24"/>
          <w:highlight w:val="none"/>
          <w:u w:val="single"/>
        </w:rPr>
        <w:t>合格</w:t>
      </w:r>
      <w:r>
        <w:rPr>
          <w:rFonts w:hint="eastAsia" w:ascii="宋体" w:hAnsi="宋体" w:eastAsia="宋体" w:cs="宋体"/>
          <w:color w:val="auto"/>
          <w:sz w:val="24"/>
          <w:szCs w:val="24"/>
          <w:highlight w:val="none"/>
        </w:rPr>
        <w:t>标准。</w:t>
      </w:r>
    </w:p>
    <w:p w14:paraId="1ABD4193">
      <w:pPr>
        <w:keepNext w:val="0"/>
        <w:keepLines w:val="0"/>
        <w:pageBreakBefore w:val="0"/>
        <w:widowControl w:val="0"/>
        <w:spacing w:line="360" w:lineRule="auto"/>
        <w:ind w:lef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四、签约合同价与合同价格形式 </w:t>
      </w:r>
    </w:p>
    <w:p w14:paraId="46BEF767">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1.签约合同价为：</w:t>
      </w:r>
    </w:p>
    <w:p w14:paraId="70375787">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 </w:t>
      </w:r>
    </w:p>
    <w:p w14:paraId="12BFFBA5">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其中：</w:t>
      </w:r>
    </w:p>
    <w:p w14:paraId="68749B56">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（1）安全文明施工费： </w:t>
      </w:r>
    </w:p>
    <w:p w14:paraId="1899A941">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i/>
          <w:iCs/>
          <w:color w:val="auto"/>
          <w:sz w:val="24"/>
          <w:szCs w:val="24"/>
          <w:highlight w:val="none"/>
          <w:u w:val="single"/>
        </w:rPr>
        <w:t xml:space="preserve">              </w:t>
      </w:r>
      <w:r>
        <w:rPr>
          <w:rFonts w:hint="eastAsia" w:ascii="宋体" w:hAnsi="宋体" w:eastAsia="宋体" w:cs="宋体"/>
          <w:color w:val="auto"/>
          <w:sz w:val="24"/>
          <w:szCs w:val="24"/>
          <w:highlight w:val="none"/>
        </w:rPr>
        <w:t xml:space="preserve">元)； </w:t>
      </w:r>
    </w:p>
    <w:p w14:paraId="44659D66">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（2）材料和工程设备暂估价金额：</w:t>
      </w:r>
    </w:p>
    <w:p w14:paraId="0EFC3A37">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04781DF4">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（3）专业工程暂估价金额： </w:t>
      </w:r>
    </w:p>
    <w:p w14:paraId="1DB00713">
      <w:pPr>
        <w:keepNext w:val="0"/>
        <w:keepLines w:val="0"/>
        <w:pageBreakBefore w:val="0"/>
        <w:widowControl w:val="0"/>
        <w:spacing w:line="360" w:lineRule="auto"/>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 </w:t>
      </w:r>
    </w:p>
    <w:p w14:paraId="4B4C8E5A">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（4）暂列金额： </w:t>
      </w:r>
    </w:p>
    <w:p w14:paraId="179C3F5F">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p>
    <w:p w14:paraId="5679B73F">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2.合同价格形式：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固定单价合同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7E7AC5D">
      <w:pPr>
        <w:keepNext w:val="0"/>
        <w:keepLines w:val="0"/>
        <w:pageBreakBefore w:val="0"/>
        <w:widowControl w:val="0"/>
        <w:numPr>
          <w:ilvl w:val="0"/>
          <w:numId w:val="0"/>
        </w:numPr>
        <w:tabs>
          <w:tab w:val="left" w:pos="0"/>
        </w:tabs>
        <w:spacing w:line="360" w:lineRule="auto"/>
        <w:ind w:left="0" w:leftChars="0" w:firstLine="482"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五、</w:t>
      </w:r>
      <w:r>
        <w:rPr>
          <w:rFonts w:hint="eastAsia" w:ascii="宋体" w:hAnsi="宋体" w:eastAsia="宋体" w:cs="宋体"/>
          <w:b/>
          <w:bCs/>
          <w:color w:val="auto"/>
          <w:sz w:val="24"/>
          <w:szCs w:val="24"/>
          <w:highlight w:val="none"/>
        </w:rPr>
        <w:t xml:space="preserve">项目经理 </w:t>
      </w:r>
    </w:p>
    <w:p w14:paraId="2CA1CB54">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承包人项目经理：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2AA173BB">
      <w:pPr>
        <w:keepNext w:val="0"/>
        <w:keepLines w:val="0"/>
        <w:pageBreakBefore w:val="0"/>
        <w:widowControl w:val="0"/>
        <w:spacing w:line="360" w:lineRule="auto"/>
        <w:ind w:lef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六、合同文件构成 </w:t>
      </w:r>
    </w:p>
    <w:p w14:paraId="45B140E7">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 </w:t>
      </w:r>
    </w:p>
    <w:p w14:paraId="124F73A9">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（1）中标通知书（如果有）； </w:t>
      </w:r>
    </w:p>
    <w:p w14:paraId="3A5720D4">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（2）投标函及其附录（如果有）； </w:t>
      </w:r>
    </w:p>
    <w:p w14:paraId="6AEB87C6">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（3）专用合同条款及其附件； </w:t>
      </w:r>
    </w:p>
    <w:p w14:paraId="1E79A391">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（4）通用合同条款； </w:t>
      </w:r>
    </w:p>
    <w:p w14:paraId="5A453006">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（5）技术标准和要求； </w:t>
      </w:r>
    </w:p>
    <w:p w14:paraId="0DCBDD03">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（6）图纸； </w:t>
      </w:r>
    </w:p>
    <w:p w14:paraId="52A9AE9D">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（7）已标价工程量清单或预算书； </w:t>
      </w:r>
    </w:p>
    <w:p w14:paraId="4AA4C25A">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（8）其他合同文件。 </w:t>
      </w:r>
    </w:p>
    <w:p w14:paraId="62B070CE">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在合同订立及履行过程中形成的与合同有关的文件均构成合同文件组成部分。 </w:t>
      </w:r>
    </w:p>
    <w:p w14:paraId="27F29383">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 </w:t>
      </w:r>
    </w:p>
    <w:p w14:paraId="5048CE67">
      <w:pPr>
        <w:keepNext w:val="0"/>
        <w:keepLines w:val="0"/>
        <w:pageBreakBefore w:val="0"/>
        <w:widowControl w:val="0"/>
        <w:spacing w:line="360" w:lineRule="auto"/>
        <w:ind w:lef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七、承诺</w:t>
      </w:r>
      <w:r>
        <w:rPr>
          <w:rFonts w:hint="eastAsia" w:ascii="宋体" w:hAnsi="宋体" w:eastAsia="宋体" w:cs="宋体"/>
          <w:color w:val="auto"/>
          <w:sz w:val="24"/>
          <w:szCs w:val="24"/>
          <w:highlight w:val="none"/>
        </w:rPr>
        <w:t xml:space="preserve"> </w:t>
      </w:r>
    </w:p>
    <w:p w14:paraId="2B5099BF">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1.发包人承诺按照法律规定履行项目审批手续、筹集工程建设资金并按照合同约定的期限和方式支付合同价款。 </w:t>
      </w:r>
    </w:p>
    <w:p w14:paraId="602F0D96">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 </w:t>
      </w:r>
    </w:p>
    <w:p w14:paraId="7A61CEB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 </w:t>
      </w:r>
    </w:p>
    <w:p w14:paraId="227878D3">
      <w:pPr>
        <w:keepNext w:val="0"/>
        <w:keepLines w:val="0"/>
        <w:pageBreakBefore w:val="0"/>
        <w:widowControl w:val="0"/>
        <w:spacing w:line="360" w:lineRule="auto"/>
        <w:ind w:lef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八、词语含义 </w:t>
      </w:r>
    </w:p>
    <w:p w14:paraId="4585EC89">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本协议书中词语含义与第二部分通用合同条款中赋予的含义相同。 </w:t>
      </w:r>
    </w:p>
    <w:p w14:paraId="53661391">
      <w:pPr>
        <w:keepNext w:val="0"/>
        <w:keepLines w:val="0"/>
        <w:pageBreakBefore w:val="0"/>
        <w:widowControl w:val="0"/>
        <w:spacing w:line="360" w:lineRule="auto"/>
        <w:ind w:lef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九、签订时间 </w:t>
      </w:r>
    </w:p>
    <w:p w14:paraId="4CF50363">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日签订。 </w:t>
      </w:r>
    </w:p>
    <w:p w14:paraId="37F74DA1">
      <w:pPr>
        <w:keepNext w:val="0"/>
        <w:keepLines w:val="0"/>
        <w:pageBreakBefore w:val="0"/>
        <w:widowControl w:val="0"/>
        <w:spacing w:line="360" w:lineRule="auto"/>
        <w:ind w:lef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十、签订地点 </w:t>
      </w:r>
    </w:p>
    <w:p w14:paraId="14B8069C">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江苏省经贸技师学院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签订。 </w:t>
      </w:r>
    </w:p>
    <w:p w14:paraId="393F68BD">
      <w:pPr>
        <w:keepNext w:val="0"/>
        <w:keepLines w:val="0"/>
        <w:pageBreakBefore w:val="0"/>
        <w:widowControl w:val="0"/>
        <w:spacing w:line="360" w:lineRule="auto"/>
        <w:ind w:lef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十一、补充协议 </w:t>
      </w:r>
    </w:p>
    <w:p w14:paraId="0D22B26E">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合同未尽事宜，合同当事人另行签订补充协议，补充协议是合同的组成部分。</w:t>
      </w:r>
    </w:p>
    <w:p w14:paraId="131F89EF">
      <w:pPr>
        <w:keepNext w:val="0"/>
        <w:keepLines w:val="0"/>
        <w:pageBreakBefore w:val="0"/>
        <w:widowControl w:val="0"/>
        <w:spacing w:line="360" w:lineRule="auto"/>
        <w:ind w:lef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十二、合同生效 </w:t>
      </w:r>
    </w:p>
    <w:p w14:paraId="1136ACE4">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双方签订盖章后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生效。 </w:t>
      </w:r>
    </w:p>
    <w:p w14:paraId="35D4DE24">
      <w:pPr>
        <w:keepNext w:val="0"/>
        <w:keepLines w:val="0"/>
        <w:pageBreakBefore w:val="0"/>
        <w:widowControl w:val="0"/>
        <w:spacing w:line="360" w:lineRule="auto"/>
        <w:ind w:left="0" w:firstLine="48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十三、合同份数 </w:t>
      </w:r>
    </w:p>
    <w:p w14:paraId="7C768763">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份，均具有同等法律效力，</w:t>
      </w:r>
      <w:r>
        <w:rPr>
          <w:rFonts w:hint="eastAsia" w:ascii="宋体" w:hAnsi="宋体" w:eastAsia="宋体" w:cs="宋体"/>
          <w:color w:val="auto"/>
          <w:sz w:val="24"/>
          <w:szCs w:val="24"/>
          <w:highlight w:val="none"/>
          <w:lang w:eastAsia="zh-CN"/>
        </w:rPr>
        <w:t>双方各执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份。  </w:t>
      </w:r>
    </w:p>
    <w:p w14:paraId="4D830DBE">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p>
    <w:p w14:paraId="396079F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  (公章)                           承包人：  (公章)</w:t>
      </w:r>
    </w:p>
    <w:p w14:paraId="27B6ED0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                 法定代表人或其委托代理人：</w:t>
      </w:r>
    </w:p>
    <w:p w14:paraId="049CB71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                                  （签字）</w:t>
      </w:r>
    </w:p>
    <w:p w14:paraId="1258A227">
      <w:pPr>
        <w:tabs>
          <w:tab w:val="left" w:pos="4410"/>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组织机构代码：                             组织机构代码：           </w:t>
      </w:r>
    </w:p>
    <w:p w14:paraId="5782790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地  址：        </w:t>
      </w:r>
    </w:p>
    <w:p w14:paraId="6F6FBC4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                                 邮政编码：   </w:t>
      </w:r>
    </w:p>
    <w:p w14:paraId="688AFA8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法定代表人：             </w:t>
      </w:r>
    </w:p>
    <w:p w14:paraId="2D9152F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             </w:t>
      </w:r>
    </w:p>
    <w:p w14:paraId="7A22DFD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p>
    <w:p w14:paraId="7DB642D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                                   传  真：     </w:t>
      </w:r>
    </w:p>
    <w:p w14:paraId="0473CF5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                                 电子信箱：   </w:t>
      </w:r>
    </w:p>
    <w:p w14:paraId="6F0A6F2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p>
    <w:p w14:paraId="41866F37">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账  号：     </w:t>
      </w:r>
    </w:p>
    <w:p w14:paraId="55F8E721">
      <w:pPr>
        <w:keepNext w:val="0"/>
        <w:keepLines w:val="0"/>
        <w:pageBreakBefore w:val="0"/>
        <w:widowControl w:val="0"/>
        <w:spacing w:line="360" w:lineRule="auto"/>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041D3D43">
      <w:pPr>
        <w:keepNext w:val="0"/>
        <w:keepLines w:val="0"/>
        <w:pageBreakBefore w:val="0"/>
        <w:widowControl w:val="0"/>
        <w:spacing w:line="360" w:lineRule="auto"/>
        <w:rPr>
          <w:rFonts w:hint="eastAsia" w:ascii="宋体" w:hAnsi="宋体" w:eastAsia="宋体" w:cs="宋体"/>
          <w:color w:val="auto"/>
          <w:sz w:val="24"/>
          <w:szCs w:val="24"/>
          <w:highlight w:val="none"/>
        </w:rPr>
      </w:pPr>
    </w:p>
    <w:p w14:paraId="051A2540">
      <w:pPr>
        <w:keepNext w:val="0"/>
        <w:keepLines w:val="0"/>
        <w:pageBreakBefore w:val="0"/>
        <w:widowControl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color w:val="auto"/>
          <w:sz w:val="24"/>
          <w:szCs w:val="24"/>
          <w:highlight w:val="none"/>
        </w:rPr>
        <w:t>第二部分  通用合同条款</w:t>
      </w:r>
    </w:p>
    <w:p w14:paraId="3CFD62CD">
      <w:pPr>
        <w:spacing w:line="360" w:lineRule="auto"/>
        <w:ind w:firstLine="105"/>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采用《建设工程施工合同（示范文本）》（GF—2017—0201）</w:t>
      </w:r>
    </w:p>
    <w:p w14:paraId="41C4B2ED">
      <w:pP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p>
    <w:p w14:paraId="26393A65">
      <w:pPr>
        <w:spacing w:line="360" w:lineRule="auto"/>
        <w:rPr>
          <w:rFonts w:hint="eastAsia" w:ascii="宋体" w:hAnsi="宋体" w:eastAsia="宋体" w:cs="宋体"/>
          <w:b/>
          <w:color w:val="auto"/>
          <w:sz w:val="24"/>
          <w:szCs w:val="24"/>
          <w:highlight w:val="none"/>
        </w:rPr>
      </w:pPr>
    </w:p>
    <w:p w14:paraId="32EF9772">
      <w:pPr>
        <w:spacing w:line="360" w:lineRule="auto"/>
        <w:rPr>
          <w:rFonts w:hint="eastAsia" w:ascii="宋体" w:hAnsi="宋体" w:eastAsia="宋体" w:cs="宋体"/>
          <w:b/>
          <w:color w:val="auto"/>
          <w:sz w:val="24"/>
          <w:szCs w:val="24"/>
          <w:highlight w:val="none"/>
        </w:rPr>
      </w:pPr>
    </w:p>
    <w:p w14:paraId="2C46D220">
      <w:pPr>
        <w:spacing w:line="360" w:lineRule="auto"/>
        <w:rPr>
          <w:rFonts w:hint="eastAsia" w:ascii="宋体" w:hAnsi="宋体" w:eastAsia="宋体" w:cs="宋体"/>
          <w:b/>
          <w:color w:val="auto"/>
          <w:sz w:val="24"/>
          <w:szCs w:val="24"/>
          <w:highlight w:val="none"/>
        </w:rPr>
      </w:pPr>
    </w:p>
    <w:p w14:paraId="731C2425">
      <w:pPr>
        <w:spacing w:line="360" w:lineRule="auto"/>
        <w:rPr>
          <w:rFonts w:hint="eastAsia" w:ascii="宋体" w:hAnsi="宋体" w:eastAsia="宋体" w:cs="宋体"/>
          <w:b/>
          <w:color w:val="auto"/>
          <w:sz w:val="24"/>
          <w:szCs w:val="24"/>
          <w:highlight w:val="none"/>
        </w:rPr>
      </w:pPr>
    </w:p>
    <w:p w14:paraId="085F52D6">
      <w:pPr>
        <w:spacing w:line="360" w:lineRule="auto"/>
        <w:rPr>
          <w:rFonts w:hint="eastAsia" w:ascii="宋体" w:hAnsi="宋体" w:eastAsia="宋体" w:cs="宋体"/>
          <w:b/>
          <w:color w:val="auto"/>
          <w:sz w:val="24"/>
          <w:szCs w:val="24"/>
          <w:highlight w:val="none"/>
        </w:rPr>
      </w:pPr>
    </w:p>
    <w:p w14:paraId="319EF6F1">
      <w:pPr>
        <w:spacing w:line="360" w:lineRule="auto"/>
        <w:rPr>
          <w:rFonts w:hint="eastAsia" w:ascii="宋体" w:hAnsi="宋体" w:eastAsia="宋体" w:cs="宋体"/>
          <w:b/>
          <w:color w:val="auto"/>
          <w:sz w:val="24"/>
          <w:szCs w:val="24"/>
          <w:highlight w:val="none"/>
        </w:rPr>
      </w:pPr>
    </w:p>
    <w:p w14:paraId="3374BC5F">
      <w:pPr>
        <w:spacing w:line="360" w:lineRule="auto"/>
        <w:rPr>
          <w:rFonts w:hint="eastAsia" w:ascii="宋体" w:hAnsi="宋体" w:eastAsia="宋体" w:cs="宋体"/>
          <w:b/>
          <w:color w:val="auto"/>
          <w:sz w:val="24"/>
          <w:szCs w:val="24"/>
          <w:highlight w:val="none"/>
        </w:rPr>
      </w:pPr>
    </w:p>
    <w:p w14:paraId="01224407">
      <w:pPr>
        <w:spacing w:line="360" w:lineRule="auto"/>
        <w:rPr>
          <w:rFonts w:hint="eastAsia" w:ascii="宋体" w:hAnsi="宋体" w:eastAsia="宋体" w:cs="宋体"/>
          <w:b/>
          <w:color w:val="auto"/>
          <w:sz w:val="24"/>
          <w:szCs w:val="24"/>
          <w:highlight w:val="none"/>
        </w:rPr>
      </w:pPr>
    </w:p>
    <w:p w14:paraId="7BB37059">
      <w:pPr>
        <w:spacing w:line="360" w:lineRule="auto"/>
        <w:rPr>
          <w:rFonts w:hint="eastAsia" w:ascii="宋体" w:hAnsi="宋体" w:eastAsia="宋体" w:cs="宋体"/>
          <w:b/>
          <w:color w:val="auto"/>
          <w:sz w:val="24"/>
          <w:szCs w:val="24"/>
          <w:highlight w:val="none"/>
        </w:rPr>
      </w:pPr>
    </w:p>
    <w:p w14:paraId="454F7E6F">
      <w:pPr>
        <w:spacing w:line="360" w:lineRule="auto"/>
        <w:rPr>
          <w:rFonts w:hint="eastAsia" w:ascii="宋体" w:hAnsi="宋体" w:eastAsia="宋体" w:cs="宋体"/>
          <w:b/>
          <w:color w:val="auto"/>
          <w:sz w:val="24"/>
          <w:szCs w:val="24"/>
          <w:highlight w:val="none"/>
        </w:rPr>
      </w:pPr>
    </w:p>
    <w:p w14:paraId="09B318DA">
      <w:pPr>
        <w:spacing w:line="360" w:lineRule="auto"/>
        <w:rPr>
          <w:rFonts w:hint="eastAsia" w:ascii="宋体" w:hAnsi="宋体" w:eastAsia="宋体" w:cs="宋体"/>
          <w:b/>
          <w:color w:val="auto"/>
          <w:sz w:val="24"/>
          <w:szCs w:val="24"/>
          <w:highlight w:val="none"/>
        </w:rPr>
      </w:pPr>
    </w:p>
    <w:p w14:paraId="11F7CED4">
      <w:pPr>
        <w:spacing w:line="360" w:lineRule="auto"/>
        <w:rPr>
          <w:rFonts w:hint="eastAsia" w:ascii="宋体" w:hAnsi="宋体" w:eastAsia="宋体" w:cs="宋体"/>
          <w:b/>
          <w:color w:val="auto"/>
          <w:sz w:val="24"/>
          <w:szCs w:val="24"/>
          <w:highlight w:val="none"/>
        </w:rPr>
      </w:pPr>
    </w:p>
    <w:p w14:paraId="0803A455">
      <w:pPr>
        <w:spacing w:line="360" w:lineRule="auto"/>
        <w:rPr>
          <w:rFonts w:hint="eastAsia" w:ascii="宋体" w:hAnsi="宋体" w:eastAsia="宋体" w:cs="宋体"/>
          <w:b/>
          <w:color w:val="auto"/>
          <w:sz w:val="24"/>
          <w:szCs w:val="24"/>
          <w:highlight w:val="none"/>
        </w:rPr>
      </w:pPr>
    </w:p>
    <w:p w14:paraId="048963A7">
      <w:pPr>
        <w:spacing w:line="360" w:lineRule="auto"/>
        <w:rPr>
          <w:rFonts w:hint="eastAsia" w:ascii="宋体" w:hAnsi="宋体" w:eastAsia="宋体" w:cs="宋体"/>
          <w:b/>
          <w:color w:val="auto"/>
          <w:sz w:val="24"/>
          <w:szCs w:val="24"/>
          <w:highlight w:val="none"/>
        </w:rPr>
      </w:pPr>
    </w:p>
    <w:p w14:paraId="5E4382D5">
      <w:pPr>
        <w:spacing w:line="360" w:lineRule="auto"/>
        <w:rPr>
          <w:rFonts w:hint="eastAsia" w:ascii="宋体" w:hAnsi="宋体" w:eastAsia="宋体" w:cs="宋体"/>
          <w:b/>
          <w:color w:val="auto"/>
          <w:sz w:val="24"/>
          <w:szCs w:val="24"/>
          <w:highlight w:val="none"/>
        </w:rPr>
      </w:pPr>
    </w:p>
    <w:p w14:paraId="52F178A2">
      <w:pPr>
        <w:spacing w:line="360" w:lineRule="auto"/>
        <w:rPr>
          <w:rFonts w:hint="eastAsia" w:ascii="宋体" w:hAnsi="宋体" w:eastAsia="宋体" w:cs="宋体"/>
          <w:b/>
          <w:color w:val="auto"/>
          <w:sz w:val="24"/>
          <w:szCs w:val="24"/>
          <w:highlight w:val="none"/>
        </w:rPr>
      </w:pPr>
    </w:p>
    <w:p w14:paraId="3333C427">
      <w:pPr>
        <w:spacing w:line="360" w:lineRule="auto"/>
        <w:rPr>
          <w:rFonts w:hint="eastAsia" w:ascii="宋体" w:hAnsi="宋体" w:eastAsia="宋体" w:cs="宋体"/>
          <w:b/>
          <w:color w:val="auto"/>
          <w:sz w:val="24"/>
          <w:szCs w:val="24"/>
          <w:highlight w:val="none"/>
        </w:rPr>
      </w:pPr>
    </w:p>
    <w:p w14:paraId="5F7CA115">
      <w:pPr>
        <w:spacing w:line="360" w:lineRule="auto"/>
        <w:rPr>
          <w:rFonts w:hint="eastAsia" w:ascii="宋体" w:hAnsi="宋体" w:eastAsia="宋体" w:cs="宋体"/>
          <w:b/>
          <w:color w:val="auto"/>
          <w:sz w:val="24"/>
          <w:szCs w:val="24"/>
          <w:highlight w:val="none"/>
        </w:rPr>
      </w:pPr>
    </w:p>
    <w:p w14:paraId="2DA351C4">
      <w:pPr>
        <w:spacing w:line="360" w:lineRule="auto"/>
        <w:rPr>
          <w:rFonts w:hint="eastAsia" w:ascii="宋体" w:hAnsi="宋体" w:eastAsia="宋体" w:cs="宋体"/>
          <w:b/>
          <w:color w:val="auto"/>
          <w:sz w:val="24"/>
          <w:szCs w:val="24"/>
          <w:highlight w:val="none"/>
        </w:rPr>
      </w:pPr>
    </w:p>
    <w:p w14:paraId="2A76C909">
      <w:pPr>
        <w:spacing w:line="360" w:lineRule="auto"/>
        <w:rPr>
          <w:rFonts w:hint="eastAsia" w:ascii="宋体" w:hAnsi="宋体" w:eastAsia="宋体" w:cs="宋体"/>
          <w:b/>
          <w:color w:val="auto"/>
          <w:sz w:val="24"/>
          <w:szCs w:val="24"/>
          <w:highlight w:val="none"/>
        </w:rPr>
      </w:pPr>
    </w:p>
    <w:p w14:paraId="0EAB48F5">
      <w:pPr>
        <w:spacing w:line="360" w:lineRule="auto"/>
        <w:rPr>
          <w:rFonts w:hint="eastAsia" w:ascii="宋体" w:hAnsi="宋体" w:eastAsia="宋体" w:cs="宋体"/>
          <w:b/>
          <w:color w:val="auto"/>
          <w:sz w:val="24"/>
          <w:szCs w:val="24"/>
          <w:highlight w:val="none"/>
        </w:rPr>
      </w:pPr>
    </w:p>
    <w:p w14:paraId="497BBF5E">
      <w:pPr>
        <w:spacing w:line="360" w:lineRule="auto"/>
        <w:rPr>
          <w:rFonts w:hint="eastAsia" w:ascii="宋体" w:hAnsi="宋体" w:eastAsia="宋体" w:cs="宋体"/>
          <w:b/>
          <w:color w:val="auto"/>
          <w:sz w:val="24"/>
          <w:szCs w:val="24"/>
          <w:highlight w:val="none"/>
        </w:rPr>
      </w:pPr>
    </w:p>
    <w:p w14:paraId="192DCA50">
      <w:pPr>
        <w:spacing w:line="360" w:lineRule="auto"/>
        <w:rPr>
          <w:rFonts w:hint="eastAsia" w:ascii="宋体" w:hAnsi="宋体" w:eastAsia="宋体" w:cs="宋体"/>
          <w:b/>
          <w:color w:val="auto"/>
          <w:sz w:val="24"/>
          <w:szCs w:val="24"/>
          <w:highlight w:val="none"/>
        </w:rPr>
      </w:pPr>
    </w:p>
    <w:p w14:paraId="1AF9DFFD">
      <w:pPr>
        <w:pageBreakBefore/>
        <w:spacing w:line="360" w:lineRule="auto"/>
        <w:ind w:left="0" w:right="0" w:firstLine="48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第三部分 专用合同条款</w:t>
      </w:r>
    </w:p>
    <w:p w14:paraId="7FD195CF">
      <w:pPr>
        <w:keepNext/>
        <w:keepLines/>
        <w:widowControl w:val="0"/>
        <w:spacing w:before="0" w:after="0" w:line="360" w:lineRule="auto"/>
        <w:ind w:left="0" w:right="0" w:firstLine="480"/>
        <w:jc w:val="both"/>
        <w:outlineLvl w:val="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1. 一般约定</w:t>
      </w:r>
    </w:p>
    <w:p w14:paraId="7C1C9CF0">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词语定义</w:t>
      </w:r>
    </w:p>
    <w:p w14:paraId="7BD7BCD8">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1.1.1合同</w:t>
      </w:r>
    </w:p>
    <w:p w14:paraId="2E877BC1">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1.1.1.10其他合同文件包括：</w:t>
      </w:r>
    </w:p>
    <w:p w14:paraId="5EE9D6F8">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⑴ 合同协议书</w:t>
      </w:r>
    </w:p>
    <w:p w14:paraId="74C8A41F">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⑵ 中标通知书</w:t>
      </w:r>
    </w:p>
    <w:p w14:paraId="34C52C17">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⑶ 投标函及其附录</w:t>
      </w:r>
    </w:p>
    <w:p w14:paraId="4B0037C7">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⑷ 专用合同条款及其附件</w:t>
      </w:r>
    </w:p>
    <w:p w14:paraId="328F9A67">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⑸ 通用合同条款</w:t>
      </w:r>
    </w:p>
    <w:p w14:paraId="46F1FFA5">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⑹ 技术标准和要求</w:t>
      </w:r>
    </w:p>
    <w:p w14:paraId="042DCC4D">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⑺ 图纸</w:t>
      </w:r>
    </w:p>
    <w:p w14:paraId="20500727">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⑻ 已标价的工程量清单或预算书</w:t>
      </w:r>
    </w:p>
    <w:p w14:paraId="291A62B5">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⑼ 其他合同文件 </w:t>
      </w:r>
      <w:r>
        <w:rPr>
          <w:rFonts w:hint="eastAsia" w:ascii="宋体" w:hAnsi="宋体" w:eastAsia="宋体" w:cs="宋体"/>
          <w:color w:val="auto"/>
          <w:sz w:val="24"/>
          <w:szCs w:val="24"/>
          <w:highlight w:val="none"/>
        </w:rPr>
        <w:t>。</w:t>
      </w:r>
    </w:p>
    <w:p w14:paraId="6A850FFF">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合同当事人及其他相关方</w:t>
      </w:r>
    </w:p>
    <w:p w14:paraId="40423C67">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1.1.2.4监理人：</w:t>
      </w:r>
    </w:p>
    <w:p w14:paraId="4965DBA3">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ED73CEA">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AB2199C">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3C0ACF4">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1C9EC6E">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8E04F5F">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1.1.2.5 设计人：</w:t>
      </w:r>
    </w:p>
    <w:p w14:paraId="6741C08D">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C0C9B1D">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A521DBA">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F04B2B4">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BF696AC">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66294FF">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工程和设备</w:t>
      </w:r>
    </w:p>
    <w:p w14:paraId="5A900E4D">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1.1.3.7 作为施工现场组成部分的其他场所包括：</w:t>
      </w:r>
      <w:r>
        <w:rPr>
          <w:rFonts w:hint="eastAsia" w:ascii="宋体" w:hAnsi="宋体" w:eastAsia="宋体" w:cs="宋体"/>
          <w:color w:val="auto"/>
          <w:sz w:val="24"/>
          <w:szCs w:val="24"/>
          <w:highlight w:val="none"/>
          <w:u w:val="single"/>
        </w:rPr>
        <w:t>临时设施及永久占地</w:t>
      </w:r>
      <w:r>
        <w:rPr>
          <w:rFonts w:hint="eastAsia" w:ascii="宋体" w:hAnsi="宋体" w:eastAsia="宋体" w:cs="宋体"/>
          <w:color w:val="auto"/>
          <w:sz w:val="24"/>
          <w:szCs w:val="24"/>
          <w:highlight w:val="none"/>
        </w:rPr>
        <w:t>。</w:t>
      </w:r>
    </w:p>
    <w:p w14:paraId="382C5A42">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1.1.3.9 永久占地包括：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3253F37">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1.1.3.10 临时占地包括：</w:t>
      </w:r>
      <w:r>
        <w:rPr>
          <w:rFonts w:hint="eastAsia" w:ascii="宋体" w:hAnsi="宋体" w:eastAsia="宋体" w:cs="宋体"/>
          <w:color w:val="auto"/>
          <w:sz w:val="24"/>
          <w:szCs w:val="24"/>
          <w:highlight w:val="none"/>
          <w:u w:val="single"/>
        </w:rPr>
        <w:t>如因工程施工需要，承包人使用学校外的临时用地，其临时用地手续及所有费用由承包人负责。承包人因施工需要在学校内占用校园场地作为临时用地的，需得到发包人的批准，并履行环保文明措施，并无条件恢复原状，其所有费用由承包人承担</w:t>
      </w:r>
      <w:r>
        <w:rPr>
          <w:rFonts w:hint="eastAsia" w:ascii="宋体" w:hAnsi="宋体" w:eastAsia="宋体" w:cs="宋体"/>
          <w:color w:val="auto"/>
          <w:sz w:val="24"/>
          <w:szCs w:val="24"/>
          <w:highlight w:val="none"/>
        </w:rPr>
        <w:t>。</w:t>
      </w:r>
    </w:p>
    <w:p w14:paraId="25EE4226">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1.3法律 </w:t>
      </w:r>
    </w:p>
    <w:p w14:paraId="66E5DFDB">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适用于合同的其他规范性文件：</w:t>
      </w:r>
      <w:r>
        <w:rPr>
          <w:rFonts w:hint="eastAsia" w:ascii="宋体" w:hAnsi="宋体" w:eastAsia="宋体" w:cs="宋体"/>
          <w:color w:val="auto"/>
          <w:sz w:val="24"/>
          <w:szCs w:val="24"/>
          <w:highlight w:val="none"/>
          <w:u w:val="single"/>
        </w:rPr>
        <w:t xml:space="preserve"> 《中华人民共和国民法典》、《中华人民共和国建筑法》、《中华人民共和国招标投标法》、《中华人民共和国</w:t>
      </w:r>
      <w:r>
        <w:rPr>
          <w:rFonts w:hint="eastAsia" w:ascii="宋体" w:hAnsi="宋体" w:eastAsia="宋体" w:cs="宋体"/>
          <w:color w:val="auto"/>
          <w:sz w:val="24"/>
          <w:szCs w:val="24"/>
          <w:highlight w:val="none"/>
          <w:u w:val="single"/>
          <w:lang w:eastAsia="zh-CN"/>
        </w:rPr>
        <w:t>政府采购法</w:t>
      </w:r>
      <w:r>
        <w:rPr>
          <w:rFonts w:hint="eastAsia" w:ascii="宋体" w:hAnsi="宋体" w:eastAsia="宋体" w:cs="宋体"/>
          <w:color w:val="auto"/>
          <w:sz w:val="24"/>
          <w:szCs w:val="24"/>
          <w:highlight w:val="none"/>
          <w:u w:val="single"/>
        </w:rPr>
        <w:t>》《江苏省工程建设管理条例》</w:t>
      </w:r>
      <w:r>
        <w:rPr>
          <w:rFonts w:hint="eastAsia" w:ascii="宋体" w:hAnsi="宋体" w:eastAsia="宋体" w:cs="宋体"/>
          <w:color w:val="auto"/>
          <w:sz w:val="24"/>
          <w:szCs w:val="24"/>
          <w:highlight w:val="none"/>
          <w:u w:val="single"/>
          <w:lang w:eastAsia="zh-CN"/>
        </w:rPr>
        <w:t>等</w:t>
      </w:r>
      <w:r>
        <w:rPr>
          <w:rFonts w:hint="eastAsia" w:ascii="宋体" w:hAnsi="宋体" w:eastAsia="宋体" w:cs="宋体"/>
          <w:color w:val="auto"/>
          <w:sz w:val="24"/>
          <w:szCs w:val="24"/>
          <w:highlight w:val="none"/>
          <w:u w:val="single"/>
        </w:rPr>
        <w:t>、以及国家和地方现行的法律法规的规定</w:t>
      </w:r>
      <w:r>
        <w:rPr>
          <w:rFonts w:hint="eastAsia" w:ascii="宋体" w:hAnsi="宋体" w:eastAsia="宋体" w:cs="宋体"/>
          <w:color w:val="auto"/>
          <w:sz w:val="24"/>
          <w:szCs w:val="24"/>
          <w:highlight w:val="none"/>
        </w:rPr>
        <w:t>。</w:t>
      </w:r>
    </w:p>
    <w:p w14:paraId="6C07DCFB">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标准和规范</w:t>
      </w:r>
    </w:p>
    <w:p w14:paraId="745BD869">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1.4.1适用于工程的标准规范包括：</w:t>
      </w:r>
      <w:r>
        <w:rPr>
          <w:rFonts w:hint="eastAsia" w:ascii="宋体" w:hAnsi="宋体" w:eastAsia="宋体" w:cs="宋体"/>
          <w:color w:val="auto"/>
          <w:kern w:val="0"/>
          <w:sz w:val="24"/>
          <w:szCs w:val="22"/>
          <w:highlight w:val="none"/>
          <w:u w:val="single"/>
        </w:rPr>
        <w:t>详见设计文件及</w:t>
      </w:r>
      <w:r>
        <w:rPr>
          <w:rFonts w:hint="eastAsia" w:ascii="宋体" w:hAnsi="宋体" w:eastAsia="宋体" w:cs="宋体"/>
          <w:color w:val="auto"/>
          <w:sz w:val="24"/>
          <w:szCs w:val="24"/>
          <w:highlight w:val="none"/>
          <w:u w:val="single"/>
        </w:rPr>
        <w:t>国家、地方相关的现行标准、规范</w:t>
      </w:r>
      <w:r>
        <w:rPr>
          <w:rFonts w:hint="eastAsia" w:ascii="宋体" w:hAnsi="宋体" w:eastAsia="宋体" w:cs="宋体"/>
          <w:color w:val="auto"/>
          <w:sz w:val="24"/>
          <w:szCs w:val="24"/>
          <w:highlight w:val="none"/>
        </w:rPr>
        <w:t>。</w:t>
      </w:r>
    </w:p>
    <w:p w14:paraId="5E20E94E">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p>
    <w:p w14:paraId="3E9609CA">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发包人提供国外标准、规范的份数：</w:t>
      </w:r>
      <w:r>
        <w:rPr>
          <w:rFonts w:hint="eastAsia" w:ascii="宋体" w:hAnsi="宋体" w:eastAsia="宋体" w:cs="宋体"/>
          <w:color w:val="auto"/>
          <w:sz w:val="24"/>
          <w:szCs w:val="24"/>
          <w:highlight w:val="none"/>
          <w:u w:val="single"/>
        </w:rPr>
        <w:t xml:space="preserve"> /   </w:t>
      </w:r>
    </w:p>
    <w:p w14:paraId="5898CFC9">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发包人提供国外标准、规范的名称：</w:t>
      </w:r>
      <w:r>
        <w:rPr>
          <w:rFonts w:hint="eastAsia" w:ascii="宋体" w:hAnsi="宋体" w:eastAsia="宋体" w:cs="宋体"/>
          <w:color w:val="auto"/>
          <w:sz w:val="24"/>
          <w:szCs w:val="24"/>
          <w:highlight w:val="none"/>
          <w:u w:val="single"/>
        </w:rPr>
        <w:t xml:space="preserve"> /   </w:t>
      </w:r>
    </w:p>
    <w:p w14:paraId="2AB9A63B">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1.4.3发包人对工程的技术标准和功能要求的特殊要求：</w:t>
      </w:r>
      <w:r>
        <w:rPr>
          <w:rFonts w:hint="eastAsia" w:ascii="宋体" w:hAnsi="宋体" w:eastAsia="宋体" w:cs="宋体"/>
          <w:color w:val="auto"/>
          <w:sz w:val="24"/>
          <w:szCs w:val="24"/>
          <w:highlight w:val="none"/>
          <w:u w:val="single"/>
        </w:rPr>
        <w:t xml:space="preserve">  /   </w:t>
      </w:r>
    </w:p>
    <w:p w14:paraId="1382E5CF">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合同文件的优先顺序</w:t>
      </w:r>
    </w:p>
    <w:p w14:paraId="1AA5077B">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合同文件组成及优先顺序为：</w:t>
      </w:r>
      <w:r>
        <w:rPr>
          <w:rFonts w:hint="eastAsia" w:ascii="宋体" w:hAnsi="宋体" w:eastAsia="宋体" w:cs="宋体"/>
          <w:b w:val="0"/>
          <w:bCs w:val="0"/>
          <w:color w:val="auto"/>
          <w:sz w:val="24"/>
          <w:szCs w:val="24"/>
          <w:highlight w:val="none"/>
          <w:u w:val="single"/>
        </w:rPr>
        <w:t>1、合同协议书  2、</w:t>
      </w:r>
      <w:r>
        <w:rPr>
          <w:rFonts w:hint="eastAsia" w:ascii="宋体" w:hAnsi="宋体" w:eastAsia="宋体" w:cs="宋体"/>
          <w:b w:val="0"/>
          <w:bCs w:val="0"/>
          <w:color w:val="auto"/>
          <w:sz w:val="24"/>
          <w:szCs w:val="24"/>
          <w:highlight w:val="none"/>
          <w:u w:val="single"/>
          <w:lang w:eastAsia="zh-CN"/>
        </w:rPr>
        <w:t>成交</w:t>
      </w:r>
      <w:r>
        <w:rPr>
          <w:rFonts w:hint="eastAsia" w:ascii="宋体" w:hAnsi="宋体" w:eastAsia="宋体" w:cs="宋体"/>
          <w:b w:val="0"/>
          <w:bCs w:val="0"/>
          <w:color w:val="auto"/>
          <w:sz w:val="24"/>
          <w:szCs w:val="24"/>
          <w:highlight w:val="none"/>
          <w:u w:val="single"/>
        </w:rPr>
        <w:t>通知书  3、投标函及其附录  4、专用合同条款及附件  5、通用合同条款  6、技术标准和要求  7、图纸  8、已标价的工程量清单或预算书  9、其他合同文件。</w:t>
      </w:r>
    </w:p>
    <w:p w14:paraId="32E2ABE1">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图纸和承包人文件</w:t>
      </w:r>
      <w:r>
        <w:rPr>
          <w:rFonts w:hint="eastAsia" w:ascii="宋体" w:hAnsi="宋体" w:eastAsia="宋体" w:cs="宋体"/>
          <w:color w:val="auto"/>
          <w:sz w:val="24"/>
          <w:szCs w:val="24"/>
          <w:highlight w:val="none"/>
        </w:rPr>
        <w:tab/>
      </w:r>
    </w:p>
    <w:p w14:paraId="0F0CB66F">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图纸的提供</w:t>
      </w:r>
    </w:p>
    <w:p w14:paraId="68395271">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发包人向承包人提供图纸的期限：</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w:t>
      </w:r>
    </w:p>
    <w:p w14:paraId="5AF27571">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发包人向承包人提供图纸的数量：</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rPr>
        <w:t>；</w:t>
      </w:r>
    </w:p>
    <w:p w14:paraId="374A7578">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发包人向承包人提供图纸的内容：</w:t>
      </w:r>
      <w:r>
        <w:rPr>
          <w:rFonts w:hint="eastAsia" w:ascii="宋体" w:hAnsi="宋体" w:eastAsia="宋体" w:cs="宋体"/>
          <w:color w:val="auto"/>
          <w:sz w:val="24"/>
          <w:szCs w:val="24"/>
          <w:highlight w:val="none"/>
          <w:u w:val="single"/>
          <w:lang w:val="en-US" w:eastAsia="zh-CN" w:bidi="ar"/>
        </w:rPr>
        <w:t xml:space="preserve">    /  </w:t>
      </w:r>
      <w:r>
        <w:rPr>
          <w:rFonts w:hint="eastAsia" w:ascii="宋体" w:hAnsi="宋体" w:eastAsia="宋体" w:cs="宋体"/>
          <w:color w:val="auto"/>
          <w:sz w:val="24"/>
          <w:szCs w:val="24"/>
          <w:highlight w:val="none"/>
        </w:rPr>
        <w:t>。</w:t>
      </w:r>
    </w:p>
    <w:p w14:paraId="60C1B998">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 承包人文件</w:t>
      </w:r>
    </w:p>
    <w:p w14:paraId="6ED7FABB">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需要由承包人提供的文件，包括：</w:t>
      </w:r>
      <w:r>
        <w:rPr>
          <w:rFonts w:hint="eastAsia" w:ascii="宋体" w:hAnsi="宋体" w:eastAsia="宋体" w:cs="宋体"/>
          <w:color w:val="auto"/>
          <w:sz w:val="24"/>
          <w:szCs w:val="24"/>
          <w:highlight w:val="none"/>
          <w:u w:val="single"/>
        </w:rPr>
        <w:t>承包人在开工前7天内，向监理工程师提交4份格式和内容符合监理工程师规定的施工组织设计；对于关键部位和环节工程，施工前至少5天內应按监理工程师要求提交专项施工方案，以备审查批准；每月25日前应按监理工程师要求提供本月月报及下月计划各4份；每周例会前一天应按监理工程师要求提供本周周报及下周计划各4份；必要时应提供日报和日计划各4份。以上资料由监理人报送发包人2份等</w:t>
      </w:r>
      <w:r>
        <w:rPr>
          <w:rFonts w:hint="eastAsia" w:ascii="宋体" w:hAnsi="宋体" w:eastAsia="宋体" w:cs="宋体"/>
          <w:color w:val="auto"/>
          <w:sz w:val="24"/>
          <w:szCs w:val="24"/>
          <w:highlight w:val="none"/>
        </w:rPr>
        <w:t>；</w:t>
      </w:r>
    </w:p>
    <w:p w14:paraId="3641DF4F">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承包人提供的文件的期限为：</w:t>
      </w:r>
      <w:r>
        <w:rPr>
          <w:rFonts w:hint="eastAsia" w:ascii="宋体" w:hAnsi="宋体" w:eastAsia="宋体" w:cs="宋体"/>
          <w:color w:val="auto"/>
          <w:sz w:val="24"/>
          <w:szCs w:val="24"/>
          <w:highlight w:val="none"/>
          <w:u w:val="single"/>
        </w:rPr>
        <w:t>其他文件双方另行确定</w:t>
      </w:r>
      <w:r>
        <w:rPr>
          <w:rFonts w:hint="eastAsia" w:ascii="宋体" w:hAnsi="宋体" w:eastAsia="宋体" w:cs="宋体"/>
          <w:color w:val="auto"/>
          <w:sz w:val="24"/>
          <w:szCs w:val="24"/>
          <w:highlight w:val="none"/>
        </w:rPr>
        <w:t>；</w:t>
      </w:r>
    </w:p>
    <w:p w14:paraId="1E126679">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承包人提供的文件的数量为：</w:t>
      </w:r>
      <w:r>
        <w:rPr>
          <w:rFonts w:hint="eastAsia" w:ascii="宋体" w:hAnsi="宋体" w:eastAsia="宋体" w:cs="宋体"/>
          <w:color w:val="auto"/>
          <w:sz w:val="24"/>
          <w:szCs w:val="24"/>
          <w:highlight w:val="none"/>
          <w:u w:val="single"/>
        </w:rPr>
        <w:t>其他文件双方另行确定</w:t>
      </w:r>
      <w:r>
        <w:rPr>
          <w:rFonts w:hint="eastAsia" w:ascii="宋体" w:hAnsi="宋体" w:eastAsia="宋体" w:cs="宋体"/>
          <w:color w:val="auto"/>
          <w:sz w:val="24"/>
          <w:szCs w:val="24"/>
          <w:highlight w:val="none"/>
        </w:rPr>
        <w:t>；</w:t>
      </w:r>
    </w:p>
    <w:p w14:paraId="676626DB">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承包人提供的文件的形式为：</w:t>
      </w:r>
      <w:r>
        <w:rPr>
          <w:rFonts w:hint="eastAsia" w:ascii="宋体" w:hAnsi="宋体" w:eastAsia="宋体" w:cs="宋体"/>
          <w:color w:val="auto"/>
          <w:sz w:val="24"/>
          <w:szCs w:val="24"/>
          <w:highlight w:val="none"/>
          <w:u w:val="single"/>
        </w:rPr>
        <w:t>根据发包人实际要求</w:t>
      </w:r>
      <w:r>
        <w:rPr>
          <w:rFonts w:hint="eastAsia" w:ascii="宋体" w:hAnsi="宋体" w:eastAsia="宋体" w:cs="宋体"/>
          <w:color w:val="auto"/>
          <w:sz w:val="24"/>
          <w:szCs w:val="24"/>
          <w:highlight w:val="none"/>
        </w:rPr>
        <w:t>；</w:t>
      </w:r>
    </w:p>
    <w:p w14:paraId="2DD8AEE3">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发包人审批承包人文件的期限：</w:t>
      </w:r>
      <w:r>
        <w:rPr>
          <w:rFonts w:hint="eastAsia" w:ascii="宋体" w:hAnsi="宋体" w:eastAsia="宋体" w:cs="宋体"/>
          <w:color w:val="auto"/>
          <w:sz w:val="24"/>
          <w:szCs w:val="24"/>
          <w:highlight w:val="none"/>
          <w:u w:val="single"/>
        </w:rPr>
        <w:t>收到书面文件14日内。</w:t>
      </w:r>
    </w:p>
    <w:p w14:paraId="603BE94B">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监理人审批承包人文件的期限：</w:t>
      </w:r>
      <w:r>
        <w:rPr>
          <w:rFonts w:hint="eastAsia" w:ascii="宋体" w:hAnsi="宋体" w:eastAsia="宋体" w:cs="宋体"/>
          <w:color w:val="auto"/>
          <w:sz w:val="24"/>
          <w:szCs w:val="24"/>
          <w:highlight w:val="none"/>
          <w:u w:val="single"/>
        </w:rPr>
        <w:t>收到承包人文件后14天内，监理人对承包人文件有异议的，承包人应予以修改，并重新报送监理人。监理人的审查并不减轻或免除承包人根据合同约定应当承担的责任。</w:t>
      </w:r>
    </w:p>
    <w:p w14:paraId="149CD7A5">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1.6.5 现场图纸准备</w:t>
      </w:r>
    </w:p>
    <w:p w14:paraId="46BD8F72">
      <w:pPr>
        <w:spacing w:line="360" w:lineRule="auto"/>
        <w:ind w:left="0" w:right="0"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关于现场图纸准备的约定：</w:t>
      </w:r>
      <w:r>
        <w:rPr>
          <w:rFonts w:hint="eastAsia" w:ascii="宋体" w:hAnsi="宋体" w:eastAsia="宋体" w:cs="宋体"/>
          <w:b w:val="0"/>
          <w:bCs w:val="0"/>
          <w:color w:val="auto"/>
          <w:sz w:val="24"/>
          <w:szCs w:val="24"/>
          <w:highlight w:val="none"/>
          <w:u w:val="single"/>
        </w:rPr>
        <w:t>承包人应在施工现场保留一套完整图纸，供监理工程师及有关人员进行工程检查时使用。</w:t>
      </w:r>
    </w:p>
    <w:p w14:paraId="1D5A4C0D">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联络</w:t>
      </w:r>
    </w:p>
    <w:p w14:paraId="224B15A6">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1.7.1发包人和承包人应当在</w:t>
      </w:r>
      <w:r>
        <w:rPr>
          <w:rFonts w:hint="eastAsia" w:ascii="宋体" w:hAnsi="宋体" w:eastAsia="宋体" w:cs="宋体"/>
          <w:color w:val="auto"/>
          <w:sz w:val="24"/>
          <w:szCs w:val="24"/>
          <w:highlight w:val="none"/>
          <w:u w:val="single"/>
        </w:rPr>
        <w:t xml:space="preserve"> 3 </w:t>
      </w:r>
      <w:r>
        <w:rPr>
          <w:rFonts w:hint="eastAsia" w:ascii="宋体" w:hAnsi="宋体" w:eastAsia="宋体" w:cs="宋体"/>
          <w:color w:val="auto"/>
          <w:sz w:val="24"/>
          <w:szCs w:val="24"/>
          <w:highlight w:val="none"/>
        </w:rPr>
        <w:t>天内将与合同有关的通知、批准、证明、证书、指示、指令、要求、请求、同意、意见、确定和决定等书面函件送达对方当事人。</w:t>
      </w:r>
    </w:p>
    <w:p w14:paraId="2679A9FC">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 发包人接收文件的地点：</w:t>
      </w:r>
      <w:r>
        <w:rPr>
          <w:rFonts w:hint="eastAsia" w:ascii="宋体" w:hAnsi="宋体" w:eastAsia="宋体" w:cs="宋体"/>
          <w:color w:val="auto"/>
          <w:sz w:val="24"/>
          <w:szCs w:val="24"/>
          <w:highlight w:val="none"/>
          <w:u w:val="single"/>
        </w:rPr>
        <w:t>项目所在地发包人项目部</w:t>
      </w:r>
      <w:r>
        <w:rPr>
          <w:rFonts w:hint="eastAsia" w:ascii="宋体" w:hAnsi="宋体" w:eastAsia="宋体" w:cs="宋体"/>
          <w:color w:val="auto"/>
          <w:sz w:val="24"/>
          <w:szCs w:val="24"/>
          <w:highlight w:val="none"/>
        </w:rPr>
        <w:t>；</w:t>
      </w:r>
    </w:p>
    <w:p w14:paraId="4A42A7FA">
      <w:pPr>
        <w:keepNext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1.7.2 发包人接收文件的地点：</w:t>
      </w:r>
      <w:r>
        <w:rPr>
          <w:rFonts w:hint="eastAsia" w:ascii="宋体" w:hAnsi="宋体" w:eastAsia="宋体" w:cs="宋体"/>
          <w:color w:val="auto"/>
          <w:sz w:val="24"/>
          <w:szCs w:val="24"/>
          <w:highlight w:val="none"/>
          <w:u w:val="single"/>
          <w:lang w:bidi="ar"/>
        </w:rPr>
        <w:t>发包人指定地点</w:t>
      </w:r>
      <w:r>
        <w:rPr>
          <w:rFonts w:hint="eastAsia" w:ascii="宋体" w:hAnsi="宋体" w:eastAsia="宋体" w:cs="宋体"/>
          <w:color w:val="auto"/>
          <w:sz w:val="24"/>
          <w:szCs w:val="24"/>
          <w:highlight w:val="none"/>
          <w:lang w:bidi="ar"/>
        </w:rPr>
        <w:t>；</w:t>
      </w:r>
    </w:p>
    <w:p w14:paraId="3008B121">
      <w:pPr>
        <w:keepNext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发包人指定的接收人为：</w:t>
      </w:r>
      <w:r>
        <w:rPr>
          <w:rFonts w:hint="eastAsia" w:ascii="宋体" w:hAnsi="宋体" w:eastAsia="宋体" w:cs="宋体"/>
          <w:color w:val="auto"/>
          <w:sz w:val="24"/>
          <w:szCs w:val="24"/>
          <w:highlight w:val="none"/>
          <w:u w:val="single"/>
          <w:lang w:bidi="ar"/>
        </w:rPr>
        <w:t>发包人现场代表</w:t>
      </w:r>
      <w:r>
        <w:rPr>
          <w:rFonts w:hint="eastAsia" w:ascii="宋体" w:hAnsi="宋体" w:eastAsia="宋体" w:cs="宋体"/>
          <w:color w:val="auto"/>
          <w:sz w:val="24"/>
          <w:szCs w:val="24"/>
          <w:highlight w:val="none"/>
          <w:lang w:bidi="ar"/>
        </w:rPr>
        <w:t>。</w:t>
      </w:r>
    </w:p>
    <w:p w14:paraId="1FCA5F40">
      <w:pPr>
        <w:keepNext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承包人接收文件的地点：</w:t>
      </w:r>
      <w:r>
        <w:rPr>
          <w:rFonts w:hint="eastAsia" w:ascii="宋体" w:hAnsi="宋体" w:eastAsia="宋体" w:cs="宋体"/>
          <w:color w:val="auto"/>
          <w:sz w:val="24"/>
          <w:szCs w:val="24"/>
          <w:highlight w:val="none"/>
          <w:u w:val="single"/>
          <w:lang w:bidi="ar"/>
        </w:rPr>
        <w:t>双方协商确定</w:t>
      </w:r>
      <w:r>
        <w:rPr>
          <w:rFonts w:hint="eastAsia" w:ascii="宋体" w:hAnsi="宋体" w:eastAsia="宋体" w:cs="宋体"/>
          <w:color w:val="auto"/>
          <w:sz w:val="24"/>
          <w:szCs w:val="24"/>
          <w:highlight w:val="none"/>
          <w:lang w:bidi="ar"/>
        </w:rPr>
        <w:t>；</w:t>
      </w:r>
    </w:p>
    <w:p w14:paraId="7730F98A">
      <w:pPr>
        <w:keepNext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承包人指定的接收人为：</w:t>
      </w:r>
      <w:r>
        <w:rPr>
          <w:rFonts w:hint="eastAsia" w:ascii="宋体" w:hAnsi="宋体" w:eastAsia="宋体" w:cs="宋体"/>
          <w:color w:val="auto"/>
          <w:sz w:val="24"/>
          <w:szCs w:val="24"/>
          <w:highlight w:val="none"/>
          <w:u w:val="single"/>
          <w:lang w:bidi="ar"/>
        </w:rPr>
        <w:t>双方协商确定</w:t>
      </w:r>
      <w:r>
        <w:rPr>
          <w:rFonts w:hint="eastAsia" w:ascii="宋体" w:hAnsi="宋体" w:eastAsia="宋体" w:cs="宋体"/>
          <w:color w:val="auto"/>
          <w:sz w:val="24"/>
          <w:szCs w:val="24"/>
          <w:highlight w:val="none"/>
          <w:lang w:bidi="ar"/>
        </w:rPr>
        <w:t>。</w:t>
      </w:r>
    </w:p>
    <w:p w14:paraId="4F4985F7">
      <w:pPr>
        <w:keepNext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监理人接收文件的地点：</w:t>
      </w:r>
      <w:r>
        <w:rPr>
          <w:rFonts w:hint="eastAsia" w:ascii="宋体" w:hAnsi="宋体" w:eastAsia="宋体" w:cs="宋体"/>
          <w:color w:val="auto"/>
          <w:sz w:val="24"/>
          <w:szCs w:val="24"/>
          <w:highlight w:val="none"/>
          <w:u w:val="single"/>
          <w:lang w:bidi="ar"/>
        </w:rPr>
        <w:t>双方协商确定</w:t>
      </w:r>
      <w:r>
        <w:rPr>
          <w:rFonts w:hint="eastAsia" w:ascii="宋体" w:hAnsi="宋体" w:eastAsia="宋体" w:cs="宋体"/>
          <w:color w:val="auto"/>
          <w:sz w:val="24"/>
          <w:szCs w:val="24"/>
          <w:highlight w:val="none"/>
          <w:lang w:bidi="ar"/>
        </w:rPr>
        <w:t>；</w:t>
      </w:r>
    </w:p>
    <w:p w14:paraId="3F2C2199">
      <w:pPr>
        <w:keepNext w:val="0"/>
        <w:pageBreakBefore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监理人指定的接收人为：</w:t>
      </w:r>
      <w:r>
        <w:rPr>
          <w:rFonts w:hint="eastAsia" w:ascii="宋体" w:hAnsi="宋体" w:eastAsia="宋体" w:cs="宋体"/>
          <w:color w:val="auto"/>
          <w:sz w:val="24"/>
          <w:szCs w:val="24"/>
          <w:highlight w:val="none"/>
          <w:u w:val="single"/>
          <w:lang w:bidi="ar"/>
        </w:rPr>
        <w:t>双方协商确定</w:t>
      </w:r>
      <w:r>
        <w:rPr>
          <w:rFonts w:hint="eastAsia" w:ascii="宋体" w:hAnsi="宋体" w:eastAsia="宋体" w:cs="宋体"/>
          <w:color w:val="auto"/>
          <w:sz w:val="24"/>
          <w:szCs w:val="24"/>
          <w:highlight w:val="none"/>
          <w:lang w:bidi="ar"/>
        </w:rPr>
        <w:t>。</w:t>
      </w:r>
    </w:p>
    <w:p w14:paraId="7CC20D1B">
      <w:pPr>
        <w:keepNext w:val="0"/>
        <w:keepLines w:val="0"/>
        <w:pageBreakBefore w:val="0"/>
        <w:widowControl w:val="0"/>
        <w:spacing w:line="24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 交通运输</w:t>
      </w:r>
    </w:p>
    <w:p w14:paraId="3824D654">
      <w:pPr>
        <w:keepNext w:val="0"/>
        <w:keepLines w:val="0"/>
        <w:pageBreakBefore w:val="0"/>
        <w:widowControl w:val="0"/>
        <w:spacing w:line="24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1.10.1 出入现场的权利</w:t>
      </w:r>
    </w:p>
    <w:p w14:paraId="364941AE">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关于出入现场的权利的约定：</w:t>
      </w:r>
      <w:r>
        <w:rPr>
          <w:rFonts w:hint="eastAsia" w:ascii="宋体" w:hAnsi="宋体" w:eastAsia="宋体" w:cs="宋体"/>
          <w:color w:val="auto"/>
          <w:sz w:val="24"/>
          <w:szCs w:val="24"/>
          <w:highlight w:val="none"/>
          <w:u w:val="single"/>
        </w:rPr>
        <w:t>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color w:val="auto"/>
          <w:sz w:val="24"/>
          <w:szCs w:val="24"/>
          <w:highlight w:val="none"/>
        </w:rPr>
        <w:t>。</w:t>
      </w:r>
    </w:p>
    <w:p w14:paraId="21C9528F">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1.10.3 场内交通</w:t>
      </w:r>
    </w:p>
    <w:p w14:paraId="79D5C8AF">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关于场外交通和场内交通的边界的约定：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rPr>
        <w:t>。</w:t>
      </w:r>
    </w:p>
    <w:p w14:paraId="17C01F44">
      <w:pPr>
        <w:spacing w:line="360" w:lineRule="auto"/>
        <w:ind w:left="0" w:right="0"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关于发包人向承包人免费提供满足工程施工需要的场内道路和交通设施的约定：</w:t>
      </w:r>
      <w:r>
        <w:rPr>
          <w:rFonts w:hint="eastAsia" w:ascii="宋体" w:hAnsi="宋体" w:eastAsia="宋体" w:cs="宋体"/>
          <w:color w:val="auto"/>
          <w:sz w:val="24"/>
          <w:szCs w:val="24"/>
          <w:highlight w:val="none"/>
          <w:u w:val="single"/>
        </w:rPr>
        <w:t>发包人提供施工现场现有状况供承包人使用，如不满足施工场内运输的需要，由承包人自行解决，费用由承包人负担。承包人使用发包人提供的校内道路或场地作为场内交通运输通道，需采取一切必要的措施保证其完好，如产生损坏，承包人必须无条件采取措施恢复原状，其所有费用由承包人</w:t>
      </w:r>
      <w:r>
        <w:rPr>
          <w:rFonts w:hint="eastAsia" w:ascii="宋体" w:hAnsi="宋体" w:eastAsia="宋体" w:cs="宋体"/>
          <w:color w:val="auto"/>
          <w:sz w:val="24"/>
          <w:szCs w:val="24"/>
          <w:highlight w:val="none"/>
          <w:u w:val="single"/>
          <w:lang w:eastAsia="zh-CN"/>
        </w:rPr>
        <w:t>承担。</w:t>
      </w:r>
    </w:p>
    <w:p w14:paraId="6733E091">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1.10.4超大件和超重件的运输</w:t>
      </w:r>
    </w:p>
    <w:p w14:paraId="730DD426">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承担。</w:t>
      </w:r>
    </w:p>
    <w:p w14:paraId="13C9CEF2">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知识产权</w:t>
      </w:r>
    </w:p>
    <w:p w14:paraId="3CBCDEA1">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发包人</w:t>
      </w:r>
      <w:r>
        <w:rPr>
          <w:rFonts w:hint="eastAsia" w:ascii="宋体" w:hAnsi="宋体" w:eastAsia="宋体" w:cs="宋体"/>
          <w:color w:val="auto"/>
          <w:sz w:val="24"/>
          <w:szCs w:val="24"/>
          <w:highlight w:val="none"/>
        </w:rPr>
        <w:t>。</w:t>
      </w:r>
    </w:p>
    <w:p w14:paraId="13D6472B">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关于发包人提供的上述文件的使用限制的要求：</w:t>
      </w:r>
      <w:r>
        <w:rPr>
          <w:rFonts w:hint="eastAsia" w:ascii="宋体" w:hAnsi="宋体" w:eastAsia="宋体" w:cs="宋体"/>
          <w:color w:val="auto"/>
          <w:sz w:val="24"/>
          <w:szCs w:val="24"/>
          <w:highlight w:val="none"/>
          <w:u w:val="single"/>
          <w:lang w:bidi="ar"/>
        </w:rPr>
        <w:t>承包人可以为实现合同目的而复制、使用此类文件，但不能用于与合同无关的其他事项。</w:t>
      </w:r>
      <w:r>
        <w:rPr>
          <w:rFonts w:hint="eastAsia" w:ascii="宋体" w:hAnsi="宋体" w:eastAsia="宋体" w:cs="宋体"/>
          <w:b w:val="0"/>
          <w:bCs w:val="0"/>
          <w:color w:val="auto"/>
          <w:sz w:val="24"/>
          <w:szCs w:val="24"/>
          <w:highlight w:val="none"/>
          <w:u w:val="single"/>
        </w:rPr>
        <w:t>现场施工图纸，未经发包人同意，承包人不得自行复制或向任何第三方泄露、转借、转让，施工完成，如数交回。</w:t>
      </w:r>
    </w:p>
    <w:p w14:paraId="771C3908">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1.11.2 关于承包人为实施工程所编制文件的著作权的归属：</w:t>
      </w:r>
      <w:r>
        <w:rPr>
          <w:rFonts w:hint="eastAsia" w:ascii="宋体" w:hAnsi="宋体" w:eastAsia="宋体" w:cs="宋体"/>
          <w:color w:val="auto"/>
          <w:sz w:val="24"/>
          <w:szCs w:val="24"/>
          <w:highlight w:val="none"/>
          <w:u w:val="single"/>
        </w:rPr>
        <w:t>按通用条款执行。</w:t>
      </w:r>
    </w:p>
    <w:p w14:paraId="48FDD228">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关于承包人提供的上述文件的使用限制的要求：</w:t>
      </w:r>
      <w:r>
        <w:rPr>
          <w:rFonts w:hint="eastAsia" w:ascii="宋体" w:hAnsi="宋体" w:eastAsia="宋体" w:cs="宋体"/>
          <w:color w:val="auto"/>
          <w:sz w:val="24"/>
          <w:szCs w:val="24"/>
          <w:highlight w:val="none"/>
          <w:u w:val="single"/>
          <w:lang w:bidi="ar"/>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eastAsia="宋体" w:cs="宋体"/>
          <w:color w:val="auto"/>
          <w:sz w:val="24"/>
          <w:szCs w:val="24"/>
          <w:highlight w:val="none"/>
          <w:u w:val="single"/>
        </w:rPr>
        <w:t>。</w:t>
      </w:r>
    </w:p>
    <w:p w14:paraId="0831F07C">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1.11.4 承包人在施工过程中所采用的专利、专有技术、技术秘密的使用费的承担方式：</w:t>
      </w:r>
      <w:r>
        <w:rPr>
          <w:rFonts w:hint="eastAsia" w:ascii="宋体" w:hAnsi="宋体" w:eastAsia="宋体" w:cs="宋体"/>
          <w:color w:val="auto"/>
          <w:sz w:val="24"/>
          <w:szCs w:val="24"/>
          <w:highlight w:val="none"/>
          <w:u w:val="single"/>
        </w:rPr>
        <w:t>已含在合同价中，结算时不予调整。</w:t>
      </w:r>
    </w:p>
    <w:p w14:paraId="17DDEA1D">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1.13工程量清单错误的修正</w:t>
      </w:r>
    </w:p>
    <w:p w14:paraId="2D42DC0B">
      <w:pPr>
        <w:spacing w:line="360" w:lineRule="auto"/>
        <w:ind w:left="0" w:right="0" w:firstLine="48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出现工程量清单错误时，是否调整合同价格：</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b/>
          <w:bCs/>
          <w:color w:val="auto"/>
          <w:sz w:val="24"/>
          <w:szCs w:val="24"/>
          <w:highlight w:val="none"/>
          <w:u w:val="single"/>
          <w:shd w:val="clear" w:color="auto" w:fill="auto"/>
        </w:rPr>
        <w:t>调整</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w:t>
      </w:r>
    </w:p>
    <w:p w14:paraId="79F15C8F">
      <w:pPr>
        <w:adjustRightInd w:val="0"/>
        <w:snapToGrid w:val="0"/>
        <w:spacing w:line="360" w:lineRule="auto"/>
        <w:ind w:firstLine="480" w:firstLineChars="200"/>
        <w:rPr>
          <w:rFonts w:hint="default" w:ascii="宋体" w:hAnsi="宋体" w:eastAsia="宋体" w:cs="宋体"/>
          <w:color w:val="auto"/>
          <w:kern w:val="2"/>
          <w:sz w:val="24"/>
          <w:szCs w:val="22"/>
          <w:highlight w:val="none"/>
        </w:rPr>
      </w:pPr>
      <w:r>
        <w:rPr>
          <w:rFonts w:hint="eastAsia" w:ascii="宋体" w:hAnsi="宋体" w:eastAsia="宋体" w:cs="宋体"/>
          <w:color w:val="auto"/>
          <w:sz w:val="24"/>
          <w:szCs w:val="24"/>
          <w:highlight w:val="none"/>
          <w:shd w:val="clear" w:color="auto" w:fill="auto"/>
        </w:rPr>
        <w:t>允许调整合同价格的工程量偏差范围：</w:t>
      </w:r>
      <w:r>
        <w:rPr>
          <w:rFonts w:hint="eastAsia" w:ascii="宋体" w:hAnsi="宋体" w:eastAsia="宋体" w:cs="宋体"/>
          <w:color w:val="auto"/>
          <w:kern w:val="2"/>
          <w:sz w:val="24"/>
          <w:szCs w:val="22"/>
          <w:highlight w:val="none"/>
        </w:rPr>
        <w:t>当工程量增加15%以上时，其增加部分的工程量的综合单价应予调低；当工程量减少15%以上时，减少后剩余部分的工程量的综合单价应予调高。</w:t>
      </w:r>
    </w:p>
    <w:p w14:paraId="17FE806F">
      <w:pPr>
        <w:adjustRightInd w:val="0"/>
        <w:snapToGrid w:val="0"/>
        <w:spacing w:line="360" w:lineRule="auto"/>
        <w:ind w:firstLine="480" w:firstLineChars="200"/>
        <w:rPr>
          <w:rFonts w:hint="default"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1.13.2过高报价的处理方式：</w:t>
      </w:r>
      <w:r>
        <w:rPr>
          <w:rFonts w:hint="eastAsia" w:ascii="宋体" w:hAnsi="宋体" w:eastAsia="宋体" w:cs="宋体"/>
          <w:color w:val="auto"/>
          <w:kern w:val="2"/>
          <w:sz w:val="24"/>
          <w:szCs w:val="22"/>
          <w:highlight w:val="none"/>
          <w:u w:val="single"/>
        </w:rPr>
        <w:t>如在结算时发现已标价工程量清单中存在过高报价项目，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w:t>
      </w:r>
      <w:r>
        <w:rPr>
          <w:rFonts w:hint="eastAsia" w:ascii="宋体" w:hAnsi="宋体" w:eastAsia="宋体" w:cs="宋体"/>
          <w:color w:val="auto"/>
          <w:kern w:val="2"/>
          <w:sz w:val="24"/>
          <w:szCs w:val="22"/>
          <w:highlight w:val="none"/>
        </w:rPr>
        <w:t>。对于工程量减少的过低价项目，按投标价执行。</w:t>
      </w:r>
    </w:p>
    <w:p w14:paraId="1237BD79">
      <w:pPr>
        <w:spacing w:line="360" w:lineRule="auto"/>
        <w:ind w:left="0" w:right="0" w:firstLine="480"/>
        <w:jc w:val="lef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kern w:val="2"/>
          <w:sz w:val="24"/>
          <w:szCs w:val="22"/>
          <w:highlight w:val="none"/>
          <w:u w:val="single"/>
        </w:rPr>
        <w:t>1.13.3若施工中出现施工图纸（含设计变更）与工程量清单项目特征描述不符，应及时上报发包人，按照发包人书面确认的最终方案进行施工。</w:t>
      </w:r>
    </w:p>
    <w:p w14:paraId="128B1E7D">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 发包人</w:t>
      </w:r>
    </w:p>
    <w:p w14:paraId="6144CBEE">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发包人代表</w:t>
      </w:r>
    </w:p>
    <w:p w14:paraId="1A878D38">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发包人代表：</w:t>
      </w:r>
    </w:p>
    <w:p w14:paraId="06D9C052">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579F822">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67E3794">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686454A8">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发包人对发包人代表的授权范围如下：</w:t>
      </w:r>
      <w:r>
        <w:rPr>
          <w:rFonts w:hint="eastAsia" w:ascii="宋体" w:hAnsi="宋体" w:eastAsia="宋体" w:cs="宋体"/>
          <w:color w:val="auto"/>
          <w:sz w:val="24"/>
          <w:szCs w:val="24"/>
          <w:highlight w:val="none"/>
          <w:u w:val="single"/>
        </w:rPr>
        <w:t>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auto"/>
          <w:sz w:val="24"/>
          <w:szCs w:val="24"/>
          <w:highlight w:val="none"/>
        </w:rPr>
        <w:t>。</w:t>
      </w:r>
    </w:p>
    <w:p w14:paraId="4EA9BABD">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施工现场、施工条件和基础资料的提供</w:t>
      </w:r>
    </w:p>
    <w:p w14:paraId="3657370F">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 提供施工现场</w:t>
      </w:r>
    </w:p>
    <w:p w14:paraId="2C898D81">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关于发包人移交施工现场的期限要求：</w:t>
      </w:r>
      <w:r>
        <w:rPr>
          <w:rFonts w:hint="eastAsia" w:ascii="宋体" w:hAnsi="宋体" w:eastAsia="宋体" w:cs="宋体"/>
          <w:color w:val="auto"/>
          <w:sz w:val="24"/>
          <w:szCs w:val="24"/>
          <w:highlight w:val="none"/>
          <w:u w:val="single"/>
        </w:rPr>
        <w:t xml:space="preserve"> 施工场地满足开工条件。</w:t>
      </w:r>
    </w:p>
    <w:p w14:paraId="77B41B64">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 提供施工条件</w:t>
      </w:r>
    </w:p>
    <w:p w14:paraId="35BC254B">
      <w:pPr>
        <w:keepNext w:val="0"/>
        <w:keepLines w:val="0"/>
        <w:pageBreakBefore w:val="0"/>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关于发包人应负责提供施工所需要的条件：</w:t>
      </w:r>
      <w:r>
        <w:rPr>
          <w:rFonts w:hint="eastAsia" w:ascii="宋体" w:hAnsi="宋体" w:eastAsia="宋体" w:cs="宋体"/>
          <w:color w:val="auto"/>
          <w:sz w:val="24"/>
          <w:szCs w:val="24"/>
          <w:highlight w:val="none"/>
          <w:u w:val="single"/>
          <w:lang w:val="en-US" w:eastAsia="zh-CN" w:bidi="ar-SA"/>
        </w:rPr>
        <w:t>(1)发包人提供水源、电源接口，由承包人自行提供材料、设备接水、接电，并自备合格计量表计量，供水、供电费用（含接水、接电费用）由承包人支付，通讯工具自备。(2)施工场地与公共道路的通道开通时间和要求：见现场实际条件，包含在合同价中。(3)协调处理施工场地周围地下管线和邻近建筑物、构筑物（含文物保护建筑）、古树名木的保护工作：由发包人会同承包人负责做好保护工作，承包人如在施工中发现问题应及时报告发包人、设计院及监理，由发包人会同有关部门出具解决方案。</w:t>
      </w:r>
    </w:p>
    <w:p w14:paraId="028D498E">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 资金来源证明及支付担保</w:t>
      </w:r>
    </w:p>
    <w:p w14:paraId="60D3C58F">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发包人提供资金来源证明的期限要求：</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rPr>
        <w:t>。</w:t>
      </w:r>
    </w:p>
    <w:p w14:paraId="2B1F6199">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发包人是否提供支付担保：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4AA93207">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发包人提供支付担保的形式：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12DAA822">
      <w:pPr>
        <w:keepNext/>
        <w:keepLines/>
        <w:widowControl w:val="0"/>
        <w:spacing w:before="0" w:after="0" w:line="360" w:lineRule="auto"/>
        <w:ind w:left="0" w:right="0" w:firstLine="480"/>
        <w:jc w:val="both"/>
        <w:outlineLvl w:val="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3. 承包人</w:t>
      </w:r>
    </w:p>
    <w:p w14:paraId="6AE60986">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承包人的一般义务</w:t>
      </w:r>
    </w:p>
    <w:p w14:paraId="5C4C1304">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（1）办理法律规定应由承包人办理的许可和批准，并将办理结果书面报送发包人留存；</w:t>
      </w:r>
    </w:p>
    <w:p w14:paraId="6E1D7230">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（2）按法律规定和合同约定完成工程，并在保修期内承担保修义务；</w:t>
      </w:r>
    </w:p>
    <w:p w14:paraId="42D3E08B">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（3）按法律规定和合同约定采取施工安全和环境保护措施，办理工伤保险，确保工程及人员、材料、设备和设施的安全；</w:t>
      </w:r>
    </w:p>
    <w:p w14:paraId="5FC71724">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（4）按合同约定的工作内容和施工进度要求，编制施工组织设计和施工措施计划，并对所有施工作业和施工方法的完备性和安全可靠性负责；</w:t>
      </w:r>
    </w:p>
    <w:p w14:paraId="1013DA5C">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0FAB9BC1">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p>
    <w:p w14:paraId="3A1B0149">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按照通用条款第6.3款〔环境保护〕约定负责施工场地及其周边环境与生态的保护工作；</w:t>
      </w:r>
    </w:p>
    <w:p w14:paraId="0958DD9F">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（7）按通用条款第6.1款〔安全文明施工〕约定采取施工安全措施，确保工程及其人员、材料、设备和设施的安全，防止因工程施工造成的人身伤害和财产损失；</w:t>
      </w:r>
    </w:p>
    <w:p w14:paraId="671A12B1">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（8）将发包人按合同约定支付的各项价款专用于合同工程，且应及时支付其雇用人员工资，并及时向分包人支付合同价款；</w:t>
      </w:r>
    </w:p>
    <w:p w14:paraId="50D59700">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（9）承包人提交的竣工资料的内容：</w:t>
      </w:r>
    </w:p>
    <w:p w14:paraId="340024D5">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承包人应在工程具备竣工验收条件后 40天内按国家工程竣工验收标准，向发包人提供完整竣工资料(含竣工图)及竣工验收报告 [不少于两套竣工资料原件，四套复印件及电子文档二套(含竣工图八套)]，且符合工程所在地质安站、城建档案馆等相关部门要求，并自行承担相关费用。</w:t>
      </w:r>
    </w:p>
    <w:p w14:paraId="17C99C5C">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承包人提交的竣工资料的套数：</w:t>
      </w:r>
      <w:r>
        <w:rPr>
          <w:rFonts w:hint="eastAsia" w:ascii="宋体" w:hAnsi="宋体" w:eastAsia="宋体" w:cs="宋体"/>
          <w:color w:val="auto"/>
          <w:sz w:val="24"/>
          <w:szCs w:val="24"/>
          <w:highlight w:val="none"/>
          <w:u w:val="single"/>
        </w:rPr>
        <w:t xml:space="preserve"> 不少于两套竣工资料原件，四套复印件及电子文档二套(含竣工图八套)</w:t>
      </w:r>
      <w:r>
        <w:rPr>
          <w:rFonts w:hint="eastAsia" w:ascii="宋体" w:hAnsi="宋体" w:eastAsia="宋体" w:cs="宋体"/>
          <w:color w:val="auto"/>
          <w:sz w:val="24"/>
          <w:szCs w:val="24"/>
          <w:highlight w:val="none"/>
        </w:rPr>
        <w:t>。</w:t>
      </w:r>
    </w:p>
    <w:p w14:paraId="6FDAFED3">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承包人提交的竣工资料的费用承担：</w:t>
      </w:r>
      <w:r>
        <w:rPr>
          <w:rFonts w:hint="eastAsia" w:ascii="宋体" w:hAnsi="宋体" w:eastAsia="宋体" w:cs="宋体"/>
          <w:color w:val="auto"/>
          <w:sz w:val="24"/>
          <w:szCs w:val="24"/>
          <w:highlight w:val="none"/>
          <w:u w:val="single"/>
        </w:rPr>
        <w:t xml:space="preserve"> 承包人自行承担 </w:t>
      </w:r>
      <w:r>
        <w:rPr>
          <w:rFonts w:hint="eastAsia" w:ascii="宋体" w:hAnsi="宋体" w:eastAsia="宋体" w:cs="宋体"/>
          <w:color w:val="auto"/>
          <w:sz w:val="24"/>
          <w:szCs w:val="24"/>
          <w:highlight w:val="none"/>
        </w:rPr>
        <w:t>。</w:t>
      </w:r>
    </w:p>
    <w:p w14:paraId="4A5F0C2C">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承包人提交的竣工资料移交时间：</w:t>
      </w:r>
      <w:r>
        <w:rPr>
          <w:rFonts w:hint="eastAsia" w:ascii="宋体" w:hAnsi="宋体" w:eastAsia="宋体" w:cs="宋体"/>
          <w:color w:val="auto"/>
          <w:sz w:val="24"/>
          <w:szCs w:val="24"/>
          <w:highlight w:val="none"/>
          <w:u w:val="single"/>
        </w:rPr>
        <w:t>工程具备竣工验收条件后40天内</w:t>
      </w:r>
      <w:r>
        <w:rPr>
          <w:rFonts w:hint="eastAsia" w:ascii="宋体" w:hAnsi="宋体" w:eastAsia="宋体" w:cs="宋体"/>
          <w:color w:val="auto"/>
          <w:sz w:val="24"/>
          <w:szCs w:val="24"/>
          <w:highlight w:val="none"/>
        </w:rPr>
        <w:t>。</w:t>
      </w:r>
    </w:p>
    <w:p w14:paraId="1CB02CC7">
      <w:pPr>
        <w:tabs>
          <w:tab w:val="left" w:pos="936"/>
        </w:tabs>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包人提交的竣工资料形式要求：</w:t>
      </w:r>
      <w:r>
        <w:rPr>
          <w:rFonts w:hint="eastAsia" w:ascii="宋体" w:hAnsi="宋体" w:eastAsia="宋体" w:cs="宋体"/>
          <w:color w:val="auto"/>
          <w:sz w:val="24"/>
          <w:szCs w:val="24"/>
          <w:highlight w:val="none"/>
          <w:u w:val="single"/>
        </w:rPr>
        <w:t xml:space="preserve">  书面文件和电子文件 </w:t>
      </w:r>
      <w:r>
        <w:rPr>
          <w:rFonts w:hint="eastAsia" w:ascii="宋体" w:hAnsi="宋体" w:eastAsia="宋体" w:cs="宋体"/>
          <w:color w:val="auto"/>
          <w:sz w:val="24"/>
          <w:szCs w:val="24"/>
          <w:highlight w:val="none"/>
        </w:rPr>
        <w:t>。</w:t>
      </w:r>
    </w:p>
    <w:p w14:paraId="73FC2C40">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（10）承包人应履行的其他义务：</w:t>
      </w:r>
    </w:p>
    <w:p w14:paraId="364B2913">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(1)需由设计资质等级和业务范围允许的承包人完成的设计文件提交时间：</w:t>
      </w:r>
      <w:r>
        <w:rPr>
          <w:rFonts w:hint="eastAsia" w:ascii="宋体" w:hAnsi="宋体" w:eastAsia="宋体" w:cs="宋体"/>
          <w:color w:val="auto"/>
          <w:sz w:val="24"/>
          <w:szCs w:val="24"/>
          <w:highlight w:val="none"/>
          <w:u w:val="single"/>
          <w:lang w:val="en-US" w:eastAsia="zh-CN" w:bidi="ar-SA"/>
        </w:rPr>
        <w:t xml:space="preserve"> / </w:t>
      </w:r>
    </w:p>
    <w:p w14:paraId="0018D86C">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(2)应提供计划、报表的名称及完成时间：</w:t>
      </w:r>
    </w:p>
    <w:p w14:paraId="377659B2">
      <w:pPr>
        <w:tabs>
          <w:tab w:val="left" w:pos="6521"/>
        </w:tabs>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进场后一周内提供材料计划，每月25日前分别向发包人及监理工程师提供详细的施工进度计划、每月28日前分别向发包人及监理工程师提供到当月25日的已完工程量报表（含工程变更及签证预算）、乙购材料清单、材料进场计划、劳动力及用款计划等资料（总进度计划要以横道图和网络图两种形式提供）</w:t>
      </w:r>
      <w:r>
        <w:rPr>
          <w:rFonts w:hint="eastAsia" w:ascii="宋体" w:hAnsi="宋体" w:eastAsia="宋体" w:cs="宋体"/>
          <w:color w:val="auto"/>
          <w:sz w:val="24"/>
          <w:szCs w:val="24"/>
          <w:highlight w:val="none"/>
        </w:rPr>
        <w:t>。</w:t>
      </w:r>
    </w:p>
    <w:p w14:paraId="2A70780D">
      <w:pPr>
        <w:tabs>
          <w:tab w:val="left" w:pos="6521"/>
        </w:tabs>
        <w:spacing w:line="360" w:lineRule="auto"/>
        <w:ind w:left="0" w:right="0" w:firstLine="480"/>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B、承包人负责施工场地周围地下管线和邻近建筑物、构筑物（含文物保护建筑）、古树名木的保护。负责工地现场临时设施、道路、管线的施工和保养，采取措施避免工程施工对红线周围地下管线、临近建筑物及市政设施造成破坏，如造成破坏，恢复原状，费用均由承包人负责。从发包人指定的水电接驳点接驳施工用水用电，采取措施保护临近构筑物及建筑，对基坑外的地下所有管网、管线、排水、道路及邻近建筑物承包人负责观测，若发生问题承包人要采取补救措施，费用承包人承担。承包人对于施工场地内的地下障碍物的清理及周围的地下管线的保护（除遇不可抗力因素，如台风、连续降雨达到市气象局认定的500mm以上的、名木古树、地下文物等），承包人已根据自身的施工技术能力并考虑其施工风险，将此费用考虑在投标报价中，此项费用在施工中不予调整，承包人有责任采取保护措施，否则承担造成的一切责任及相应费用。</w:t>
      </w:r>
    </w:p>
    <w:p w14:paraId="3C3DCEA4">
      <w:pPr>
        <w:tabs>
          <w:tab w:val="left" w:pos="6521"/>
        </w:tabs>
        <w:spacing w:line="360" w:lineRule="auto"/>
        <w:ind w:left="0" w:right="0" w:firstLine="480"/>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C、承包人在施工中的问题应以书面形式为准，而且必须提前三天发文给发包人，口头汇报不作依据。承包人发文应有标准固定格式，规范的文件编号，由项目负责人签署发，发包人工程师签署后生效。</w:t>
      </w:r>
    </w:p>
    <w:p w14:paraId="5026405A">
      <w:pPr>
        <w:tabs>
          <w:tab w:val="left" w:pos="6521"/>
        </w:tabs>
        <w:spacing w:line="360" w:lineRule="auto"/>
        <w:ind w:left="0" w:right="0" w:firstLine="480"/>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D、承包人在投标时已充分考虑到任何情况影响承包价（如土方外运储放、临时设施的搭建等），任何因忽视或误解工地情况而导致的索赔或工期延长申请将不被批准。不论施工方案或施工组织设计发生任何变化，由此引起的合同价款的变化均不予调整，任何因忽视或误解工程现场而导致的索赔或工期延长申请将不被批准。承包人应将本工程挖出的土方及建筑垃圾清运出场，其外运堆放场地及运距由承包人事先已综合考虑在投标报价中，以后不作调整。</w:t>
      </w:r>
    </w:p>
    <w:p w14:paraId="788FB99C">
      <w:pPr>
        <w:tabs>
          <w:tab w:val="left" w:pos="6521"/>
        </w:tabs>
        <w:spacing w:line="360" w:lineRule="auto"/>
        <w:ind w:left="0" w:right="0" w:firstLine="480"/>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E、施工中承包人不得对原工程设计私自进行变更。因承包人擅自变更设计发生的费用和由此导致发包人的损失，由承包人承担，延误的工期不予顺延。所有的设计变更需发包人签字后方可执行，否则责任自负。根据施工及发包人等实际需要，对施工现场布置进行调整和整修、对设计图纸进行变更，承包人应无条件给予配合执行，并在发包人规定的时间内完成，否则，每项逾期一天，承包人应向发包人支付人民币</w:t>
      </w:r>
      <w:r>
        <w:rPr>
          <w:rFonts w:hint="eastAsia" w:ascii="宋体" w:hAnsi="宋体" w:eastAsia="宋体" w:cs="宋体"/>
          <w:color w:val="auto"/>
          <w:sz w:val="24"/>
          <w:szCs w:val="24"/>
          <w:highlight w:val="none"/>
          <w:u w:val="single"/>
          <w:lang w:val="en-US" w:eastAsia="zh-CN" w:bidi="ar"/>
        </w:rPr>
        <w:t>1万</w:t>
      </w:r>
      <w:r>
        <w:rPr>
          <w:rFonts w:hint="eastAsia" w:ascii="宋体" w:hAnsi="宋体" w:eastAsia="宋体" w:cs="宋体"/>
          <w:color w:val="auto"/>
          <w:sz w:val="24"/>
          <w:szCs w:val="24"/>
          <w:highlight w:val="none"/>
          <w:u w:val="single"/>
          <w:lang w:bidi="ar"/>
        </w:rPr>
        <w:t>元违约金，并限时完成指令。未经发包人同意，承包人不得以任何名义作任何关于该项目的宣传报道，无论该报道是发布于施工现场或社会宣传媒体。但承包人必须积极配合发包人的相关宣传报道、形象展示行为,由此产生的费用包含在措施费中。工程施工过程中以及工程竣工保修期内，由于承包人责任出现质量问题、安全事故或者其他原因，受到报纸、电视等媒体的曝光或政府有关主管部门的通报批评，均会给本工程的社会形象造成损失，每次由承包人向发包人支付</w:t>
      </w:r>
      <w:r>
        <w:rPr>
          <w:rFonts w:hint="eastAsia" w:ascii="宋体" w:hAnsi="宋体" w:eastAsia="宋体" w:cs="宋体"/>
          <w:color w:val="auto"/>
          <w:sz w:val="24"/>
          <w:szCs w:val="24"/>
          <w:highlight w:val="none"/>
          <w:u w:val="single"/>
          <w:lang w:val="en-US" w:eastAsia="zh-CN" w:bidi="ar"/>
        </w:rPr>
        <w:t>1</w:t>
      </w:r>
      <w:r>
        <w:rPr>
          <w:rFonts w:hint="eastAsia" w:ascii="宋体" w:hAnsi="宋体" w:eastAsia="宋体" w:cs="宋体"/>
          <w:color w:val="auto"/>
          <w:sz w:val="24"/>
          <w:szCs w:val="24"/>
          <w:highlight w:val="none"/>
          <w:u w:val="single"/>
          <w:lang w:bidi="ar"/>
        </w:rPr>
        <w:t>万元违约金，发包人无需征得承包人同意，直接从承包人工程进度款或保修款中扣除。</w:t>
      </w:r>
    </w:p>
    <w:p w14:paraId="3B93A433">
      <w:pPr>
        <w:tabs>
          <w:tab w:val="left" w:pos="6521"/>
        </w:tabs>
        <w:spacing w:line="360" w:lineRule="auto"/>
        <w:ind w:left="0" w:right="0" w:firstLine="480"/>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F、承包人内部的劳资双方纠纷致使施工人员到发包人办公、生产场所聚众闹事、静坐等影响到发包人利益并造成损失或遭新闻媒体曝光，承包人承担由此产生的一切后果和费用，每次给予1</w:t>
      </w:r>
      <w:r>
        <w:rPr>
          <w:rFonts w:hint="eastAsia" w:ascii="宋体" w:hAnsi="宋体" w:eastAsia="宋体" w:cs="宋体"/>
          <w:color w:val="auto"/>
          <w:sz w:val="24"/>
          <w:szCs w:val="24"/>
          <w:highlight w:val="none"/>
          <w:u w:val="single"/>
          <w:lang w:val="en-US" w:eastAsia="zh-CN" w:bidi="ar"/>
        </w:rPr>
        <w:t>万</w:t>
      </w:r>
      <w:r>
        <w:rPr>
          <w:rFonts w:hint="eastAsia" w:ascii="宋体" w:hAnsi="宋体" w:eastAsia="宋体" w:cs="宋体"/>
          <w:color w:val="auto"/>
          <w:sz w:val="24"/>
          <w:szCs w:val="24"/>
          <w:highlight w:val="none"/>
          <w:u w:val="single"/>
          <w:lang w:bidi="ar"/>
        </w:rPr>
        <w:t>元</w:t>
      </w:r>
      <w:r>
        <w:rPr>
          <w:rFonts w:hint="eastAsia" w:ascii="宋体" w:hAnsi="宋体" w:eastAsia="宋体" w:cs="宋体"/>
          <w:color w:val="auto"/>
          <w:sz w:val="24"/>
          <w:szCs w:val="24"/>
          <w:highlight w:val="none"/>
          <w:u w:val="single"/>
          <w:lang w:eastAsia="zh-CN" w:bidi="ar"/>
        </w:rPr>
        <w:t>违约处罚，</w:t>
      </w:r>
      <w:r>
        <w:rPr>
          <w:rFonts w:hint="eastAsia" w:ascii="宋体" w:hAnsi="宋体" w:eastAsia="宋体" w:cs="宋体"/>
          <w:color w:val="auto"/>
          <w:sz w:val="24"/>
          <w:szCs w:val="24"/>
          <w:highlight w:val="none"/>
          <w:u w:val="single"/>
          <w:lang w:bidi="ar"/>
        </w:rPr>
        <w:t>发包人无需征得承包人同意，直接从承包人工程进度款或保修款中扣除。</w:t>
      </w:r>
    </w:p>
    <w:p w14:paraId="7924396A">
      <w:pPr>
        <w:tabs>
          <w:tab w:val="left" w:pos="6521"/>
        </w:tabs>
        <w:spacing w:line="360" w:lineRule="auto"/>
        <w:ind w:left="0" w:right="0" w:firstLine="480"/>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G、承包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p>
    <w:p w14:paraId="6693A2C6">
      <w:pPr>
        <w:tabs>
          <w:tab w:val="left" w:pos="6521"/>
        </w:tabs>
        <w:spacing w:line="360" w:lineRule="auto"/>
        <w:ind w:left="0" w:right="0" w:firstLine="480"/>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H、承包人已自行考虑施工组织设计中材料和构件的二次搬运、非</w:t>
      </w:r>
      <w:r>
        <w:rPr>
          <w:rFonts w:hint="eastAsia" w:ascii="宋体" w:hAnsi="宋体" w:eastAsia="宋体" w:cs="宋体"/>
          <w:color w:val="auto"/>
          <w:sz w:val="24"/>
          <w:szCs w:val="24"/>
          <w:highlight w:val="none"/>
          <w:u w:val="single"/>
          <w:lang w:eastAsia="zh-CN" w:bidi="ar"/>
        </w:rPr>
        <w:t>发包人</w:t>
      </w:r>
      <w:r>
        <w:rPr>
          <w:rFonts w:hint="eastAsia" w:ascii="宋体" w:hAnsi="宋体" w:eastAsia="宋体" w:cs="宋体"/>
          <w:color w:val="auto"/>
          <w:sz w:val="24"/>
          <w:szCs w:val="24"/>
          <w:highlight w:val="none"/>
          <w:u w:val="single"/>
          <w:lang w:bidi="ar"/>
        </w:rPr>
        <w:t>所为四小时内的临时停水停电、环保噪音扰民、连续降雨、严重冰冻、高(中)考、农忙、节假日、市内重大活动期间以及业主需要的时间段内可能对施工作出某些限制和配合要求引起工效降低和民抚费用等；施工方案、施工工艺中的室内地面、内外墙的防裂抗裂措施、大跨度、高支模、地下室施工等等各种施工组织、施工技术措施费及相应增加的费用、为确保发包人要求的质量、安全、工期发生的费用等等均计入投标报价。</w:t>
      </w:r>
    </w:p>
    <w:p w14:paraId="792139F8">
      <w:pPr>
        <w:tabs>
          <w:tab w:val="left" w:pos="6521"/>
        </w:tabs>
        <w:spacing w:line="360" w:lineRule="auto"/>
        <w:ind w:left="0" w:right="0" w:firstLine="480"/>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I、双方约定承包人应做的其他工作：①开工前</w:t>
      </w:r>
      <w:r>
        <w:rPr>
          <w:rFonts w:hint="eastAsia" w:ascii="宋体" w:hAnsi="宋体" w:eastAsia="宋体" w:cs="宋体"/>
          <w:color w:val="auto"/>
          <w:sz w:val="24"/>
          <w:szCs w:val="24"/>
          <w:highlight w:val="none"/>
          <w:u w:val="single"/>
          <w:lang w:eastAsia="zh-CN" w:bidi="ar"/>
        </w:rPr>
        <w:t>发包人</w:t>
      </w:r>
      <w:r>
        <w:rPr>
          <w:rFonts w:hint="eastAsia" w:ascii="宋体" w:hAnsi="宋体" w:eastAsia="宋体" w:cs="宋体"/>
          <w:color w:val="auto"/>
          <w:sz w:val="24"/>
          <w:szCs w:val="24"/>
          <w:highlight w:val="none"/>
          <w:u w:val="single"/>
          <w:lang w:bidi="ar"/>
        </w:rPr>
        <w:t>提供水、电接入点由承包人自行接入；②承包人有义务对本工程图纸详细审阅，并提出合理化建议，确保施工期间尽量少发生拆除变更等浪费现象。③施工过程中与周围发生的纠纷由承包人自行协商解决并承担由此引起的费用。④已完工程成品保护的特殊要求及费用承担：由承包人负责成品保护并承担费用。⑤施工场地清洁卫生的要求：按标准化施工现场管理，保持现场清洁（要求现场卫生常态化保持，安排专职卫生人员），符合环境要求；交工前清理现场，因施工产生的垃圾外运，费用由承包人自理，必须严格执行《连云港市创建文明城市》文件规定，费用由承包人自理。⑥其他a、竣工资料符合连云港市城建档案馆关于档案资料的要求，有配合发包人做好资料归档、结算审计、结算备案的义务，及时处理好现场事务；b、准时参加监理组织的每周工程例会和专题会议；c、竣工验收15日内及时将临时设施、建筑垃圾拆除并撤出现场；d、必须严格执行连云港市的施工场地管理规定以及发包人的场地管理要求；e、严格执行发包人施工中变更、签证的规定。⑦承包人在开工前应向监理单位提供有关人员上岗证、有关设备合格证年审证等证件。⑧承包人必须按本施工合同进行组织施工，接受发包人指令。承包人项目部以下管理人员在所辖工程或分项工程施工期间（包括准备和收尾阶段），均须专职在岗，不得兼任其他项目任何职务；如需变更Ⅰ人员安排、Ⅱ机械设备、Ⅲ施工方案等，必须提前14日书面上报发包人并经同意方可执行，否则，承包人每违约一项（或一人），需支付违约金1万元（并按照发包人指令要求变更过来）；承包人项目负责人易人，其后任必须无条件全面继续承担前任应负的责任；除项目负责人以外人员，经监理单位提出，发包人同意，必须在24小时内调离本工程范围，否则承包人支付每人次违约金</w:t>
      </w:r>
      <w:r>
        <w:rPr>
          <w:rFonts w:hint="eastAsia" w:ascii="宋体" w:hAnsi="宋体" w:eastAsia="宋体" w:cs="宋体"/>
          <w:color w:val="auto"/>
          <w:sz w:val="24"/>
          <w:szCs w:val="24"/>
          <w:highlight w:val="none"/>
          <w:u w:val="single"/>
          <w:lang w:val="en-US" w:eastAsia="zh-CN" w:bidi="ar"/>
        </w:rPr>
        <w:t>5000</w:t>
      </w:r>
      <w:r>
        <w:rPr>
          <w:rFonts w:hint="eastAsia" w:ascii="宋体" w:hAnsi="宋体" w:eastAsia="宋体" w:cs="宋体"/>
          <w:color w:val="auto"/>
          <w:sz w:val="24"/>
          <w:szCs w:val="24"/>
          <w:highlight w:val="none"/>
          <w:u w:val="single"/>
          <w:lang w:bidi="ar"/>
        </w:rPr>
        <w:t>元；同时，承包人应在7日内让合格的人员(发包人书面批准)代替上述调离的任何人员，否则每拖延1日承包人支付违约金</w:t>
      </w:r>
      <w:r>
        <w:rPr>
          <w:rFonts w:hint="eastAsia" w:ascii="宋体" w:hAnsi="宋体" w:eastAsia="宋体" w:cs="宋体"/>
          <w:color w:val="auto"/>
          <w:sz w:val="24"/>
          <w:szCs w:val="24"/>
          <w:highlight w:val="none"/>
          <w:u w:val="single"/>
          <w:lang w:val="en-US" w:eastAsia="zh-CN" w:bidi="ar"/>
        </w:rPr>
        <w:t>5000</w:t>
      </w:r>
      <w:r>
        <w:rPr>
          <w:rFonts w:hint="eastAsia" w:ascii="宋体" w:hAnsi="宋体" w:eastAsia="宋体" w:cs="宋体"/>
          <w:color w:val="auto"/>
          <w:sz w:val="24"/>
          <w:szCs w:val="24"/>
          <w:highlight w:val="none"/>
          <w:u w:val="single"/>
          <w:lang w:bidi="ar"/>
        </w:rPr>
        <w:t>元。a.发包人确认无法胜任工作者，包括：对分部分项工程施工进度及施工质量达不到合同要求负有责任的施工人员、不熟悉本专业工作的施工人员、工作责任心不强的施工人员、不积极配合发包人工作、不积极执行发包人指令者；b.不能积极配合监理单位及发包人正常工作者；c.违反发包人或承包人工地现场管理规定者；d.无证上岗者（适用于按规定必须有上岗证的岗位）；e.与本合同规定名册不符者；f.与本工程施工无的人员；g.高空抛倒建筑垃圾者；h.围攻殴打发包人或监理单位工作人员； I.有偷盗行为及损害发包人财产的人员；j.扰乱发包人正常工作秩序的人员；k.其他发包人认为需要离开现场的人员。</w:t>
      </w:r>
    </w:p>
    <w:p w14:paraId="5C1A9DB3">
      <w:pPr>
        <w:tabs>
          <w:tab w:val="left" w:pos="6521"/>
        </w:tabs>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bidi="ar"/>
        </w:rPr>
        <w:t>I</w:t>
      </w:r>
      <w:r>
        <w:rPr>
          <w:rFonts w:hint="eastAsia" w:ascii="宋体" w:hAnsi="宋体" w:eastAsia="宋体" w:cs="宋体"/>
          <w:color w:val="auto"/>
          <w:sz w:val="24"/>
          <w:szCs w:val="24"/>
          <w:highlight w:val="none"/>
          <w:u w:val="single"/>
          <w:lang w:bidi="ar"/>
        </w:rPr>
        <w:t xml:space="preserve">.承包人自觉按文明创建等要求认真做好卫生保洁、清除杂草与漂浮物，及时扶正苗木等常规性和突击性工作，做好邻近建筑物、道路、广场、绿化、地下管线的保护工作，其费用由承包人在投标报价中自行考虑。因承包人的责任造成的财产和人身损失，由承包人承担费用 </w:t>
      </w:r>
      <w:r>
        <w:rPr>
          <w:rFonts w:hint="eastAsia" w:ascii="宋体" w:hAnsi="宋体" w:eastAsia="宋体" w:cs="宋体"/>
          <w:color w:val="auto"/>
          <w:sz w:val="24"/>
          <w:szCs w:val="24"/>
          <w:highlight w:val="none"/>
          <w:lang w:bidi="ar"/>
        </w:rPr>
        <w:t>。</w:t>
      </w:r>
    </w:p>
    <w:p w14:paraId="78331EE8">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(3)承担施工安全保卫工作及非夜间施工照明的责任和要求：</w:t>
      </w:r>
    </w:p>
    <w:p w14:paraId="6429412F">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按照国家、江苏省及连云港市有关规定及施工现场实际情况由承包人负责施工现场的施工安全保卫工作及非夜间照明，费用由承包人自理</w:t>
      </w:r>
      <w:r>
        <w:rPr>
          <w:rFonts w:hint="eastAsia" w:ascii="宋体" w:hAnsi="宋体" w:eastAsia="宋体" w:cs="宋体"/>
          <w:color w:val="auto"/>
          <w:sz w:val="24"/>
          <w:szCs w:val="24"/>
          <w:highlight w:val="none"/>
          <w:lang w:val="en-US" w:eastAsia="zh-CN" w:bidi="ar-SA"/>
        </w:rPr>
        <w:t>。</w:t>
      </w:r>
    </w:p>
    <w:p w14:paraId="26254007">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(4)向发包人提供的办公和生活房屋及设施的要求：</w:t>
      </w:r>
      <w:r>
        <w:rPr>
          <w:rFonts w:hint="eastAsia" w:ascii="宋体" w:hAnsi="宋体" w:eastAsia="宋体" w:cs="宋体"/>
          <w:color w:val="auto"/>
          <w:sz w:val="24"/>
          <w:szCs w:val="24"/>
          <w:highlight w:val="none"/>
          <w:u w:val="single"/>
          <w:lang w:val="en-US" w:eastAsia="zh-CN" w:bidi="ar-SA"/>
        </w:rPr>
        <w:t xml:space="preserve">  /  </w:t>
      </w:r>
      <w:r>
        <w:rPr>
          <w:rFonts w:hint="eastAsia" w:ascii="宋体" w:hAnsi="宋体" w:eastAsia="宋体" w:cs="宋体"/>
          <w:color w:val="auto"/>
          <w:sz w:val="24"/>
          <w:szCs w:val="24"/>
          <w:highlight w:val="none"/>
          <w:lang w:val="en-US" w:eastAsia="zh-CN" w:bidi="ar-SA"/>
        </w:rPr>
        <w:t>。</w:t>
      </w:r>
    </w:p>
    <w:p w14:paraId="7D8A662E">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b w:val="0"/>
          <w:bCs w:val="0"/>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(5)需承包人办理的有关施工场地交通、环卫环保和施工噪音管理等手续：</w:t>
      </w:r>
      <w:r>
        <w:rPr>
          <w:rFonts w:hint="eastAsia" w:ascii="宋体" w:hAnsi="宋体" w:eastAsia="宋体" w:cs="宋体"/>
          <w:color w:val="auto"/>
          <w:sz w:val="24"/>
          <w:szCs w:val="24"/>
          <w:highlight w:val="none"/>
          <w:u w:val="single"/>
          <w:lang w:val="en-US" w:eastAsia="zh-CN" w:bidi="ar-SA"/>
        </w:rPr>
        <w:t>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p>
    <w:p w14:paraId="4D0772C8">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(6)已完工程成品保护的特殊要求及费用承担：</w:t>
      </w:r>
      <w:r>
        <w:rPr>
          <w:rFonts w:hint="eastAsia" w:ascii="宋体" w:hAnsi="宋体" w:eastAsia="宋体" w:cs="宋体"/>
          <w:color w:val="auto"/>
          <w:sz w:val="24"/>
          <w:szCs w:val="24"/>
          <w:highlight w:val="none"/>
          <w:u w:val="single"/>
          <w:lang w:val="en-US" w:eastAsia="zh-CN" w:bidi="ar-SA"/>
        </w:rPr>
        <w:t xml:space="preserve"> 由承包人负责已完成成品保护并承担费用</w:t>
      </w:r>
      <w:r>
        <w:rPr>
          <w:rFonts w:hint="eastAsia" w:ascii="宋体" w:hAnsi="宋体" w:eastAsia="宋体" w:cs="宋体"/>
          <w:color w:val="auto"/>
          <w:sz w:val="24"/>
          <w:szCs w:val="24"/>
          <w:highlight w:val="none"/>
          <w:lang w:val="en-US" w:eastAsia="zh-CN" w:bidi="ar-SA"/>
        </w:rPr>
        <w:t>。</w:t>
      </w:r>
    </w:p>
    <w:p w14:paraId="7A71EE8D">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(7)施工场地周围地下管线和邻近建筑物、构筑物（含文物保护建筑）、古树名木的保护要求及费用承担：</w:t>
      </w:r>
      <w:r>
        <w:rPr>
          <w:rFonts w:hint="eastAsia" w:ascii="宋体" w:hAnsi="宋体" w:eastAsia="宋体" w:cs="宋体"/>
          <w:color w:val="auto"/>
          <w:sz w:val="24"/>
          <w:szCs w:val="24"/>
          <w:highlight w:val="none"/>
          <w:u w:val="single"/>
          <w:lang w:val="en-US" w:eastAsia="zh-CN" w:bidi="ar-SA"/>
        </w:rPr>
        <w:t>/。</w:t>
      </w:r>
    </w:p>
    <w:p w14:paraId="4F1D2A2E">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(8)施工场地清洁卫生的要求：</w:t>
      </w:r>
      <w:r>
        <w:rPr>
          <w:rFonts w:hint="eastAsia" w:ascii="宋体" w:hAnsi="宋体" w:eastAsia="宋体" w:cs="宋体"/>
          <w:color w:val="auto"/>
          <w:sz w:val="24"/>
          <w:szCs w:val="24"/>
          <w:highlight w:val="none"/>
          <w:u w:val="single"/>
          <w:lang w:val="en-US" w:eastAsia="zh-CN" w:bidi="ar-SA"/>
        </w:rPr>
        <w:t>按标准化施工现场管理，保持现场清洁，符合环境要求；交工前清理现场，因施工产生的垃圾外运，费用由承包人自理</w:t>
      </w:r>
      <w:r>
        <w:rPr>
          <w:rFonts w:hint="eastAsia" w:ascii="宋体" w:hAnsi="宋体" w:eastAsia="宋体" w:cs="宋体"/>
          <w:color w:val="auto"/>
          <w:sz w:val="24"/>
          <w:szCs w:val="24"/>
          <w:highlight w:val="none"/>
          <w:lang w:val="en-US" w:eastAsia="zh-CN" w:bidi="ar-SA"/>
        </w:rPr>
        <w:t>。</w:t>
      </w:r>
    </w:p>
    <w:p w14:paraId="37C4C6C5">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9）双方约定承包人应做的其它工作（包括但不限于）：</w:t>
      </w:r>
    </w:p>
    <w:p w14:paraId="4D691159">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a.承包人应负责修建进入施工现场的临时道路，确保施工设备、车辆顺利进出施工现场，如因路况不好，导致运输车辆不能到达指定地点发生二次转运或延误工期等情况，承包人承担相应责任及费用。</w:t>
      </w:r>
    </w:p>
    <w:p w14:paraId="72F7EB60">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p>
    <w:p w14:paraId="09B96B48">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c.严格按施工图纸、国家现行的施工及技术验收规范进行施工，做好自检工作，并按规定程序进行检测和报验，确保工程质量和工期。</w:t>
      </w:r>
    </w:p>
    <w:p w14:paraId="286F3F63">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d.严格按施工安全规范要求采取预防事故的措施，确保施工安全和第三者安全。</w:t>
      </w:r>
    </w:p>
    <w:p w14:paraId="3972CB36">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e.承包人应派出专业安全人员、质量人员在施工现场实施全天候值班。凡施工中因承包人原因发生的一切安全事故，均由承包人承担责任并负责赔偿由此造成的损失。如有事故，承包人应及时通知发包人及相关主管单位，同时须书面报告上报发包人。</w:t>
      </w:r>
    </w:p>
    <w:p w14:paraId="481EB329">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f.施工中承包人应做好施工原始记录，隐蔽工程记录，按照国家验收规范的要求，整理、检查、编制工程验收竣工资料。并在竣工时按规定移交发包人。</w:t>
      </w:r>
    </w:p>
    <w:p w14:paraId="30B5F832">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g.在施工中，由承包人自身原因造成的停工、返工、材料、物件的倒运、机械二次进场等损失，均由承包人承担。</w:t>
      </w:r>
    </w:p>
    <w:p w14:paraId="402E2C5B">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h.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 同时应满足相关技术规范要求。</w:t>
      </w:r>
    </w:p>
    <w:p w14:paraId="2E6E2BE3">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i.其他1、竣工资料应符合发包人及城建档案馆等相关部门关于档案资料的要求；2、准时参加监理组织的每周工程例会和专题会议；3、应接受发包人的现场协调管理；4、其它事宜由双方协商另定。</w:t>
      </w:r>
    </w:p>
    <w:p w14:paraId="669FDDAD">
      <w:pPr>
        <w:pageBreakBefore w:val="0"/>
        <w:widowControl w:val="0"/>
        <w:tabs>
          <w:tab w:val="left" w:pos="0"/>
          <w:tab w:val="left" w:pos="540"/>
          <w:tab w:val="left" w:pos="720"/>
          <w:tab w:val="left" w:pos="4140"/>
          <w:tab w:val="left" w:pos="5400"/>
          <w:tab w:val="left" w:pos="8460"/>
        </w:tabs>
        <w:spacing w:after="0" w:line="360" w:lineRule="auto"/>
        <w:ind w:left="0" w:right="0"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承包人未能按要求履行以上各项义务，造成发包人损失的，承包人应赔偿发包人有关损失。</w:t>
      </w:r>
    </w:p>
    <w:p w14:paraId="48A29CFC">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项目经理</w:t>
      </w:r>
    </w:p>
    <w:p w14:paraId="32F1AFCF">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 项目经理：</w:t>
      </w:r>
    </w:p>
    <w:p w14:paraId="506FD9C8">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0F3F0F8">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50D201F">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D4373F6">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906E836">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C1B1A96">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4B77695A">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承包人对项目经理的授权范围如下：</w:t>
      </w:r>
      <w:r>
        <w:rPr>
          <w:rFonts w:hint="eastAsia" w:ascii="宋体" w:hAnsi="宋体" w:eastAsia="宋体" w:cs="宋体"/>
          <w:color w:val="auto"/>
          <w:sz w:val="24"/>
          <w:szCs w:val="24"/>
          <w:highlight w:val="none"/>
          <w:u w:val="single"/>
        </w:rPr>
        <w:t xml:space="preserve">项目经理负责本项目施工期间的进度、质量、安全文明施工等全部的施工任务，施工期间与发包人签署的变更签证、补充协议等 </w:t>
      </w:r>
      <w:r>
        <w:rPr>
          <w:rFonts w:hint="eastAsia" w:ascii="宋体" w:hAnsi="宋体" w:eastAsia="宋体" w:cs="宋体"/>
          <w:color w:val="auto"/>
          <w:sz w:val="24"/>
          <w:szCs w:val="24"/>
          <w:highlight w:val="none"/>
        </w:rPr>
        <w:t>。</w:t>
      </w:r>
    </w:p>
    <w:p w14:paraId="38FCD870">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关于项目经理每月在施工现场的时间要求：</w:t>
      </w:r>
      <w:r>
        <w:rPr>
          <w:rFonts w:hint="eastAsia" w:ascii="宋体" w:hAnsi="宋体" w:eastAsia="宋体" w:cs="宋体"/>
          <w:color w:val="auto"/>
          <w:sz w:val="24"/>
          <w:szCs w:val="24"/>
          <w:highlight w:val="none"/>
          <w:u w:val="single"/>
        </w:rPr>
        <w:t>本工程要求项目经理在发包人签发开工令后</w:t>
      </w:r>
      <w:r>
        <w:rPr>
          <w:rFonts w:hint="eastAsia" w:ascii="宋体" w:hAnsi="宋体" w:eastAsia="宋体" w:cs="宋体"/>
          <w:color w:val="auto"/>
          <w:sz w:val="24"/>
          <w:szCs w:val="24"/>
          <w:highlight w:val="none"/>
          <w:u w:val="single"/>
          <w:lang w:eastAsia="zh-CN"/>
        </w:rPr>
        <w:t>第</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lang w:eastAsia="zh-CN"/>
        </w:rPr>
        <w:t>日</w:t>
      </w:r>
      <w:r>
        <w:rPr>
          <w:rFonts w:hint="eastAsia" w:ascii="宋体" w:hAnsi="宋体" w:eastAsia="宋体" w:cs="宋体"/>
          <w:color w:val="auto"/>
          <w:sz w:val="24"/>
          <w:szCs w:val="24"/>
          <w:highlight w:val="none"/>
          <w:u w:val="single"/>
        </w:rPr>
        <w:t>进驻施工现场，并要求其本人每月不少于2</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天（以每天到发包人处早晚书面签到为考勤记录</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每天不少于8小时在本工程现场工作，且必须按时参加工程例会（有事须以书面形式向发包人请假并经批准）。项目经理必须采取有效措施保证在整个施工期间，施工现场均有足够的劳动力、材料设备以保证工程顺利实施。不得因节假日、农忙影响工程施工进度</w:t>
      </w:r>
      <w:r>
        <w:rPr>
          <w:rFonts w:hint="eastAsia" w:ascii="宋体" w:hAnsi="宋体" w:eastAsia="宋体" w:cs="宋体"/>
          <w:color w:val="auto"/>
          <w:sz w:val="24"/>
          <w:szCs w:val="24"/>
          <w:highlight w:val="none"/>
        </w:rPr>
        <w:t>。</w:t>
      </w:r>
    </w:p>
    <w:p w14:paraId="7F27A3AB">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承包人未提交劳动合同，以及没有为项目经理缴纳社会保险证明的违约责任：</w:t>
      </w:r>
      <w:r>
        <w:rPr>
          <w:rFonts w:hint="eastAsia" w:ascii="宋体" w:hAnsi="宋体" w:eastAsia="宋体" w:cs="宋体"/>
          <w:color w:val="auto"/>
          <w:sz w:val="24"/>
          <w:szCs w:val="24"/>
          <w:highlight w:val="none"/>
          <w:u w:val="single"/>
        </w:rPr>
        <w:t>发包人有权要求更换项目经理，由此增加的费用和（或)延迟的工期由承包人承担</w:t>
      </w:r>
      <w:r>
        <w:rPr>
          <w:rFonts w:hint="eastAsia" w:ascii="宋体" w:hAnsi="宋体" w:eastAsia="宋体" w:cs="宋体"/>
          <w:color w:val="auto"/>
          <w:sz w:val="24"/>
          <w:szCs w:val="24"/>
          <w:highlight w:val="none"/>
        </w:rPr>
        <w:t>。</w:t>
      </w:r>
    </w:p>
    <w:p w14:paraId="40F16CAC">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承包人在发包人签发开工令后第2日</w:t>
      </w: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文件中所列的项目经理没有按时进场，或进场后，未经批准又擅自离开施工现场的违约责任：</w:t>
      </w:r>
      <w:r>
        <w:rPr>
          <w:rFonts w:hint="eastAsia" w:ascii="宋体" w:hAnsi="宋体" w:eastAsia="宋体" w:cs="宋体"/>
          <w:color w:val="auto"/>
          <w:sz w:val="24"/>
          <w:szCs w:val="24"/>
          <w:highlight w:val="none"/>
          <w:u w:val="single"/>
          <w:lang w:bidi="ar"/>
        </w:rPr>
        <w:t>承包人向发包人支付违约金</w:t>
      </w:r>
      <w:r>
        <w:rPr>
          <w:rFonts w:hint="eastAsia" w:ascii="宋体" w:hAnsi="宋体" w:eastAsia="宋体" w:cs="宋体"/>
          <w:color w:val="auto"/>
          <w:sz w:val="24"/>
          <w:szCs w:val="24"/>
          <w:highlight w:val="none"/>
          <w:u w:val="single"/>
          <w:lang w:val="en-US" w:eastAsia="zh-CN" w:bidi="ar"/>
        </w:rPr>
        <w:t>1万</w:t>
      </w:r>
      <w:r>
        <w:rPr>
          <w:rFonts w:hint="eastAsia" w:ascii="宋体" w:hAnsi="宋体" w:eastAsia="宋体" w:cs="宋体"/>
          <w:color w:val="auto"/>
          <w:sz w:val="24"/>
          <w:szCs w:val="24"/>
          <w:highlight w:val="none"/>
          <w:u w:val="single"/>
          <w:lang w:bidi="ar"/>
        </w:rPr>
        <w:t>元/天</w:t>
      </w:r>
      <w:r>
        <w:rPr>
          <w:rFonts w:hint="eastAsia" w:ascii="宋体" w:hAnsi="宋体" w:eastAsia="宋体" w:cs="宋体"/>
          <w:color w:val="auto"/>
          <w:sz w:val="24"/>
          <w:szCs w:val="24"/>
          <w:highlight w:val="none"/>
          <w:u w:val="single"/>
        </w:rPr>
        <w:t>。</w:t>
      </w:r>
    </w:p>
    <w:p w14:paraId="2530375F">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 承包人擅自更换项目经理的违约责任：</w:t>
      </w:r>
      <w:r>
        <w:rPr>
          <w:rFonts w:hint="eastAsia" w:ascii="宋体" w:hAnsi="宋体" w:eastAsia="宋体" w:cs="宋体"/>
          <w:color w:val="auto"/>
          <w:sz w:val="24"/>
          <w:szCs w:val="24"/>
          <w:highlight w:val="none"/>
          <w:u w:val="single"/>
          <w:lang w:bidi="ar"/>
        </w:rPr>
        <w:t>若承包人擅自更换项目经理，发包人扣除承包人的全部履约保证金，同时要求承包人更换后的项目经理资质等级、业绩不低于原项目经理，否则解除施工合同</w:t>
      </w:r>
      <w:r>
        <w:rPr>
          <w:rFonts w:hint="eastAsia" w:ascii="宋体" w:hAnsi="宋体" w:eastAsia="宋体" w:cs="宋体"/>
          <w:color w:val="auto"/>
          <w:sz w:val="24"/>
          <w:szCs w:val="24"/>
          <w:highlight w:val="none"/>
          <w:u w:val="single"/>
          <w:lang w:eastAsia="zh-CN" w:bidi="ar"/>
        </w:rPr>
        <w:t>，重新更换后的项目经理履约考核仍执行合同约定</w:t>
      </w:r>
      <w:r>
        <w:rPr>
          <w:rFonts w:hint="eastAsia" w:ascii="宋体" w:hAnsi="宋体" w:eastAsia="宋体" w:cs="宋体"/>
          <w:color w:val="auto"/>
          <w:sz w:val="24"/>
          <w:szCs w:val="24"/>
          <w:highlight w:val="none"/>
          <w:u w:val="single"/>
        </w:rPr>
        <w:t>。</w:t>
      </w:r>
    </w:p>
    <w:p w14:paraId="39BD143B">
      <w:pPr>
        <w:spacing w:line="360" w:lineRule="auto"/>
        <w:ind w:left="0" w:right="0"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3.2.4 承包人无正当理由拒绝更换项目经理的违约责任：</w:t>
      </w:r>
      <w:r>
        <w:rPr>
          <w:rFonts w:hint="eastAsia" w:ascii="宋体" w:hAnsi="宋体" w:eastAsia="宋体" w:cs="宋体"/>
          <w:color w:val="auto"/>
          <w:sz w:val="24"/>
          <w:szCs w:val="24"/>
          <w:highlight w:val="none"/>
          <w:u w:val="single"/>
        </w:rPr>
        <w:t>除应改正外，还应向发包人支付违约金</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万元，并承担因此给发包人造成的一切损失。</w:t>
      </w:r>
    </w:p>
    <w:p w14:paraId="345DA89B">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3.2.5 发包人认为项目经理不能胜任本项目工作要求的，要求承包人更换项目经理的：</w:t>
      </w:r>
      <w:r>
        <w:rPr>
          <w:rFonts w:hint="eastAsia" w:ascii="宋体" w:hAnsi="宋体" w:eastAsia="宋体" w:cs="宋体"/>
          <w:color w:val="auto"/>
          <w:sz w:val="24"/>
          <w:szCs w:val="24"/>
          <w:highlight w:val="none"/>
          <w:u w:val="single"/>
          <w:lang w:val="en-US" w:eastAsia="zh-CN" w:bidi="ar"/>
        </w:rPr>
        <w:t>承包人应当按要求更换（</w:t>
      </w:r>
      <w:r>
        <w:rPr>
          <w:rFonts w:hint="eastAsia" w:ascii="宋体" w:hAnsi="宋体" w:eastAsia="宋体" w:cs="宋体"/>
          <w:color w:val="auto"/>
          <w:sz w:val="24"/>
          <w:szCs w:val="24"/>
          <w:highlight w:val="none"/>
          <w:u w:val="single"/>
          <w:lang w:bidi="ar"/>
        </w:rPr>
        <w:t>更换后的项目经理资质等级、业绩不低于原项目经理</w:t>
      </w:r>
      <w:r>
        <w:rPr>
          <w:rFonts w:hint="eastAsia" w:ascii="宋体" w:hAnsi="宋体" w:eastAsia="宋体" w:cs="宋体"/>
          <w:color w:val="auto"/>
          <w:sz w:val="24"/>
          <w:szCs w:val="24"/>
          <w:highlight w:val="none"/>
          <w:u w:val="single"/>
          <w:lang w:val="en-US" w:eastAsia="zh-CN" w:bidi="ar"/>
        </w:rPr>
        <w:t>），并</w:t>
      </w:r>
      <w:r>
        <w:rPr>
          <w:rFonts w:hint="eastAsia" w:ascii="宋体" w:hAnsi="宋体" w:eastAsia="宋体" w:cs="宋体"/>
          <w:color w:val="auto"/>
          <w:sz w:val="24"/>
          <w:szCs w:val="24"/>
          <w:highlight w:val="none"/>
          <w:u w:val="single"/>
          <w:lang w:bidi="ar"/>
        </w:rPr>
        <w:t>向发包人支付违约金</w:t>
      </w:r>
      <w:r>
        <w:rPr>
          <w:rFonts w:hint="eastAsia" w:ascii="宋体" w:hAnsi="宋体" w:eastAsia="宋体" w:cs="宋体"/>
          <w:color w:val="auto"/>
          <w:sz w:val="24"/>
          <w:szCs w:val="24"/>
          <w:highlight w:val="none"/>
          <w:u w:val="single"/>
          <w:lang w:val="en-US" w:eastAsia="zh-CN" w:bidi="ar"/>
        </w:rPr>
        <w:t>1万</w:t>
      </w:r>
      <w:r>
        <w:rPr>
          <w:rFonts w:hint="eastAsia" w:ascii="宋体" w:hAnsi="宋体" w:eastAsia="宋体" w:cs="宋体"/>
          <w:color w:val="auto"/>
          <w:sz w:val="24"/>
          <w:szCs w:val="24"/>
          <w:highlight w:val="none"/>
          <w:u w:val="single"/>
          <w:lang w:bidi="ar"/>
        </w:rPr>
        <w:t>元</w:t>
      </w:r>
      <w:r>
        <w:rPr>
          <w:rFonts w:hint="eastAsia" w:ascii="宋体" w:hAnsi="宋体" w:eastAsia="宋体" w:cs="宋体"/>
          <w:color w:val="auto"/>
          <w:sz w:val="24"/>
          <w:szCs w:val="24"/>
          <w:highlight w:val="none"/>
          <w:u w:val="single"/>
          <w:lang w:val="en-US" w:eastAsia="zh-CN" w:bidi="ar"/>
        </w:rPr>
        <w:t>/次。</w:t>
      </w:r>
    </w:p>
    <w:p w14:paraId="31C88E1B">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w:t>
      </w:r>
      <w:r>
        <w:rPr>
          <w:rFonts w:hint="eastAsia" w:ascii="宋体" w:hAnsi="宋体" w:eastAsia="宋体" w:cs="宋体"/>
          <w:b/>
          <w:color w:val="auto"/>
          <w:sz w:val="24"/>
          <w:szCs w:val="24"/>
          <w:highlight w:val="none"/>
        </w:rPr>
        <w:t>项目管理团队</w:t>
      </w:r>
    </w:p>
    <w:p w14:paraId="400AA250">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技术负责人：</w:t>
      </w:r>
    </w:p>
    <w:p w14:paraId="363FB8F8">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DAD4BF8">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0153784">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注册（执业）证书名称及号码：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F196036">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583E5E9">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施工员：</w:t>
      </w:r>
    </w:p>
    <w:p w14:paraId="57191A4A">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3845B70">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6C615F1">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施工员证书号：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F4C0B34">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039B7DF">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质监员：</w:t>
      </w:r>
    </w:p>
    <w:p w14:paraId="72CEECC7">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8A70721">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04EF769">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质监员证书号：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97FF704">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3157552">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安全员：</w:t>
      </w:r>
    </w:p>
    <w:p w14:paraId="0F4A2088">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9FFB1BF">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1174387">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安全员证书号：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ABE3365">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9140BC3">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F2EE42E">
      <w:pPr>
        <w:spacing w:line="360" w:lineRule="auto"/>
        <w:ind w:left="0" w:right="0" w:firstLine="482"/>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开工前承包人应在施工现场安装生物识别网络管理系统，发包人依据合同约定条款对项目负责人等项目组成员加强履约管理。</w:t>
      </w:r>
    </w:p>
    <w:p w14:paraId="61A07C2B">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承包人提交项目管理机构及施工现场管理人员安排报告的期限：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bidi="ar"/>
        </w:rPr>
        <w:t>接到开工令3天内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3D7DD49">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 承包人无正当理由拒绝撤换主要施工管理人员的违约责任：</w:t>
      </w:r>
      <w:r>
        <w:rPr>
          <w:rFonts w:hint="eastAsia" w:ascii="宋体" w:hAnsi="宋体" w:eastAsia="宋体" w:cs="宋体"/>
          <w:color w:val="auto"/>
          <w:sz w:val="24"/>
          <w:szCs w:val="24"/>
          <w:highlight w:val="none"/>
          <w:u w:val="single"/>
          <w:lang w:bidi="ar"/>
        </w:rPr>
        <w:t>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w:t>
      </w:r>
      <w:r>
        <w:rPr>
          <w:rFonts w:hint="eastAsia" w:ascii="宋体" w:hAnsi="宋体" w:eastAsia="宋体" w:cs="宋体"/>
          <w:color w:val="auto"/>
          <w:sz w:val="24"/>
          <w:szCs w:val="24"/>
          <w:highlight w:val="none"/>
          <w:u w:val="single"/>
          <w:lang w:eastAsia="zh-CN" w:bidi="ar"/>
        </w:rPr>
        <w:t>承担违约金</w:t>
      </w:r>
      <w:r>
        <w:rPr>
          <w:rFonts w:hint="eastAsia" w:ascii="宋体" w:hAnsi="宋体" w:eastAsia="宋体" w:cs="宋体"/>
          <w:color w:val="auto"/>
          <w:sz w:val="24"/>
          <w:szCs w:val="24"/>
          <w:highlight w:val="none"/>
          <w:u w:val="single"/>
          <w:lang w:val="en-US" w:eastAsia="zh-CN" w:bidi="ar"/>
        </w:rPr>
        <w:t>5000</w:t>
      </w:r>
      <w:r>
        <w:rPr>
          <w:rFonts w:hint="eastAsia" w:ascii="宋体" w:hAnsi="宋体" w:eastAsia="宋体" w:cs="宋体"/>
          <w:color w:val="auto"/>
          <w:sz w:val="24"/>
          <w:szCs w:val="24"/>
          <w:highlight w:val="none"/>
          <w:u w:val="single"/>
          <w:lang w:bidi="ar"/>
        </w:rPr>
        <w:t>元/人</w:t>
      </w:r>
      <w:r>
        <w:rPr>
          <w:rFonts w:hint="eastAsia" w:ascii="宋体" w:hAnsi="宋体" w:eastAsia="宋体" w:cs="宋体"/>
          <w:color w:val="auto"/>
          <w:sz w:val="24"/>
          <w:szCs w:val="24"/>
          <w:highlight w:val="none"/>
          <w:lang w:bidi="ar"/>
        </w:rPr>
        <w:t>。</w:t>
      </w:r>
    </w:p>
    <w:p w14:paraId="6FAA1AAA">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3.3.4 承包人主要施工管理人员离开施工现场的批准要求：</w:t>
      </w:r>
      <w:r>
        <w:rPr>
          <w:rFonts w:hint="eastAsia" w:ascii="宋体" w:hAnsi="宋体" w:eastAsia="宋体" w:cs="宋体"/>
          <w:color w:val="auto"/>
          <w:sz w:val="24"/>
          <w:szCs w:val="24"/>
          <w:highlight w:val="none"/>
          <w:u w:val="single"/>
          <w:lang w:bidi="ar"/>
        </w:rPr>
        <w:t>应提前1天书面通知监理人，并征得发包人书面同意</w:t>
      </w:r>
      <w:r>
        <w:rPr>
          <w:rFonts w:hint="eastAsia" w:ascii="宋体" w:hAnsi="宋体" w:eastAsia="宋体" w:cs="宋体"/>
          <w:color w:val="auto"/>
          <w:sz w:val="24"/>
          <w:szCs w:val="24"/>
          <w:highlight w:val="none"/>
          <w:u w:val="single"/>
        </w:rPr>
        <w:t>。</w:t>
      </w:r>
    </w:p>
    <w:p w14:paraId="608C6C84">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3.3.5承包人擅自更换主要施工管理人员的违约责任：</w:t>
      </w:r>
      <w:r>
        <w:rPr>
          <w:rFonts w:hint="eastAsia" w:ascii="宋体" w:hAnsi="宋体" w:eastAsia="宋体" w:cs="宋体"/>
          <w:color w:val="auto"/>
          <w:sz w:val="24"/>
          <w:szCs w:val="24"/>
          <w:highlight w:val="none"/>
          <w:u w:val="single"/>
          <w:lang w:bidi="ar"/>
        </w:rPr>
        <w:t>若承包人擅自更换主要施工管理人员，发包人扣除承包人的</w:t>
      </w:r>
      <w:r>
        <w:rPr>
          <w:rFonts w:hint="eastAsia" w:ascii="宋体" w:hAnsi="宋体" w:eastAsia="宋体" w:cs="宋体"/>
          <w:color w:val="auto"/>
          <w:sz w:val="24"/>
          <w:szCs w:val="24"/>
          <w:highlight w:val="none"/>
          <w:u w:val="single"/>
          <w:lang w:val="en-US" w:eastAsia="zh-CN" w:bidi="ar"/>
        </w:rPr>
        <w:t>5</w:t>
      </w:r>
      <w:r>
        <w:rPr>
          <w:rFonts w:hint="eastAsia" w:ascii="宋体" w:hAnsi="宋体" w:eastAsia="宋体" w:cs="宋体"/>
          <w:color w:val="auto"/>
          <w:sz w:val="24"/>
          <w:szCs w:val="24"/>
          <w:highlight w:val="none"/>
          <w:u w:val="single"/>
          <w:lang w:bidi="ar"/>
        </w:rPr>
        <w:t>%履约保证金，同时要求承包人更换后的主要施工管理人员资质等级、业绩不低于原主要施工管理人员，否则扣除承包人的全部履约保证金</w:t>
      </w:r>
      <w:r>
        <w:rPr>
          <w:rFonts w:hint="eastAsia" w:ascii="宋体" w:hAnsi="宋体" w:eastAsia="宋体" w:cs="宋体"/>
          <w:color w:val="auto"/>
          <w:sz w:val="24"/>
          <w:szCs w:val="24"/>
          <w:highlight w:val="none"/>
          <w:u w:val="single"/>
        </w:rPr>
        <w:t>。</w:t>
      </w:r>
    </w:p>
    <w:p w14:paraId="382EB969">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承包人主要施工管理人员擅自离开施工现场的违约责任：</w:t>
      </w:r>
      <w:r>
        <w:rPr>
          <w:rFonts w:hint="eastAsia" w:ascii="宋体" w:hAnsi="宋体" w:eastAsia="宋体" w:cs="宋体"/>
          <w:color w:val="auto"/>
          <w:sz w:val="24"/>
          <w:szCs w:val="24"/>
          <w:highlight w:val="none"/>
          <w:u w:val="single"/>
          <w:lang w:bidi="ar"/>
        </w:rPr>
        <w:t>发包人每发现一次主要施工管理人员擅自离开施工现场的，承包人向发包人支付违约金</w:t>
      </w:r>
      <w:r>
        <w:rPr>
          <w:rFonts w:hint="eastAsia" w:ascii="宋体" w:hAnsi="宋体" w:eastAsia="宋体" w:cs="宋体"/>
          <w:color w:val="auto"/>
          <w:sz w:val="24"/>
          <w:szCs w:val="24"/>
          <w:highlight w:val="none"/>
          <w:u w:val="single"/>
          <w:lang w:val="en-US" w:eastAsia="zh-CN" w:bidi="ar"/>
        </w:rPr>
        <w:t>5000元</w:t>
      </w:r>
      <w:r>
        <w:rPr>
          <w:rFonts w:hint="eastAsia" w:ascii="宋体" w:hAnsi="宋体" w:eastAsia="宋体" w:cs="宋体"/>
          <w:color w:val="auto"/>
          <w:sz w:val="24"/>
          <w:szCs w:val="24"/>
          <w:highlight w:val="none"/>
          <w:u w:val="single"/>
          <w:lang w:bidi="ar"/>
        </w:rPr>
        <w:t>/人·次，累计发现</w:t>
      </w:r>
      <w:r>
        <w:rPr>
          <w:rFonts w:hint="eastAsia" w:ascii="宋体" w:hAnsi="宋体" w:eastAsia="宋体" w:cs="宋体"/>
          <w:color w:val="auto"/>
          <w:sz w:val="24"/>
          <w:szCs w:val="24"/>
          <w:highlight w:val="none"/>
          <w:u w:val="single"/>
          <w:lang w:val="en-US" w:eastAsia="zh-CN" w:bidi="ar"/>
        </w:rPr>
        <w:t>5</w:t>
      </w:r>
      <w:r>
        <w:rPr>
          <w:rFonts w:hint="eastAsia" w:ascii="宋体" w:hAnsi="宋体" w:eastAsia="宋体" w:cs="宋体"/>
          <w:color w:val="auto"/>
          <w:sz w:val="24"/>
          <w:szCs w:val="24"/>
          <w:highlight w:val="none"/>
          <w:u w:val="single"/>
          <w:lang w:bidi="ar"/>
        </w:rPr>
        <w:t>次主要施工管理人员擅自离开施工现场，视为承包人擅自更换主要施工管理人员（如：承包人项目经理、项目技术负责人、安全负责人及发包人或监理单位临时指定的相关工程技术人员必须参加每周工作例会，因故不能参加的应提前4小时向发包人提出书面申请并在获得发包人批准后方可缺席，并同时指派相关的替代人员参加，否则视同承包人违约</w:t>
      </w:r>
      <w:r>
        <w:rPr>
          <w:rFonts w:hint="eastAsia" w:ascii="宋体" w:hAnsi="宋体" w:eastAsia="宋体" w:cs="宋体"/>
          <w:color w:val="auto"/>
          <w:sz w:val="24"/>
          <w:szCs w:val="24"/>
          <w:highlight w:val="none"/>
          <w:u w:val="single"/>
          <w:lang w:eastAsia="zh-CN" w:bidi="ar"/>
        </w:rPr>
        <w:t>）</w:t>
      </w:r>
      <w:r>
        <w:rPr>
          <w:rFonts w:hint="eastAsia" w:ascii="宋体" w:hAnsi="宋体" w:eastAsia="宋体" w:cs="宋体"/>
          <w:color w:val="auto"/>
          <w:sz w:val="24"/>
          <w:szCs w:val="24"/>
          <w:highlight w:val="none"/>
          <w:u w:val="single"/>
        </w:rPr>
        <w:t>。</w:t>
      </w:r>
    </w:p>
    <w:p w14:paraId="5EAB02AC">
      <w:pPr>
        <w:keepNext w:val="0"/>
        <w:keepLines w:val="0"/>
        <w:pageBreakBefore w:val="0"/>
        <w:widowControl w:val="0"/>
        <w:spacing w:line="24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 分包</w:t>
      </w:r>
    </w:p>
    <w:p w14:paraId="01EA4B26">
      <w:pPr>
        <w:keepNext w:val="0"/>
        <w:keepLines w:val="0"/>
        <w:pageBreakBefore w:val="0"/>
        <w:widowControl w:val="0"/>
        <w:spacing w:line="24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 分包的一般约定</w:t>
      </w:r>
    </w:p>
    <w:p w14:paraId="71278DED">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禁止分包的工程包括：</w:t>
      </w:r>
      <w:r>
        <w:rPr>
          <w:rFonts w:hint="eastAsia" w:ascii="宋体" w:hAnsi="宋体" w:eastAsia="宋体" w:cs="宋体"/>
          <w:color w:val="auto"/>
          <w:sz w:val="24"/>
          <w:szCs w:val="24"/>
          <w:highlight w:val="none"/>
          <w:u w:val="single"/>
        </w:rPr>
        <w:t>未经发包人同意，本工程不允许分包</w:t>
      </w:r>
      <w:r>
        <w:rPr>
          <w:rFonts w:hint="eastAsia" w:ascii="宋体" w:hAnsi="宋体" w:eastAsia="宋体" w:cs="宋体"/>
          <w:color w:val="auto"/>
          <w:sz w:val="24"/>
          <w:szCs w:val="24"/>
          <w:highlight w:val="none"/>
        </w:rPr>
        <w:t>。</w:t>
      </w:r>
    </w:p>
    <w:p w14:paraId="257BE39C">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主体结构、关键性工作的范围：</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050ED22F">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3.5.2分包的确定</w:t>
      </w:r>
    </w:p>
    <w:p w14:paraId="01EC33A6">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允许分包的专业工程包括：</w:t>
      </w:r>
      <w:r>
        <w:rPr>
          <w:rFonts w:hint="eastAsia" w:ascii="宋体" w:hAnsi="宋体" w:eastAsia="宋体" w:cs="宋体"/>
          <w:color w:val="auto"/>
          <w:sz w:val="24"/>
          <w:szCs w:val="24"/>
          <w:highlight w:val="none"/>
          <w:u w:val="single"/>
        </w:rPr>
        <w:t>发包人有权决定分包内容</w:t>
      </w:r>
      <w:r>
        <w:rPr>
          <w:rFonts w:hint="eastAsia" w:ascii="宋体" w:hAnsi="宋体" w:eastAsia="宋体" w:cs="宋体"/>
          <w:color w:val="auto"/>
          <w:sz w:val="24"/>
          <w:szCs w:val="24"/>
          <w:highlight w:val="none"/>
        </w:rPr>
        <w:t>。</w:t>
      </w:r>
    </w:p>
    <w:p w14:paraId="5CD9E447">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其他关于分包的约定：</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p>
    <w:p w14:paraId="2F8E5EB8">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 分包合同价款</w:t>
      </w:r>
    </w:p>
    <w:p w14:paraId="5FA06F7E">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关于分包合同价款支付的约定：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058155D0">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 工程照管与成品、半成品保护</w:t>
      </w:r>
    </w:p>
    <w:p w14:paraId="501BE193">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承包人负责照管工程及工程相关的材料、工程设备的起始时间：</w:t>
      </w:r>
      <w:r>
        <w:rPr>
          <w:rFonts w:hint="eastAsia" w:ascii="宋体" w:hAnsi="宋体" w:eastAsia="宋体" w:cs="宋体"/>
          <w:color w:val="auto"/>
          <w:sz w:val="24"/>
          <w:szCs w:val="24"/>
          <w:highlight w:val="none"/>
          <w:u w:val="single"/>
        </w:rPr>
        <w:t>设备、人员进场至工程竣工验收交付使用前由承包人负责保管和维修，无其它特殊要求的，费用由承包人承担</w:t>
      </w:r>
      <w:r>
        <w:rPr>
          <w:rFonts w:hint="eastAsia" w:ascii="宋体" w:hAnsi="宋体" w:eastAsia="宋体" w:cs="宋体"/>
          <w:color w:val="auto"/>
          <w:sz w:val="24"/>
          <w:szCs w:val="24"/>
          <w:highlight w:val="none"/>
        </w:rPr>
        <w:t>。</w:t>
      </w:r>
    </w:p>
    <w:p w14:paraId="45E6EE1D">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 履约担保</w:t>
      </w:r>
    </w:p>
    <w:p w14:paraId="2B40069C">
      <w:pPr>
        <w:keepNext/>
        <w:keepLines/>
        <w:widowControl w:val="0"/>
        <w:spacing w:before="0" w:after="0" w:line="360" w:lineRule="auto"/>
        <w:ind w:left="0" w:right="0" w:firstLine="480"/>
        <w:jc w:val="both"/>
        <w:outlineLvl w:val="3"/>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承包人是否提供履约担保：</w:t>
      </w:r>
      <w:r>
        <w:rPr>
          <w:rFonts w:hint="eastAsia" w:ascii="宋体" w:hAnsi="宋体" w:eastAsia="宋体" w:cs="宋体"/>
          <w:b w:val="0"/>
          <w:bCs/>
          <w:color w:val="auto"/>
          <w:sz w:val="24"/>
          <w:szCs w:val="24"/>
          <w:highlight w:val="none"/>
          <w:u w:val="single"/>
          <w:lang w:val="en-US" w:eastAsia="zh-CN" w:bidi="ar-SA"/>
        </w:rPr>
        <w:t xml:space="preserve">  是  </w:t>
      </w:r>
      <w:r>
        <w:rPr>
          <w:rFonts w:hint="eastAsia" w:ascii="宋体" w:hAnsi="宋体" w:eastAsia="宋体" w:cs="宋体"/>
          <w:b w:val="0"/>
          <w:bCs/>
          <w:color w:val="auto"/>
          <w:sz w:val="24"/>
          <w:szCs w:val="24"/>
          <w:highlight w:val="none"/>
          <w:lang w:val="en-US" w:eastAsia="zh-CN" w:bidi="ar-SA"/>
        </w:rPr>
        <w:t>；</w:t>
      </w:r>
    </w:p>
    <w:p w14:paraId="6FFEF87D">
      <w:pPr>
        <w:keepNext/>
        <w:keepLines/>
        <w:widowControl w:val="0"/>
        <w:spacing w:before="0" w:after="0" w:line="360" w:lineRule="auto"/>
        <w:ind w:left="0" w:right="0" w:firstLine="480"/>
        <w:jc w:val="both"/>
        <w:outlineLvl w:val="3"/>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履约保证金的形式：</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w:t>
      </w:r>
    </w:p>
    <w:p w14:paraId="6360E4B5">
      <w:pPr>
        <w:keepNext/>
        <w:keepLines/>
        <w:widowControl w:val="0"/>
        <w:spacing w:before="0" w:after="0" w:line="360" w:lineRule="auto"/>
        <w:ind w:left="0" w:right="0" w:firstLine="480"/>
        <w:jc w:val="both"/>
        <w:outlineLvl w:val="3"/>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金额及期限：</w:t>
      </w:r>
      <w:r>
        <w:rPr>
          <w:rFonts w:hint="eastAsia" w:ascii="宋体" w:hAnsi="宋体" w:eastAsia="宋体" w:cs="宋体"/>
          <w:b w:val="0"/>
          <w:bCs/>
          <w:color w:val="auto"/>
          <w:sz w:val="24"/>
          <w:szCs w:val="24"/>
          <w:highlight w:val="none"/>
          <w:u w:val="single"/>
          <w:lang w:val="en-US" w:eastAsia="zh-CN" w:bidi="ar-SA"/>
        </w:rPr>
        <w:t xml:space="preserve">           </w:t>
      </w:r>
      <w:r>
        <w:rPr>
          <w:rFonts w:hint="eastAsia" w:ascii="宋体" w:hAnsi="宋体" w:eastAsia="宋体" w:cs="宋体"/>
          <w:b w:val="0"/>
          <w:bCs/>
          <w:color w:val="auto"/>
          <w:sz w:val="24"/>
          <w:szCs w:val="24"/>
          <w:highlight w:val="none"/>
          <w:lang w:val="en-US" w:eastAsia="zh-CN" w:bidi="ar-SA"/>
        </w:rPr>
        <w:t>；</w:t>
      </w:r>
    </w:p>
    <w:p w14:paraId="2C7DF40A">
      <w:pPr>
        <w:keepNext/>
        <w:keepLines/>
        <w:widowControl w:val="0"/>
        <w:spacing w:before="0" w:after="0" w:line="360" w:lineRule="auto"/>
        <w:ind w:left="0" w:right="0" w:firstLine="480"/>
        <w:jc w:val="both"/>
        <w:outlineLvl w:val="3"/>
        <w:rPr>
          <w:rFonts w:hint="eastAsia" w:ascii="宋体" w:hAnsi="宋体" w:eastAsia="宋体" w:cs="宋体"/>
          <w:b w:val="0"/>
          <w:bCs/>
          <w:color w:val="auto"/>
          <w:sz w:val="24"/>
          <w:szCs w:val="24"/>
          <w:highlight w:val="none"/>
          <w:u w:val="single"/>
          <w:lang w:val="en-US" w:eastAsia="zh-CN" w:bidi="ar-SA"/>
        </w:rPr>
      </w:pPr>
      <w:r>
        <w:rPr>
          <w:rFonts w:hint="eastAsia" w:ascii="宋体" w:hAnsi="宋体" w:eastAsia="宋体" w:cs="宋体"/>
          <w:b w:val="0"/>
          <w:bCs/>
          <w:color w:val="auto"/>
          <w:sz w:val="24"/>
          <w:szCs w:val="24"/>
          <w:highlight w:val="none"/>
          <w:lang w:val="en-US" w:eastAsia="zh-CN" w:bidi="ar-SA"/>
        </w:rPr>
        <w:t>履约保证金的退还：</w:t>
      </w:r>
      <w:r>
        <w:rPr>
          <w:rFonts w:hint="eastAsia" w:ascii="宋体" w:hAnsi="宋体" w:eastAsia="宋体" w:cs="宋体"/>
          <w:b w:val="0"/>
          <w:bCs/>
          <w:color w:val="auto"/>
          <w:sz w:val="24"/>
          <w:szCs w:val="24"/>
          <w:highlight w:val="none"/>
          <w:u w:val="single"/>
          <w:lang w:val="en-US" w:eastAsia="zh-CN" w:bidi="ar-SA"/>
        </w:rPr>
        <w:t>工程竣工验收合格后28日内退还。</w:t>
      </w:r>
    </w:p>
    <w:p w14:paraId="1D4870CA">
      <w:pPr>
        <w:keepNext/>
        <w:keepLines/>
        <w:widowControl w:val="0"/>
        <w:spacing w:before="0" w:after="0" w:line="360" w:lineRule="auto"/>
        <w:ind w:left="0" w:right="0" w:firstLine="480"/>
        <w:jc w:val="both"/>
        <w:outlineLvl w:val="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4. 监理人</w:t>
      </w:r>
    </w:p>
    <w:p w14:paraId="12CC4B50">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4.1监理人的一般规定</w:t>
      </w:r>
    </w:p>
    <w:p w14:paraId="1D6C842D">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关于监理人的监理内容：</w:t>
      </w:r>
      <w:r>
        <w:rPr>
          <w:rFonts w:hint="eastAsia" w:ascii="宋体" w:hAnsi="宋体" w:eastAsia="宋体" w:cs="宋体"/>
          <w:color w:val="auto"/>
          <w:sz w:val="24"/>
          <w:szCs w:val="24"/>
          <w:highlight w:val="none"/>
          <w:u w:val="single"/>
        </w:rPr>
        <w:t>见监理合同。</w:t>
      </w:r>
      <w:r>
        <w:rPr>
          <w:rFonts w:hint="eastAsia" w:ascii="宋体" w:hAnsi="宋体" w:eastAsia="宋体" w:cs="宋体"/>
          <w:color w:val="auto"/>
          <w:sz w:val="24"/>
          <w:szCs w:val="24"/>
          <w:highlight w:val="none"/>
        </w:rPr>
        <w:t xml:space="preserve">            </w:t>
      </w:r>
    </w:p>
    <w:p w14:paraId="7AB724D7">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关于监理人的监理权限：</w:t>
      </w:r>
      <w:r>
        <w:rPr>
          <w:rFonts w:hint="eastAsia" w:ascii="宋体" w:hAnsi="宋体" w:eastAsia="宋体" w:cs="宋体"/>
          <w:color w:val="auto"/>
          <w:sz w:val="24"/>
          <w:szCs w:val="24"/>
          <w:highlight w:val="none"/>
          <w:u w:val="single"/>
        </w:rPr>
        <w:t>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auto"/>
          <w:sz w:val="24"/>
          <w:szCs w:val="24"/>
          <w:highlight w:val="none"/>
        </w:rPr>
        <w:t>。</w:t>
      </w:r>
    </w:p>
    <w:p w14:paraId="2C4271A7">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需要取得发包人批准才能行使的职权</w:t>
      </w:r>
      <w:r>
        <w:rPr>
          <w:rFonts w:hint="eastAsia" w:ascii="宋体" w:hAnsi="宋体" w:eastAsia="宋体" w:cs="宋体"/>
          <w:color w:val="auto"/>
          <w:sz w:val="24"/>
          <w:szCs w:val="24"/>
          <w:highlight w:val="none"/>
          <w:u w:val="single"/>
        </w:rPr>
        <w:t>：（1）批准工程任何部分的发包合同；（2）费用的增加；（3）工程的延期；（4）发布变更指令；（5）批准设计变更；（6）发布工程开工令、停工令和复工令，以及单项工程超出三天以上的暂停施工或复工；（7）索赔的支付；(8)工程款支付。</w:t>
      </w:r>
    </w:p>
    <w:p w14:paraId="280A3372">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关于监理人在施工现场的办公场所、生活场所的提供和费用承担的约定：</w:t>
      </w:r>
      <w:r>
        <w:rPr>
          <w:rFonts w:hint="eastAsia" w:ascii="宋体" w:hAnsi="宋体" w:eastAsia="宋体" w:cs="宋体"/>
          <w:color w:val="auto"/>
          <w:sz w:val="24"/>
          <w:szCs w:val="24"/>
          <w:highlight w:val="none"/>
          <w:u w:val="single"/>
        </w:rPr>
        <w:t>办公设备由相关单位自备。</w:t>
      </w:r>
    </w:p>
    <w:p w14:paraId="452C9BE1">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监理人员</w:t>
      </w:r>
    </w:p>
    <w:p w14:paraId="6647E07A">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总监理工程师：</w:t>
      </w:r>
    </w:p>
    <w:p w14:paraId="65289A66">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A4A737C">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3AFCEF7">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C3BF047">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C02CC1E">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268F1A2">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4908CE6">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关于监理人的其他约定：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59C43EF8">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商定或确定</w:t>
      </w:r>
    </w:p>
    <w:p w14:paraId="12B880A4">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在发包人和承包人不能通过协商达成一致意见时，发包人授权监理人对以下事项进行确定：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3D63E1C2">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 工程质量</w:t>
      </w:r>
    </w:p>
    <w:p w14:paraId="4A4E43E4">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质量要求</w:t>
      </w:r>
    </w:p>
    <w:p w14:paraId="77A77725">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 特殊质量标准和要求：</w:t>
      </w:r>
    </w:p>
    <w:p w14:paraId="710AEC2B">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1、本工程必须根据国家有关施工规范、设计图纸及说明、图纸会审纪要和变更设计联系单组织施工和验收，工程质量达到合格标准</w:t>
      </w:r>
      <w:r>
        <w:rPr>
          <w:rFonts w:hint="eastAsia" w:ascii="宋体" w:hAnsi="宋体" w:eastAsia="宋体" w:cs="宋体"/>
          <w:color w:val="auto"/>
          <w:sz w:val="24"/>
          <w:szCs w:val="24"/>
          <w:highlight w:val="none"/>
        </w:rPr>
        <w:t>。</w:t>
      </w:r>
    </w:p>
    <w:p w14:paraId="583461DC">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2、由于承包人原因发生工程质量问题，由此所造成的所有经济损失和一切责任均由承包人承担</w:t>
      </w:r>
      <w:r>
        <w:rPr>
          <w:rFonts w:hint="eastAsia" w:ascii="宋体" w:hAnsi="宋体" w:eastAsia="宋体" w:cs="宋体"/>
          <w:color w:val="auto"/>
          <w:sz w:val="24"/>
          <w:szCs w:val="24"/>
          <w:highlight w:val="none"/>
        </w:rPr>
        <w:t>。</w:t>
      </w:r>
    </w:p>
    <w:p w14:paraId="1DF412FF">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3、承包人必须精心组织施工，在施工过程中，如承包人未按设计要求和规范进行施工而造成返工重做的，承包人无条件整改至合格为止</w:t>
      </w:r>
      <w:r>
        <w:rPr>
          <w:rFonts w:hint="eastAsia" w:ascii="宋体" w:hAnsi="宋体" w:eastAsia="宋体" w:cs="宋体"/>
          <w:color w:val="auto"/>
          <w:sz w:val="24"/>
          <w:szCs w:val="24"/>
          <w:highlight w:val="none"/>
        </w:rPr>
        <w:t>。</w:t>
      </w:r>
    </w:p>
    <w:p w14:paraId="799F6DCF">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4、本工程的所有隐蔽工程必须经发包人和监理公司人员验收合格签字认可方可隐蔽</w:t>
      </w:r>
      <w:r>
        <w:rPr>
          <w:rFonts w:hint="eastAsia" w:ascii="宋体" w:hAnsi="宋体" w:eastAsia="宋体" w:cs="宋体"/>
          <w:color w:val="auto"/>
          <w:sz w:val="24"/>
          <w:szCs w:val="24"/>
          <w:highlight w:val="none"/>
        </w:rPr>
        <w:t>。</w:t>
      </w:r>
    </w:p>
    <w:p w14:paraId="5D1CC598">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5、承包人承包范围内的土方回填必须确保回填土质量，如今后发生因回填土质量不符合要求而产生的费用由承包人自负</w:t>
      </w:r>
      <w:r>
        <w:rPr>
          <w:rFonts w:hint="eastAsia" w:ascii="宋体" w:hAnsi="宋体" w:eastAsia="宋体" w:cs="宋体"/>
          <w:color w:val="auto"/>
          <w:sz w:val="24"/>
          <w:szCs w:val="24"/>
          <w:highlight w:val="none"/>
        </w:rPr>
        <w:t>。</w:t>
      </w:r>
    </w:p>
    <w:p w14:paraId="5FAE3A18">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关于工程奖项的约定：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D884ECA">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隐蔽工程检查</w:t>
      </w:r>
    </w:p>
    <w:p w14:paraId="7DE76569">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5.3.2承包人提前通知监理人隐蔽工程检查的期限的约定：</w:t>
      </w:r>
      <w:r>
        <w:rPr>
          <w:rFonts w:hint="eastAsia" w:ascii="宋体" w:hAnsi="宋体" w:eastAsia="宋体" w:cs="宋体"/>
          <w:color w:val="auto"/>
          <w:sz w:val="24"/>
          <w:szCs w:val="24"/>
          <w:highlight w:val="none"/>
          <w:u w:val="single"/>
          <w:lang w:bidi="ar"/>
        </w:rPr>
        <w:t xml:space="preserve">工程具备隐蔽条件或达到专用条款约定的中间验收部位，承包人进行自检，并在共同验收前48小时以书面形式通知监理人检查，通知中应载明包括隐蔽检查的内容、时间和地点，并附有自检记录和必要的检查资料 </w:t>
      </w:r>
      <w:r>
        <w:rPr>
          <w:rFonts w:hint="eastAsia" w:ascii="宋体" w:hAnsi="宋体" w:eastAsia="宋体" w:cs="宋体"/>
          <w:color w:val="auto"/>
          <w:sz w:val="24"/>
          <w:szCs w:val="24"/>
          <w:highlight w:val="none"/>
        </w:rPr>
        <w:t>。</w:t>
      </w:r>
    </w:p>
    <w:p w14:paraId="07011708">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监理人不能按时进行检查时，应提前 </w:t>
      </w:r>
      <w:r>
        <w:rPr>
          <w:rFonts w:hint="eastAsia" w:ascii="宋体" w:hAnsi="宋体" w:eastAsia="宋体" w:cs="宋体"/>
          <w:color w:val="auto"/>
          <w:sz w:val="24"/>
          <w:szCs w:val="24"/>
          <w:highlight w:val="none"/>
          <w:u w:val="single"/>
        </w:rPr>
        <w:t>24</w:t>
      </w:r>
      <w:r>
        <w:rPr>
          <w:rFonts w:hint="eastAsia" w:ascii="宋体" w:hAnsi="宋体" w:eastAsia="宋体" w:cs="宋体"/>
          <w:color w:val="auto"/>
          <w:sz w:val="24"/>
          <w:szCs w:val="24"/>
          <w:highlight w:val="none"/>
        </w:rPr>
        <w:t>小时提交书面延期要求。</w:t>
      </w:r>
    </w:p>
    <w:p w14:paraId="5F46103C">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小时。</w:t>
      </w:r>
    </w:p>
    <w:p w14:paraId="5B825FD8">
      <w:pPr>
        <w:keepNext/>
        <w:keepLines/>
        <w:widowControl w:val="0"/>
        <w:spacing w:before="0" w:after="0" w:line="360" w:lineRule="auto"/>
        <w:ind w:left="0" w:right="0" w:firstLine="480"/>
        <w:jc w:val="both"/>
        <w:outlineLvl w:val="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6. 安全文明施工与环境保护</w:t>
      </w:r>
    </w:p>
    <w:p w14:paraId="6D933014">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6.1安全文明施工</w:t>
      </w:r>
    </w:p>
    <w:p w14:paraId="6F2BD4F9">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 项目安全生产的达标目标及相应事项的约定：</w:t>
      </w:r>
    </w:p>
    <w:p w14:paraId="76149C47">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承包人必须认真执行国家和省、市、县有关建筑施工安全生产条例和规定,发包人有关管理要求，切实按“安全第一，预防为主”的方针精心组织施工，做好安全管理工作，杜绝重大安全事故的发生；同时做好社会综合治理工作。</w:t>
      </w:r>
    </w:p>
    <w:p w14:paraId="1E119121">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 关于治安保卫的特别约定：</w:t>
      </w:r>
      <w:r>
        <w:rPr>
          <w:rFonts w:hint="eastAsia" w:ascii="宋体" w:hAnsi="宋体" w:eastAsia="宋体" w:cs="宋体"/>
          <w:color w:val="auto"/>
          <w:sz w:val="24"/>
          <w:szCs w:val="24"/>
          <w:highlight w:val="none"/>
          <w:u w:val="single"/>
        </w:rPr>
        <w:t>承包人自行组织</w:t>
      </w:r>
      <w:r>
        <w:rPr>
          <w:rFonts w:hint="eastAsia" w:ascii="宋体" w:hAnsi="宋体" w:eastAsia="宋体" w:cs="宋体"/>
          <w:color w:val="auto"/>
          <w:sz w:val="24"/>
          <w:szCs w:val="24"/>
          <w:highlight w:val="none"/>
        </w:rPr>
        <w:t>。</w:t>
      </w:r>
    </w:p>
    <w:p w14:paraId="38ABDED7">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关于编制施工场地治安管理计划的约定：</w:t>
      </w:r>
      <w:r>
        <w:rPr>
          <w:rFonts w:hint="eastAsia" w:ascii="宋体" w:hAnsi="宋体" w:eastAsia="宋体" w:cs="宋体"/>
          <w:color w:val="auto"/>
          <w:sz w:val="24"/>
          <w:szCs w:val="24"/>
          <w:highlight w:val="none"/>
          <w:u w:val="single"/>
        </w:rPr>
        <w:t>承包人在开工前提供施工场地治安管理计划</w:t>
      </w:r>
      <w:r>
        <w:rPr>
          <w:rFonts w:hint="eastAsia" w:ascii="宋体" w:hAnsi="宋体" w:eastAsia="宋体" w:cs="宋体"/>
          <w:color w:val="auto"/>
          <w:sz w:val="24"/>
          <w:szCs w:val="24"/>
          <w:highlight w:val="none"/>
        </w:rPr>
        <w:t xml:space="preserve">。 </w:t>
      </w:r>
    </w:p>
    <w:p w14:paraId="7A98CBE3">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 文明施工</w:t>
      </w:r>
    </w:p>
    <w:p w14:paraId="2DA22397">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承包人在工程施工期间，应当保持施工现场平整，物料堆放整齐。在工程交付使用前，承包人应当清理施工现场承包人的全部工程设备、多余材料、垃圾和各种临时工程，并保持施工现场清洁整齐。经发包人书面同意，承包人可在发包人指定的地点保留承包人履行保修期内的各项义务所需要的材料、施工设备和临时工程</w:t>
      </w:r>
      <w:r>
        <w:rPr>
          <w:rFonts w:hint="eastAsia" w:ascii="宋体" w:hAnsi="宋体" w:eastAsia="宋体" w:cs="宋体"/>
          <w:color w:val="auto"/>
          <w:sz w:val="24"/>
          <w:szCs w:val="24"/>
          <w:highlight w:val="none"/>
        </w:rPr>
        <w:t>。</w:t>
      </w:r>
    </w:p>
    <w:p w14:paraId="175C942F">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6.1.6 关于安全文明施工费支付比例和支付期限的约定：</w:t>
      </w:r>
      <w:r>
        <w:rPr>
          <w:rFonts w:hint="eastAsia" w:ascii="宋体" w:hAnsi="宋体" w:eastAsia="宋体" w:cs="宋体"/>
          <w:color w:val="auto"/>
          <w:sz w:val="24"/>
          <w:szCs w:val="24"/>
          <w:highlight w:val="none"/>
          <w:u w:val="single"/>
        </w:rPr>
        <w:t>按有关规定执行。</w:t>
      </w:r>
    </w:p>
    <w:p w14:paraId="0290AD32">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 工期和进度</w:t>
      </w:r>
    </w:p>
    <w:p w14:paraId="25B4F06F">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施工组织设计</w:t>
      </w:r>
    </w:p>
    <w:p w14:paraId="24225B3B">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 合同当事人约定的施工组织设计应包括的其他内容：</w:t>
      </w:r>
      <w:r>
        <w:rPr>
          <w:rFonts w:hint="eastAsia" w:ascii="宋体" w:hAnsi="宋体" w:eastAsia="宋体" w:cs="宋体"/>
          <w:color w:val="auto"/>
          <w:sz w:val="24"/>
          <w:szCs w:val="24"/>
          <w:highlight w:val="none"/>
          <w:u w:val="single"/>
        </w:rPr>
        <w:t>按通用条款执行。</w:t>
      </w:r>
    </w:p>
    <w:p w14:paraId="0973CF56">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7.1.2 施工组织设计的提交和修改</w:t>
      </w:r>
    </w:p>
    <w:p w14:paraId="41C33AF9">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承包人提交详细施工组织设计的期限的约定：</w:t>
      </w:r>
      <w:r>
        <w:rPr>
          <w:rFonts w:hint="eastAsia" w:ascii="宋体" w:hAnsi="宋体" w:eastAsia="宋体" w:cs="宋体"/>
          <w:color w:val="auto"/>
          <w:sz w:val="24"/>
          <w:szCs w:val="24"/>
          <w:highlight w:val="none"/>
          <w:u w:val="single"/>
        </w:rPr>
        <w:t>合同签订后14日内且不得迟于开工前7天。</w:t>
      </w:r>
      <w:r>
        <w:rPr>
          <w:rFonts w:hint="eastAsia" w:ascii="宋体" w:hAnsi="宋体" w:eastAsia="宋体" w:cs="宋体"/>
          <w:color w:val="auto"/>
          <w:sz w:val="24"/>
          <w:szCs w:val="24"/>
          <w:highlight w:val="none"/>
        </w:rPr>
        <w:t xml:space="preserve">   </w:t>
      </w:r>
    </w:p>
    <w:p w14:paraId="0920F234">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r>
        <w:rPr>
          <w:rFonts w:hint="eastAsia" w:ascii="宋体" w:hAnsi="宋体" w:eastAsia="宋体" w:cs="宋体"/>
          <w:color w:val="auto"/>
          <w:sz w:val="24"/>
          <w:szCs w:val="24"/>
          <w:highlight w:val="none"/>
          <w:u w:val="single"/>
          <w:lang w:bidi="ar"/>
        </w:rPr>
        <w:t>收到施工组织设计7天内</w:t>
      </w:r>
      <w:r>
        <w:rPr>
          <w:rFonts w:hint="eastAsia" w:ascii="宋体" w:hAnsi="宋体" w:eastAsia="宋体" w:cs="宋体"/>
          <w:color w:val="auto"/>
          <w:sz w:val="24"/>
          <w:szCs w:val="24"/>
          <w:highlight w:val="none"/>
          <w:u w:val="single"/>
        </w:rPr>
        <w:t>。</w:t>
      </w:r>
    </w:p>
    <w:p w14:paraId="64419C93">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施工进度计划</w:t>
      </w:r>
    </w:p>
    <w:p w14:paraId="492405CD">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 施工进度计划的修订</w:t>
      </w:r>
    </w:p>
    <w:p w14:paraId="259B77C1">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发包人和监理人在收到修订的施工进度计划后确认或提出修改意见的期限：</w:t>
      </w:r>
      <w:r>
        <w:rPr>
          <w:rFonts w:hint="eastAsia" w:ascii="宋体" w:hAnsi="宋体" w:eastAsia="宋体" w:cs="宋体"/>
          <w:color w:val="auto"/>
          <w:sz w:val="24"/>
          <w:szCs w:val="24"/>
          <w:highlight w:val="none"/>
          <w:u w:val="single"/>
          <w:lang w:bidi="ar"/>
        </w:rPr>
        <w:t>收到修订的施工进度计划后5天内</w:t>
      </w:r>
      <w:r>
        <w:rPr>
          <w:rFonts w:hint="eastAsia" w:ascii="宋体" w:hAnsi="宋体" w:eastAsia="宋体" w:cs="宋体"/>
          <w:color w:val="auto"/>
          <w:sz w:val="24"/>
          <w:szCs w:val="24"/>
          <w:highlight w:val="none"/>
        </w:rPr>
        <w:t>。</w:t>
      </w:r>
    </w:p>
    <w:p w14:paraId="4684B21B">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开工</w:t>
      </w:r>
    </w:p>
    <w:p w14:paraId="40EC0CA6">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 开工准备</w:t>
      </w:r>
    </w:p>
    <w:p w14:paraId="21F53B95">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关于承包人提交工程开工报审表的期限：</w:t>
      </w:r>
      <w:r>
        <w:rPr>
          <w:rFonts w:hint="eastAsia" w:ascii="宋体" w:hAnsi="宋体" w:eastAsia="宋体" w:cs="宋体"/>
          <w:color w:val="auto"/>
          <w:sz w:val="24"/>
          <w:szCs w:val="24"/>
          <w:highlight w:val="none"/>
          <w:u w:val="single"/>
          <w:shd w:val="clear" w:color="auto" w:fill="FFFFFF"/>
        </w:rPr>
        <w:t>开工前3天内</w:t>
      </w:r>
      <w:r>
        <w:rPr>
          <w:rFonts w:hint="eastAsia" w:ascii="宋体" w:hAnsi="宋体" w:eastAsia="宋体" w:cs="宋体"/>
          <w:color w:val="auto"/>
          <w:sz w:val="24"/>
          <w:szCs w:val="24"/>
          <w:highlight w:val="none"/>
        </w:rPr>
        <w:t>。</w:t>
      </w:r>
    </w:p>
    <w:p w14:paraId="0DBD194F">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开工前3天内</w:t>
      </w:r>
      <w:r>
        <w:rPr>
          <w:rFonts w:hint="eastAsia" w:ascii="宋体" w:hAnsi="宋体" w:eastAsia="宋体" w:cs="宋体"/>
          <w:color w:val="auto"/>
          <w:sz w:val="24"/>
          <w:szCs w:val="24"/>
          <w:highlight w:val="none"/>
        </w:rPr>
        <w:t>。</w:t>
      </w:r>
    </w:p>
    <w:p w14:paraId="4CCAA981">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关于承包人应完成的其他开工准备工作及期限：</w:t>
      </w:r>
      <w:r>
        <w:rPr>
          <w:rFonts w:hint="eastAsia" w:ascii="宋体" w:hAnsi="宋体" w:eastAsia="宋体" w:cs="宋体"/>
          <w:color w:val="auto"/>
          <w:sz w:val="24"/>
          <w:szCs w:val="24"/>
          <w:highlight w:val="none"/>
          <w:u w:val="single"/>
        </w:rPr>
        <w:t>开工前7天内</w:t>
      </w:r>
      <w:r>
        <w:rPr>
          <w:rFonts w:hint="eastAsia" w:ascii="宋体" w:hAnsi="宋体" w:eastAsia="宋体" w:cs="宋体"/>
          <w:color w:val="auto"/>
          <w:sz w:val="24"/>
          <w:szCs w:val="24"/>
          <w:highlight w:val="none"/>
        </w:rPr>
        <w:t>。</w:t>
      </w:r>
    </w:p>
    <w:p w14:paraId="26B39923">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开工通知</w:t>
      </w:r>
    </w:p>
    <w:p w14:paraId="70696B75">
      <w:pPr>
        <w:pageBreakBefore w:val="0"/>
        <w:widowControl w:val="0"/>
        <w:spacing w:line="36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天内发出开工通知的，承包人有权提出价格调整要求，或者解除合同。</w:t>
      </w:r>
    </w:p>
    <w:p w14:paraId="3FCDBB0A">
      <w:pPr>
        <w:pageBreakBefore w:val="0"/>
        <w:widowControl w:val="0"/>
        <w:spacing w:line="360" w:lineRule="auto"/>
        <w:ind w:left="0" w:right="0" w:firstLine="42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开工通知发出后，因承包人原因未按合同约定做好开工准备的，或者未按开工通知约定及时进场的，视同承包人违约，发包人有权扣除承包人的全部履约保证金，并提前解除或终止合同。</w:t>
      </w:r>
    </w:p>
    <w:p w14:paraId="2FAE5CB3">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测量放线</w:t>
      </w:r>
    </w:p>
    <w:p w14:paraId="5D3B4559">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7.4.1发包人通过监理人向承包人提供测量基准点、基准线和水准点及其书面资料的期限：</w:t>
      </w:r>
      <w:r>
        <w:rPr>
          <w:rFonts w:hint="eastAsia" w:ascii="宋体" w:hAnsi="宋体" w:eastAsia="宋体" w:cs="宋体"/>
          <w:color w:val="auto"/>
          <w:sz w:val="24"/>
          <w:szCs w:val="24"/>
          <w:highlight w:val="none"/>
          <w:u w:val="single"/>
        </w:rPr>
        <w:t>合同签订后、开工前7天内 。</w:t>
      </w:r>
    </w:p>
    <w:p w14:paraId="4311C14C">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 工期延误</w:t>
      </w:r>
    </w:p>
    <w:p w14:paraId="0AD0C61E">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7.5.1 因发包人原因导致工期延误</w:t>
      </w:r>
    </w:p>
    <w:p w14:paraId="1FDFA639">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合同工期内如果发生不可抗拒的自然灾害，或因甲方的原因而造成使工期滞后的，发包人应书面通知承包人，承包人应积极配合发包人做好施工计划调整，并合理调整人员和机械，工期相应顺延，发包人不承担其他损失。承包人在情况发生后14天内，就延误的工期以书面形式向监理工程师提出报告，监理工程师在收到报告后14天内予以确认，逾期不予确认也不提出修改意见，视为同意顺延工期。</w:t>
      </w:r>
    </w:p>
    <w:p w14:paraId="67371D97">
      <w:pPr>
        <w:widowControl w:val="0"/>
        <w:tabs>
          <w:tab w:val="left" w:pos="0"/>
          <w:tab w:val="left" w:pos="540"/>
          <w:tab w:val="left" w:pos="720"/>
          <w:tab w:val="left" w:pos="4140"/>
          <w:tab w:val="left" w:pos="5400"/>
          <w:tab w:val="left" w:pos="8460"/>
        </w:tabs>
        <w:spacing w:line="360" w:lineRule="auto"/>
        <w:ind w:left="0" w:right="0"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u w:val="single"/>
          <w:lang w:val="en-US" w:eastAsia="zh-CN" w:bidi="ar-SA"/>
        </w:rPr>
        <w:t>在施工期间，承包人将做好应急发电设备及临时停水的准备工作，因政府政策性避峰、临时停电、停水原因而造成的相应损失，发包人均不予补偿。</w:t>
      </w:r>
    </w:p>
    <w:p w14:paraId="03B7901E">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7.5.2 因承包人原因导致工期延误</w:t>
      </w:r>
    </w:p>
    <w:p w14:paraId="167E116B">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因承包人原因造成工期延误，逾期竣工违约金的计算方法为：</w:t>
      </w:r>
      <w:r>
        <w:rPr>
          <w:rFonts w:hint="eastAsia" w:ascii="宋体" w:hAnsi="宋体" w:eastAsia="宋体" w:cs="宋体"/>
          <w:color w:val="auto"/>
          <w:sz w:val="24"/>
          <w:szCs w:val="24"/>
          <w:highlight w:val="none"/>
          <w:u w:val="single"/>
        </w:rPr>
        <w:t>因承包人原因不能按照经监理工程师批准的施工进度计划中的节点日期完工的，承包人承担违约责任。</w:t>
      </w:r>
    </w:p>
    <w:p w14:paraId="23E53041">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当承包人不能按照已批准的进度计划实现节点目标，而又无切实有效措施保证竣工目标，发包人有权将承包人承包范围内的部分工程量进行切割，交由其他单位实施，费用由承包人承担，承包人应无条件服从并给予配合。</w:t>
      </w:r>
    </w:p>
    <w:p w14:paraId="1A44F117">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承包人不能按期完工的，视为承包人违约，承包人须按</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u w:val="single"/>
        </w:rPr>
        <w:t>万元/天向发包人支付违约金；对承包人不能按期完工的，且拖延工期达到30天的，除支付约定违约金外，发包人有权解除合同，承包人应按发包人要求退场，并承担发包人的实际损失</w:t>
      </w:r>
      <w:r>
        <w:rPr>
          <w:rFonts w:hint="eastAsia" w:ascii="宋体" w:hAnsi="宋体" w:eastAsia="宋体" w:cs="宋体"/>
          <w:bCs/>
          <w:color w:val="auto"/>
          <w:sz w:val="24"/>
          <w:szCs w:val="24"/>
          <w:highlight w:val="none"/>
          <w:u w:val="single"/>
        </w:rPr>
        <w:t>。</w:t>
      </w:r>
    </w:p>
    <w:p w14:paraId="102705F5">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因承包人原因造成工期延误，逾期竣工违约金的上限：</w:t>
      </w:r>
      <w:r>
        <w:rPr>
          <w:rFonts w:hint="eastAsia" w:ascii="宋体" w:hAnsi="宋体" w:eastAsia="宋体" w:cs="宋体"/>
          <w:color w:val="auto"/>
          <w:sz w:val="24"/>
          <w:szCs w:val="24"/>
          <w:highlight w:val="none"/>
          <w:u w:val="single"/>
        </w:rPr>
        <w:t xml:space="preserve">   /。</w:t>
      </w:r>
    </w:p>
    <w:p w14:paraId="2A8F237F">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7.6 不利物质条件</w:t>
      </w:r>
    </w:p>
    <w:p w14:paraId="692262E2">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不利物质条件的其他情形和有关约定：</w:t>
      </w:r>
      <w:r>
        <w:rPr>
          <w:rFonts w:hint="eastAsia" w:ascii="宋体" w:hAnsi="宋体" w:eastAsia="宋体" w:cs="宋体"/>
          <w:color w:val="auto"/>
          <w:sz w:val="24"/>
          <w:szCs w:val="24"/>
          <w:highlight w:val="none"/>
          <w:u w:val="single"/>
        </w:rPr>
        <w:t xml:space="preserve"> 按通用条款执行</w:t>
      </w:r>
      <w:r>
        <w:rPr>
          <w:rFonts w:hint="eastAsia" w:ascii="宋体" w:hAnsi="宋体" w:eastAsia="宋体" w:cs="宋体"/>
          <w:color w:val="auto"/>
          <w:sz w:val="24"/>
          <w:szCs w:val="24"/>
          <w:highlight w:val="none"/>
        </w:rPr>
        <w:t>。</w:t>
      </w:r>
    </w:p>
    <w:p w14:paraId="7F3F005A">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7.7异常恶劣的气候条件</w:t>
      </w:r>
    </w:p>
    <w:p w14:paraId="6883BA47">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发包人和承包人同意以下情形视为异常恶劣的气候条件：</w:t>
      </w:r>
      <w:r>
        <w:rPr>
          <w:rFonts w:hint="eastAsia" w:ascii="宋体" w:hAnsi="宋体" w:eastAsia="宋体" w:cs="宋体"/>
          <w:color w:val="auto"/>
          <w:sz w:val="24"/>
          <w:szCs w:val="24"/>
          <w:highlight w:val="none"/>
          <w:u w:val="single"/>
        </w:rPr>
        <w:t xml:space="preserve"> 双方另行确定</w:t>
      </w:r>
      <w:r>
        <w:rPr>
          <w:rFonts w:hint="eastAsia" w:ascii="宋体" w:hAnsi="宋体" w:eastAsia="宋体" w:cs="宋体"/>
          <w:color w:val="auto"/>
          <w:sz w:val="24"/>
          <w:szCs w:val="24"/>
          <w:highlight w:val="none"/>
        </w:rPr>
        <w:t>。</w:t>
      </w:r>
    </w:p>
    <w:p w14:paraId="6A4B8B5C">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 提前竣工的奖励</w:t>
      </w:r>
    </w:p>
    <w:p w14:paraId="17311DDA">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提前竣工的奖励：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75704EB0">
      <w:pPr>
        <w:keepNext/>
        <w:keepLines/>
        <w:widowControl w:val="0"/>
        <w:spacing w:before="0" w:after="0" w:line="360" w:lineRule="auto"/>
        <w:ind w:left="0" w:right="0" w:firstLine="480"/>
        <w:jc w:val="both"/>
        <w:outlineLvl w:val="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8. 材料与设备</w:t>
      </w:r>
    </w:p>
    <w:p w14:paraId="33D34B60">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8.4材料与工程设备的保管与使用</w:t>
      </w:r>
    </w:p>
    <w:p w14:paraId="7AE39886">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8.4.1发包人供应的材料设备的保管费用的承担：</w:t>
      </w:r>
      <w:r>
        <w:rPr>
          <w:rFonts w:hint="eastAsia" w:ascii="宋体" w:hAnsi="宋体" w:eastAsia="宋体" w:cs="宋体"/>
          <w:color w:val="auto"/>
          <w:sz w:val="24"/>
          <w:szCs w:val="24"/>
          <w:highlight w:val="none"/>
          <w:u w:val="single"/>
        </w:rPr>
        <w:t>甲供材料（如有）的卸车费、堆放、保管等</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 xml:space="preserve">由承包人负责，材料运到现场后的保管及材料检验试验费由承包人负责，材料安装过程中定额内损耗由发包人承担，定额外损耗由承包人承担，包含在签约合同价中 </w:t>
      </w:r>
      <w:r>
        <w:rPr>
          <w:rFonts w:hint="eastAsia" w:ascii="宋体" w:hAnsi="宋体" w:eastAsia="宋体" w:cs="宋体"/>
          <w:color w:val="auto"/>
          <w:sz w:val="24"/>
          <w:szCs w:val="24"/>
          <w:highlight w:val="none"/>
        </w:rPr>
        <w:t>。</w:t>
      </w:r>
    </w:p>
    <w:p w14:paraId="384F2CE2">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 样品</w:t>
      </w:r>
    </w:p>
    <w:p w14:paraId="0C30D67B">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8.6.1 样品的报送与封存</w:t>
      </w:r>
    </w:p>
    <w:p w14:paraId="1A974C42">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需要承包人报送样品的材料或工程设备，样品的种类、名称、规格、数量要求：</w:t>
      </w:r>
      <w:r>
        <w:rPr>
          <w:rFonts w:hint="eastAsia" w:ascii="宋体" w:hAnsi="宋体" w:eastAsia="宋体" w:cs="宋体"/>
          <w:color w:val="auto"/>
          <w:sz w:val="24"/>
          <w:szCs w:val="24"/>
          <w:highlight w:val="none"/>
          <w:u w:val="single"/>
        </w:rPr>
        <w:t>承包人负责采购材料、工程设备的，应按照设计和有关标准要求采购，并提供产品合格证明、质检报告及出厂证明，对材料、工程设备质量负责。承包人应在材料和工程设备到货前24小时通知发包人、监理人检验。承包人进行永久设备、材料的制造和生产的，应符合相关质量标准，并向监理人提交材料的样本以及有关资料，并应在使用该材料或工程设备之前获得监理人同意。</w:t>
      </w:r>
    </w:p>
    <w:p w14:paraId="5BDCCF2E">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8.8 施工设备和临时设施</w:t>
      </w:r>
    </w:p>
    <w:p w14:paraId="126D06A9">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8.8.1 承包人提供的施工设备和临时设施</w:t>
      </w:r>
    </w:p>
    <w:p w14:paraId="39A23AE1">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关于修建临时设施费用承担的约定：</w:t>
      </w:r>
      <w:r>
        <w:rPr>
          <w:rFonts w:hint="eastAsia" w:ascii="宋体" w:hAnsi="宋体" w:eastAsia="宋体" w:cs="宋体"/>
          <w:color w:val="auto"/>
          <w:sz w:val="24"/>
          <w:szCs w:val="24"/>
          <w:highlight w:val="none"/>
          <w:u w:val="single"/>
        </w:rPr>
        <w:t xml:space="preserve"> 由承包人承担 </w:t>
      </w:r>
      <w:r>
        <w:rPr>
          <w:rFonts w:hint="eastAsia" w:ascii="宋体" w:hAnsi="宋体" w:eastAsia="宋体" w:cs="宋体"/>
          <w:color w:val="auto"/>
          <w:sz w:val="24"/>
          <w:szCs w:val="24"/>
          <w:highlight w:val="none"/>
        </w:rPr>
        <w:t>。</w:t>
      </w:r>
    </w:p>
    <w:p w14:paraId="6B742D90">
      <w:pPr>
        <w:keepNext/>
        <w:keepLines/>
        <w:widowControl w:val="0"/>
        <w:spacing w:before="0" w:after="0" w:line="360" w:lineRule="auto"/>
        <w:ind w:left="0" w:right="0" w:firstLine="480"/>
        <w:jc w:val="both"/>
        <w:outlineLvl w:val="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9. 试验与检验</w:t>
      </w:r>
    </w:p>
    <w:p w14:paraId="547C21C4">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9.1试验设备与试验人员</w:t>
      </w:r>
    </w:p>
    <w:p w14:paraId="4B6462C2">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9.1.2 试验设备</w:t>
      </w:r>
    </w:p>
    <w:p w14:paraId="55D7DE57">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施工现场需要配置的试验场所：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bidi="ar"/>
        </w:rPr>
        <w:t>由承包人提供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E9E3CDE">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施工现场需要配备的试验设备：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bidi="ar"/>
        </w:rPr>
        <w:t>由承包人提供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04F0808">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施工现场需要具备的其他试验条件：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bidi="ar"/>
        </w:rPr>
        <w:t>由承包人提供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A231EE8">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现场工艺试验 </w:t>
      </w:r>
    </w:p>
    <w:p w14:paraId="546B0501">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现场工艺试验的有关约定：</w:t>
      </w:r>
      <w:r>
        <w:rPr>
          <w:rFonts w:hint="eastAsia" w:ascii="宋体" w:hAnsi="宋体" w:eastAsia="宋体" w:cs="宋体"/>
          <w:color w:val="auto"/>
          <w:sz w:val="24"/>
          <w:szCs w:val="24"/>
          <w:highlight w:val="none"/>
          <w:u w:val="single"/>
        </w:rPr>
        <w:t xml:space="preserve"> 根据现场实际施工需求  </w:t>
      </w:r>
      <w:r>
        <w:rPr>
          <w:rFonts w:hint="eastAsia" w:ascii="宋体" w:hAnsi="宋体" w:eastAsia="宋体" w:cs="宋体"/>
          <w:color w:val="auto"/>
          <w:sz w:val="24"/>
          <w:szCs w:val="24"/>
          <w:highlight w:val="none"/>
        </w:rPr>
        <w:t>。</w:t>
      </w:r>
    </w:p>
    <w:p w14:paraId="44B24597">
      <w:pPr>
        <w:keepNext/>
        <w:keepLines/>
        <w:widowControl w:val="0"/>
        <w:spacing w:before="0" w:after="0" w:line="360" w:lineRule="auto"/>
        <w:ind w:left="0" w:right="0" w:firstLine="480"/>
        <w:jc w:val="both"/>
        <w:outlineLvl w:val="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10. 变更</w:t>
      </w:r>
    </w:p>
    <w:p w14:paraId="409B69AB">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10.1变更的范围</w:t>
      </w:r>
    </w:p>
    <w:p w14:paraId="22A25633">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按通用条款执行</w:t>
      </w:r>
      <w:r>
        <w:rPr>
          <w:rFonts w:hint="eastAsia" w:ascii="宋体" w:hAnsi="宋体" w:eastAsia="宋体" w:cs="宋体"/>
          <w:color w:val="auto"/>
          <w:sz w:val="24"/>
          <w:szCs w:val="24"/>
          <w:highlight w:val="none"/>
        </w:rPr>
        <w:t>。</w:t>
      </w:r>
    </w:p>
    <w:p w14:paraId="3219B7BC">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 变更估价</w:t>
      </w:r>
    </w:p>
    <w:p w14:paraId="109E0BE1">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w:t>
      </w:r>
      <w:r>
        <w:rPr>
          <w:rFonts w:hint="eastAsia" w:ascii="宋体" w:hAnsi="宋体" w:eastAsia="宋体" w:cs="宋体"/>
          <w:color w:val="auto"/>
          <w:sz w:val="24"/>
          <w:szCs w:val="24"/>
          <w:highlight w:val="none"/>
          <w:shd w:val="clear" w:color="auto" w:fill="auto"/>
        </w:rPr>
        <w:t>1 变更估价原则</w:t>
      </w:r>
    </w:p>
    <w:p w14:paraId="32BFB2DD">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关于变更估价的约定: </w:t>
      </w:r>
    </w:p>
    <w:p w14:paraId="13692C2A">
      <w:pPr>
        <w:keepNext w:val="0"/>
        <w:keepLines w:val="0"/>
        <w:pageBreakBefore w:val="0"/>
        <w:widowControl w:val="0"/>
        <w:spacing w:line="360" w:lineRule="auto"/>
        <w:ind w:left="0" w:righ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变更工程量按实调整，设计变更工程量以设计单位设计变更为准，现场变更工程量以发包人现场代表、监理计量并签证为准。变更工程量与投标报价相同子目执行投标综合单价；若无，则按现行相应计价表计价，材料价格执行执行当月《连云港建设工程经济》指导价，指导价均没有的按市场价进行双方协商，费率标准执行投标报价时的费率，经甲方或其委托的第三方审计单位审核并结合投标下浮率下浮后做为结算价，若因施工单位的施工方案存有缺陷，造成工程量增加的，或增加措施费用的，其责任由承包人承担。</w:t>
      </w:r>
    </w:p>
    <w:p w14:paraId="0BE26C7F">
      <w:pPr>
        <w:keepNext w:val="0"/>
        <w:keepLines w:val="0"/>
        <w:pageBreakBefore w:val="0"/>
        <w:widowControl w:val="0"/>
        <w:spacing w:line="360" w:lineRule="auto"/>
        <w:ind w:left="0" w:righ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投标下浮率=（最高投标限价-投标报价）/最高投标限价*100%</w:t>
      </w:r>
    </w:p>
    <w:p w14:paraId="6B792112">
      <w:pPr>
        <w:keepNext w:val="0"/>
        <w:keepLines w:val="0"/>
        <w:pageBreakBefore w:val="0"/>
        <w:widowControl w:val="0"/>
        <w:spacing w:line="360" w:lineRule="auto"/>
        <w:ind w:left="0" w:righ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因工程变更造成施工方案变更，引起措施项目发生变化时，措施项目费的调整，按下列原则调整：单价措施项目变更原则同分部分项工程；总价措施项目中以费率报价的，费率不变；总价项目中以费用报价的，按投标时口径折算成费率调整；原措施费中没有的措施项目，由承包人提出适当的措施费变更要求，经发包人确认后调整。</w:t>
      </w:r>
    </w:p>
    <w:p w14:paraId="564063B1">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10.5承包人的合理化建议</w:t>
      </w:r>
    </w:p>
    <w:p w14:paraId="4E54CE7E">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监理人审查承包人合理化建议的期限：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1110A9CA">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发包人审批承包人合理化建议的期限：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53CD943D">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6B2AAD52">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10.7 暂估价</w:t>
      </w:r>
    </w:p>
    <w:p w14:paraId="7238CE0B">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暂估价材料和工程设备的详见附件11：《暂估价一览表》。</w:t>
      </w:r>
    </w:p>
    <w:p w14:paraId="16AB1513">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10.7.1 依法必须招标的暂估价项目</w:t>
      </w:r>
    </w:p>
    <w:p w14:paraId="0D0DF2A7">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对于依法必须招标的暂估价项目的确认和批准采取第</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种方式确定。</w:t>
      </w:r>
    </w:p>
    <w:p w14:paraId="6A5319C9">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11. 价格调整：</w:t>
      </w:r>
    </w:p>
    <w:p w14:paraId="3821DCE3">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市场价格波动引起的调整</w:t>
      </w:r>
    </w:p>
    <w:p w14:paraId="4499F39B">
      <w:pPr>
        <w:spacing w:line="360" w:lineRule="auto"/>
        <w:ind w:left="0" w:right="0" w:firstLine="480"/>
        <w:jc w:val="lef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eastAsia="zh-CN"/>
        </w:rPr>
        <w:t>不</w:t>
      </w:r>
      <w:r>
        <w:rPr>
          <w:rFonts w:hint="eastAsia" w:ascii="宋体" w:hAnsi="宋体" w:eastAsia="宋体" w:cs="宋体"/>
          <w:b/>
          <w:bCs/>
          <w:color w:val="auto"/>
          <w:sz w:val="24"/>
          <w:szCs w:val="24"/>
          <w:highlight w:val="none"/>
          <w:u w:val="single"/>
        </w:rPr>
        <w:t>调整</w:t>
      </w:r>
      <w:r>
        <w:rPr>
          <w:rFonts w:hint="eastAsia" w:ascii="宋体" w:hAnsi="宋体" w:eastAsia="宋体" w:cs="宋体"/>
          <w:color w:val="auto"/>
          <w:sz w:val="24"/>
          <w:szCs w:val="24"/>
          <w:highlight w:val="none"/>
          <w:u w:val="single"/>
        </w:rPr>
        <w:t>。</w:t>
      </w:r>
    </w:p>
    <w:p w14:paraId="4CD39FCD">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合同价格、计量与支付</w:t>
      </w:r>
    </w:p>
    <w:p w14:paraId="5D51CA20">
      <w:pPr>
        <w:spacing w:line="360" w:lineRule="auto"/>
        <w:ind w:left="0" w:righ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12.1 合同价格形式</w:t>
      </w:r>
      <w:r>
        <w:rPr>
          <w:rFonts w:hint="eastAsia" w:ascii="宋体" w:hAnsi="宋体" w:eastAsia="宋体" w:cs="宋体"/>
          <w:color w:val="auto"/>
          <w:sz w:val="24"/>
          <w:szCs w:val="24"/>
          <w:highlight w:val="none"/>
          <w:lang w:val="en-US" w:eastAsia="zh-CN"/>
        </w:rPr>
        <w:tab/>
      </w:r>
    </w:p>
    <w:p w14:paraId="2CEF47E0">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rPr>
        <w:t>采用</w:t>
      </w:r>
      <w:r>
        <w:rPr>
          <w:rFonts w:hint="eastAsia" w:ascii="宋体" w:hAnsi="宋体" w:eastAsia="宋体" w:cs="宋体"/>
          <w:b/>
          <w:bCs/>
          <w:color w:val="auto"/>
          <w:sz w:val="24"/>
          <w:szCs w:val="24"/>
          <w:highlight w:val="none"/>
          <w:u w:val="single"/>
        </w:rPr>
        <w:t>固定单价</w:t>
      </w:r>
      <w:r>
        <w:rPr>
          <w:rFonts w:hint="eastAsia" w:ascii="宋体" w:hAnsi="宋体" w:eastAsia="宋体" w:cs="宋体"/>
          <w:color w:val="auto"/>
          <w:sz w:val="24"/>
          <w:szCs w:val="24"/>
          <w:highlight w:val="none"/>
        </w:rPr>
        <w:t>合同，量的风险由发包人承担，价的风险在下述约定范围内由承包人承担。固定单价为综合单价（综合单价包括</w:t>
      </w:r>
      <w:r>
        <w:rPr>
          <w:rFonts w:hint="eastAsia" w:ascii="宋体" w:hAnsi="宋体" w:eastAsia="宋体" w:cs="宋体"/>
          <w:color w:val="auto"/>
          <w:sz w:val="24"/>
          <w:szCs w:val="24"/>
          <w:highlight w:val="none"/>
          <w:lang w:eastAsia="zh-CN"/>
        </w:rPr>
        <w:t>但不限于</w:t>
      </w:r>
      <w:r>
        <w:rPr>
          <w:rFonts w:hint="eastAsia" w:ascii="宋体" w:hAnsi="宋体" w:eastAsia="宋体" w:cs="宋体"/>
          <w:color w:val="auto"/>
          <w:sz w:val="24"/>
          <w:szCs w:val="24"/>
          <w:highlight w:val="none"/>
        </w:rPr>
        <w:t>施工设备、劳务、管理、材料、采购、运输、装卸、现场垃圾清理费用、保管、安装、维护、利润、税金及政策性文件规定的各项应有费用），</w:t>
      </w:r>
      <w:r>
        <w:rPr>
          <w:rFonts w:hint="eastAsia" w:ascii="宋体" w:hAnsi="宋体" w:eastAsia="宋体" w:cs="宋体"/>
          <w:color w:val="auto"/>
          <w:sz w:val="24"/>
          <w:szCs w:val="24"/>
          <w:highlight w:val="none"/>
          <w:lang w:val="en-US" w:eastAsia="zh-CN"/>
        </w:rPr>
        <w:t>承包</w:t>
      </w:r>
      <w:r>
        <w:rPr>
          <w:rFonts w:hint="eastAsia" w:ascii="宋体" w:hAnsi="宋体" w:eastAsia="宋体" w:cs="宋体"/>
          <w:color w:val="auto"/>
          <w:sz w:val="24"/>
          <w:szCs w:val="24"/>
          <w:highlight w:val="none"/>
        </w:rPr>
        <w:t>人应根据</w:t>
      </w:r>
      <w:r>
        <w:rPr>
          <w:rFonts w:hint="eastAsia" w:ascii="宋体" w:hAnsi="宋体" w:eastAsia="宋体" w:cs="宋体"/>
          <w:color w:val="auto"/>
          <w:sz w:val="24"/>
          <w:szCs w:val="24"/>
          <w:highlight w:val="none"/>
          <w:lang w:eastAsia="zh-CN"/>
        </w:rPr>
        <w:t>采购文件</w:t>
      </w:r>
      <w:r>
        <w:rPr>
          <w:rFonts w:hint="eastAsia" w:ascii="宋体" w:hAnsi="宋体" w:eastAsia="宋体" w:cs="宋体"/>
          <w:color w:val="auto"/>
          <w:sz w:val="24"/>
          <w:szCs w:val="24"/>
          <w:highlight w:val="none"/>
        </w:rPr>
        <w:t>要求及充分踏勘施工现场条件，在投标报价时应充分考虑施工期间各类人工、材料、机械的市场风险等计入单价报价，结算时综合单价不再调整（合同专用条款11.1市场价格波动引起的调整中约定的材料调整除外）</w:t>
      </w:r>
      <w:r>
        <w:rPr>
          <w:rFonts w:hint="eastAsia" w:ascii="宋体" w:hAnsi="宋体" w:eastAsia="宋体" w:cs="宋体"/>
          <w:color w:val="auto"/>
          <w:sz w:val="24"/>
          <w:szCs w:val="24"/>
          <w:highlight w:val="none"/>
          <w:lang w:eastAsia="zh-CN"/>
        </w:rPr>
        <w:t>。</w:t>
      </w:r>
    </w:p>
    <w:p w14:paraId="7B62737F">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综合单价包含的风险范围：</w:t>
      </w:r>
    </w:p>
    <w:p w14:paraId="3479DEA5">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承包人风险：</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各类人工、材料、机械的市场风险；2．政策发生变化以及省级或行业建设主管部门发布的人工费调整</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为完成本工程所承担的施工期间除不可抗力、发包人风险以外的其他一切风险。</w:t>
      </w:r>
      <w:r>
        <w:rPr>
          <w:rFonts w:hint="eastAsia" w:ascii="宋体" w:hAnsi="宋体" w:eastAsia="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rPr>
        <w:t>实行政府定价管理的水、电、燃油、燃气材料价格调整。</w:t>
      </w:r>
    </w:p>
    <w:p w14:paraId="5C63F88F">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发包人风险：</w:t>
      </w:r>
      <w:r>
        <w:rPr>
          <w:rFonts w:hint="eastAsia" w:ascii="宋体" w:hAnsi="宋体" w:eastAsia="宋体" w:cs="宋体"/>
          <w:color w:val="auto"/>
          <w:sz w:val="24"/>
          <w:szCs w:val="24"/>
          <w:highlight w:val="none"/>
          <w:u w:val="single"/>
        </w:rPr>
        <w:t>除承包人风险外的国家法律、法规、规章发生变化</w:t>
      </w:r>
      <w:r>
        <w:rPr>
          <w:rFonts w:hint="eastAsia" w:ascii="宋体" w:hAnsi="宋体" w:eastAsia="宋体" w:cs="宋体"/>
          <w:color w:val="auto"/>
          <w:sz w:val="24"/>
          <w:szCs w:val="24"/>
          <w:highlight w:val="none"/>
          <w:u w:val="single"/>
          <w:lang w:bidi="ar"/>
        </w:rPr>
        <w:t>；</w:t>
      </w:r>
    </w:p>
    <w:p w14:paraId="5D1A7372">
      <w:pPr>
        <w:pageBreakBefore w:val="0"/>
        <w:widowControl w:val="0"/>
        <w:spacing w:line="360" w:lineRule="auto"/>
        <w:ind w:left="0" w:right="0" w:firstLine="420"/>
        <w:jc w:val="left"/>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bidi="ar"/>
        </w:rPr>
        <w:t>风险费用的计算方法：</w:t>
      </w:r>
      <w:r>
        <w:rPr>
          <w:rFonts w:hint="eastAsia" w:ascii="宋体" w:hAnsi="宋体" w:eastAsia="宋体" w:cs="宋体"/>
          <w:b w:val="0"/>
          <w:bCs/>
          <w:color w:val="auto"/>
          <w:sz w:val="24"/>
          <w:szCs w:val="24"/>
          <w:highlight w:val="none"/>
          <w:u w:val="single"/>
          <w:lang w:bidi="ar"/>
        </w:rPr>
        <w:t>参见本合同第</w:t>
      </w:r>
      <w:r>
        <w:rPr>
          <w:rFonts w:hint="eastAsia" w:ascii="宋体" w:hAnsi="宋体" w:eastAsia="宋体" w:cs="宋体"/>
          <w:b w:val="0"/>
          <w:bCs/>
          <w:color w:val="auto"/>
          <w:sz w:val="24"/>
          <w:szCs w:val="24"/>
          <w:highlight w:val="none"/>
          <w:u w:val="single"/>
          <w:lang w:val="en-US" w:eastAsia="zh-CN" w:bidi="ar"/>
        </w:rPr>
        <w:t>10.4</w:t>
      </w:r>
      <w:r>
        <w:rPr>
          <w:rFonts w:hint="eastAsia" w:ascii="宋体" w:hAnsi="宋体" w:eastAsia="宋体" w:cs="宋体"/>
          <w:b w:val="0"/>
          <w:bCs/>
          <w:color w:val="auto"/>
          <w:sz w:val="24"/>
          <w:szCs w:val="24"/>
          <w:highlight w:val="none"/>
          <w:u w:val="single"/>
          <w:lang w:bidi="ar"/>
        </w:rPr>
        <w:t>条的相关约定</w:t>
      </w:r>
      <w:r>
        <w:rPr>
          <w:rFonts w:hint="eastAsia" w:ascii="宋体" w:hAnsi="宋体" w:eastAsia="宋体" w:cs="宋体"/>
          <w:b w:val="0"/>
          <w:bCs/>
          <w:color w:val="auto"/>
          <w:sz w:val="24"/>
          <w:szCs w:val="24"/>
          <w:highlight w:val="none"/>
          <w:u w:val="single"/>
        </w:rPr>
        <w:t>。</w:t>
      </w:r>
    </w:p>
    <w:p w14:paraId="65CA00D1">
      <w:pPr>
        <w:pageBreakBefore w:val="0"/>
        <w:widowControl w:val="0"/>
        <w:spacing w:line="360" w:lineRule="auto"/>
        <w:ind w:left="0" w:right="0" w:firstLine="480"/>
        <w:jc w:val="left"/>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bidi="ar"/>
        </w:rPr>
        <w:t>风险范围以外合同价格的调整方法：</w:t>
      </w:r>
      <w:r>
        <w:rPr>
          <w:rFonts w:hint="eastAsia" w:ascii="宋体" w:hAnsi="宋体" w:eastAsia="宋体" w:cs="宋体"/>
          <w:b w:val="0"/>
          <w:bCs/>
          <w:color w:val="auto"/>
          <w:sz w:val="24"/>
          <w:szCs w:val="24"/>
          <w:highlight w:val="none"/>
          <w:u w:val="single"/>
          <w:lang w:bidi="ar"/>
        </w:rPr>
        <w:t>参见本合同第</w:t>
      </w:r>
      <w:r>
        <w:rPr>
          <w:rFonts w:hint="eastAsia" w:ascii="宋体" w:hAnsi="宋体" w:eastAsia="宋体" w:cs="宋体"/>
          <w:b w:val="0"/>
          <w:bCs/>
          <w:color w:val="auto"/>
          <w:sz w:val="24"/>
          <w:szCs w:val="24"/>
          <w:highlight w:val="none"/>
          <w:u w:val="single"/>
          <w:lang w:val="en-US" w:eastAsia="zh-CN" w:bidi="ar"/>
        </w:rPr>
        <w:t>10.4</w:t>
      </w:r>
      <w:r>
        <w:rPr>
          <w:rFonts w:hint="eastAsia" w:ascii="宋体" w:hAnsi="宋体" w:eastAsia="宋体" w:cs="宋体"/>
          <w:b w:val="0"/>
          <w:bCs/>
          <w:color w:val="auto"/>
          <w:sz w:val="24"/>
          <w:szCs w:val="24"/>
          <w:highlight w:val="none"/>
          <w:u w:val="single"/>
          <w:lang w:bidi="ar"/>
        </w:rPr>
        <w:t>条的相关约定</w:t>
      </w:r>
      <w:r>
        <w:rPr>
          <w:rFonts w:hint="eastAsia" w:ascii="宋体" w:hAnsi="宋体" w:eastAsia="宋体" w:cs="宋体"/>
          <w:b w:val="0"/>
          <w:bCs/>
          <w:color w:val="auto"/>
          <w:sz w:val="24"/>
          <w:szCs w:val="24"/>
          <w:highlight w:val="none"/>
          <w:lang w:bidi="ar"/>
        </w:rPr>
        <w:t>。</w:t>
      </w:r>
    </w:p>
    <w:p w14:paraId="5D01FCD6">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预付款</w:t>
      </w:r>
    </w:p>
    <w:p w14:paraId="1FE0AFF6">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 预付款的支付</w:t>
      </w:r>
    </w:p>
    <w:p w14:paraId="3F82771B">
      <w:pPr>
        <w:spacing w:line="360" w:lineRule="auto"/>
        <w:ind w:left="0" w:right="0"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预付款支付比例或金额：</w:t>
      </w:r>
      <w:r>
        <w:rPr>
          <w:rFonts w:hint="eastAsia" w:ascii="宋体" w:hAnsi="宋体" w:eastAsia="宋体" w:cs="宋体"/>
          <w:color w:val="auto"/>
          <w:sz w:val="24"/>
          <w:szCs w:val="24"/>
          <w:highlight w:val="none"/>
          <w:u w:val="single"/>
        </w:rPr>
        <w:t>合同价款</w:t>
      </w:r>
      <w:r>
        <w:rPr>
          <w:rFonts w:hint="eastAsia" w:ascii="宋体" w:hAnsi="宋体" w:eastAsia="宋体" w:cs="宋体"/>
          <w:b/>
          <w:color w:val="auto"/>
          <w:sz w:val="24"/>
          <w:szCs w:val="24"/>
          <w:highlight w:val="none"/>
          <w:u w:val="single"/>
          <w:lang w:bidi="ar"/>
        </w:rPr>
        <w:t>（扣除暂列金额）</w:t>
      </w:r>
      <w:r>
        <w:rPr>
          <w:rFonts w:hint="eastAsia" w:ascii="宋体" w:hAnsi="宋体" w:eastAsia="宋体" w:cs="宋体"/>
          <w:color w:val="auto"/>
          <w:sz w:val="24"/>
          <w:szCs w:val="24"/>
          <w:highlight w:val="none"/>
          <w:u w:val="single"/>
          <w:lang w:val="en-US" w:eastAsia="zh-CN"/>
        </w:rPr>
        <w:t>的2</w:t>
      </w:r>
      <w:r>
        <w:rPr>
          <w:rFonts w:hint="eastAsia" w:ascii="宋体" w:hAnsi="宋体" w:eastAsia="宋体" w:cs="宋体"/>
          <w:color w:val="auto"/>
          <w:sz w:val="24"/>
          <w:szCs w:val="24"/>
          <w:highlight w:val="none"/>
          <w:u w:val="single"/>
        </w:rPr>
        <w:t>0%。</w:t>
      </w:r>
    </w:p>
    <w:p w14:paraId="7D3404FB">
      <w:pPr>
        <w:spacing w:line="360" w:lineRule="auto"/>
        <w:ind w:left="0" w:right="0"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预付款支付期限：</w:t>
      </w:r>
      <w:r>
        <w:rPr>
          <w:rFonts w:hint="eastAsia" w:ascii="宋体" w:hAnsi="宋体" w:eastAsia="宋体" w:cs="宋体"/>
          <w:color w:val="auto"/>
          <w:sz w:val="24"/>
          <w:szCs w:val="24"/>
          <w:highlight w:val="none"/>
          <w:u w:val="single"/>
        </w:rPr>
        <w:t>开工令发出后且承包人提供了发包人认可的等额预付款保函后15日内。</w:t>
      </w:r>
    </w:p>
    <w:p w14:paraId="305D5A1D">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预付款扣回的方式：</w:t>
      </w:r>
      <w:r>
        <w:rPr>
          <w:rFonts w:hint="eastAsia" w:ascii="宋体" w:hAnsi="宋体" w:eastAsia="宋体" w:cs="宋体"/>
          <w:color w:val="auto"/>
          <w:sz w:val="24"/>
          <w:szCs w:val="24"/>
          <w:highlight w:val="none"/>
          <w:u w:val="single"/>
        </w:rPr>
        <w:t>预付款在第一次进度款支付时一次性扣回。</w:t>
      </w:r>
    </w:p>
    <w:p w14:paraId="7CEACC9F">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12.2.2 预付款担保</w:t>
      </w:r>
    </w:p>
    <w:p w14:paraId="5F09DBD0">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承包人提交预付款担保的期限：</w:t>
      </w:r>
      <w:r>
        <w:rPr>
          <w:rFonts w:hint="eastAsia" w:ascii="宋体" w:hAnsi="宋体" w:eastAsia="宋体" w:cs="宋体"/>
          <w:color w:val="auto"/>
          <w:sz w:val="24"/>
          <w:szCs w:val="24"/>
          <w:highlight w:val="none"/>
          <w:u w:val="single"/>
        </w:rPr>
        <w:t>开工令发出后且承包人提供了发包人认可的等额预付款保函后15日内</w:t>
      </w:r>
      <w:r>
        <w:rPr>
          <w:rFonts w:hint="eastAsia" w:ascii="宋体" w:hAnsi="宋体" w:eastAsia="宋体" w:cs="宋体"/>
          <w:color w:val="auto"/>
          <w:sz w:val="24"/>
          <w:szCs w:val="24"/>
          <w:highlight w:val="none"/>
        </w:rPr>
        <w:t>。</w:t>
      </w:r>
    </w:p>
    <w:p w14:paraId="115C5BD1">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预付款担保的形式为：</w:t>
      </w:r>
      <w:r>
        <w:rPr>
          <w:rFonts w:hint="eastAsia" w:ascii="宋体" w:hAnsi="宋体" w:eastAsia="宋体" w:cs="宋体"/>
          <w:color w:val="auto"/>
          <w:sz w:val="24"/>
          <w:szCs w:val="24"/>
          <w:highlight w:val="none"/>
          <w:u w:val="single"/>
          <w:lang w:eastAsia="zh-CN"/>
        </w:rPr>
        <w:t>银行保函（从基本户开具）</w:t>
      </w:r>
      <w:r>
        <w:rPr>
          <w:rFonts w:hint="eastAsia" w:ascii="宋体" w:hAnsi="宋体" w:eastAsia="宋体" w:cs="宋体"/>
          <w:color w:val="auto"/>
          <w:sz w:val="24"/>
          <w:szCs w:val="24"/>
          <w:highlight w:val="none"/>
          <w:u w:val="single"/>
        </w:rPr>
        <w:t>。</w:t>
      </w:r>
    </w:p>
    <w:p w14:paraId="51575008">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计量</w:t>
      </w:r>
    </w:p>
    <w:p w14:paraId="65044608">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12.3.1 计量原则</w:t>
      </w:r>
    </w:p>
    <w:p w14:paraId="4D0B0597">
      <w:pPr>
        <w:adjustRightInd w:val="0"/>
        <w:snapToGrid w:val="0"/>
        <w:spacing w:line="360" w:lineRule="auto"/>
        <w:ind w:firstLine="480" w:firstLineChars="200"/>
        <w:jc w:val="left"/>
        <w:rPr>
          <w:rFonts w:hint="default" w:ascii="宋体" w:hAnsi="宋体" w:eastAsia="宋体" w:cs="宋体"/>
          <w:color w:val="auto"/>
          <w:kern w:val="2"/>
          <w:sz w:val="24"/>
          <w:szCs w:val="22"/>
          <w:highlight w:val="none"/>
        </w:rPr>
      </w:pPr>
      <w:r>
        <w:rPr>
          <w:rFonts w:hint="eastAsia" w:ascii="宋体" w:hAnsi="宋体" w:eastAsia="宋体" w:cs="宋体"/>
          <w:color w:val="auto"/>
          <w:kern w:val="2"/>
          <w:sz w:val="24"/>
          <w:szCs w:val="22"/>
          <w:highlight w:val="none"/>
        </w:rPr>
        <w:t>工程量计算规则：</w:t>
      </w:r>
      <w:r>
        <w:rPr>
          <w:rFonts w:hint="eastAsia" w:ascii="宋体" w:hAnsi="宋体" w:eastAsia="宋体" w:cs="宋体"/>
          <w:color w:val="auto"/>
          <w:kern w:val="2"/>
          <w:sz w:val="24"/>
          <w:szCs w:val="22"/>
          <w:highlight w:val="none"/>
          <w:u w:val="single"/>
        </w:rPr>
        <w:t>工程量计算规则执行国家标准《建设工程工程量清单计价标准》GB/T50500-2024、《房屋建筑与装饰工程工程量计算标准》GB/T 50854—2024、《通用安装工程工程量计算标准》GB/T50856-2024及各级建设行政主管部门发布的有关文件及政策性规定计算</w:t>
      </w:r>
      <w:r>
        <w:rPr>
          <w:rFonts w:hint="eastAsia" w:ascii="宋体" w:hAnsi="宋体" w:eastAsia="宋体" w:cs="宋体"/>
          <w:color w:val="auto"/>
          <w:kern w:val="2"/>
          <w:sz w:val="24"/>
          <w:szCs w:val="22"/>
          <w:highlight w:val="none"/>
        </w:rPr>
        <w:t>。</w:t>
      </w:r>
    </w:p>
    <w:p w14:paraId="04355B61">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12.3.2 计量周期</w:t>
      </w:r>
    </w:p>
    <w:p w14:paraId="259B3B35">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color w:val="auto"/>
          <w:kern w:val="2"/>
          <w:sz w:val="24"/>
          <w:szCs w:val="22"/>
          <w:highlight w:val="none"/>
          <w:u w:val="single"/>
          <w:lang w:val="en-US" w:eastAsia="zh-CN"/>
        </w:rPr>
        <w:t>按付款</w:t>
      </w:r>
      <w:r>
        <w:rPr>
          <w:rFonts w:hint="eastAsia" w:ascii="宋体" w:hAnsi="宋体" w:eastAsia="宋体" w:cs="宋体"/>
          <w:color w:val="auto"/>
          <w:kern w:val="2"/>
          <w:sz w:val="24"/>
          <w:szCs w:val="22"/>
          <w:highlight w:val="none"/>
          <w:u w:val="single"/>
        </w:rPr>
        <w:t>节点计量</w:t>
      </w:r>
      <w:r>
        <w:rPr>
          <w:rFonts w:hint="eastAsia" w:ascii="宋体" w:hAnsi="宋体" w:eastAsia="宋体" w:cs="宋体"/>
          <w:color w:val="auto"/>
          <w:sz w:val="24"/>
          <w:szCs w:val="24"/>
          <w:highlight w:val="none"/>
        </w:rPr>
        <w:t>。</w:t>
      </w:r>
    </w:p>
    <w:p w14:paraId="54074E0A">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12.3.3 单价合同的计量</w:t>
      </w:r>
    </w:p>
    <w:p w14:paraId="00362822">
      <w:pPr>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color w:val="auto"/>
          <w:kern w:val="2"/>
          <w:sz w:val="24"/>
          <w:szCs w:val="22"/>
          <w:highlight w:val="none"/>
          <w:u w:val="single"/>
        </w:rPr>
        <w:t>工程量按实计量</w:t>
      </w:r>
      <w:r>
        <w:rPr>
          <w:rFonts w:hint="eastAsia" w:ascii="宋体" w:hAnsi="宋体" w:eastAsia="宋体" w:cs="宋体"/>
          <w:color w:val="auto"/>
          <w:sz w:val="24"/>
          <w:szCs w:val="24"/>
          <w:highlight w:val="none"/>
        </w:rPr>
        <w:t>。</w:t>
      </w:r>
    </w:p>
    <w:p w14:paraId="25B99EDE">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12.3.4 总价合同的计量</w:t>
      </w:r>
    </w:p>
    <w:p w14:paraId="396802B8">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关于总价合同计量的约定：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DC694A8">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12.3.5总价合同采用支付分解表计量支付的，是否适用第12.3.4 项〔总价合同的计量〕约定进行计量：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556DEFC7">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12.3.6 其他价格形式合同的计量</w:t>
      </w:r>
    </w:p>
    <w:p w14:paraId="24E15F13">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其他价格形式的计量方式和程序：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37BEF6FB">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 工程进度款支付</w:t>
      </w:r>
    </w:p>
    <w:p w14:paraId="476A23F7">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 付款周期 </w:t>
      </w:r>
    </w:p>
    <w:p w14:paraId="77B11DE4">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关于付款周期的约定：</w:t>
      </w:r>
    </w:p>
    <w:p w14:paraId="7D3B8D49">
      <w:pPr>
        <w:spacing w:line="360" w:lineRule="auto"/>
        <w:ind w:left="0" w:right="0" w:firstLine="482"/>
        <w:jc w:val="left"/>
        <w:rPr>
          <w:rFonts w:hint="eastAsia" w:ascii="宋体" w:hAnsi="宋体" w:eastAsia="宋体" w:cs="宋体"/>
          <w:b/>
          <w:color w:val="auto"/>
          <w:sz w:val="24"/>
          <w:szCs w:val="24"/>
          <w:highlight w:val="none"/>
          <w:u w:val="single"/>
          <w:lang w:eastAsia="zh-CN" w:bidi="ar"/>
        </w:rPr>
      </w:pPr>
      <w:r>
        <w:rPr>
          <w:rFonts w:hint="eastAsia" w:ascii="宋体" w:hAnsi="宋体" w:eastAsia="宋体" w:cs="宋体"/>
          <w:b/>
          <w:color w:val="auto"/>
          <w:sz w:val="24"/>
          <w:szCs w:val="24"/>
          <w:highlight w:val="none"/>
          <w:u w:val="single"/>
          <w:lang w:bidi="ar"/>
        </w:rPr>
        <w:t>12.4.1.</w:t>
      </w:r>
      <w:r>
        <w:rPr>
          <w:rFonts w:hint="eastAsia" w:ascii="宋体" w:hAnsi="宋体" w:eastAsia="宋体" w:cs="宋体"/>
          <w:b/>
          <w:color w:val="auto"/>
          <w:sz w:val="24"/>
          <w:szCs w:val="24"/>
          <w:highlight w:val="none"/>
          <w:u w:val="single"/>
          <w:lang w:val="en-US" w:eastAsia="zh-CN" w:bidi="ar"/>
        </w:rPr>
        <w:t>1</w:t>
      </w:r>
      <w:r>
        <w:rPr>
          <w:rFonts w:hint="eastAsia" w:ascii="宋体" w:hAnsi="宋体" w:eastAsia="宋体" w:cs="宋体"/>
          <w:b/>
          <w:color w:val="auto"/>
          <w:sz w:val="24"/>
          <w:szCs w:val="24"/>
          <w:highlight w:val="none"/>
          <w:u w:val="single"/>
          <w:lang w:bidi="ar"/>
        </w:rPr>
        <w:t>工程全部完工并经竣工验收合格后付合同总价（扣除暂列金额）的80%，项目审计后付至审定价的97%，缺陷责任期满后付清余款(无息）</w:t>
      </w:r>
      <w:r>
        <w:rPr>
          <w:rFonts w:hint="eastAsia" w:ascii="宋体" w:hAnsi="宋体" w:eastAsia="宋体" w:cs="宋体"/>
          <w:b/>
          <w:color w:val="auto"/>
          <w:sz w:val="24"/>
          <w:szCs w:val="24"/>
          <w:highlight w:val="none"/>
          <w:u w:val="single"/>
          <w:lang w:eastAsia="zh-CN" w:bidi="ar"/>
        </w:rPr>
        <w:t>。</w:t>
      </w:r>
    </w:p>
    <w:p w14:paraId="32D5F99D">
      <w:pPr>
        <w:spacing w:line="360" w:lineRule="auto"/>
        <w:ind w:left="0" w:righ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bidi="ar"/>
        </w:rPr>
        <w:t>12.4.1.2承包人必须保证施工期间的民工工资发放，每次支付工程进度款时必须在上报已完工程量的报告中单列人工费，并办理已支付民工工资相关确认手续。若出现拖欠民工工资发包人有权从中工程进度款扣除拖欠的民工工资。</w:t>
      </w:r>
    </w:p>
    <w:p w14:paraId="53000F68">
      <w:pPr>
        <w:spacing w:line="360" w:lineRule="auto"/>
        <w:ind w:left="0" w:righ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bidi="ar"/>
        </w:rPr>
        <w:t>12.4.1.3工程施工进行中每笔工程付款承包人必须开具增值税专用发票，否则不予付款。</w:t>
      </w:r>
    </w:p>
    <w:p w14:paraId="65D1A6EA">
      <w:pPr>
        <w:spacing w:line="360" w:lineRule="auto"/>
        <w:ind w:left="0" w:righ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bidi="ar"/>
        </w:rPr>
        <w:t>12.4.1.4承包人应给予发包人必要的工程款支付期限，以便发包人办理支付申请手续。</w:t>
      </w:r>
    </w:p>
    <w:p w14:paraId="5A18425F">
      <w:pPr>
        <w:spacing w:line="360" w:lineRule="auto"/>
        <w:ind w:left="0" w:right="0"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u w:val="single"/>
          <w:lang w:bidi="ar"/>
        </w:rPr>
        <w:t>12.4.1.5 承包人不得因发包人延期支付进度款而停工。延期支付进度款不计算利息</w:t>
      </w:r>
      <w:r>
        <w:rPr>
          <w:rFonts w:hint="eastAsia" w:ascii="宋体" w:hAnsi="宋体" w:eastAsia="宋体" w:cs="宋体"/>
          <w:color w:val="auto"/>
          <w:sz w:val="24"/>
          <w:szCs w:val="24"/>
          <w:highlight w:val="none"/>
          <w:lang w:bidi="ar"/>
        </w:rPr>
        <w:t>。</w:t>
      </w:r>
    </w:p>
    <w:p w14:paraId="30A6DF43">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12.4.2 进度付款申请单的编制</w:t>
      </w:r>
    </w:p>
    <w:p w14:paraId="71F198FF">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关于进度付款申请单编制的约定：</w:t>
      </w:r>
      <w:r>
        <w:rPr>
          <w:rFonts w:hint="eastAsia" w:ascii="宋体" w:hAnsi="宋体" w:eastAsia="宋体" w:cs="宋体"/>
          <w:color w:val="auto"/>
          <w:sz w:val="24"/>
          <w:szCs w:val="24"/>
          <w:highlight w:val="none"/>
          <w:u w:val="single"/>
        </w:rPr>
        <w:t xml:space="preserve">不包括变更、签证、索赔等部分 </w:t>
      </w:r>
    </w:p>
    <w:p w14:paraId="6634FB80">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12.4.3 进度付款申请单的提交</w:t>
      </w:r>
    </w:p>
    <w:p w14:paraId="3F540CC0">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0315FFAE">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431B2399">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（3）其他价格形式合同进度付款申请单提交的约定：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54E763D7">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12.4.4 进度款审核和支付</w:t>
      </w:r>
    </w:p>
    <w:p w14:paraId="523816DE">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（1）监理人审查并报送发包人的期限：</w:t>
      </w:r>
      <w:r>
        <w:rPr>
          <w:rFonts w:hint="eastAsia" w:ascii="宋体" w:hAnsi="宋体" w:eastAsia="宋体" w:cs="宋体"/>
          <w:color w:val="auto"/>
          <w:sz w:val="24"/>
          <w:szCs w:val="24"/>
          <w:highlight w:val="none"/>
          <w:u w:val="single"/>
        </w:rPr>
        <w:t xml:space="preserve"> 收到申请 7 天内  </w:t>
      </w:r>
      <w:r>
        <w:rPr>
          <w:rFonts w:hint="eastAsia" w:ascii="宋体" w:hAnsi="宋体" w:eastAsia="宋体" w:cs="宋体"/>
          <w:color w:val="auto"/>
          <w:sz w:val="24"/>
          <w:szCs w:val="24"/>
          <w:highlight w:val="none"/>
        </w:rPr>
        <w:t>。</w:t>
      </w:r>
    </w:p>
    <w:p w14:paraId="4A21131B">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发包人完成审批并签发进度款支付证书的期限：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133E0875">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（2）发包人支付进度款的期限：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2D37295F">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发包人逾期支付进度款的违约金的计算方式：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7BE6B87D">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12.4.6 支付分解表的编制</w:t>
      </w:r>
    </w:p>
    <w:p w14:paraId="3BD3214A">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1、总价合同支付分解表的编制与审批：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2FB6A82B">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2、单价合同的总价项目支付分解表的编制与审批：</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5DA15025">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12.4.7本工程实行按质论价，计取方式：</w:t>
      </w:r>
      <w:r>
        <w:rPr>
          <w:rFonts w:hint="eastAsia" w:ascii="宋体" w:hAnsi="宋体" w:eastAsia="宋体" w:cs="宋体"/>
          <w:b/>
          <w:bCs/>
          <w:color w:val="auto"/>
          <w:sz w:val="24"/>
          <w:szCs w:val="24"/>
          <w:highlight w:val="none"/>
          <w:u w:val="single"/>
          <w:lang w:bidi="ar"/>
        </w:rPr>
        <w:t>/</w:t>
      </w:r>
      <w:r>
        <w:rPr>
          <w:rFonts w:hint="eastAsia" w:ascii="宋体" w:hAnsi="宋体" w:eastAsia="宋体" w:cs="宋体"/>
          <w:color w:val="auto"/>
          <w:sz w:val="24"/>
          <w:szCs w:val="24"/>
          <w:highlight w:val="none"/>
          <w:lang w:bidi="ar"/>
        </w:rPr>
        <w:t>。</w:t>
      </w:r>
    </w:p>
    <w:p w14:paraId="086EC41E">
      <w:pPr>
        <w:keepNext/>
        <w:keepLines/>
        <w:widowControl w:val="0"/>
        <w:spacing w:before="0" w:after="0" w:line="360" w:lineRule="auto"/>
        <w:ind w:left="0" w:right="0" w:firstLine="480"/>
        <w:jc w:val="both"/>
        <w:outlineLvl w:val="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13. 验收和工程试车</w:t>
      </w:r>
    </w:p>
    <w:p w14:paraId="4B4D8FDB">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分部分项工程验收</w:t>
      </w:r>
    </w:p>
    <w:p w14:paraId="698D0C3E">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13.1.2监理人不能按时进行验收时，应提前</w:t>
      </w:r>
      <w:r>
        <w:rPr>
          <w:rFonts w:hint="eastAsia" w:ascii="宋体" w:hAnsi="宋体" w:eastAsia="宋体" w:cs="宋体"/>
          <w:color w:val="auto"/>
          <w:sz w:val="24"/>
          <w:szCs w:val="24"/>
          <w:highlight w:val="none"/>
          <w:u w:val="single"/>
        </w:rPr>
        <w:t xml:space="preserve"> 24 </w:t>
      </w:r>
      <w:r>
        <w:rPr>
          <w:rFonts w:hint="eastAsia" w:ascii="宋体" w:hAnsi="宋体" w:eastAsia="宋体" w:cs="宋体"/>
          <w:color w:val="auto"/>
          <w:sz w:val="24"/>
          <w:szCs w:val="24"/>
          <w:highlight w:val="none"/>
        </w:rPr>
        <w:t>小时提交书面延期要求。 关于延期最长不得超过：</w:t>
      </w:r>
      <w:r>
        <w:rPr>
          <w:rFonts w:hint="eastAsia" w:ascii="宋体" w:hAnsi="宋体" w:eastAsia="宋体" w:cs="宋体"/>
          <w:color w:val="auto"/>
          <w:sz w:val="24"/>
          <w:szCs w:val="24"/>
          <w:highlight w:val="none"/>
          <w:u w:val="single"/>
        </w:rPr>
        <w:t xml:space="preserve"> 48 </w:t>
      </w:r>
      <w:r>
        <w:rPr>
          <w:rFonts w:hint="eastAsia" w:ascii="宋体" w:hAnsi="宋体" w:eastAsia="宋体" w:cs="宋体"/>
          <w:color w:val="auto"/>
          <w:sz w:val="24"/>
          <w:szCs w:val="24"/>
          <w:highlight w:val="none"/>
        </w:rPr>
        <w:t>小时。</w:t>
      </w:r>
    </w:p>
    <w:p w14:paraId="2D791393">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竣工验收</w:t>
      </w:r>
    </w:p>
    <w:p w14:paraId="46EDDD1B">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13.2.2竣工验收程序</w:t>
      </w:r>
    </w:p>
    <w:p w14:paraId="7B3D5870">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关于竣工验收程序的约定：</w:t>
      </w:r>
    </w:p>
    <w:p w14:paraId="06A0E504">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02138407">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66F2BDB2">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（3）竣工验收合格的，发包人应在验收合格后28天内向承包人签发工程接收证书。发包人无正当理由逾期不颁发工程接收证书的，自验收合格后第 29 天起视为已颁发工程接收证书。</w:t>
      </w:r>
    </w:p>
    <w:p w14:paraId="4FACB92F">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773299F8">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（5）工程未经验收或验收不合格，发包人擅自使用的，应在转移占有工程后 28 天内向承包人颁发工程接收证书；发包人无正当理由逾期不颁发工程接收证书的，自转移占有后第29天起视为已颁发工程接收证书。</w:t>
      </w:r>
    </w:p>
    <w:p w14:paraId="62C024D6">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发包人未按照本项约定组织竣工验收、颁发工程接收证书的违约金的计算方法：</w:t>
      </w:r>
      <w:r>
        <w:rPr>
          <w:rFonts w:hint="eastAsia" w:ascii="宋体" w:hAnsi="宋体" w:eastAsia="宋体" w:cs="宋体"/>
          <w:color w:val="auto"/>
          <w:sz w:val="24"/>
          <w:szCs w:val="24"/>
          <w:highlight w:val="none"/>
          <w:u w:val="single"/>
        </w:rPr>
        <w:t xml:space="preserve"> 双方协商延期支付时间，不计取违约金 </w:t>
      </w:r>
      <w:r>
        <w:rPr>
          <w:rFonts w:hint="eastAsia" w:ascii="宋体" w:hAnsi="宋体" w:eastAsia="宋体" w:cs="宋体"/>
          <w:color w:val="auto"/>
          <w:sz w:val="24"/>
          <w:szCs w:val="24"/>
          <w:highlight w:val="none"/>
        </w:rPr>
        <w:t>。</w:t>
      </w:r>
    </w:p>
    <w:p w14:paraId="3EA02BD0">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13.2.5移交、接收全部与部分工程</w:t>
      </w:r>
    </w:p>
    <w:p w14:paraId="21C85A02">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承包人向发包人移交工程的期限：</w:t>
      </w:r>
      <w:r>
        <w:rPr>
          <w:rFonts w:hint="eastAsia" w:ascii="宋体" w:hAnsi="宋体" w:eastAsia="宋体" w:cs="宋体"/>
          <w:color w:val="auto"/>
          <w:sz w:val="24"/>
          <w:szCs w:val="24"/>
          <w:highlight w:val="none"/>
          <w:u w:val="single"/>
        </w:rPr>
        <w:t xml:space="preserve"> 执行通用条款  </w:t>
      </w:r>
      <w:r>
        <w:rPr>
          <w:rFonts w:hint="eastAsia" w:ascii="宋体" w:hAnsi="宋体" w:eastAsia="宋体" w:cs="宋体"/>
          <w:color w:val="auto"/>
          <w:sz w:val="24"/>
          <w:szCs w:val="24"/>
          <w:highlight w:val="none"/>
        </w:rPr>
        <w:t xml:space="preserve">。 </w:t>
      </w:r>
    </w:p>
    <w:p w14:paraId="3EEE901F">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发包人未按本合同约定接收全部或部分工程的，违约金的计算方法为：</w:t>
      </w:r>
      <w:r>
        <w:rPr>
          <w:rFonts w:hint="eastAsia" w:ascii="宋体" w:hAnsi="宋体" w:eastAsia="宋体" w:cs="宋体"/>
          <w:color w:val="auto"/>
          <w:sz w:val="24"/>
          <w:szCs w:val="24"/>
          <w:highlight w:val="none"/>
          <w:u w:val="single"/>
        </w:rPr>
        <w:t>双方协商延期支付时间，不计取违约金</w:t>
      </w:r>
      <w:r>
        <w:rPr>
          <w:rFonts w:hint="eastAsia" w:ascii="宋体" w:hAnsi="宋体" w:eastAsia="宋体" w:cs="宋体"/>
          <w:color w:val="auto"/>
          <w:sz w:val="24"/>
          <w:szCs w:val="24"/>
          <w:highlight w:val="none"/>
        </w:rPr>
        <w:t>。</w:t>
      </w:r>
    </w:p>
    <w:p w14:paraId="445287D6">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承包人未按时移交工程的，违约金的计算方法为：</w:t>
      </w:r>
      <w:r>
        <w:rPr>
          <w:rFonts w:hint="eastAsia" w:ascii="宋体" w:hAnsi="宋体" w:eastAsia="宋体" w:cs="宋体"/>
          <w:color w:val="auto"/>
          <w:sz w:val="24"/>
          <w:szCs w:val="24"/>
          <w:highlight w:val="none"/>
          <w:u w:val="single"/>
        </w:rPr>
        <w:t xml:space="preserve"> 如承包人不能按规定时间完成竣工资料备案及交付使用，承包人需向发包人支付1万/天的违约金。本违约金无上限。违约金从工程竣工结算款中扣除</w:t>
      </w:r>
      <w:r>
        <w:rPr>
          <w:rFonts w:hint="eastAsia" w:ascii="宋体" w:hAnsi="宋体" w:eastAsia="宋体" w:cs="宋体"/>
          <w:color w:val="auto"/>
          <w:sz w:val="24"/>
          <w:szCs w:val="24"/>
          <w:highlight w:val="none"/>
        </w:rPr>
        <w:t>。</w:t>
      </w:r>
    </w:p>
    <w:p w14:paraId="11C1505E">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工程试车</w:t>
      </w:r>
    </w:p>
    <w:p w14:paraId="2DB4B97B">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13.3.1 试车程序</w:t>
      </w:r>
    </w:p>
    <w:p w14:paraId="46B3C84F">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（1）单机无负荷试车费用由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承担；</w:t>
      </w:r>
    </w:p>
    <w:p w14:paraId="77D7CACB">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（2）无负荷联动试车费用由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承担。</w:t>
      </w:r>
    </w:p>
    <w:p w14:paraId="0A9238BE">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13.3.3 投料试车</w:t>
      </w:r>
    </w:p>
    <w:p w14:paraId="70D0FB8E">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关于投料试车相关事项的约定：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1DE9AE75">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13.6 竣工退场</w:t>
      </w:r>
    </w:p>
    <w:p w14:paraId="6556055A">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13.6.1 竣工退场</w:t>
      </w:r>
    </w:p>
    <w:p w14:paraId="2C990315">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承包人完成竣工退场的期限：</w:t>
      </w:r>
      <w:r>
        <w:rPr>
          <w:rFonts w:hint="eastAsia" w:ascii="宋体" w:hAnsi="宋体" w:eastAsia="宋体" w:cs="宋体"/>
          <w:color w:val="auto"/>
          <w:sz w:val="24"/>
          <w:szCs w:val="24"/>
          <w:highlight w:val="none"/>
          <w:u w:val="single"/>
        </w:rPr>
        <w:t>工程竣工验收合格后，施工单位的施工人员、材料、设备必须在7天内全部退出现场</w:t>
      </w:r>
      <w:r>
        <w:rPr>
          <w:rFonts w:hint="eastAsia" w:ascii="宋体" w:hAnsi="宋体" w:eastAsia="宋体" w:cs="宋体"/>
          <w:color w:val="auto"/>
          <w:sz w:val="24"/>
          <w:szCs w:val="24"/>
          <w:highlight w:val="none"/>
        </w:rPr>
        <w:t>。</w:t>
      </w:r>
    </w:p>
    <w:p w14:paraId="05D0B7DB">
      <w:pPr>
        <w:keepNext/>
        <w:keepLines/>
        <w:widowControl w:val="0"/>
        <w:spacing w:before="0" w:after="0" w:line="360" w:lineRule="auto"/>
        <w:ind w:left="0" w:right="0" w:firstLine="480"/>
        <w:jc w:val="both"/>
        <w:outlineLvl w:val="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14. 竣工结算</w:t>
      </w:r>
    </w:p>
    <w:p w14:paraId="6FD70485">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竣工结算申请</w:t>
      </w:r>
    </w:p>
    <w:p w14:paraId="443CACAD">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承包人提交竣工结算申请单的期限：</w:t>
      </w:r>
      <w:r>
        <w:rPr>
          <w:rFonts w:hint="eastAsia" w:ascii="宋体" w:hAnsi="宋体" w:eastAsia="宋体" w:cs="宋体"/>
          <w:color w:val="auto"/>
          <w:sz w:val="24"/>
          <w:szCs w:val="24"/>
          <w:highlight w:val="none"/>
          <w:u w:val="single"/>
        </w:rPr>
        <w:t>执行通用条款</w:t>
      </w:r>
      <w:r>
        <w:rPr>
          <w:rFonts w:hint="eastAsia" w:ascii="宋体" w:hAnsi="宋体" w:eastAsia="宋体" w:cs="宋体"/>
          <w:color w:val="auto"/>
          <w:sz w:val="24"/>
          <w:szCs w:val="24"/>
          <w:highlight w:val="none"/>
        </w:rPr>
        <w:t>。</w:t>
      </w:r>
    </w:p>
    <w:p w14:paraId="11A35964">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竣工结算审核</w:t>
      </w:r>
    </w:p>
    <w:p w14:paraId="0CE4A392">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具体实施按照发包人规定的工作流程及要求执行。</w:t>
      </w:r>
    </w:p>
    <w:p w14:paraId="2523F357">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rPr>
        <w:t>具体实施按照发包人规定的工作流程及要求执行</w:t>
      </w:r>
      <w:r>
        <w:rPr>
          <w:rFonts w:hint="eastAsia" w:ascii="宋体" w:hAnsi="宋体" w:eastAsia="宋体" w:cs="宋体"/>
          <w:color w:val="auto"/>
          <w:sz w:val="24"/>
          <w:szCs w:val="24"/>
          <w:highlight w:val="none"/>
        </w:rPr>
        <w:t>。</w:t>
      </w:r>
    </w:p>
    <w:p w14:paraId="4C5E7762">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关于竣工付款证书异议部分复核的方式和程序：</w:t>
      </w:r>
      <w:r>
        <w:rPr>
          <w:rFonts w:hint="eastAsia" w:ascii="宋体" w:hAnsi="宋体" w:eastAsia="宋体" w:cs="宋体"/>
          <w:b/>
          <w:bCs/>
          <w:color w:val="auto"/>
          <w:sz w:val="21"/>
          <w:szCs w:val="21"/>
          <w:highlight w:val="none"/>
          <w:u w:val="single"/>
        </w:rPr>
        <w:t>按通用条款第20条“争议解决”的约定办理</w:t>
      </w:r>
      <w:r>
        <w:rPr>
          <w:rFonts w:hint="eastAsia" w:ascii="宋体" w:hAnsi="宋体" w:eastAsia="宋体" w:cs="宋体"/>
          <w:color w:val="auto"/>
          <w:sz w:val="24"/>
          <w:szCs w:val="24"/>
          <w:highlight w:val="none"/>
        </w:rPr>
        <w:t>。</w:t>
      </w:r>
    </w:p>
    <w:p w14:paraId="5F2A18B6">
      <w:pPr>
        <w:keepNext w:val="0"/>
        <w:keepLines w:val="0"/>
        <w:pageBreakBefore w:val="0"/>
        <w:widowControl w:val="0"/>
        <w:spacing w:line="360" w:lineRule="auto"/>
        <w:ind w:left="0" w:firstLine="480"/>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其他有关说明：</w:t>
      </w:r>
    </w:p>
    <w:p w14:paraId="3E5C65C8">
      <w:pPr>
        <w:pageBreakBefore w:val="0"/>
        <w:widowControl w:val="0"/>
        <w:numPr>
          <w:ilvl w:val="0"/>
          <w:numId w:val="0"/>
        </w:numPr>
        <w:spacing w:line="360" w:lineRule="auto"/>
        <w:ind w:left="0" w:right="0" w:firstLine="48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bidi="ar-SA"/>
        </w:rPr>
        <w:t>（1）</w:t>
      </w:r>
      <w:r>
        <w:rPr>
          <w:rFonts w:hint="eastAsia" w:ascii="宋体" w:hAnsi="宋体" w:eastAsia="宋体" w:cs="宋体"/>
          <w:b/>
          <w:color w:val="auto"/>
          <w:sz w:val="24"/>
          <w:szCs w:val="24"/>
          <w:highlight w:val="none"/>
        </w:rPr>
        <w:t>承包人提交的工程结算上报值经最终审计后，核减率≤5%，造价审核费由发包人承担；若核减率＞5%，则超过5%部分的追加咨询费由承包人承担。</w:t>
      </w:r>
    </w:p>
    <w:p w14:paraId="17DA65AE">
      <w:pPr>
        <w:keepNext w:val="0"/>
        <w:keepLines w:val="0"/>
        <w:pageBreakBefore w:val="0"/>
        <w:widowControl w:val="0"/>
        <w:numPr>
          <w:ilvl w:val="0"/>
          <w:numId w:val="0"/>
        </w:numPr>
        <w:spacing w:line="360" w:lineRule="auto"/>
        <w:ind w:left="0" w:firstLine="480"/>
        <w:jc w:val="lef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）若审计部门或建设单位委托的第三方审计单位进行工程结算二审，则以二审确定的工程造价为最终结算价</w:t>
      </w:r>
      <w:r>
        <w:rPr>
          <w:rFonts w:hint="eastAsia" w:ascii="宋体" w:hAnsi="宋体" w:eastAsia="宋体" w:cs="宋体"/>
          <w:b/>
          <w:color w:val="auto"/>
          <w:sz w:val="24"/>
          <w:szCs w:val="24"/>
          <w:highlight w:val="none"/>
          <w:lang w:eastAsia="zh-CN"/>
        </w:rPr>
        <w:t>。</w:t>
      </w:r>
    </w:p>
    <w:p w14:paraId="2364835A">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 最终结清</w:t>
      </w:r>
    </w:p>
    <w:p w14:paraId="1FF442F4">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14.4.1 最终结清申请单</w:t>
      </w:r>
    </w:p>
    <w:p w14:paraId="31DD118C">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承包人提交最终结清申请单的份数：</w:t>
      </w:r>
      <w:r>
        <w:rPr>
          <w:rFonts w:hint="eastAsia" w:ascii="宋体" w:hAnsi="宋体" w:eastAsia="宋体" w:cs="宋体"/>
          <w:color w:val="auto"/>
          <w:sz w:val="24"/>
          <w:szCs w:val="24"/>
          <w:highlight w:val="none"/>
          <w:u w:val="single"/>
        </w:rPr>
        <w:t>4份</w:t>
      </w:r>
      <w:r>
        <w:rPr>
          <w:rFonts w:hint="eastAsia" w:ascii="宋体" w:hAnsi="宋体" w:eastAsia="宋体" w:cs="宋体"/>
          <w:color w:val="auto"/>
          <w:sz w:val="24"/>
          <w:szCs w:val="24"/>
          <w:highlight w:val="none"/>
        </w:rPr>
        <w:t>。</w:t>
      </w:r>
    </w:p>
    <w:p w14:paraId="41745800">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承包人提交最终结算申请单的期限：</w:t>
      </w:r>
      <w:r>
        <w:rPr>
          <w:rFonts w:hint="eastAsia" w:ascii="宋体" w:hAnsi="宋体" w:eastAsia="宋体" w:cs="宋体"/>
          <w:color w:val="auto"/>
          <w:sz w:val="24"/>
          <w:szCs w:val="24"/>
          <w:highlight w:val="none"/>
          <w:u w:val="single"/>
        </w:rPr>
        <w:t>缺陷责任期满后</w:t>
      </w:r>
      <w:r>
        <w:rPr>
          <w:rFonts w:hint="eastAsia" w:ascii="宋体" w:hAnsi="宋体" w:eastAsia="宋体" w:cs="宋体"/>
          <w:color w:val="auto"/>
          <w:sz w:val="24"/>
          <w:szCs w:val="24"/>
          <w:highlight w:val="none"/>
        </w:rPr>
        <w:t xml:space="preserve">。 </w:t>
      </w:r>
    </w:p>
    <w:p w14:paraId="1BC0EC38">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14.4.2 最终结清证书和支付</w:t>
      </w:r>
    </w:p>
    <w:p w14:paraId="6C5880BE">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（1）发包人完成最终结清申请单的审批并颁发最终结清证书的期限：</w:t>
      </w:r>
      <w:r>
        <w:rPr>
          <w:rFonts w:hint="eastAsia" w:ascii="宋体" w:hAnsi="宋体" w:eastAsia="宋体" w:cs="宋体"/>
          <w:color w:val="auto"/>
          <w:sz w:val="24"/>
          <w:szCs w:val="24"/>
          <w:highlight w:val="none"/>
          <w:u w:val="single"/>
        </w:rPr>
        <w:t>按发包人工作流程</w:t>
      </w:r>
      <w:r>
        <w:rPr>
          <w:rFonts w:hint="eastAsia" w:ascii="宋体" w:hAnsi="宋体" w:eastAsia="宋体" w:cs="宋体"/>
          <w:color w:val="auto"/>
          <w:sz w:val="24"/>
          <w:szCs w:val="24"/>
          <w:highlight w:val="none"/>
        </w:rPr>
        <w:t>。</w:t>
      </w:r>
    </w:p>
    <w:p w14:paraId="40F2E556">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（2）发包人完成支付的期限：</w:t>
      </w:r>
      <w:r>
        <w:rPr>
          <w:rFonts w:hint="eastAsia" w:ascii="宋体" w:hAnsi="宋体" w:eastAsia="宋体" w:cs="宋体"/>
          <w:color w:val="auto"/>
          <w:sz w:val="24"/>
          <w:szCs w:val="24"/>
          <w:highlight w:val="none"/>
          <w:u w:val="single"/>
        </w:rPr>
        <w:t>颁发最终结清证书后28天内完成，双方协商延期支付时间，不计取违约金</w:t>
      </w:r>
      <w:r>
        <w:rPr>
          <w:rFonts w:hint="eastAsia" w:ascii="宋体" w:hAnsi="宋体" w:eastAsia="宋体" w:cs="宋体"/>
          <w:color w:val="auto"/>
          <w:sz w:val="24"/>
          <w:szCs w:val="24"/>
          <w:highlight w:val="none"/>
        </w:rPr>
        <w:t>。</w:t>
      </w:r>
    </w:p>
    <w:p w14:paraId="7DC90798">
      <w:pPr>
        <w:keepNext/>
        <w:keepLines/>
        <w:widowControl w:val="0"/>
        <w:spacing w:before="0" w:after="0" w:line="360" w:lineRule="auto"/>
        <w:ind w:left="0" w:right="0" w:firstLine="480"/>
        <w:jc w:val="both"/>
        <w:outlineLvl w:val="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15. 缺陷责任期与保修</w:t>
      </w:r>
    </w:p>
    <w:p w14:paraId="02F68013">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15.2缺陷责任期</w:t>
      </w:r>
    </w:p>
    <w:p w14:paraId="65EE3090">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缺陷责任期的具体期限：</w:t>
      </w:r>
      <w:r>
        <w:rPr>
          <w:rFonts w:hint="eastAsia" w:ascii="宋体" w:hAnsi="宋体" w:eastAsia="宋体" w:cs="宋体"/>
          <w:color w:val="auto"/>
          <w:sz w:val="24"/>
          <w:szCs w:val="24"/>
          <w:highlight w:val="none"/>
          <w:u w:val="single"/>
        </w:rPr>
        <w:t>24个月</w:t>
      </w:r>
      <w:r>
        <w:rPr>
          <w:rFonts w:hint="eastAsia" w:ascii="宋体" w:hAnsi="宋体" w:eastAsia="宋体" w:cs="宋体"/>
          <w:color w:val="auto"/>
          <w:sz w:val="24"/>
          <w:szCs w:val="24"/>
          <w:highlight w:val="none"/>
        </w:rPr>
        <w:t>。</w:t>
      </w:r>
    </w:p>
    <w:p w14:paraId="710CAE5F">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 质量保证金</w:t>
      </w:r>
    </w:p>
    <w:p w14:paraId="79D6591E">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关于是否扣留质量保证金的约定：</w:t>
      </w:r>
      <w:r>
        <w:rPr>
          <w:rFonts w:hint="eastAsia" w:ascii="宋体" w:hAnsi="宋体" w:eastAsia="宋体" w:cs="宋体"/>
          <w:color w:val="auto"/>
          <w:sz w:val="24"/>
          <w:szCs w:val="24"/>
          <w:highlight w:val="none"/>
          <w:u w:val="single"/>
        </w:rPr>
        <w:t xml:space="preserve"> 扣留 </w:t>
      </w:r>
      <w:r>
        <w:rPr>
          <w:rFonts w:hint="eastAsia" w:ascii="宋体" w:hAnsi="宋体" w:eastAsia="宋体" w:cs="宋体"/>
          <w:color w:val="auto"/>
          <w:sz w:val="24"/>
          <w:szCs w:val="24"/>
          <w:highlight w:val="none"/>
        </w:rPr>
        <w:t>。</w:t>
      </w:r>
    </w:p>
    <w:p w14:paraId="45B1BFFC">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15.3.1 承包人提供质量保证金的方式</w:t>
      </w:r>
    </w:p>
    <w:p w14:paraId="154830F8">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w:t>
      </w:r>
    </w:p>
    <w:p w14:paraId="5653601C">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（1）质量保证金保函，保证金额为：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p>
    <w:p w14:paraId="35637DD4">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%的工程款；</w:t>
      </w:r>
    </w:p>
    <w:p w14:paraId="64C32767">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审定价的3% </w:t>
      </w:r>
      <w:r>
        <w:rPr>
          <w:rFonts w:hint="eastAsia" w:ascii="宋体" w:hAnsi="宋体" w:eastAsia="宋体" w:cs="宋体"/>
          <w:color w:val="auto"/>
          <w:sz w:val="24"/>
          <w:szCs w:val="24"/>
          <w:highlight w:val="none"/>
        </w:rPr>
        <w:t>。</w:t>
      </w:r>
    </w:p>
    <w:p w14:paraId="499C7479">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15.3.2 质量保证金的扣留 </w:t>
      </w:r>
    </w:p>
    <w:p w14:paraId="69C31D1F">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质量保证金的扣留采取以下第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种方式：</w:t>
      </w:r>
    </w:p>
    <w:p w14:paraId="37985871">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（1）在支付工程进度款时逐次扣留，在此情形下，质量保证金的计算基数不包括预付款的支付、扣回以及价格调整的金额；</w:t>
      </w:r>
    </w:p>
    <w:p w14:paraId="2A76ABC7">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（2）工程竣工结算时一次性扣留质量保证金；</w:t>
      </w:r>
    </w:p>
    <w:p w14:paraId="6989E675">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（3）其他扣留方式: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3C0B7828">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关于质量保证金的补充约定：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2E7F49B9">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15.4保修</w:t>
      </w:r>
    </w:p>
    <w:p w14:paraId="251C7BE1">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15.4.1 保修责任</w:t>
      </w:r>
    </w:p>
    <w:p w14:paraId="46BAB5C9">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工程保修期为：</w:t>
      </w:r>
      <w:r>
        <w:rPr>
          <w:rFonts w:hint="eastAsia" w:ascii="宋体" w:hAnsi="宋体" w:eastAsia="宋体" w:cs="宋体"/>
          <w:color w:val="auto"/>
          <w:sz w:val="24"/>
          <w:szCs w:val="24"/>
          <w:highlight w:val="none"/>
          <w:u w:val="single"/>
        </w:rPr>
        <w:t xml:space="preserve"> 见工程质量保修书 </w:t>
      </w:r>
      <w:r>
        <w:rPr>
          <w:rFonts w:hint="eastAsia" w:ascii="宋体" w:hAnsi="宋体" w:eastAsia="宋体" w:cs="宋体"/>
          <w:color w:val="auto"/>
          <w:sz w:val="24"/>
          <w:szCs w:val="24"/>
          <w:highlight w:val="none"/>
        </w:rPr>
        <w:t>。</w:t>
      </w:r>
    </w:p>
    <w:p w14:paraId="02749348">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15.4.3 修复通知</w:t>
      </w:r>
    </w:p>
    <w:p w14:paraId="2637744D">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承包人收到保修通知并到达工程现场的合理时间：</w:t>
      </w:r>
      <w:r>
        <w:rPr>
          <w:rFonts w:hint="eastAsia" w:ascii="宋体" w:hAnsi="宋体" w:eastAsia="宋体" w:cs="宋体"/>
          <w:color w:val="auto"/>
          <w:sz w:val="24"/>
          <w:szCs w:val="24"/>
          <w:highlight w:val="none"/>
          <w:u w:val="single"/>
        </w:rPr>
        <w:t xml:space="preserve"> 收到保修通知或口头通知12小时内</w:t>
      </w:r>
      <w:r>
        <w:rPr>
          <w:rFonts w:hint="eastAsia" w:ascii="宋体" w:hAnsi="宋体" w:eastAsia="宋体" w:cs="宋体"/>
          <w:color w:val="auto"/>
          <w:sz w:val="24"/>
          <w:szCs w:val="24"/>
          <w:highlight w:val="none"/>
        </w:rPr>
        <w:t>。</w:t>
      </w:r>
    </w:p>
    <w:p w14:paraId="08DDC5C3">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 违约</w:t>
      </w:r>
    </w:p>
    <w:p w14:paraId="5241AA46">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发包人违约</w:t>
      </w:r>
    </w:p>
    <w:p w14:paraId="51A560DF">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16.1.1发包人违约的情形</w:t>
      </w:r>
    </w:p>
    <w:p w14:paraId="5AAC4085">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发包人违约的其他情形：</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61C4B440">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16.1.2 发包人违约的责任</w:t>
      </w:r>
    </w:p>
    <w:p w14:paraId="33E94F75">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发包人违约责任的承担方式和计算方法：</w:t>
      </w:r>
    </w:p>
    <w:p w14:paraId="633D6595">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（1）因发包人原因未能在计划开工日期前7天内下达开工通知的违约责任：</w:t>
      </w:r>
      <w:r>
        <w:rPr>
          <w:rFonts w:hint="eastAsia" w:ascii="宋体" w:hAnsi="宋体" w:eastAsia="宋体" w:cs="宋体"/>
          <w:color w:val="auto"/>
          <w:sz w:val="24"/>
          <w:szCs w:val="24"/>
          <w:highlight w:val="none"/>
          <w:u w:val="single"/>
        </w:rPr>
        <w:t xml:space="preserve"> 由承包人书面提出，并有监理工程师和甲方派驻现场工程师核实确认后，顺延工期，不补偿任何费用 </w:t>
      </w:r>
      <w:r>
        <w:rPr>
          <w:rFonts w:hint="eastAsia" w:ascii="宋体" w:hAnsi="宋体" w:eastAsia="宋体" w:cs="宋体"/>
          <w:color w:val="auto"/>
          <w:sz w:val="24"/>
          <w:szCs w:val="24"/>
          <w:highlight w:val="none"/>
        </w:rPr>
        <w:t>。</w:t>
      </w:r>
    </w:p>
    <w:p w14:paraId="3A22C364">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（2）因发包人原因未能按合同约定支付合同价款的违约责任：</w:t>
      </w:r>
      <w:r>
        <w:rPr>
          <w:rFonts w:hint="eastAsia" w:ascii="宋体" w:hAnsi="宋体" w:eastAsia="宋体" w:cs="宋体"/>
          <w:color w:val="auto"/>
          <w:sz w:val="24"/>
          <w:szCs w:val="24"/>
          <w:highlight w:val="none"/>
          <w:u w:val="single"/>
        </w:rPr>
        <w:t xml:space="preserve"> 不补偿任何费用 </w:t>
      </w:r>
      <w:r>
        <w:rPr>
          <w:rFonts w:hint="eastAsia" w:ascii="宋体" w:hAnsi="宋体" w:eastAsia="宋体" w:cs="宋体"/>
          <w:color w:val="auto"/>
          <w:sz w:val="24"/>
          <w:szCs w:val="24"/>
          <w:highlight w:val="none"/>
        </w:rPr>
        <w:t>。</w:t>
      </w:r>
    </w:p>
    <w:p w14:paraId="19015E0F">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不补偿任何费用 </w:t>
      </w:r>
      <w:r>
        <w:rPr>
          <w:rFonts w:hint="eastAsia" w:ascii="宋体" w:hAnsi="宋体" w:eastAsia="宋体" w:cs="宋体"/>
          <w:color w:val="auto"/>
          <w:sz w:val="24"/>
          <w:szCs w:val="24"/>
          <w:highlight w:val="none"/>
        </w:rPr>
        <w:t>。</w:t>
      </w:r>
    </w:p>
    <w:p w14:paraId="3D5C3569">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由承包人书面提出，并有监理工程师和甲方派驻现场工程师核实确认后，顺延工期，不补偿任何费用 </w:t>
      </w:r>
      <w:r>
        <w:rPr>
          <w:rFonts w:hint="eastAsia" w:ascii="宋体" w:hAnsi="宋体" w:eastAsia="宋体" w:cs="宋体"/>
          <w:color w:val="auto"/>
          <w:sz w:val="24"/>
          <w:szCs w:val="24"/>
          <w:highlight w:val="none"/>
        </w:rPr>
        <w:t>。</w:t>
      </w:r>
    </w:p>
    <w:p w14:paraId="3B1A37CB">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（5）因发包人违反合同约定造成暂停施工的违约责任：</w:t>
      </w:r>
      <w:r>
        <w:rPr>
          <w:rFonts w:hint="eastAsia" w:ascii="宋体" w:hAnsi="宋体" w:eastAsia="宋体" w:cs="宋体"/>
          <w:color w:val="auto"/>
          <w:sz w:val="24"/>
          <w:szCs w:val="24"/>
          <w:highlight w:val="none"/>
          <w:u w:val="single"/>
        </w:rPr>
        <w:t xml:space="preserve"> 由承包人书面提出，并有监理工程师和甲方派驻现场工程师核实确认后，顺延工期，不补偿任何费用</w:t>
      </w:r>
      <w:r>
        <w:rPr>
          <w:rFonts w:hint="eastAsia" w:ascii="宋体" w:hAnsi="宋体" w:eastAsia="宋体" w:cs="宋体"/>
          <w:color w:val="auto"/>
          <w:sz w:val="24"/>
          <w:szCs w:val="24"/>
          <w:highlight w:val="none"/>
        </w:rPr>
        <w:t>。</w:t>
      </w:r>
    </w:p>
    <w:p w14:paraId="66E81D35">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 由承包人书面提出，并有监理工程师和甲方派驻现场工程师核实确认后，顺延工期，不补偿任何费用 </w:t>
      </w:r>
      <w:r>
        <w:rPr>
          <w:rFonts w:hint="eastAsia" w:ascii="宋体" w:hAnsi="宋体" w:eastAsia="宋体" w:cs="宋体"/>
          <w:color w:val="auto"/>
          <w:sz w:val="24"/>
          <w:szCs w:val="24"/>
          <w:highlight w:val="none"/>
        </w:rPr>
        <w:t>。</w:t>
      </w:r>
    </w:p>
    <w:p w14:paraId="3DFAD0F3">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4DD87376">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16.1.3 因发包人违约解除合同</w:t>
      </w:r>
    </w:p>
    <w:p w14:paraId="2B03D5C6">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承包人按16.1.1项〔发包人违约的情形〕约定暂停施工满</w:t>
      </w: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天后发包人仍不纠正其违约行为并致使合同目的不能实现的，承包人有权解除合同。 </w:t>
      </w:r>
    </w:p>
    <w:p w14:paraId="27C35530">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 承包人违约</w:t>
      </w:r>
    </w:p>
    <w:p w14:paraId="64EAB064">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16.2.1 承包人违约的情形</w:t>
      </w:r>
    </w:p>
    <w:p w14:paraId="59457366">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承包人违约的其他情形：</w:t>
      </w:r>
    </w:p>
    <w:p w14:paraId="5A28999C">
      <w:pPr>
        <w:spacing w:line="360" w:lineRule="auto"/>
        <w:ind w:left="0" w:right="0" w:firstLine="480"/>
        <w:jc w:val="left"/>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（1）因承包人安全文明措施不到位的或未按规定实施的；</w:t>
      </w:r>
    </w:p>
    <w:p w14:paraId="53730474">
      <w:pPr>
        <w:spacing w:line="360" w:lineRule="auto"/>
        <w:ind w:left="0" w:right="0" w:firstLine="480"/>
        <w:jc w:val="left"/>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（2）因承包人原因，导致周边住户和单位投诉或新闻媒体负面曝光；</w:t>
      </w:r>
    </w:p>
    <w:p w14:paraId="06C2093A">
      <w:pPr>
        <w:spacing w:line="360" w:lineRule="auto"/>
        <w:ind w:left="0" w:right="0" w:firstLine="480"/>
        <w:jc w:val="left"/>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（3）承包人不能按规定上报竣工结算；</w:t>
      </w:r>
    </w:p>
    <w:p w14:paraId="38A9AF14">
      <w:pPr>
        <w:spacing w:line="360" w:lineRule="auto"/>
        <w:ind w:left="0" w:right="0" w:firstLine="480"/>
        <w:jc w:val="left"/>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（4）因承包人原因发生保险事故给发包人造成影响的；</w:t>
      </w:r>
    </w:p>
    <w:p w14:paraId="57820039">
      <w:pPr>
        <w:spacing w:line="360" w:lineRule="auto"/>
        <w:ind w:left="0" w:right="0" w:firstLine="480"/>
        <w:jc w:val="left"/>
        <w:rPr>
          <w:rFonts w:hint="eastAsia" w:ascii="宋体" w:hAnsi="宋体" w:eastAsia="宋体" w:cs="宋体"/>
          <w:color w:val="auto"/>
          <w:sz w:val="24"/>
          <w:szCs w:val="24"/>
          <w:highlight w:val="none"/>
          <w:u w:val="single"/>
          <w:lang w:bidi="ar"/>
        </w:rPr>
      </w:pPr>
      <w:r>
        <w:rPr>
          <w:rFonts w:hint="eastAsia" w:ascii="宋体" w:hAnsi="宋体" w:eastAsia="宋体" w:cs="宋体"/>
          <w:color w:val="auto"/>
          <w:sz w:val="24"/>
          <w:szCs w:val="24"/>
          <w:highlight w:val="none"/>
          <w:u w:val="single"/>
          <w:lang w:bidi="ar"/>
        </w:rPr>
        <w:t>（5）承包人因任何原因，未在甲方及监理同意的情况下停工或消极怠工，均视为违约，且在接到复工通知3日内不复工的，甲方有权解除合同，已完工程量按70%计量，且一切损失由承包人自负，或按每拖延一天罚合同总价的千分之二，在结算时扣除。</w:t>
      </w:r>
    </w:p>
    <w:p w14:paraId="65358E6B">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bidi="ar"/>
        </w:rPr>
        <w:t>（6）承包人其他违约情形</w:t>
      </w:r>
      <w:r>
        <w:rPr>
          <w:rFonts w:hint="eastAsia" w:ascii="宋体" w:hAnsi="宋体" w:eastAsia="宋体" w:cs="宋体"/>
          <w:color w:val="auto"/>
          <w:sz w:val="24"/>
          <w:szCs w:val="24"/>
          <w:highlight w:val="none"/>
          <w:lang w:bidi="ar"/>
        </w:rPr>
        <w:t>。</w:t>
      </w:r>
    </w:p>
    <w:p w14:paraId="4001E93D">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除上述违约责任外，承包人有违反本合同其他任一之约定的，除应改正外，还应向发包人支付违约金5万元，拒不改正的，发包人还有权解除本合同，因此造成损失的，由承包人承担</w:t>
      </w:r>
      <w:r>
        <w:rPr>
          <w:rFonts w:hint="eastAsia" w:ascii="宋体" w:hAnsi="宋体" w:eastAsia="宋体" w:cs="宋体"/>
          <w:color w:val="auto"/>
          <w:sz w:val="24"/>
          <w:szCs w:val="24"/>
          <w:highlight w:val="none"/>
        </w:rPr>
        <w:t xml:space="preserve">。 </w:t>
      </w:r>
    </w:p>
    <w:p w14:paraId="69121B04">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16.2.2承包人违约的责任</w:t>
      </w:r>
    </w:p>
    <w:p w14:paraId="51765F7D">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承包人违约责任的承担方式和计算方法：</w:t>
      </w:r>
      <w:r>
        <w:rPr>
          <w:rFonts w:hint="eastAsia" w:ascii="宋体" w:hAnsi="宋体" w:eastAsia="宋体" w:cs="宋体"/>
          <w:color w:val="auto"/>
          <w:sz w:val="24"/>
          <w:szCs w:val="24"/>
          <w:highlight w:val="none"/>
          <w:u w:val="single"/>
        </w:rPr>
        <w:t xml:space="preserve">由承包人承担全部费用并承担相关法律责任 </w:t>
      </w:r>
      <w:r>
        <w:rPr>
          <w:rFonts w:hint="eastAsia" w:ascii="宋体" w:hAnsi="宋体" w:eastAsia="宋体" w:cs="宋体"/>
          <w:color w:val="auto"/>
          <w:sz w:val="24"/>
          <w:szCs w:val="24"/>
          <w:highlight w:val="none"/>
        </w:rPr>
        <w:t xml:space="preserve">。 </w:t>
      </w:r>
    </w:p>
    <w:p w14:paraId="67A91C2C">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16.2.3 因承包人违约解除合同</w:t>
      </w:r>
    </w:p>
    <w:p w14:paraId="0169112D">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关于承包人违约解除合同的特别约定：</w:t>
      </w:r>
      <w:r>
        <w:rPr>
          <w:rFonts w:hint="eastAsia" w:ascii="宋体" w:hAnsi="宋体" w:eastAsia="宋体" w:cs="宋体"/>
          <w:bCs/>
          <w:color w:val="auto"/>
          <w:sz w:val="24"/>
          <w:szCs w:val="24"/>
          <w:highlight w:val="none"/>
          <w:u w:val="single"/>
        </w:rPr>
        <w:t>在本合同解除后，承包人必须在5日内无条件退场并完成清理工作。</w:t>
      </w:r>
    </w:p>
    <w:p w14:paraId="3B25CA87">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双方另行确定</w:t>
      </w:r>
      <w:r>
        <w:rPr>
          <w:rFonts w:hint="eastAsia" w:ascii="宋体" w:hAnsi="宋体" w:eastAsia="宋体" w:cs="宋体"/>
          <w:color w:val="auto"/>
          <w:sz w:val="24"/>
          <w:szCs w:val="24"/>
          <w:highlight w:val="none"/>
        </w:rPr>
        <w:t xml:space="preserve">。  </w:t>
      </w:r>
    </w:p>
    <w:p w14:paraId="5CA38843">
      <w:pPr>
        <w:keepNext/>
        <w:keepLines/>
        <w:pageBreakBefore w:val="0"/>
        <w:widowControl w:val="0"/>
        <w:spacing w:before="0" w:after="0" w:line="360" w:lineRule="auto"/>
        <w:ind w:left="0" w:right="0" w:firstLine="480"/>
        <w:jc w:val="both"/>
        <w:outlineLvl w:val="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17. 不可抗力 </w:t>
      </w:r>
    </w:p>
    <w:p w14:paraId="529BC849">
      <w:pPr>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不可抗力的确认</w:t>
      </w:r>
    </w:p>
    <w:p w14:paraId="45BF3C5A">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除通用合同条款约定的不可抗力事件之外，视为不可抗力的其他情形：</w:t>
      </w:r>
      <w:r>
        <w:rPr>
          <w:rFonts w:hint="eastAsia" w:ascii="宋体" w:hAnsi="宋体" w:eastAsia="宋体" w:cs="宋体"/>
          <w:color w:val="auto"/>
          <w:sz w:val="24"/>
          <w:szCs w:val="24"/>
          <w:highlight w:val="none"/>
          <w:u w:val="single"/>
        </w:rPr>
        <w:t>战争、动乱、空中飞行物体坠落以及洪水、地震、重大疫情等</w:t>
      </w:r>
      <w:r>
        <w:rPr>
          <w:rFonts w:hint="eastAsia" w:ascii="宋体" w:hAnsi="宋体" w:eastAsia="宋体" w:cs="宋体"/>
          <w:color w:val="auto"/>
          <w:sz w:val="24"/>
          <w:szCs w:val="24"/>
          <w:highlight w:val="none"/>
        </w:rPr>
        <w:t>。</w:t>
      </w:r>
    </w:p>
    <w:p w14:paraId="08AA68C7">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17.4 因不可抗力解除合同</w:t>
      </w:r>
    </w:p>
    <w:p w14:paraId="1750FEE3">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合同解除后，发包人应在商定或确定发包人应支付款项后</w:t>
      </w:r>
      <w:r>
        <w:rPr>
          <w:rFonts w:hint="eastAsia" w:ascii="宋体" w:hAnsi="宋体" w:eastAsia="宋体" w:cs="宋体"/>
          <w:color w:val="auto"/>
          <w:sz w:val="24"/>
          <w:szCs w:val="24"/>
          <w:highlight w:val="none"/>
          <w:u w:val="single"/>
        </w:rPr>
        <w:t>60</w:t>
      </w:r>
      <w:r>
        <w:rPr>
          <w:rFonts w:hint="eastAsia" w:ascii="宋体" w:hAnsi="宋体" w:eastAsia="宋体" w:cs="宋体"/>
          <w:color w:val="auto"/>
          <w:sz w:val="24"/>
          <w:szCs w:val="24"/>
          <w:highlight w:val="none"/>
        </w:rPr>
        <w:t>天内完成款项的支付。</w:t>
      </w:r>
    </w:p>
    <w:p w14:paraId="16E69BF1">
      <w:pPr>
        <w:spacing w:line="360" w:lineRule="auto"/>
        <w:ind w:left="0" w:righ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 保险</w:t>
      </w:r>
    </w:p>
    <w:p w14:paraId="585C3F4D">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 工程保险</w:t>
      </w:r>
    </w:p>
    <w:p w14:paraId="1E9945ED">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关于工程保险的特别约定：</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 </w:t>
      </w:r>
    </w:p>
    <w:p w14:paraId="41318D37">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18.3 其他保险</w:t>
      </w:r>
    </w:p>
    <w:p w14:paraId="3F6FFA26">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关于其他保险的约定：</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 </w:t>
      </w:r>
    </w:p>
    <w:p w14:paraId="01D897CD">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承包人是否应为其施工设备等办理财产保险：</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 。</w:t>
      </w:r>
    </w:p>
    <w:p w14:paraId="22776EB9">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18.7 通知义务</w:t>
      </w:r>
    </w:p>
    <w:p w14:paraId="2C2B92F4">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关于变更保险合同时的通知义务的约定：</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w:t>
      </w:r>
    </w:p>
    <w:p w14:paraId="1687998B">
      <w:pPr>
        <w:keepNext/>
        <w:keepLines/>
        <w:pageBreakBefore w:val="0"/>
        <w:widowControl w:val="0"/>
        <w:spacing w:before="0" w:after="0" w:line="360" w:lineRule="auto"/>
        <w:ind w:right="0" w:firstLine="480"/>
        <w:jc w:val="both"/>
        <w:outlineLvl w:val="3"/>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20. 争议解决</w:t>
      </w:r>
    </w:p>
    <w:p w14:paraId="2FE93EEA">
      <w:pPr>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 争议评审</w:t>
      </w:r>
    </w:p>
    <w:p w14:paraId="05D1C76E">
      <w:pPr>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合同当事人是否同意将工程争议提交争议评审小组决定：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p>
    <w:p w14:paraId="0C6244D9">
      <w:pPr>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20.3.1 争议评审小组的确定</w:t>
      </w:r>
    </w:p>
    <w:p w14:paraId="5CED54FA">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争议评审小组成员的确定：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1C8A7FF1">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选定争议评审员的期限：</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2BAE486C">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争议评审小组成员的报酬承担方式：</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132F3A92">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其他事项的约定：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6168F296">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20.3.2 争议评审小组的决定</w:t>
      </w:r>
    </w:p>
    <w:p w14:paraId="46792AE5">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合同当事人关于本项的约定：</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313DA0DA">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20.4仲裁或诉讼</w:t>
      </w:r>
    </w:p>
    <w:p w14:paraId="075ED0A1">
      <w:pPr>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因合同及合同有关事项发生的争议，按下列第</w:t>
      </w:r>
      <w:r>
        <w:rPr>
          <w:rFonts w:hint="eastAsia" w:ascii="宋体" w:hAnsi="宋体" w:eastAsia="宋体" w:cs="宋体"/>
          <w:color w:val="auto"/>
          <w:sz w:val="24"/>
          <w:szCs w:val="24"/>
          <w:highlight w:val="none"/>
          <w:u w:val="single"/>
        </w:rPr>
        <w:t xml:space="preserve">  2  </w:t>
      </w:r>
      <w:r>
        <w:rPr>
          <w:rFonts w:hint="eastAsia" w:ascii="宋体" w:hAnsi="宋体" w:eastAsia="宋体" w:cs="宋体"/>
          <w:color w:val="auto"/>
          <w:sz w:val="24"/>
          <w:szCs w:val="24"/>
          <w:highlight w:val="none"/>
        </w:rPr>
        <w:t xml:space="preserve">种方式解决： </w:t>
      </w:r>
    </w:p>
    <w:p w14:paraId="1D1B7F7A">
      <w:pPr>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仲裁委员会申请仲裁；</w:t>
      </w:r>
    </w:p>
    <w:p w14:paraId="023BB563">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w:t>
      </w:r>
      <w:r>
        <w:rPr>
          <w:rFonts w:hint="eastAsia" w:ascii="宋体" w:hAnsi="宋体" w:eastAsia="宋体" w:cs="宋体"/>
          <w:color w:val="auto"/>
          <w:sz w:val="24"/>
          <w:szCs w:val="24"/>
          <w:highlight w:val="none"/>
          <w:u w:val="single"/>
        </w:rPr>
        <w:t xml:space="preserve"> 工程所在地有管辖权的 </w:t>
      </w:r>
      <w:r>
        <w:rPr>
          <w:rFonts w:hint="eastAsia" w:ascii="宋体" w:hAnsi="宋体" w:eastAsia="宋体" w:cs="宋体"/>
          <w:color w:val="auto"/>
          <w:sz w:val="24"/>
          <w:szCs w:val="24"/>
          <w:highlight w:val="none"/>
        </w:rPr>
        <w:t>人民法院起诉。</w:t>
      </w:r>
    </w:p>
    <w:p w14:paraId="4752BCD8">
      <w:pPr>
        <w:keepNext w:val="0"/>
        <w:keepLines w:val="0"/>
        <w:pageBreakBefore w:val="0"/>
        <w:widowControl w:val="0"/>
        <w:spacing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补充条款</w:t>
      </w:r>
    </w:p>
    <w:p w14:paraId="25AD67D7">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p>
    <w:p w14:paraId="4E9D47F5">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p>
    <w:p w14:paraId="6599C3DC">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573E9D2F">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承包人已在合同价中计入了本工程场地条件以及本工程周围地形、地貌、水文、地质、地下管线、交通道路、工期等风险费用。在整个工程施工期间承包人不得就上述条件的变化提出任何额外费用或延长竣工日期的要求。</w:t>
      </w:r>
    </w:p>
    <w:p w14:paraId="45D9ADC4">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21.5无论任何时期，发包人有权在本合同所属工程范围内根据整个项目的实际施工进度，将工程分阶段开工与竣工。承包人已被视为在报价中考虑此因素。</w:t>
      </w:r>
    </w:p>
    <w:p w14:paraId="4B43D346">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21.6承包人应将施工中产生的多余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p>
    <w:p w14:paraId="14C28F7A">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21.7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已将办理上述事项的费用综合考虑在投标报价中，该部分费用包干使用，以后不作调整。</w:t>
      </w:r>
    </w:p>
    <w:p w14:paraId="7262EABF">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21.8本合同价中应包括防洪、防风、暴雨、暴雪等措施所需要的一切费用。</w:t>
      </w:r>
    </w:p>
    <w:p w14:paraId="3978F380">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21.9施工过程中与周围发生的纠纷由承包人自行协商解决，费用由承包人自理，该费用应包含在合同价中。</w:t>
      </w:r>
    </w:p>
    <w:p w14:paraId="7642B1E3">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p>
    <w:p w14:paraId="36DDDBC0">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如承包人原因引发社会矛盾或其他争议纠纷发包人造成不良影响或损失的，承包人应积极处理解决社会矛盾，消除不良影响，并承担因此给发包人造成的损失，发包人根据情况不同有权扣除承包人总合同价款3%的违约金。发包人视情况扣减承包人行业履约信誉分值，情况严重者将承包人列入不良资信名单，并向相关行政主管部门举报。</w:t>
      </w:r>
    </w:p>
    <w:p w14:paraId="2761652A">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21.12施工期间承包人必须配合相关单位做好文明施工及安全的工作，否则发包人有权进行对其经济处罚。</w:t>
      </w:r>
    </w:p>
    <w:p w14:paraId="3F614497">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21.13承包人负责本工程竣工资料的整理，保证资料符合要求，及时报送。因资料移交不及时及工程质量导致竣工验收或竣工备案延误的，按工期延误处理。</w:t>
      </w:r>
    </w:p>
    <w:p w14:paraId="2F8D4316">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p>
    <w:p w14:paraId="2F09257D">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21.15承包人应对现场作业、施工方法及施工过程的完整性、稳定性和安全性承担全部责任，负责完成对工程的稳定、完整、安全、可靠及有效运行所必需的全部工作。</w:t>
      </w:r>
    </w:p>
    <w:p w14:paraId="74B8B2A4">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21.16施工过程中周围发生的阻扰施工的各类民扰、矛盾及纠纷由承包人自行协商解决，费用由承包人自理，该费用应包含在合同价中。</w:t>
      </w:r>
    </w:p>
    <w:p w14:paraId="26577DDB">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21.17若工程质量不符合施工验收规范及设计要求的，承包人按要求须在限期内返工或需采取其他补救措施达到合格标准，所发生的费用均由承包人承担。</w:t>
      </w:r>
    </w:p>
    <w:p w14:paraId="6AD5B707">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21.18承包人的权利义务：</w:t>
      </w:r>
    </w:p>
    <w:p w14:paraId="2299911D">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①承包人对施工现场管理并对安全生产、保卫等工作负全部责任，在进场前应与施工人员签订安全协议书。</w:t>
      </w:r>
    </w:p>
    <w:p w14:paraId="7AAE76D6">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②承包人应在进场前为其施工人员投保意外伤害保险。投保人身意外保险的保险金额不低于100万元，保险期间不少于自工程开工之日至工程验收合格之日。</w:t>
      </w:r>
    </w:p>
    <w:p w14:paraId="6574901A">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③如因承包人原因造成工程发生安全事故的，因此产生的一切法律责任均由承包人承担。</w:t>
      </w:r>
    </w:p>
    <w:p w14:paraId="2DB7A2B3">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w:t>
      </w:r>
    </w:p>
    <w:p w14:paraId="0D229509">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⑤承包人应按照国家有关劳动保护规定对进场作业人员根据岗位和工种情况为施工人员提供必要的劳动保护。 </w:t>
      </w:r>
    </w:p>
    <w:p w14:paraId="57C06AA6">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21.19施工过程中及时清运因本工程产生之建筑垃圾，保持现场的整洁，创文明施工现场，所有建筑垃圾应清理出施工区域按有关规定处理，否则由此引起的一切损失或产生的费用由承包人负责。</w:t>
      </w:r>
    </w:p>
    <w:p w14:paraId="7D6AE4B3">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21.20工程竣工结算要接受发包人委托的审计单位审计，审计以承包人送审价为基数，核减额5%以内审计费由发包人支付；超过5%部分的审计费用由承包人承担。</w:t>
      </w:r>
    </w:p>
    <w:p w14:paraId="789439CD">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21.21本工程范围内所涉及的所有材料检验检测费用，由承包人支付，同时检测单位的选择必须经发包人同意并签署三方协议，费用由承包人承担。检验检测费用包含甲供、乙供材料的抽样配合、送检、检验、抽样检测费等费用，以及按现行规定、质监部门要求对工程实体或有关材料、设备的检验、抽样检测费、环保检测等费用。</w:t>
      </w:r>
    </w:p>
    <w:p w14:paraId="6C3A202C">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21.22承包人不得因企业资质核验影响办理工程建设手续（如合同签订、合同备案、施工许可证办理等），否则发包人有权没收履约保证金并解除合同，因此造成的一切损失由承包人承担。</w:t>
      </w:r>
    </w:p>
    <w:p w14:paraId="786733E2">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21.23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p>
    <w:p w14:paraId="315A942B">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21.24施工单位应对扬尘污染防治承担全部责任，并应当制定具体的施工扬尘污染防治实施方案。</w:t>
      </w:r>
    </w:p>
    <w:p w14:paraId="7260535F">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事房屋建筑、市政基础设施建设、河道整治以及建筑物拆除等施工单位，应当向负责监督管理扬尘污染防治的主管部门备案。施工单位应当在施工工地设置硬质围挡，并采取覆盖、分段作业、择时施工、洒水抑尘、冲洗地面和车辆等有效防尘降尘措施。建筑土方、工程渣土、建筑垃圾应当及时清运；在场地内堆存的，应当采用密闭式防尘网遮盖。工程渣土、建筑垃圾应当进行资源化处理。施工单位应当在施工工地公示扬尘污染防治措施、负责人、扬尘监督管理主管部门等信息。暂时不能开工的建设用地，建设单位应当对裸露地面进行覆盖；超过三个月的，应当进行绿化、铺装或者遮盖。</w:t>
      </w:r>
    </w:p>
    <w:p w14:paraId="46C61F64">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21.25现场安全文明施工措施费</w:t>
      </w:r>
      <w:r>
        <w:rPr>
          <w:rFonts w:hint="eastAsia" w:ascii="宋体" w:hAnsi="宋体" w:eastAsia="宋体" w:cs="宋体"/>
          <w:color w:val="auto"/>
          <w:sz w:val="24"/>
          <w:szCs w:val="24"/>
          <w:highlight w:val="none"/>
          <w:lang w:eastAsia="zh-CN"/>
        </w:rPr>
        <w:t>执行省规范要求</w:t>
      </w:r>
      <w:r>
        <w:rPr>
          <w:rFonts w:hint="eastAsia" w:ascii="宋体" w:hAnsi="宋体" w:eastAsia="宋体" w:cs="宋体"/>
          <w:color w:val="auto"/>
          <w:sz w:val="24"/>
          <w:szCs w:val="24"/>
          <w:highlight w:val="none"/>
        </w:rPr>
        <w:t xml:space="preserve">。 </w:t>
      </w:r>
    </w:p>
    <w:p w14:paraId="65CC1F7F">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21.26承包人与第三人签订合同后在履行过程中发生纠纷的，或因承包人原因造成他人人身、财产损失的，第三人在起诉承包人的同时将发包人也列为被告，无论发包人最终是否承担法律责任，发包人因参与诉讼而产生的一切费用及可能承担的责任，包括但不限于律师费（以发包人与律师事务所签订的委托代理合同、律师费支付凭证和律师费发票为准）、诉讼费（以正式发票为准）等发包人实际支付、实际垫付或将来必然将支付的费用，都由承包人承担。发包人有权直接从工程款中直接抵扣，承包人承诺不持任何异议。</w:t>
      </w:r>
    </w:p>
    <w:p w14:paraId="6DF7C494">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21.27为保证项目顺利完成，如需赶工施工的，该相关费用须综合考虑在投标报价中，包含但不限于赶工、雨季施工、反季节施工等措施费用，该费用应包含在合同价中。</w:t>
      </w:r>
    </w:p>
    <w:p w14:paraId="25EEAE55">
      <w:pPr>
        <w:keepNext w:val="0"/>
        <w:keepLines w:val="0"/>
        <w:pageBreakBefore w:val="0"/>
        <w:widowControl w:val="0"/>
        <w:spacing w:line="360" w:lineRule="auto"/>
        <w:ind w:left="0"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21.28投标人应将本工程挖出的土方及建筑垃圾清运出场，其外运堆放场地(按发包人要求执行)及运距由承包人事先已综合考虑，该费用应包含在合同价中。</w:t>
      </w:r>
    </w:p>
    <w:p w14:paraId="75E746CC">
      <w:pPr>
        <w:keepNext w:val="0"/>
        <w:keepLines w:val="0"/>
        <w:pageBreakBefore w:val="0"/>
        <w:widowControl w:val="0"/>
        <w:spacing w:line="360" w:lineRule="auto"/>
        <w:ind w:left="0" w:right="0" w:firstLine="48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rPr>
        <w:t>21.29按照《保障农民工工资支付条例》、《江苏省工程建设领域农民工工资支付管理办法》苏建建管〔2016〕707号及《关于落实建设领域治理拖欠农民工工资问题有关规定的通知》连建管〔2017〕83号等文件规定，为切实保障农民工权益，工程建设项目施工中实行实名制管理、农民工工资实行专户支付。包括但不限于：工地施工人员实行实名制管理，工程开工前应安装实名制管理系统并配备实现实名制管理所需的硬件设施设备。施工单位设立农民工工资专用账户的银行须经市城乡建设局同意委托，对专用账户实施监管，施工企业应在项目设立劳资专管员，专用账户资金只能用于支付农民工工资；专用账户及经建设单位和施工单位确认的人工费清单报建设部门备案，未开设专用账户及未剥离人工费的项目合同不予备案；农民工工资实行按月足额支付；承包人须切实做好工地施工人员的思想稳定工作，不得拖欠民工工资，如因承包方原因造成不良后果，发包人将取消该承包人今后在发包人的投标资格。若因承包人拖欠民工工资而对发包人正常工作造成影响，发包人有权按承包人实际拖欠数，在进度款中扣除备付。施工单位每月5 日前向建设单位、银行报送上月农民工工资表，应根据合同约定于当月15 前将上月人工费拨付至专用账户。人工费拨付后三日内将拨付情况在项目部公示。发包人支付承包人工程进度款前，承包人须上报工程款下发明细，明细需承包人确认签字。施工单位对专账支付工作负总责，负责在设立专用账户的银行统一办理农民工工资支付银行卡，统计农民工工资表并报送建设单位、委托银行。施工单位未按专账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履约评价</w:t>
      </w:r>
      <w:r>
        <w:rPr>
          <w:rFonts w:hint="eastAsia" w:ascii="宋体" w:hAnsi="宋体" w:eastAsia="宋体" w:cs="宋体"/>
          <w:color w:val="auto"/>
          <w:sz w:val="24"/>
          <w:szCs w:val="24"/>
          <w:highlight w:val="none"/>
          <w:lang w:eastAsia="zh-CN"/>
        </w:rPr>
        <w:t>。</w:t>
      </w:r>
    </w:p>
    <w:p w14:paraId="2347173F">
      <w:pPr>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b/>
          <w:color w:val="auto"/>
          <w:szCs w:val="21"/>
          <w:highlight w:val="none"/>
          <w:lang w:bidi="ar"/>
        </w:rPr>
        <w:br w:type="page" w:clear="all"/>
      </w:r>
      <w:r>
        <w:rPr>
          <w:rFonts w:hint="eastAsia" w:ascii="宋体" w:hAnsi="宋体" w:eastAsia="宋体" w:cs="宋体"/>
          <w:b/>
          <w:color w:val="auto"/>
          <w:sz w:val="24"/>
          <w:szCs w:val="24"/>
          <w:highlight w:val="none"/>
          <w:lang w:bidi="ar"/>
        </w:rPr>
        <w:t>附件</w:t>
      </w:r>
    </w:p>
    <w:p w14:paraId="07AD1AC8">
      <w:pPr>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协议书附件：</w:t>
      </w:r>
    </w:p>
    <w:p w14:paraId="7CC833F8">
      <w:pPr>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附件1：承包人承揽工程项目一览表</w:t>
      </w:r>
    </w:p>
    <w:p w14:paraId="472D0803">
      <w:pPr>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专用合同条款附件：</w:t>
      </w:r>
    </w:p>
    <w:p w14:paraId="03C89D0B">
      <w:pPr>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附件2：发包人供应材料设备一览表</w:t>
      </w:r>
    </w:p>
    <w:p w14:paraId="797C5AF6">
      <w:pPr>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附件3：工程质量保修书</w:t>
      </w:r>
    </w:p>
    <w:p w14:paraId="23078AC9">
      <w:pPr>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附件4：主要建设工程文件目录</w:t>
      </w:r>
    </w:p>
    <w:p w14:paraId="06FD04DA">
      <w:pPr>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附件5：承包人用于本工程施工的机械设备表</w:t>
      </w:r>
    </w:p>
    <w:p w14:paraId="6A296FB0">
      <w:pPr>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附件6：承包人主要施工管理人员表</w:t>
      </w:r>
    </w:p>
    <w:p w14:paraId="4CEDD835">
      <w:pPr>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附件7：工程安全环境管理协议</w:t>
      </w:r>
    </w:p>
    <w:p w14:paraId="45AB5C39">
      <w:pPr>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附件8：工程廉政协议</w:t>
      </w:r>
    </w:p>
    <w:p w14:paraId="14F32721">
      <w:pPr>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附件9：不拖欠农民工工资</w:t>
      </w:r>
    </w:p>
    <w:p w14:paraId="2E31CD92">
      <w:pPr>
        <w:spacing w:line="360" w:lineRule="auto"/>
        <w:jc w:val="left"/>
        <w:rPr>
          <w:color w:val="auto"/>
          <w:sz w:val="24"/>
          <w:szCs w:val="24"/>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18" w:right="1555" w:bottom="1418" w:left="1531" w:header="851" w:footer="992" w:gutter="0"/>
          <w:cols w:space="720" w:num="1"/>
          <w:docGrid w:linePitch="360" w:charSpace="0"/>
        </w:sectPr>
      </w:pPr>
      <w:r>
        <w:rPr>
          <w:rFonts w:hint="eastAsia" w:ascii="宋体" w:hAnsi="宋体" w:eastAsia="宋体" w:cs="宋体"/>
          <w:color w:val="auto"/>
          <w:sz w:val="24"/>
          <w:szCs w:val="24"/>
          <w:highlight w:val="none"/>
          <w:lang w:bidi="ar"/>
        </w:rPr>
        <w:t>附件10：中标人诚信承诺书</w:t>
      </w:r>
    </w:p>
    <w:p w14:paraId="166B17E5">
      <w:pPr>
        <w:spacing w:before="156" w:after="156" w:line="440" w:lineRule="exact"/>
        <w:jc w:val="left"/>
        <w:rPr>
          <w:rFonts w:ascii="Times New Roman" w:hAnsi="Times New Roman" w:eastAsia="宋体" w:cs="Times New Roman"/>
          <w:color w:val="auto"/>
          <w:highlight w:val="none"/>
        </w:rPr>
      </w:pPr>
      <w:r>
        <w:rPr>
          <w:rFonts w:hint="eastAsia" w:ascii="宋体" w:hAnsi="宋体" w:eastAsia="宋体" w:cs="宋体"/>
          <w:color w:val="auto"/>
          <w:szCs w:val="21"/>
          <w:highlight w:val="none"/>
          <w:lang w:bidi="ar"/>
        </w:rPr>
        <w:t>附件1：</w:t>
      </w:r>
    </w:p>
    <w:p w14:paraId="0627C2F9">
      <w:pPr>
        <w:spacing w:before="156" w:after="156" w:line="440" w:lineRule="exact"/>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承包人承揽工程项目一览表</w:t>
      </w:r>
    </w:p>
    <w:tbl>
      <w:tblPr>
        <w:tblStyle w:val="37"/>
        <w:tblW w:w="13995" w:type="dxa"/>
        <w:tblInd w:w="18" w:type="dxa"/>
        <w:tblLayout w:type="fixed"/>
        <w:tblCellMar>
          <w:top w:w="0" w:type="dxa"/>
          <w:left w:w="28" w:type="dxa"/>
          <w:bottom w:w="0" w:type="dxa"/>
          <w:right w:w="28" w:type="dxa"/>
        </w:tblCellMar>
      </w:tblPr>
      <w:tblGrid>
        <w:gridCol w:w="1530"/>
        <w:gridCol w:w="1095"/>
        <w:gridCol w:w="1890"/>
        <w:gridCol w:w="1290"/>
        <w:gridCol w:w="1116"/>
        <w:gridCol w:w="1374"/>
        <w:gridCol w:w="1680"/>
        <w:gridCol w:w="1725"/>
        <w:gridCol w:w="1275"/>
        <w:gridCol w:w="1020"/>
      </w:tblGrid>
      <w:tr w14:paraId="36FBF77D">
        <w:tblPrEx>
          <w:tblCellMar>
            <w:top w:w="0" w:type="dxa"/>
            <w:left w:w="28" w:type="dxa"/>
            <w:bottom w:w="0" w:type="dxa"/>
            <w:right w:w="28" w:type="dxa"/>
          </w:tblCellMar>
        </w:tblPrEx>
        <w:trPr>
          <w:trHeight w:val="497" w:hRule="atLeast"/>
        </w:trPr>
        <w:tc>
          <w:tcPr>
            <w:tcW w:w="1530" w:type="dxa"/>
            <w:tcBorders>
              <w:top w:val="single" w:color="000000" w:sz="12" w:space="0"/>
              <w:left w:val="single" w:color="000000" w:sz="12" w:space="0"/>
              <w:bottom w:val="single" w:color="000000" w:sz="6" w:space="0"/>
              <w:right w:val="single" w:color="000000" w:sz="6" w:space="0"/>
            </w:tcBorders>
            <w:noWrap w:val="0"/>
            <w:vAlign w:val="center"/>
          </w:tcPr>
          <w:p w14:paraId="5F6889EF">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单位工程名称</w:t>
            </w:r>
          </w:p>
        </w:tc>
        <w:tc>
          <w:tcPr>
            <w:tcW w:w="1095" w:type="dxa"/>
            <w:tcBorders>
              <w:top w:val="single" w:color="000000" w:sz="12" w:space="0"/>
              <w:left w:val="single" w:color="000000" w:sz="6" w:space="0"/>
              <w:bottom w:val="single" w:color="000000" w:sz="6" w:space="0"/>
              <w:right w:val="single" w:color="000000" w:sz="6" w:space="0"/>
            </w:tcBorders>
            <w:noWrap w:val="0"/>
            <w:vAlign w:val="center"/>
          </w:tcPr>
          <w:p w14:paraId="323E7EC7">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建设规模</w:t>
            </w:r>
          </w:p>
        </w:tc>
        <w:tc>
          <w:tcPr>
            <w:tcW w:w="1890" w:type="dxa"/>
            <w:tcBorders>
              <w:top w:val="single" w:color="000000" w:sz="12" w:space="0"/>
              <w:left w:val="single" w:color="000000" w:sz="6" w:space="0"/>
              <w:bottom w:val="single" w:color="000000" w:sz="6" w:space="0"/>
              <w:right w:val="single" w:color="000000" w:sz="6" w:space="0"/>
            </w:tcBorders>
            <w:noWrap w:val="0"/>
            <w:vAlign w:val="center"/>
          </w:tcPr>
          <w:p w14:paraId="694B388E">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建筑面积(平方米)</w:t>
            </w:r>
          </w:p>
        </w:tc>
        <w:tc>
          <w:tcPr>
            <w:tcW w:w="1290" w:type="dxa"/>
            <w:tcBorders>
              <w:top w:val="single" w:color="000000" w:sz="12" w:space="0"/>
              <w:left w:val="single" w:color="000000" w:sz="6" w:space="0"/>
              <w:bottom w:val="single" w:color="000000" w:sz="6" w:space="0"/>
              <w:right w:val="single" w:color="000000" w:sz="6" w:space="0"/>
            </w:tcBorders>
            <w:noWrap w:val="0"/>
            <w:vAlign w:val="center"/>
          </w:tcPr>
          <w:p w14:paraId="0CF3FD45">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结构形式</w:t>
            </w:r>
          </w:p>
        </w:tc>
        <w:tc>
          <w:tcPr>
            <w:tcW w:w="1116" w:type="dxa"/>
            <w:tcBorders>
              <w:top w:val="single" w:color="000000" w:sz="12" w:space="0"/>
              <w:left w:val="single" w:color="000000" w:sz="6" w:space="0"/>
              <w:bottom w:val="single" w:color="000000" w:sz="6" w:space="0"/>
              <w:right w:val="single" w:color="000000" w:sz="6" w:space="0"/>
            </w:tcBorders>
            <w:noWrap w:val="0"/>
            <w:vAlign w:val="center"/>
          </w:tcPr>
          <w:p w14:paraId="2321B1F2">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层数</w:t>
            </w:r>
          </w:p>
        </w:tc>
        <w:tc>
          <w:tcPr>
            <w:tcW w:w="1374" w:type="dxa"/>
            <w:tcBorders>
              <w:top w:val="single" w:color="000000" w:sz="12" w:space="0"/>
              <w:left w:val="single" w:color="000000" w:sz="6" w:space="0"/>
              <w:bottom w:val="single" w:color="000000" w:sz="6" w:space="0"/>
              <w:right w:val="single" w:color="000000" w:sz="6" w:space="0"/>
            </w:tcBorders>
            <w:noWrap w:val="0"/>
            <w:vAlign w:val="center"/>
          </w:tcPr>
          <w:p w14:paraId="2D2A67AC">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生产能力</w:t>
            </w:r>
          </w:p>
        </w:tc>
        <w:tc>
          <w:tcPr>
            <w:tcW w:w="1680" w:type="dxa"/>
            <w:tcBorders>
              <w:top w:val="single" w:color="000000" w:sz="12" w:space="0"/>
              <w:left w:val="single" w:color="000000" w:sz="6" w:space="0"/>
              <w:bottom w:val="single" w:color="000000" w:sz="6" w:space="0"/>
              <w:right w:val="single" w:color="000000" w:sz="6" w:space="0"/>
            </w:tcBorders>
            <w:noWrap w:val="0"/>
            <w:vAlign w:val="center"/>
          </w:tcPr>
          <w:p w14:paraId="4E3A1DA1">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设备安装内容</w:t>
            </w:r>
          </w:p>
        </w:tc>
        <w:tc>
          <w:tcPr>
            <w:tcW w:w="1725" w:type="dxa"/>
            <w:tcBorders>
              <w:top w:val="single" w:color="000000" w:sz="12" w:space="0"/>
              <w:left w:val="single" w:color="000000" w:sz="6" w:space="0"/>
              <w:bottom w:val="single" w:color="000000" w:sz="6" w:space="0"/>
              <w:right w:val="single" w:color="000000" w:sz="6" w:space="0"/>
            </w:tcBorders>
            <w:noWrap w:val="0"/>
            <w:vAlign w:val="center"/>
          </w:tcPr>
          <w:p w14:paraId="5743E456">
            <w:pPr>
              <w:keepNext/>
              <w:keepLines w:val="0"/>
              <w:pageBreakBefore w:val="0"/>
              <w:widowControl w:val="0"/>
              <w:spacing w:before="0" w:beforeAutospacing="0" w:after="0" w:afterAutospacing="0" w:line="240" w:lineRule="auto"/>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合同价格（元）</w:t>
            </w:r>
          </w:p>
        </w:tc>
        <w:tc>
          <w:tcPr>
            <w:tcW w:w="1275" w:type="dxa"/>
            <w:tcBorders>
              <w:top w:val="single" w:color="000000" w:sz="12" w:space="0"/>
              <w:left w:val="single" w:color="000000" w:sz="6" w:space="0"/>
              <w:bottom w:val="single" w:color="000000" w:sz="6" w:space="0"/>
              <w:right w:val="single" w:color="000000" w:sz="6" w:space="0"/>
            </w:tcBorders>
            <w:noWrap w:val="0"/>
            <w:vAlign w:val="center"/>
          </w:tcPr>
          <w:p w14:paraId="1DCCBFCD">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开工日期</w:t>
            </w:r>
          </w:p>
        </w:tc>
        <w:tc>
          <w:tcPr>
            <w:tcW w:w="1020" w:type="dxa"/>
            <w:tcBorders>
              <w:top w:val="single" w:color="000000" w:sz="12" w:space="0"/>
              <w:left w:val="single" w:color="000000" w:sz="6" w:space="0"/>
              <w:bottom w:val="single" w:color="000000" w:sz="6" w:space="0"/>
              <w:right w:val="single" w:color="000000" w:sz="12" w:space="0"/>
            </w:tcBorders>
            <w:noWrap w:val="0"/>
            <w:vAlign w:val="center"/>
          </w:tcPr>
          <w:p w14:paraId="59E2799E">
            <w:pPr>
              <w:keepNext/>
              <w:keepLines w:val="0"/>
              <w:pageBreakBefore w:val="0"/>
              <w:widowControl w:val="0"/>
              <w:spacing w:before="0" w:beforeAutospacing="1" w:after="0" w:afterAutospacing="1" w:line="240" w:lineRule="auto"/>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竣工日期</w:t>
            </w:r>
          </w:p>
        </w:tc>
      </w:tr>
      <w:tr w14:paraId="34B15B6A">
        <w:tblPrEx>
          <w:tblCellMar>
            <w:top w:w="0" w:type="dxa"/>
            <w:left w:w="28" w:type="dxa"/>
            <w:bottom w:w="0" w:type="dxa"/>
            <w:right w:w="28" w:type="dxa"/>
          </w:tblCellMar>
        </w:tblPrEx>
        <w:trPr>
          <w:trHeight w:val="567" w:hRule="atLeast"/>
        </w:trPr>
        <w:tc>
          <w:tcPr>
            <w:tcW w:w="1530" w:type="dxa"/>
            <w:tcBorders>
              <w:top w:val="single" w:color="000000" w:sz="6" w:space="0"/>
              <w:left w:val="single" w:color="000000" w:sz="12" w:space="0"/>
              <w:bottom w:val="single" w:color="000000" w:sz="6" w:space="0"/>
              <w:right w:val="single" w:color="000000" w:sz="6" w:space="0"/>
            </w:tcBorders>
            <w:noWrap w:val="0"/>
            <w:vAlign w:val="center"/>
          </w:tcPr>
          <w:p w14:paraId="5F3BA46F">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38F7C1F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890" w:type="dxa"/>
            <w:tcBorders>
              <w:top w:val="single" w:color="000000" w:sz="6" w:space="0"/>
              <w:left w:val="single" w:color="000000" w:sz="6" w:space="0"/>
              <w:bottom w:val="single" w:color="000000" w:sz="6" w:space="0"/>
              <w:right w:val="single" w:color="000000" w:sz="6" w:space="0"/>
            </w:tcBorders>
            <w:noWrap w:val="0"/>
            <w:vAlign w:val="center"/>
          </w:tcPr>
          <w:p w14:paraId="76C7D9C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90" w:type="dxa"/>
            <w:tcBorders>
              <w:top w:val="single" w:color="000000" w:sz="6" w:space="0"/>
              <w:left w:val="single" w:color="000000" w:sz="6" w:space="0"/>
              <w:bottom w:val="single" w:color="000000" w:sz="6" w:space="0"/>
              <w:right w:val="single" w:color="000000" w:sz="6" w:space="0"/>
            </w:tcBorders>
            <w:noWrap w:val="0"/>
            <w:vAlign w:val="center"/>
          </w:tcPr>
          <w:p w14:paraId="67A0439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6" w:type="dxa"/>
            <w:tcBorders>
              <w:top w:val="single" w:color="000000" w:sz="6" w:space="0"/>
              <w:left w:val="single" w:color="000000" w:sz="6" w:space="0"/>
              <w:bottom w:val="single" w:color="000000" w:sz="6" w:space="0"/>
              <w:right w:val="single" w:color="000000" w:sz="6" w:space="0"/>
            </w:tcBorders>
            <w:noWrap w:val="0"/>
            <w:vAlign w:val="center"/>
          </w:tcPr>
          <w:p w14:paraId="3B0DAE4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0DDAEDD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2088433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25" w:type="dxa"/>
            <w:tcBorders>
              <w:top w:val="single" w:color="000000" w:sz="6" w:space="0"/>
              <w:left w:val="single" w:color="000000" w:sz="6" w:space="0"/>
              <w:bottom w:val="single" w:color="000000" w:sz="6" w:space="0"/>
              <w:right w:val="single" w:color="000000" w:sz="6" w:space="0"/>
            </w:tcBorders>
            <w:noWrap w:val="0"/>
            <w:vAlign w:val="center"/>
          </w:tcPr>
          <w:p w14:paraId="1FD6CA0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1FB5032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0" w:type="dxa"/>
            <w:tcBorders>
              <w:top w:val="single" w:color="000000" w:sz="6" w:space="0"/>
              <w:left w:val="single" w:color="000000" w:sz="6" w:space="0"/>
              <w:bottom w:val="single" w:color="000000" w:sz="6" w:space="0"/>
              <w:right w:val="single" w:color="000000" w:sz="12" w:space="0"/>
            </w:tcBorders>
            <w:noWrap w:val="0"/>
            <w:vAlign w:val="center"/>
          </w:tcPr>
          <w:p w14:paraId="4CE3EE3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517DBEE9">
        <w:tblPrEx>
          <w:tblCellMar>
            <w:top w:w="0" w:type="dxa"/>
            <w:left w:w="28" w:type="dxa"/>
            <w:bottom w:w="0" w:type="dxa"/>
            <w:right w:w="28" w:type="dxa"/>
          </w:tblCellMar>
        </w:tblPrEx>
        <w:trPr>
          <w:trHeight w:val="567" w:hRule="atLeast"/>
        </w:trPr>
        <w:tc>
          <w:tcPr>
            <w:tcW w:w="1530" w:type="dxa"/>
            <w:tcBorders>
              <w:left w:val="single" w:color="000000" w:sz="12" w:space="0"/>
              <w:bottom w:val="single" w:color="000000" w:sz="6" w:space="0"/>
              <w:right w:val="single" w:color="000000" w:sz="6" w:space="0"/>
            </w:tcBorders>
            <w:noWrap w:val="0"/>
            <w:vAlign w:val="center"/>
          </w:tcPr>
          <w:p w14:paraId="76A11E9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4CA6545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890" w:type="dxa"/>
            <w:tcBorders>
              <w:left w:val="single" w:color="000000" w:sz="6" w:space="0"/>
              <w:bottom w:val="single" w:color="000000" w:sz="6" w:space="0"/>
              <w:right w:val="single" w:color="000000" w:sz="6" w:space="0"/>
            </w:tcBorders>
            <w:noWrap w:val="0"/>
            <w:vAlign w:val="center"/>
          </w:tcPr>
          <w:p w14:paraId="0FF96A9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90" w:type="dxa"/>
            <w:tcBorders>
              <w:left w:val="single" w:color="000000" w:sz="6" w:space="0"/>
              <w:bottom w:val="single" w:color="000000" w:sz="6" w:space="0"/>
              <w:right w:val="single" w:color="000000" w:sz="6" w:space="0"/>
            </w:tcBorders>
            <w:noWrap w:val="0"/>
            <w:vAlign w:val="center"/>
          </w:tcPr>
          <w:p w14:paraId="0E30E3A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6" w:type="dxa"/>
            <w:tcBorders>
              <w:left w:val="single" w:color="000000" w:sz="6" w:space="0"/>
              <w:bottom w:val="single" w:color="000000" w:sz="6" w:space="0"/>
              <w:right w:val="single" w:color="000000" w:sz="6" w:space="0"/>
            </w:tcBorders>
            <w:noWrap w:val="0"/>
            <w:vAlign w:val="center"/>
          </w:tcPr>
          <w:p w14:paraId="420A64E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374" w:type="dxa"/>
            <w:tcBorders>
              <w:left w:val="single" w:color="000000" w:sz="6" w:space="0"/>
              <w:bottom w:val="single" w:color="000000" w:sz="6" w:space="0"/>
              <w:right w:val="single" w:color="000000" w:sz="6" w:space="0"/>
            </w:tcBorders>
            <w:noWrap w:val="0"/>
            <w:vAlign w:val="center"/>
          </w:tcPr>
          <w:p w14:paraId="76F15EE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80" w:type="dxa"/>
            <w:tcBorders>
              <w:left w:val="single" w:color="000000" w:sz="6" w:space="0"/>
              <w:bottom w:val="single" w:color="000000" w:sz="6" w:space="0"/>
              <w:right w:val="single" w:color="000000" w:sz="6" w:space="0"/>
            </w:tcBorders>
            <w:noWrap w:val="0"/>
            <w:vAlign w:val="center"/>
          </w:tcPr>
          <w:p w14:paraId="7C8C0EE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25" w:type="dxa"/>
            <w:tcBorders>
              <w:left w:val="single" w:color="000000" w:sz="6" w:space="0"/>
              <w:bottom w:val="single" w:color="000000" w:sz="6" w:space="0"/>
              <w:right w:val="single" w:color="000000" w:sz="6" w:space="0"/>
            </w:tcBorders>
            <w:noWrap w:val="0"/>
            <w:vAlign w:val="center"/>
          </w:tcPr>
          <w:p w14:paraId="12636F2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26D78E9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0" w:type="dxa"/>
            <w:tcBorders>
              <w:left w:val="single" w:color="000000" w:sz="6" w:space="0"/>
              <w:bottom w:val="single" w:color="000000" w:sz="6" w:space="0"/>
              <w:right w:val="single" w:color="000000" w:sz="12" w:space="0"/>
            </w:tcBorders>
            <w:noWrap w:val="0"/>
            <w:vAlign w:val="center"/>
          </w:tcPr>
          <w:p w14:paraId="4195F3A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5CA3BFE0">
        <w:tblPrEx>
          <w:tblCellMar>
            <w:top w:w="0" w:type="dxa"/>
            <w:left w:w="28" w:type="dxa"/>
            <w:bottom w:w="0" w:type="dxa"/>
            <w:right w:w="28" w:type="dxa"/>
          </w:tblCellMar>
        </w:tblPrEx>
        <w:trPr>
          <w:trHeight w:val="567" w:hRule="atLeast"/>
        </w:trPr>
        <w:tc>
          <w:tcPr>
            <w:tcW w:w="1530" w:type="dxa"/>
            <w:tcBorders>
              <w:left w:val="single" w:color="000000" w:sz="12" w:space="0"/>
              <w:bottom w:val="single" w:color="000000" w:sz="6" w:space="0"/>
              <w:right w:val="single" w:color="000000" w:sz="6" w:space="0"/>
            </w:tcBorders>
            <w:noWrap w:val="0"/>
            <w:vAlign w:val="center"/>
          </w:tcPr>
          <w:p w14:paraId="187AA00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05EE62A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890" w:type="dxa"/>
            <w:tcBorders>
              <w:left w:val="single" w:color="000000" w:sz="6" w:space="0"/>
              <w:bottom w:val="single" w:color="000000" w:sz="6" w:space="0"/>
              <w:right w:val="single" w:color="000000" w:sz="6" w:space="0"/>
            </w:tcBorders>
            <w:noWrap w:val="0"/>
            <w:vAlign w:val="center"/>
          </w:tcPr>
          <w:p w14:paraId="1401A3D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90" w:type="dxa"/>
            <w:tcBorders>
              <w:left w:val="single" w:color="000000" w:sz="6" w:space="0"/>
              <w:bottom w:val="single" w:color="000000" w:sz="6" w:space="0"/>
              <w:right w:val="single" w:color="000000" w:sz="6" w:space="0"/>
            </w:tcBorders>
            <w:noWrap w:val="0"/>
            <w:vAlign w:val="center"/>
          </w:tcPr>
          <w:p w14:paraId="0B249BB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6" w:type="dxa"/>
            <w:tcBorders>
              <w:left w:val="single" w:color="000000" w:sz="6" w:space="0"/>
              <w:bottom w:val="single" w:color="000000" w:sz="6" w:space="0"/>
              <w:right w:val="single" w:color="000000" w:sz="6" w:space="0"/>
            </w:tcBorders>
            <w:noWrap w:val="0"/>
            <w:vAlign w:val="center"/>
          </w:tcPr>
          <w:p w14:paraId="6BFB122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374" w:type="dxa"/>
            <w:tcBorders>
              <w:left w:val="single" w:color="000000" w:sz="6" w:space="0"/>
              <w:bottom w:val="single" w:color="000000" w:sz="6" w:space="0"/>
              <w:right w:val="single" w:color="000000" w:sz="6" w:space="0"/>
            </w:tcBorders>
            <w:noWrap w:val="0"/>
            <w:vAlign w:val="center"/>
          </w:tcPr>
          <w:p w14:paraId="70AD698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80" w:type="dxa"/>
            <w:tcBorders>
              <w:left w:val="single" w:color="000000" w:sz="6" w:space="0"/>
              <w:bottom w:val="single" w:color="000000" w:sz="6" w:space="0"/>
              <w:right w:val="single" w:color="000000" w:sz="6" w:space="0"/>
            </w:tcBorders>
            <w:noWrap w:val="0"/>
            <w:vAlign w:val="center"/>
          </w:tcPr>
          <w:p w14:paraId="29617F9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25" w:type="dxa"/>
            <w:tcBorders>
              <w:left w:val="single" w:color="000000" w:sz="6" w:space="0"/>
              <w:bottom w:val="single" w:color="000000" w:sz="6" w:space="0"/>
              <w:right w:val="single" w:color="000000" w:sz="6" w:space="0"/>
            </w:tcBorders>
            <w:noWrap w:val="0"/>
            <w:vAlign w:val="center"/>
          </w:tcPr>
          <w:p w14:paraId="1D5EC7A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152795F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0" w:type="dxa"/>
            <w:tcBorders>
              <w:left w:val="single" w:color="000000" w:sz="6" w:space="0"/>
              <w:bottom w:val="single" w:color="000000" w:sz="6" w:space="0"/>
              <w:right w:val="single" w:color="000000" w:sz="12" w:space="0"/>
            </w:tcBorders>
            <w:noWrap w:val="0"/>
            <w:vAlign w:val="center"/>
          </w:tcPr>
          <w:p w14:paraId="4A4A0EB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10B0511B">
        <w:tblPrEx>
          <w:tblCellMar>
            <w:top w:w="0" w:type="dxa"/>
            <w:left w:w="28" w:type="dxa"/>
            <w:bottom w:w="0" w:type="dxa"/>
            <w:right w:w="28" w:type="dxa"/>
          </w:tblCellMar>
        </w:tblPrEx>
        <w:trPr>
          <w:trHeight w:val="567" w:hRule="atLeast"/>
        </w:trPr>
        <w:tc>
          <w:tcPr>
            <w:tcW w:w="1530" w:type="dxa"/>
            <w:tcBorders>
              <w:top w:val="single" w:color="000000" w:sz="6" w:space="0"/>
              <w:left w:val="single" w:color="000000" w:sz="12" w:space="0"/>
              <w:bottom w:val="single" w:color="000000" w:sz="6" w:space="0"/>
              <w:right w:val="single" w:color="000000" w:sz="6" w:space="0"/>
            </w:tcBorders>
            <w:noWrap w:val="0"/>
            <w:vAlign w:val="center"/>
          </w:tcPr>
          <w:p w14:paraId="02521C8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3373D93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890" w:type="dxa"/>
            <w:tcBorders>
              <w:top w:val="single" w:color="000000" w:sz="6" w:space="0"/>
              <w:left w:val="single" w:color="000000" w:sz="6" w:space="0"/>
              <w:bottom w:val="single" w:color="000000" w:sz="6" w:space="0"/>
              <w:right w:val="single" w:color="000000" w:sz="6" w:space="0"/>
            </w:tcBorders>
            <w:noWrap w:val="0"/>
            <w:vAlign w:val="center"/>
          </w:tcPr>
          <w:p w14:paraId="05BE817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90" w:type="dxa"/>
            <w:tcBorders>
              <w:top w:val="single" w:color="000000" w:sz="6" w:space="0"/>
              <w:left w:val="single" w:color="000000" w:sz="6" w:space="0"/>
              <w:bottom w:val="single" w:color="000000" w:sz="6" w:space="0"/>
              <w:right w:val="single" w:color="000000" w:sz="6" w:space="0"/>
            </w:tcBorders>
            <w:noWrap w:val="0"/>
            <w:vAlign w:val="center"/>
          </w:tcPr>
          <w:p w14:paraId="3611CAD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6" w:type="dxa"/>
            <w:tcBorders>
              <w:top w:val="single" w:color="000000" w:sz="6" w:space="0"/>
              <w:left w:val="single" w:color="000000" w:sz="6" w:space="0"/>
              <w:bottom w:val="single" w:color="000000" w:sz="6" w:space="0"/>
              <w:right w:val="single" w:color="000000" w:sz="6" w:space="0"/>
            </w:tcBorders>
            <w:noWrap w:val="0"/>
            <w:vAlign w:val="center"/>
          </w:tcPr>
          <w:p w14:paraId="308EF10F">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362C13D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7D9BAE2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25" w:type="dxa"/>
            <w:tcBorders>
              <w:top w:val="single" w:color="000000" w:sz="6" w:space="0"/>
              <w:left w:val="single" w:color="000000" w:sz="6" w:space="0"/>
              <w:bottom w:val="single" w:color="000000" w:sz="6" w:space="0"/>
              <w:right w:val="single" w:color="000000" w:sz="6" w:space="0"/>
            </w:tcBorders>
            <w:noWrap w:val="0"/>
            <w:vAlign w:val="center"/>
          </w:tcPr>
          <w:p w14:paraId="074D89C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20762F7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0" w:type="dxa"/>
            <w:tcBorders>
              <w:top w:val="single" w:color="000000" w:sz="6" w:space="0"/>
              <w:left w:val="single" w:color="000000" w:sz="6" w:space="0"/>
              <w:bottom w:val="single" w:color="000000" w:sz="6" w:space="0"/>
              <w:right w:val="single" w:color="000000" w:sz="12" w:space="0"/>
            </w:tcBorders>
            <w:noWrap w:val="0"/>
            <w:vAlign w:val="center"/>
          </w:tcPr>
          <w:p w14:paraId="3F09338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070ABB79">
        <w:tblPrEx>
          <w:tblCellMar>
            <w:top w:w="0" w:type="dxa"/>
            <w:left w:w="28" w:type="dxa"/>
            <w:bottom w:w="0" w:type="dxa"/>
            <w:right w:w="28" w:type="dxa"/>
          </w:tblCellMar>
        </w:tblPrEx>
        <w:trPr>
          <w:trHeight w:val="567" w:hRule="atLeast"/>
        </w:trPr>
        <w:tc>
          <w:tcPr>
            <w:tcW w:w="1530" w:type="dxa"/>
            <w:tcBorders>
              <w:left w:val="single" w:color="000000" w:sz="12" w:space="0"/>
              <w:bottom w:val="single" w:color="000000" w:sz="6" w:space="0"/>
              <w:right w:val="single" w:color="000000" w:sz="6" w:space="0"/>
            </w:tcBorders>
            <w:noWrap w:val="0"/>
            <w:vAlign w:val="center"/>
          </w:tcPr>
          <w:p w14:paraId="16B3777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7936846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890" w:type="dxa"/>
            <w:tcBorders>
              <w:left w:val="single" w:color="000000" w:sz="6" w:space="0"/>
              <w:bottom w:val="single" w:color="000000" w:sz="6" w:space="0"/>
              <w:right w:val="single" w:color="000000" w:sz="6" w:space="0"/>
            </w:tcBorders>
            <w:noWrap w:val="0"/>
            <w:vAlign w:val="center"/>
          </w:tcPr>
          <w:p w14:paraId="6021953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90" w:type="dxa"/>
            <w:tcBorders>
              <w:left w:val="single" w:color="000000" w:sz="6" w:space="0"/>
              <w:bottom w:val="single" w:color="000000" w:sz="6" w:space="0"/>
              <w:right w:val="single" w:color="000000" w:sz="6" w:space="0"/>
            </w:tcBorders>
            <w:noWrap w:val="0"/>
            <w:vAlign w:val="center"/>
          </w:tcPr>
          <w:p w14:paraId="678E312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6" w:type="dxa"/>
            <w:tcBorders>
              <w:left w:val="single" w:color="000000" w:sz="6" w:space="0"/>
              <w:bottom w:val="single" w:color="000000" w:sz="6" w:space="0"/>
              <w:right w:val="single" w:color="000000" w:sz="6" w:space="0"/>
            </w:tcBorders>
            <w:noWrap w:val="0"/>
            <w:vAlign w:val="center"/>
          </w:tcPr>
          <w:p w14:paraId="74EAE61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374" w:type="dxa"/>
            <w:tcBorders>
              <w:left w:val="single" w:color="000000" w:sz="6" w:space="0"/>
              <w:bottom w:val="single" w:color="000000" w:sz="6" w:space="0"/>
              <w:right w:val="single" w:color="000000" w:sz="6" w:space="0"/>
            </w:tcBorders>
            <w:noWrap w:val="0"/>
            <w:vAlign w:val="center"/>
          </w:tcPr>
          <w:p w14:paraId="2FEF260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80" w:type="dxa"/>
            <w:tcBorders>
              <w:left w:val="single" w:color="000000" w:sz="6" w:space="0"/>
              <w:bottom w:val="single" w:color="000000" w:sz="6" w:space="0"/>
              <w:right w:val="single" w:color="000000" w:sz="6" w:space="0"/>
            </w:tcBorders>
            <w:noWrap w:val="0"/>
            <w:vAlign w:val="center"/>
          </w:tcPr>
          <w:p w14:paraId="6A17889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25" w:type="dxa"/>
            <w:tcBorders>
              <w:left w:val="single" w:color="000000" w:sz="6" w:space="0"/>
              <w:bottom w:val="single" w:color="000000" w:sz="6" w:space="0"/>
              <w:right w:val="single" w:color="000000" w:sz="6" w:space="0"/>
            </w:tcBorders>
            <w:noWrap w:val="0"/>
            <w:vAlign w:val="center"/>
          </w:tcPr>
          <w:p w14:paraId="25DE460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1AA8BB7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0" w:type="dxa"/>
            <w:tcBorders>
              <w:left w:val="single" w:color="000000" w:sz="6" w:space="0"/>
              <w:bottom w:val="single" w:color="000000" w:sz="6" w:space="0"/>
              <w:right w:val="single" w:color="000000" w:sz="12" w:space="0"/>
            </w:tcBorders>
            <w:noWrap w:val="0"/>
            <w:vAlign w:val="center"/>
          </w:tcPr>
          <w:p w14:paraId="12CCB70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5ABCF05F">
        <w:tblPrEx>
          <w:tblCellMar>
            <w:top w:w="0" w:type="dxa"/>
            <w:left w:w="28" w:type="dxa"/>
            <w:bottom w:w="0" w:type="dxa"/>
            <w:right w:w="28" w:type="dxa"/>
          </w:tblCellMar>
        </w:tblPrEx>
        <w:trPr>
          <w:trHeight w:val="567" w:hRule="atLeast"/>
        </w:trPr>
        <w:tc>
          <w:tcPr>
            <w:tcW w:w="1530" w:type="dxa"/>
            <w:tcBorders>
              <w:top w:val="single" w:color="000000" w:sz="6" w:space="0"/>
              <w:left w:val="single" w:color="000000" w:sz="12" w:space="0"/>
              <w:bottom w:val="single" w:color="000000" w:sz="6" w:space="0"/>
              <w:right w:val="single" w:color="000000" w:sz="6" w:space="0"/>
            </w:tcBorders>
            <w:noWrap w:val="0"/>
            <w:vAlign w:val="center"/>
          </w:tcPr>
          <w:p w14:paraId="20BB7F7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7F740C6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890" w:type="dxa"/>
            <w:tcBorders>
              <w:top w:val="single" w:color="000000" w:sz="6" w:space="0"/>
              <w:left w:val="single" w:color="000000" w:sz="6" w:space="0"/>
              <w:bottom w:val="single" w:color="000000" w:sz="6" w:space="0"/>
              <w:right w:val="single" w:color="000000" w:sz="6" w:space="0"/>
            </w:tcBorders>
            <w:noWrap w:val="0"/>
            <w:vAlign w:val="center"/>
          </w:tcPr>
          <w:p w14:paraId="0E0E6B5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90" w:type="dxa"/>
            <w:tcBorders>
              <w:top w:val="single" w:color="000000" w:sz="6" w:space="0"/>
              <w:left w:val="single" w:color="000000" w:sz="6" w:space="0"/>
              <w:bottom w:val="single" w:color="000000" w:sz="6" w:space="0"/>
              <w:right w:val="single" w:color="000000" w:sz="6" w:space="0"/>
            </w:tcBorders>
            <w:noWrap w:val="0"/>
            <w:vAlign w:val="center"/>
          </w:tcPr>
          <w:p w14:paraId="10BA914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6" w:type="dxa"/>
            <w:tcBorders>
              <w:top w:val="single" w:color="000000" w:sz="6" w:space="0"/>
              <w:left w:val="single" w:color="000000" w:sz="6" w:space="0"/>
              <w:bottom w:val="single" w:color="000000" w:sz="6" w:space="0"/>
              <w:right w:val="single" w:color="000000" w:sz="6" w:space="0"/>
            </w:tcBorders>
            <w:noWrap w:val="0"/>
            <w:vAlign w:val="center"/>
          </w:tcPr>
          <w:p w14:paraId="2A61F6E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64917B8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10AE04E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25" w:type="dxa"/>
            <w:tcBorders>
              <w:top w:val="single" w:color="000000" w:sz="6" w:space="0"/>
              <w:left w:val="single" w:color="000000" w:sz="6" w:space="0"/>
              <w:bottom w:val="single" w:color="000000" w:sz="6" w:space="0"/>
              <w:right w:val="single" w:color="000000" w:sz="6" w:space="0"/>
            </w:tcBorders>
            <w:noWrap w:val="0"/>
            <w:vAlign w:val="center"/>
          </w:tcPr>
          <w:p w14:paraId="58FF8E5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7D93F47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0" w:type="dxa"/>
            <w:tcBorders>
              <w:top w:val="single" w:color="000000" w:sz="6" w:space="0"/>
              <w:left w:val="single" w:color="000000" w:sz="6" w:space="0"/>
              <w:bottom w:val="single" w:color="000000" w:sz="6" w:space="0"/>
              <w:right w:val="single" w:color="000000" w:sz="12" w:space="0"/>
            </w:tcBorders>
            <w:noWrap w:val="0"/>
            <w:vAlign w:val="center"/>
          </w:tcPr>
          <w:p w14:paraId="6E6022A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2B8FB5F5">
        <w:tblPrEx>
          <w:tblCellMar>
            <w:top w:w="0" w:type="dxa"/>
            <w:left w:w="28" w:type="dxa"/>
            <w:bottom w:w="0" w:type="dxa"/>
            <w:right w:w="28" w:type="dxa"/>
          </w:tblCellMar>
        </w:tblPrEx>
        <w:trPr>
          <w:trHeight w:val="567" w:hRule="atLeast"/>
        </w:trPr>
        <w:tc>
          <w:tcPr>
            <w:tcW w:w="1530" w:type="dxa"/>
            <w:tcBorders>
              <w:left w:val="single" w:color="000000" w:sz="12" w:space="0"/>
              <w:bottom w:val="single" w:color="000000" w:sz="6" w:space="0"/>
              <w:right w:val="single" w:color="000000" w:sz="6" w:space="0"/>
            </w:tcBorders>
            <w:noWrap w:val="0"/>
            <w:vAlign w:val="center"/>
          </w:tcPr>
          <w:p w14:paraId="60080E7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73BE3AC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890" w:type="dxa"/>
            <w:tcBorders>
              <w:left w:val="single" w:color="000000" w:sz="6" w:space="0"/>
              <w:bottom w:val="single" w:color="000000" w:sz="6" w:space="0"/>
              <w:right w:val="single" w:color="000000" w:sz="6" w:space="0"/>
            </w:tcBorders>
            <w:noWrap w:val="0"/>
            <w:vAlign w:val="center"/>
          </w:tcPr>
          <w:p w14:paraId="67DB084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90" w:type="dxa"/>
            <w:tcBorders>
              <w:left w:val="single" w:color="000000" w:sz="6" w:space="0"/>
              <w:bottom w:val="single" w:color="000000" w:sz="6" w:space="0"/>
              <w:right w:val="single" w:color="000000" w:sz="6" w:space="0"/>
            </w:tcBorders>
            <w:noWrap w:val="0"/>
            <w:vAlign w:val="center"/>
          </w:tcPr>
          <w:p w14:paraId="1D47F74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6" w:type="dxa"/>
            <w:tcBorders>
              <w:left w:val="single" w:color="000000" w:sz="6" w:space="0"/>
              <w:bottom w:val="single" w:color="000000" w:sz="6" w:space="0"/>
              <w:right w:val="single" w:color="000000" w:sz="6" w:space="0"/>
            </w:tcBorders>
            <w:noWrap w:val="0"/>
            <w:vAlign w:val="center"/>
          </w:tcPr>
          <w:p w14:paraId="1B133EA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374" w:type="dxa"/>
            <w:tcBorders>
              <w:left w:val="single" w:color="000000" w:sz="6" w:space="0"/>
              <w:bottom w:val="single" w:color="000000" w:sz="6" w:space="0"/>
              <w:right w:val="single" w:color="000000" w:sz="6" w:space="0"/>
            </w:tcBorders>
            <w:noWrap w:val="0"/>
            <w:vAlign w:val="center"/>
          </w:tcPr>
          <w:p w14:paraId="401983B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80" w:type="dxa"/>
            <w:tcBorders>
              <w:left w:val="single" w:color="000000" w:sz="6" w:space="0"/>
              <w:bottom w:val="single" w:color="000000" w:sz="6" w:space="0"/>
              <w:right w:val="single" w:color="000000" w:sz="6" w:space="0"/>
            </w:tcBorders>
            <w:noWrap w:val="0"/>
            <w:vAlign w:val="center"/>
          </w:tcPr>
          <w:p w14:paraId="178F630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25" w:type="dxa"/>
            <w:tcBorders>
              <w:left w:val="single" w:color="000000" w:sz="6" w:space="0"/>
              <w:bottom w:val="single" w:color="000000" w:sz="6" w:space="0"/>
              <w:right w:val="single" w:color="000000" w:sz="6" w:space="0"/>
            </w:tcBorders>
            <w:noWrap w:val="0"/>
            <w:vAlign w:val="center"/>
          </w:tcPr>
          <w:p w14:paraId="5455FF3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5EAC587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0" w:type="dxa"/>
            <w:tcBorders>
              <w:left w:val="single" w:color="000000" w:sz="6" w:space="0"/>
              <w:bottom w:val="single" w:color="000000" w:sz="6" w:space="0"/>
              <w:right w:val="single" w:color="000000" w:sz="12" w:space="0"/>
            </w:tcBorders>
            <w:noWrap w:val="0"/>
            <w:vAlign w:val="center"/>
          </w:tcPr>
          <w:p w14:paraId="5D6AFBE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2E64E6FE">
        <w:tblPrEx>
          <w:tblCellMar>
            <w:top w:w="0" w:type="dxa"/>
            <w:left w:w="28" w:type="dxa"/>
            <w:bottom w:w="0" w:type="dxa"/>
            <w:right w:w="28" w:type="dxa"/>
          </w:tblCellMar>
        </w:tblPrEx>
        <w:trPr>
          <w:trHeight w:val="567" w:hRule="atLeast"/>
        </w:trPr>
        <w:tc>
          <w:tcPr>
            <w:tcW w:w="1530" w:type="dxa"/>
            <w:tcBorders>
              <w:left w:val="single" w:color="000000" w:sz="12" w:space="0"/>
              <w:bottom w:val="single" w:color="000000" w:sz="6" w:space="0"/>
              <w:right w:val="single" w:color="000000" w:sz="6" w:space="0"/>
            </w:tcBorders>
            <w:noWrap w:val="0"/>
            <w:vAlign w:val="center"/>
          </w:tcPr>
          <w:p w14:paraId="3AF53C0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48AA7B1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890" w:type="dxa"/>
            <w:tcBorders>
              <w:left w:val="single" w:color="000000" w:sz="6" w:space="0"/>
              <w:bottom w:val="single" w:color="000000" w:sz="6" w:space="0"/>
              <w:right w:val="single" w:color="000000" w:sz="6" w:space="0"/>
            </w:tcBorders>
            <w:noWrap w:val="0"/>
            <w:vAlign w:val="center"/>
          </w:tcPr>
          <w:p w14:paraId="3D5B4DBF">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90" w:type="dxa"/>
            <w:tcBorders>
              <w:left w:val="single" w:color="000000" w:sz="6" w:space="0"/>
              <w:bottom w:val="single" w:color="000000" w:sz="6" w:space="0"/>
              <w:right w:val="single" w:color="000000" w:sz="6" w:space="0"/>
            </w:tcBorders>
            <w:noWrap w:val="0"/>
            <w:vAlign w:val="center"/>
          </w:tcPr>
          <w:p w14:paraId="4686765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6" w:type="dxa"/>
            <w:tcBorders>
              <w:left w:val="single" w:color="000000" w:sz="6" w:space="0"/>
              <w:bottom w:val="single" w:color="000000" w:sz="6" w:space="0"/>
              <w:right w:val="single" w:color="000000" w:sz="6" w:space="0"/>
            </w:tcBorders>
            <w:noWrap w:val="0"/>
            <w:vAlign w:val="center"/>
          </w:tcPr>
          <w:p w14:paraId="745C865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374" w:type="dxa"/>
            <w:tcBorders>
              <w:left w:val="single" w:color="000000" w:sz="6" w:space="0"/>
              <w:bottom w:val="single" w:color="000000" w:sz="6" w:space="0"/>
              <w:right w:val="single" w:color="000000" w:sz="6" w:space="0"/>
            </w:tcBorders>
            <w:noWrap w:val="0"/>
            <w:vAlign w:val="center"/>
          </w:tcPr>
          <w:p w14:paraId="2E86035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80" w:type="dxa"/>
            <w:tcBorders>
              <w:left w:val="single" w:color="000000" w:sz="6" w:space="0"/>
              <w:bottom w:val="single" w:color="000000" w:sz="6" w:space="0"/>
              <w:right w:val="single" w:color="000000" w:sz="6" w:space="0"/>
            </w:tcBorders>
            <w:noWrap w:val="0"/>
            <w:vAlign w:val="center"/>
          </w:tcPr>
          <w:p w14:paraId="153A5D4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25" w:type="dxa"/>
            <w:tcBorders>
              <w:left w:val="single" w:color="000000" w:sz="6" w:space="0"/>
              <w:bottom w:val="single" w:color="000000" w:sz="6" w:space="0"/>
              <w:right w:val="single" w:color="000000" w:sz="6" w:space="0"/>
            </w:tcBorders>
            <w:noWrap w:val="0"/>
            <w:vAlign w:val="center"/>
          </w:tcPr>
          <w:p w14:paraId="4B44B1B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111AB8D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0" w:type="dxa"/>
            <w:tcBorders>
              <w:left w:val="single" w:color="000000" w:sz="6" w:space="0"/>
              <w:bottom w:val="single" w:color="000000" w:sz="6" w:space="0"/>
              <w:right w:val="single" w:color="000000" w:sz="12" w:space="0"/>
            </w:tcBorders>
            <w:noWrap w:val="0"/>
            <w:vAlign w:val="center"/>
          </w:tcPr>
          <w:p w14:paraId="71AB453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308F4A07">
        <w:tblPrEx>
          <w:tblCellMar>
            <w:top w:w="0" w:type="dxa"/>
            <w:left w:w="28" w:type="dxa"/>
            <w:bottom w:w="0" w:type="dxa"/>
            <w:right w:w="28" w:type="dxa"/>
          </w:tblCellMar>
        </w:tblPrEx>
        <w:trPr>
          <w:trHeight w:val="567" w:hRule="atLeast"/>
        </w:trPr>
        <w:tc>
          <w:tcPr>
            <w:tcW w:w="1530" w:type="dxa"/>
            <w:tcBorders>
              <w:top w:val="single" w:color="000000" w:sz="6" w:space="0"/>
              <w:left w:val="single" w:color="000000" w:sz="12" w:space="0"/>
              <w:bottom w:val="single" w:color="000000" w:sz="6" w:space="0"/>
              <w:right w:val="single" w:color="000000" w:sz="6" w:space="0"/>
            </w:tcBorders>
            <w:noWrap w:val="0"/>
            <w:vAlign w:val="center"/>
          </w:tcPr>
          <w:p w14:paraId="7978BC8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95" w:type="dxa"/>
            <w:tcBorders>
              <w:top w:val="single" w:color="000000" w:sz="6" w:space="0"/>
              <w:left w:val="single" w:color="000000" w:sz="6" w:space="0"/>
              <w:bottom w:val="single" w:color="000000" w:sz="6" w:space="0"/>
              <w:right w:val="single" w:color="000000" w:sz="6" w:space="0"/>
            </w:tcBorders>
            <w:noWrap w:val="0"/>
            <w:vAlign w:val="center"/>
          </w:tcPr>
          <w:p w14:paraId="6100AC5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890" w:type="dxa"/>
            <w:tcBorders>
              <w:top w:val="single" w:color="000000" w:sz="6" w:space="0"/>
              <w:left w:val="single" w:color="000000" w:sz="6" w:space="0"/>
              <w:bottom w:val="single" w:color="000000" w:sz="6" w:space="0"/>
              <w:right w:val="single" w:color="000000" w:sz="6" w:space="0"/>
            </w:tcBorders>
            <w:noWrap w:val="0"/>
            <w:vAlign w:val="center"/>
          </w:tcPr>
          <w:p w14:paraId="05B2D87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90" w:type="dxa"/>
            <w:tcBorders>
              <w:top w:val="single" w:color="000000" w:sz="6" w:space="0"/>
              <w:left w:val="single" w:color="000000" w:sz="6" w:space="0"/>
              <w:bottom w:val="single" w:color="000000" w:sz="6" w:space="0"/>
              <w:right w:val="single" w:color="000000" w:sz="6" w:space="0"/>
            </w:tcBorders>
            <w:noWrap w:val="0"/>
            <w:vAlign w:val="center"/>
          </w:tcPr>
          <w:p w14:paraId="4827209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6" w:type="dxa"/>
            <w:tcBorders>
              <w:top w:val="single" w:color="000000" w:sz="6" w:space="0"/>
              <w:left w:val="single" w:color="000000" w:sz="6" w:space="0"/>
              <w:bottom w:val="single" w:color="000000" w:sz="6" w:space="0"/>
              <w:right w:val="single" w:color="000000" w:sz="6" w:space="0"/>
            </w:tcBorders>
            <w:noWrap w:val="0"/>
            <w:vAlign w:val="center"/>
          </w:tcPr>
          <w:p w14:paraId="46BDF58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374" w:type="dxa"/>
            <w:tcBorders>
              <w:top w:val="single" w:color="000000" w:sz="6" w:space="0"/>
              <w:left w:val="single" w:color="000000" w:sz="6" w:space="0"/>
              <w:bottom w:val="single" w:color="000000" w:sz="6" w:space="0"/>
              <w:right w:val="single" w:color="000000" w:sz="6" w:space="0"/>
            </w:tcBorders>
            <w:noWrap w:val="0"/>
            <w:vAlign w:val="center"/>
          </w:tcPr>
          <w:p w14:paraId="204853C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80" w:type="dxa"/>
            <w:tcBorders>
              <w:top w:val="single" w:color="000000" w:sz="6" w:space="0"/>
              <w:left w:val="single" w:color="000000" w:sz="6" w:space="0"/>
              <w:bottom w:val="single" w:color="000000" w:sz="6" w:space="0"/>
              <w:right w:val="single" w:color="000000" w:sz="6" w:space="0"/>
            </w:tcBorders>
            <w:noWrap w:val="0"/>
            <w:vAlign w:val="center"/>
          </w:tcPr>
          <w:p w14:paraId="141D07E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25" w:type="dxa"/>
            <w:tcBorders>
              <w:top w:val="single" w:color="000000" w:sz="6" w:space="0"/>
              <w:left w:val="single" w:color="000000" w:sz="6" w:space="0"/>
              <w:bottom w:val="single" w:color="000000" w:sz="6" w:space="0"/>
              <w:right w:val="single" w:color="000000" w:sz="6" w:space="0"/>
            </w:tcBorders>
            <w:noWrap w:val="0"/>
            <w:vAlign w:val="center"/>
          </w:tcPr>
          <w:p w14:paraId="21C9B5E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5" w:type="dxa"/>
            <w:tcBorders>
              <w:top w:val="single" w:color="000000" w:sz="6" w:space="0"/>
              <w:left w:val="single" w:color="000000" w:sz="6" w:space="0"/>
              <w:bottom w:val="single" w:color="000000" w:sz="6" w:space="0"/>
              <w:right w:val="single" w:color="000000" w:sz="6" w:space="0"/>
            </w:tcBorders>
            <w:noWrap w:val="0"/>
            <w:vAlign w:val="center"/>
          </w:tcPr>
          <w:p w14:paraId="31086A7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0" w:type="dxa"/>
            <w:tcBorders>
              <w:top w:val="single" w:color="000000" w:sz="6" w:space="0"/>
              <w:left w:val="single" w:color="000000" w:sz="6" w:space="0"/>
              <w:bottom w:val="single" w:color="000000" w:sz="6" w:space="0"/>
              <w:right w:val="single" w:color="000000" w:sz="12" w:space="0"/>
            </w:tcBorders>
            <w:noWrap w:val="0"/>
            <w:vAlign w:val="center"/>
          </w:tcPr>
          <w:p w14:paraId="4B9FFA1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154B6745">
        <w:tblPrEx>
          <w:tblCellMar>
            <w:top w:w="0" w:type="dxa"/>
            <w:left w:w="28" w:type="dxa"/>
            <w:bottom w:w="0" w:type="dxa"/>
            <w:right w:w="28" w:type="dxa"/>
          </w:tblCellMar>
        </w:tblPrEx>
        <w:trPr>
          <w:trHeight w:val="567" w:hRule="atLeast"/>
        </w:trPr>
        <w:tc>
          <w:tcPr>
            <w:tcW w:w="1530" w:type="dxa"/>
            <w:tcBorders>
              <w:left w:val="single" w:color="000000" w:sz="12" w:space="0"/>
              <w:bottom w:val="single" w:color="000000" w:sz="6" w:space="0"/>
              <w:right w:val="single" w:color="000000" w:sz="6" w:space="0"/>
            </w:tcBorders>
            <w:noWrap w:val="0"/>
            <w:vAlign w:val="center"/>
          </w:tcPr>
          <w:p w14:paraId="180470F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95" w:type="dxa"/>
            <w:tcBorders>
              <w:left w:val="single" w:color="000000" w:sz="6" w:space="0"/>
              <w:bottom w:val="single" w:color="000000" w:sz="6" w:space="0"/>
              <w:right w:val="single" w:color="000000" w:sz="6" w:space="0"/>
            </w:tcBorders>
            <w:noWrap w:val="0"/>
            <w:vAlign w:val="center"/>
          </w:tcPr>
          <w:p w14:paraId="0A47A06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890" w:type="dxa"/>
            <w:tcBorders>
              <w:left w:val="single" w:color="000000" w:sz="6" w:space="0"/>
              <w:bottom w:val="single" w:color="000000" w:sz="6" w:space="0"/>
              <w:right w:val="single" w:color="000000" w:sz="6" w:space="0"/>
            </w:tcBorders>
            <w:noWrap w:val="0"/>
            <w:vAlign w:val="center"/>
          </w:tcPr>
          <w:p w14:paraId="11671E4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90" w:type="dxa"/>
            <w:tcBorders>
              <w:left w:val="single" w:color="000000" w:sz="6" w:space="0"/>
              <w:bottom w:val="single" w:color="000000" w:sz="6" w:space="0"/>
              <w:right w:val="single" w:color="000000" w:sz="6" w:space="0"/>
            </w:tcBorders>
            <w:noWrap w:val="0"/>
            <w:vAlign w:val="center"/>
          </w:tcPr>
          <w:p w14:paraId="2046919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6" w:type="dxa"/>
            <w:tcBorders>
              <w:left w:val="single" w:color="000000" w:sz="6" w:space="0"/>
              <w:bottom w:val="single" w:color="000000" w:sz="6" w:space="0"/>
              <w:right w:val="single" w:color="000000" w:sz="6" w:space="0"/>
            </w:tcBorders>
            <w:noWrap w:val="0"/>
            <w:vAlign w:val="center"/>
          </w:tcPr>
          <w:p w14:paraId="79AB870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374" w:type="dxa"/>
            <w:tcBorders>
              <w:left w:val="single" w:color="000000" w:sz="6" w:space="0"/>
              <w:bottom w:val="single" w:color="000000" w:sz="6" w:space="0"/>
              <w:right w:val="single" w:color="000000" w:sz="6" w:space="0"/>
            </w:tcBorders>
            <w:noWrap w:val="0"/>
            <w:vAlign w:val="center"/>
          </w:tcPr>
          <w:p w14:paraId="5049F70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80" w:type="dxa"/>
            <w:tcBorders>
              <w:left w:val="single" w:color="000000" w:sz="6" w:space="0"/>
              <w:bottom w:val="single" w:color="000000" w:sz="6" w:space="0"/>
              <w:right w:val="single" w:color="000000" w:sz="6" w:space="0"/>
            </w:tcBorders>
            <w:noWrap w:val="0"/>
            <w:vAlign w:val="center"/>
          </w:tcPr>
          <w:p w14:paraId="03E10C0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25" w:type="dxa"/>
            <w:tcBorders>
              <w:left w:val="single" w:color="000000" w:sz="6" w:space="0"/>
              <w:bottom w:val="single" w:color="000000" w:sz="6" w:space="0"/>
              <w:right w:val="single" w:color="000000" w:sz="6" w:space="0"/>
            </w:tcBorders>
            <w:noWrap w:val="0"/>
            <w:vAlign w:val="center"/>
          </w:tcPr>
          <w:p w14:paraId="0457496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5" w:type="dxa"/>
            <w:tcBorders>
              <w:left w:val="single" w:color="000000" w:sz="6" w:space="0"/>
              <w:bottom w:val="single" w:color="000000" w:sz="6" w:space="0"/>
              <w:right w:val="single" w:color="000000" w:sz="6" w:space="0"/>
            </w:tcBorders>
            <w:noWrap w:val="0"/>
            <w:vAlign w:val="center"/>
          </w:tcPr>
          <w:p w14:paraId="50F5ACC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0" w:type="dxa"/>
            <w:tcBorders>
              <w:left w:val="single" w:color="000000" w:sz="6" w:space="0"/>
              <w:bottom w:val="single" w:color="000000" w:sz="6" w:space="0"/>
              <w:right w:val="single" w:color="000000" w:sz="12" w:space="0"/>
            </w:tcBorders>
            <w:noWrap w:val="0"/>
            <w:vAlign w:val="center"/>
          </w:tcPr>
          <w:p w14:paraId="4F42687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2B5884E4">
        <w:tblPrEx>
          <w:tblCellMar>
            <w:top w:w="0" w:type="dxa"/>
            <w:left w:w="28" w:type="dxa"/>
            <w:bottom w:w="0" w:type="dxa"/>
            <w:right w:w="28" w:type="dxa"/>
          </w:tblCellMar>
        </w:tblPrEx>
        <w:trPr>
          <w:trHeight w:val="567" w:hRule="atLeast"/>
        </w:trPr>
        <w:tc>
          <w:tcPr>
            <w:tcW w:w="1530" w:type="dxa"/>
            <w:tcBorders>
              <w:top w:val="single" w:color="000000" w:sz="6" w:space="0"/>
              <w:left w:val="single" w:color="000000" w:sz="12" w:space="0"/>
              <w:bottom w:val="single" w:color="000000" w:sz="12" w:space="0"/>
              <w:right w:val="single" w:color="000000" w:sz="6" w:space="0"/>
            </w:tcBorders>
            <w:noWrap w:val="0"/>
            <w:vAlign w:val="center"/>
          </w:tcPr>
          <w:p w14:paraId="614DBF0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95" w:type="dxa"/>
            <w:tcBorders>
              <w:top w:val="single" w:color="000000" w:sz="6" w:space="0"/>
              <w:left w:val="single" w:color="000000" w:sz="6" w:space="0"/>
              <w:bottom w:val="single" w:color="000000" w:sz="12" w:space="0"/>
              <w:right w:val="single" w:color="000000" w:sz="6" w:space="0"/>
            </w:tcBorders>
            <w:noWrap w:val="0"/>
            <w:vAlign w:val="center"/>
          </w:tcPr>
          <w:p w14:paraId="064AA8E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890" w:type="dxa"/>
            <w:tcBorders>
              <w:top w:val="single" w:color="000000" w:sz="6" w:space="0"/>
              <w:left w:val="single" w:color="000000" w:sz="6" w:space="0"/>
              <w:bottom w:val="single" w:color="000000" w:sz="12" w:space="0"/>
              <w:right w:val="single" w:color="000000" w:sz="6" w:space="0"/>
            </w:tcBorders>
            <w:noWrap w:val="0"/>
            <w:vAlign w:val="center"/>
          </w:tcPr>
          <w:p w14:paraId="313893B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90" w:type="dxa"/>
            <w:tcBorders>
              <w:top w:val="single" w:color="000000" w:sz="6" w:space="0"/>
              <w:left w:val="single" w:color="000000" w:sz="6" w:space="0"/>
              <w:bottom w:val="single" w:color="000000" w:sz="12" w:space="0"/>
              <w:right w:val="single" w:color="000000" w:sz="6" w:space="0"/>
            </w:tcBorders>
            <w:noWrap w:val="0"/>
            <w:vAlign w:val="center"/>
          </w:tcPr>
          <w:p w14:paraId="7CE1C15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6" w:type="dxa"/>
            <w:tcBorders>
              <w:top w:val="single" w:color="000000" w:sz="6" w:space="0"/>
              <w:left w:val="single" w:color="000000" w:sz="6" w:space="0"/>
              <w:bottom w:val="single" w:color="000000" w:sz="12" w:space="0"/>
              <w:right w:val="single" w:color="000000" w:sz="6" w:space="0"/>
            </w:tcBorders>
            <w:noWrap w:val="0"/>
            <w:vAlign w:val="center"/>
          </w:tcPr>
          <w:p w14:paraId="7E3F9D5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374" w:type="dxa"/>
            <w:tcBorders>
              <w:top w:val="single" w:color="000000" w:sz="6" w:space="0"/>
              <w:left w:val="single" w:color="000000" w:sz="6" w:space="0"/>
              <w:bottom w:val="single" w:color="000000" w:sz="12" w:space="0"/>
              <w:right w:val="single" w:color="000000" w:sz="6" w:space="0"/>
            </w:tcBorders>
            <w:noWrap w:val="0"/>
            <w:vAlign w:val="center"/>
          </w:tcPr>
          <w:p w14:paraId="68BCB81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80" w:type="dxa"/>
            <w:tcBorders>
              <w:top w:val="single" w:color="000000" w:sz="6" w:space="0"/>
              <w:left w:val="single" w:color="000000" w:sz="6" w:space="0"/>
              <w:bottom w:val="single" w:color="000000" w:sz="12" w:space="0"/>
              <w:right w:val="single" w:color="000000" w:sz="6" w:space="0"/>
            </w:tcBorders>
            <w:noWrap w:val="0"/>
            <w:vAlign w:val="center"/>
          </w:tcPr>
          <w:p w14:paraId="3DD7091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25" w:type="dxa"/>
            <w:tcBorders>
              <w:top w:val="single" w:color="000000" w:sz="6" w:space="0"/>
              <w:left w:val="single" w:color="000000" w:sz="6" w:space="0"/>
              <w:bottom w:val="single" w:color="000000" w:sz="12" w:space="0"/>
              <w:right w:val="single" w:color="000000" w:sz="6" w:space="0"/>
            </w:tcBorders>
            <w:noWrap w:val="0"/>
            <w:vAlign w:val="center"/>
          </w:tcPr>
          <w:p w14:paraId="0663635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5" w:type="dxa"/>
            <w:tcBorders>
              <w:top w:val="single" w:color="000000" w:sz="6" w:space="0"/>
              <w:left w:val="single" w:color="000000" w:sz="6" w:space="0"/>
              <w:bottom w:val="single" w:color="000000" w:sz="12" w:space="0"/>
              <w:right w:val="single" w:color="000000" w:sz="6" w:space="0"/>
            </w:tcBorders>
            <w:noWrap w:val="0"/>
            <w:vAlign w:val="center"/>
          </w:tcPr>
          <w:p w14:paraId="22B35EB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0" w:type="dxa"/>
            <w:tcBorders>
              <w:top w:val="single" w:color="000000" w:sz="6" w:space="0"/>
              <w:left w:val="single" w:color="000000" w:sz="6" w:space="0"/>
              <w:bottom w:val="single" w:color="000000" w:sz="12" w:space="0"/>
              <w:right w:val="single" w:color="000000" w:sz="12" w:space="0"/>
            </w:tcBorders>
            <w:noWrap w:val="0"/>
            <w:vAlign w:val="center"/>
          </w:tcPr>
          <w:p w14:paraId="1E4AFD5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bl>
    <w:p w14:paraId="66C8952E">
      <w:pPr>
        <w:rPr>
          <w:color w:val="auto"/>
          <w:highlight w:val="none"/>
        </w:rPr>
        <w:sectPr>
          <w:headerReference r:id="rId13" w:type="first"/>
          <w:footerReference r:id="rId16" w:type="first"/>
          <w:headerReference r:id="rId11" w:type="default"/>
          <w:footerReference r:id="rId14" w:type="default"/>
          <w:headerReference r:id="rId12" w:type="even"/>
          <w:footerReference r:id="rId15" w:type="even"/>
          <w:pgSz w:w="16838" w:h="11906" w:orient="landscape"/>
          <w:pgMar w:top="1554" w:right="1418" w:bottom="1531" w:left="1418" w:header="851" w:footer="992" w:gutter="0"/>
          <w:cols w:space="720" w:num="1"/>
          <w:docGrid w:linePitch="360" w:charSpace="0"/>
        </w:sectPr>
      </w:pPr>
    </w:p>
    <w:p w14:paraId="29ABA9B2">
      <w:pPr>
        <w:spacing w:line="440" w:lineRule="exact"/>
        <w:rPr>
          <w:rFonts w:ascii="Times New Roman" w:hAnsi="Times New Roman" w:eastAsia="宋体" w:cs="Times New Roman"/>
          <w:color w:val="auto"/>
          <w:highlight w:val="none"/>
        </w:rPr>
      </w:pPr>
      <w:r>
        <w:rPr>
          <w:rFonts w:hint="eastAsia" w:ascii="宋体" w:hAnsi="宋体" w:eastAsia="宋体" w:cs="宋体"/>
          <w:color w:val="auto"/>
          <w:szCs w:val="21"/>
          <w:highlight w:val="none"/>
          <w:lang w:bidi="ar"/>
        </w:rPr>
        <w:t>附件2：</w:t>
      </w:r>
    </w:p>
    <w:p w14:paraId="0F230317">
      <w:pPr>
        <w:spacing w:before="120" w:after="120" w:line="440" w:lineRule="exact"/>
        <w:jc w:val="center"/>
        <w:rPr>
          <w:rFonts w:ascii="Times New Roman" w:hAnsi="Times New Roman" w:eastAsia="宋体" w:cs="Times New Roman"/>
          <w:color w:val="auto"/>
          <w:highlight w:val="none"/>
        </w:rPr>
      </w:pPr>
      <w:r>
        <w:rPr>
          <w:rFonts w:hint="eastAsia" w:ascii="宋体" w:hAnsi="宋体" w:eastAsia="宋体" w:cs="宋体"/>
          <w:color w:val="auto"/>
          <w:szCs w:val="21"/>
          <w:highlight w:val="none"/>
          <w:lang w:bidi="ar"/>
        </w:rPr>
        <w:t>发包人供应材料设备一览表</w:t>
      </w:r>
    </w:p>
    <w:tbl>
      <w:tblPr>
        <w:tblStyle w:val="37"/>
        <w:tblW w:w="9910" w:type="dxa"/>
        <w:jc w:val="center"/>
        <w:tblLayout w:type="fixed"/>
        <w:tblCellMar>
          <w:top w:w="0" w:type="dxa"/>
          <w:left w:w="28" w:type="dxa"/>
          <w:bottom w:w="0" w:type="dxa"/>
          <w:right w:w="28" w:type="dxa"/>
        </w:tblCellMar>
      </w:tblPr>
      <w:tblGrid>
        <w:gridCol w:w="677"/>
        <w:gridCol w:w="1448"/>
        <w:gridCol w:w="1034"/>
        <w:gridCol w:w="614"/>
        <w:gridCol w:w="763"/>
        <w:gridCol w:w="896"/>
        <w:gridCol w:w="1110"/>
        <w:gridCol w:w="1260"/>
        <w:gridCol w:w="1410"/>
        <w:gridCol w:w="698"/>
      </w:tblGrid>
      <w:tr w14:paraId="1DB01255">
        <w:tblPrEx>
          <w:tblCellMar>
            <w:top w:w="0" w:type="dxa"/>
            <w:left w:w="28" w:type="dxa"/>
            <w:bottom w:w="0" w:type="dxa"/>
            <w:right w:w="28" w:type="dxa"/>
          </w:tblCellMar>
        </w:tblPrEx>
        <w:trPr>
          <w:jc w:val="center"/>
        </w:trPr>
        <w:tc>
          <w:tcPr>
            <w:tcW w:w="677" w:type="dxa"/>
            <w:tcBorders>
              <w:top w:val="single" w:color="000000" w:sz="12" w:space="0"/>
              <w:left w:val="single" w:color="000000" w:sz="12" w:space="0"/>
              <w:bottom w:val="single" w:color="000000" w:sz="6" w:space="0"/>
              <w:right w:val="single" w:color="000000" w:sz="6" w:space="0"/>
            </w:tcBorders>
            <w:noWrap w:val="0"/>
            <w:vAlign w:val="center"/>
          </w:tcPr>
          <w:p w14:paraId="0A2E07B4">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序号</w:t>
            </w:r>
          </w:p>
        </w:tc>
        <w:tc>
          <w:tcPr>
            <w:tcW w:w="1448" w:type="dxa"/>
            <w:tcBorders>
              <w:top w:val="single" w:color="000000" w:sz="12" w:space="0"/>
              <w:left w:val="single" w:color="000000" w:sz="6" w:space="0"/>
              <w:bottom w:val="single" w:color="000000" w:sz="6" w:space="0"/>
              <w:right w:val="single" w:color="000000" w:sz="6" w:space="0"/>
            </w:tcBorders>
            <w:noWrap w:val="0"/>
            <w:vAlign w:val="center"/>
          </w:tcPr>
          <w:p w14:paraId="04AC56D0">
            <w:pPr>
              <w:keepNext/>
              <w:keepLines w:val="0"/>
              <w:pageBreakBefore w:val="0"/>
              <w:widowControl w:val="0"/>
              <w:spacing w:before="0" w:beforeAutospacing="0" w:after="0" w:afterAutospacing="0" w:line="240" w:lineRule="auto"/>
              <w:ind w:left="62" w:right="62"/>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材料、</w:t>
            </w:r>
          </w:p>
          <w:p w14:paraId="1C37F370">
            <w:pPr>
              <w:keepNext/>
              <w:keepLines w:val="0"/>
              <w:pageBreakBefore w:val="0"/>
              <w:widowControl w:val="0"/>
              <w:spacing w:before="0" w:beforeAutospacing="0" w:after="0" w:afterAutospacing="0" w:line="240" w:lineRule="auto"/>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设备品种</w:t>
            </w:r>
          </w:p>
        </w:tc>
        <w:tc>
          <w:tcPr>
            <w:tcW w:w="1034" w:type="dxa"/>
            <w:tcBorders>
              <w:top w:val="single" w:color="000000" w:sz="12" w:space="0"/>
              <w:left w:val="single" w:color="000000" w:sz="6" w:space="0"/>
              <w:bottom w:val="single" w:color="000000" w:sz="6" w:space="0"/>
              <w:right w:val="single" w:color="000000" w:sz="6" w:space="0"/>
            </w:tcBorders>
            <w:noWrap w:val="0"/>
            <w:vAlign w:val="center"/>
          </w:tcPr>
          <w:p w14:paraId="577B8F6B">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规格型号</w:t>
            </w:r>
          </w:p>
        </w:tc>
        <w:tc>
          <w:tcPr>
            <w:tcW w:w="614" w:type="dxa"/>
            <w:tcBorders>
              <w:top w:val="single" w:color="000000" w:sz="12" w:space="0"/>
              <w:left w:val="single" w:color="000000" w:sz="6" w:space="0"/>
              <w:bottom w:val="single" w:color="000000" w:sz="6" w:space="0"/>
              <w:right w:val="single" w:color="000000" w:sz="6" w:space="0"/>
            </w:tcBorders>
            <w:noWrap w:val="0"/>
            <w:vAlign w:val="center"/>
          </w:tcPr>
          <w:p w14:paraId="18B39846">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单位</w:t>
            </w:r>
          </w:p>
        </w:tc>
        <w:tc>
          <w:tcPr>
            <w:tcW w:w="763" w:type="dxa"/>
            <w:tcBorders>
              <w:top w:val="single" w:color="000000" w:sz="12" w:space="0"/>
              <w:left w:val="single" w:color="000000" w:sz="6" w:space="0"/>
              <w:bottom w:val="single" w:color="000000" w:sz="6" w:space="0"/>
              <w:right w:val="single" w:color="000000" w:sz="6" w:space="0"/>
            </w:tcBorders>
            <w:noWrap w:val="0"/>
            <w:vAlign w:val="center"/>
          </w:tcPr>
          <w:p w14:paraId="6D1D1F93">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数量</w:t>
            </w:r>
          </w:p>
        </w:tc>
        <w:tc>
          <w:tcPr>
            <w:tcW w:w="896" w:type="dxa"/>
            <w:tcBorders>
              <w:top w:val="single" w:color="000000" w:sz="12" w:space="0"/>
              <w:left w:val="single" w:color="000000" w:sz="6" w:space="0"/>
              <w:bottom w:val="single" w:color="000000" w:sz="6" w:space="0"/>
              <w:right w:val="single" w:color="000000" w:sz="6" w:space="0"/>
            </w:tcBorders>
            <w:noWrap w:val="0"/>
            <w:vAlign w:val="center"/>
          </w:tcPr>
          <w:p w14:paraId="59D5231C">
            <w:pPr>
              <w:keepNext/>
              <w:keepLines w:val="0"/>
              <w:pageBreakBefore w:val="0"/>
              <w:widowControl w:val="0"/>
              <w:spacing w:before="0" w:beforeAutospacing="0" w:after="0" w:afterAutospacing="0" w:line="240" w:lineRule="auto"/>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单价（元）</w:t>
            </w:r>
          </w:p>
        </w:tc>
        <w:tc>
          <w:tcPr>
            <w:tcW w:w="1110" w:type="dxa"/>
            <w:tcBorders>
              <w:top w:val="single" w:color="000000" w:sz="12" w:space="0"/>
              <w:left w:val="single" w:color="000000" w:sz="6" w:space="0"/>
              <w:bottom w:val="single" w:color="000000" w:sz="6" w:space="0"/>
              <w:right w:val="single" w:color="000000" w:sz="6" w:space="0"/>
            </w:tcBorders>
            <w:noWrap w:val="0"/>
            <w:vAlign w:val="center"/>
          </w:tcPr>
          <w:p w14:paraId="46ED549D">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质量等级</w:t>
            </w:r>
          </w:p>
        </w:tc>
        <w:tc>
          <w:tcPr>
            <w:tcW w:w="1260" w:type="dxa"/>
            <w:tcBorders>
              <w:top w:val="single" w:color="000000" w:sz="12" w:space="0"/>
              <w:left w:val="single" w:color="000000" w:sz="6" w:space="0"/>
              <w:bottom w:val="single" w:color="000000" w:sz="6" w:space="0"/>
              <w:right w:val="single" w:color="000000" w:sz="6" w:space="0"/>
            </w:tcBorders>
            <w:noWrap w:val="0"/>
            <w:vAlign w:val="center"/>
          </w:tcPr>
          <w:p w14:paraId="158A412F">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供应时间</w:t>
            </w:r>
          </w:p>
        </w:tc>
        <w:tc>
          <w:tcPr>
            <w:tcW w:w="1410" w:type="dxa"/>
            <w:tcBorders>
              <w:top w:val="single" w:color="000000" w:sz="12" w:space="0"/>
              <w:left w:val="single" w:color="000000" w:sz="6" w:space="0"/>
              <w:bottom w:val="single" w:color="000000" w:sz="6" w:space="0"/>
              <w:right w:val="single" w:color="000000" w:sz="6" w:space="0"/>
            </w:tcBorders>
            <w:noWrap w:val="0"/>
            <w:vAlign w:val="center"/>
          </w:tcPr>
          <w:p w14:paraId="14E296B3">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送达地点</w:t>
            </w:r>
          </w:p>
        </w:tc>
        <w:tc>
          <w:tcPr>
            <w:tcW w:w="698" w:type="dxa"/>
            <w:tcBorders>
              <w:top w:val="single" w:color="000000" w:sz="12" w:space="0"/>
              <w:left w:val="single" w:color="000000" w:sz="6" w:space="0"/>
              <w:bottom w:val="single" w:color="000000" w:sz="6" w:space="0"/>
              <w:right w:val="single" w:color="000000" w:sz="12" w:space="0"/>
            </w:tcBorders>
            <w:noWrap w:val="0"/>
            <w:vAlign w:val="center"/>
          </w:tcPr>
          <w:p w14:paraId="0CE130F1">
            <w:pPr>
              <w:keepNext/>
              <w:keepLines w:val="0"/>
              <w:pageBreakBefore w:val="0"/>
              <w:widowControl w:val="0"/>
              <w:spacing w:before="0" w:beforeAutospacing="0" w:after="0" w:afterAutospacing="0" w:line="440" w:lineRule="exact"/>
              <w:ind w:left="62" w:right="62"/>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备注</w:t>
            </w:r>
          </w:p>
        </w:tc>
      </w:tr>
      <w:tr w14:paraId="4519F570">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4DA719C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012F515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7234260F">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78F9ABA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1A79D2F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0E3539A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0297FE0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725FEAA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495D499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7CD1118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2B56D704">
        <w:tblPrEx>
          <w:tblCellMar>
            <w:top w:w="0" w:type="dxa"/>
            <w:left w:w="28" w:type="dxa"/>
            <w:bottom w:w="0" w:type="dxa"/>
            <w:right w:w="28" w:type="dxa"/>
          </w:tblCellMar>
        </w:tblPrEx>
        <w:trPr>
          <w:trHeight w:val="567" w:hRule="atLeast"/>
          <w:jc w:val="center"/>
        </w:trPr>
        <w:tc>
          <w:tcPr>
            <w:tcW w:w="677" w:type="dxa"/>
            <w:tcBorders>
              <w:left w:val="single" w:color="000000" w:sz="12" w:space="0"/>
              <w:bottom w:val="single" w:color="000000" w:sz="6" w:space="0"/>
              <w:right w:val="single" w:color="000000" w:sz="6" w:space="0"/>
            </w:tcBorders>
            <w:noWrap w:val="0"/>
            <w:vAlign w:val="center"/>
          </w:tcPr>
          <w:p w14:paraId="35F0B73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48" w:type="dxa"/>
            <w:tcBorders>
              <w:left w:val="single" w:color="000000" w:sz="6" w:space="0"/>
              <w:bottom w:val="single" w:color="000000" w:sz="6" w:space="0"/>
              <w:right w:val="single" w:color="000000" w:sz="6" w:space="0"/>
            </w:tcBorders>
            <w:noWrap w:val="0"/>
            <w:vAlign w:val="center"/>
          </w:tcPr>
          <w:p w14:paraId="73E9FDC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34" w:type="dxa"/>
            <w:tcBorders>
              <w:left w:val="single" w:color="000000" w:sz="6" w:space="0"/>
              <w:bottom w:val="single" w:color="000000" w:sz="6" w:space="0"/>
              <w:right w:val="single" w:color="000000" w:sz="6" w:space="0"/>
            </w:tcBorders>
            <w:noWrap w:val="0"/>
            <w:vAlign w:val="center"/>
          </w:tcPr>
          <w:p w14:paraId="60367D6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614" w:type="dxa"/>
            <w:tcBorders>
              <w:left w:val="single" w:color="000000" w:sz="6" w:space="0"/>
              <w:bottom w:val="single" w:color="000000" w:sz="6" w:space="0"/>
              <w:right w:val="single" w:color="000000" w:sz="6" w:space="0"/>
            </w:tcBorders>
            <w:noWrap w:val="0"/>
            <w:vAlign w:val="center"/>
          </w:tcPr>
          <w:p w14:paraId="5C41CD2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763" w:type="dxa"/>
            <w:tcBorders>
              <w:left w:val="single" w:color="000000" w:sz="6" w:space="0"/>
              <w:bottom w:val="single" w:color="000000" w:sz="6" w:space="0"/>
              <w:right w:val="single" w:color="000000" w:sz="6" w:space="0"/>
            </w:tcBorders>
            <w:noWrap w:val="0"/>
            <w:vAlign w:val="center"/>
          </w:tcPr>
          <w:p w14:paraId="736891A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896" w:type="dxa"/>
            <w:tcBorders>
              <w:left w:val="single" w:color="000000" w:sz="6" w:space="0"/>
              <w:bottom w:val="single" w:color="000000" w:sz="6" w:space="0"/>
              <w:right w:val="single" w:color="000000" w:sz="6" w:space="0"/>
            </w:tcBorders>
            <w:noWrap w:val="0"/>
            <w:vAlign w:val="center"/>
          </w:tcPr>
          <w:p w14:paraId="445BF8C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0" w:type="dxa"/>
            <w:tcBorders>
              <w:left w:val="single" w:color="000000" w:sz="6" w:space="0"/>
              <w:bottom w:val="single" w:color="000000" w:sz="6" w:space="0"/>
              <w:right w:val="single" w:color="000000" w:sz="6" w:space="0"/>
            </w:tcBorders>
            <w:noWrap w:val="0"/>
            <w:vAlign w:val="center"/>
          </w:tcPr>
          <w:p w14:paraId="6E89EA1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60" w:type="dxa"/>
            <w:tcBorders>
              <w:left w:val="single" w:color="000000" w:sz="6" w:space="0"/>
              <w:bottom w:val="single" w:color="000000" w:sz="6" w:space="0"/>
              <w:right w:val="single" w:color="000000" w:sz="6" w:space="0"/>
            </w:tcBorders>
            <w:noWrap w:val="0"/>
            <w:vAlign w:val="center"/>
          </w:tcPr>
          <w:p w14:paraId="0B3ACBD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10" w:type="dxa"/>
            <w:tcBorders>
              <w:left w:val="single" w:color="000000" w:sz="6" w:space="0"/>
              <w:bottom w:val="single" w:color="000000" w:sz="6" w:space="0"/>
              <w:right w:val="single" w:color="000000" w:sz="6" w:space="0"/>
            </w:tcBorders>
            <w:noWrap w:val="0"/>
            <w:vAlign w:val="center"/>
          </w:tcPr>
          <w:p w14:paraId="412FBB8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698" w:type="dxa"/>
            <w:tcBorders>
              <w:left w:val="single" w:color="000000" w:sz="6" w:space="0"/>
              <w:bottom w:val="single" w:color="000000" w:sz="6" w:space="0"/>
              <w:right w:val="single" w:color="000000" w:sz="12" w:space="0"/>
            </w:tcBorders>
            <w:noWrap w:val="0"/>
            <w:vAlign w:val="center"/>
          </w:tcPr>
          <w:p w14:paraId="2002859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02EBA483">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41C9167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7A60EE3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08C5AEE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0192565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049F04B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02A47EC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277CF30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3B52022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3C9429F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28ED694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3AE589EB">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643776A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4CF9E34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5FAD691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22A8738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22B4A6D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039235B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1F0B794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1061F5B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37E043A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2C1DFF4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3DE9EC52">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490C179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4DD0736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5B3B579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14D89B4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45D3810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47D934A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4CF03E1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749AEAE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46AB7E0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3A5430B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5A9A2634">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36C47F2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16E6177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1F26886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7BA73B0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263A63D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7424486F">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4F17446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2C909B6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658BFE7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3B8CBBA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7E7428BD">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3F107CC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5A28ED5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288E4B1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0A70A9C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0FAA254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4E9A8D3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0FC6AC5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018F03D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61E494D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7CB159D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3BE5A2B9">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4DB8C9E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043BA14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0B1D1CD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569BC99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2F02689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70A724F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7CFD598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34574B2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08BC820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5D8D240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00343E63">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7C76996C">
            <w:pPr>
              <w:jc w:val="center"/>
              <w:rPr>
                <w:rFonts w:hint="eastAsia" w:ascii="宋体" w:hAnsi="宋体" w:eastAsia="宋体" w:cs="宋体"/>
                <w:color w:val="auto"/>
                <w:szCs w:val="21"/>
                <w:highlight w:val="none"/>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60DB42F6">
            <w:pPr>
              <w:jc w:val="center"/>
              <w:rPr>
                <w:rFonts w:hint="eastAsia" w:ascii="宋体" w:hAnsi="宋体" w:eastAsia="宋体" w:cs="宋体"/>
                <w:color w:val="auto"/>
                <w:szCs w:val="21"/>
                <w:highlight w:val="none"/>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0EF1EE3F">
            <w:pPr>
              <w:jc w:val="center"/>
              <w:rPr>
                <w:rFonts w:hint="eastAsia" w:ascii="宋体" w:hAnsi="宋体" w:eastAsia="宋体" w:cs="宋体"/>
                <w:color w:val="auto"/>
                <w:szCs w:val="21"/>
                <w:highlight w:val="none"/>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0C03B0A2">
            <w:pPr>
              <w:jc w:val="center"/>
              <w:rPr>
                <w:rFonts w:hint="eastAsia" w:ascii="宋体" w:hAnsi="宋体" w:eastAsia="宋体" w:cs="宋体"/>
                <w:color w:val="auto"/>
                <w:szCs w:val="21"/>
                <w:highlight w:val="none"/>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17C47F30">
            <w:pPr>
              <w:jc w:val="center"/>
              <w:rPr>
                <w:rFonts w:hint="eastAsia" w:ascii="宋体" w:hAnsi="宋体" w:eastAsia="宋体" w:cs="宋体"/>
                <w:color w:val="auto"/>
                <w:szCs w:val="21"/>
                <w:highlight w:val="none"/>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2E92BE44">
            <w:pPr>
              <w:jc w:val="center"/>
              <w:rPr>
                <w:rFonts w:hint="eastAsia" w:ascii="宋体" w:hAnsi="宋体" w:eastAsia="宋体" w:cs="宋体"/>
                <w:color w:val="auto"/>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60CF8832">
            <w:pPr>
              <w:jc w:val="center"/>
              <w:rPr>
                <w:rFonts w:hint="eastAsia" w:ascii="宋体" w:hAnsi="宋体" w:eastAsia="宋体" w:cs="宋体"/>
                <w:color w:val="auto"/>
                <w:szCs w:val="21"/>
                <w:highlight w:val="none"/>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64CE1EFE">
            <w:pPr>
              <w:jc w:val="center"/>
              <w:rPr>
                <w:rFonts w:hint="eastAsia" w:ascii="宋体" w:hAnsi="宋体" w:eastAsia="宋体" w:cs="宋体"/>
                <w:color w:val="auto"/>
                <w:szCs w:val="21"/>
                <w:highlight w:val="none"/>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2D1E02E0">
            <w:pPr>
              <w:jc w:val="center"/>
              <w:rPr>
                <w:rFonts w:hint="eastAsia" w:ascii="宋体" w:hAnsi="宋体" w:eastAsia="宋体" w:cs="宋体"/>
                <w:color w:val="auto"/>
                <w:szCs w:val="21"/>
                <w:highlight w:val="none"/>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0C3FC0E2">
            <w:pPr>
              <w:jc w:val="center"/>
              <w:rPr>
                <w:rFonts w:hint="eastAsia" w:ascii="宋体" w:hAnsi="宋体" w:eastAsia="宋体" w:cs="宋体"/>
                <w:color w:val="auto"/>
                <w:szCs w:val="21"/>
                <w:highlight w:val="none"/>
              </w:rPr>
            </w:pPr>
          </w:p>
        </w:tc>
      </w:tr>
      <w:tr w14:paraId="7FEC1E39">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15EE10D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679330EF">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730CB8D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0B22C57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0125901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471277B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4F94DD1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458684D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7333959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51D07DF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6DCC2142">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146C6974">
            <w:pPr>
              <w:jc w:val="center"/>
              <w:rPr>
                <w:rFonts w:hint="eastAsia" w:ascii="宋体" w:hAnsi="宋体" w:eastAsia="宋体" w:cs="宋体"/>
                <w:color w:val="auto"/>
                <w:szCs w:val="21"/>
                <w:highlight w:val="none"/>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695EA595">
            <w:pPr>
              <w:jc w:val="center"/>
              <w:rPr>
                <w:rFonts w:hint="eastAsia" w:ascii="宋体" w:hAnsi="宋体" w:eastAsia="宋体" w:cs="宋体"/>
                <w:color w:val="auto"/>
                <w:szCs w:val="21"/>
                <w:highlight w:val="none"/>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5FC0937A">
            <w:pPr>
              <w:jc w:val="center"/>
              <w:rPr>
                <w:rFonts w:hint="eastAsia" w:ascii="宋体" w:hAnsi="宋体" w:eastAsia="宋体" w:cs="宋体"/>
                <w:color w:val="auto"/>
                <w:szCs w:val="21"/>
                <w:highlight w:val="none"/>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57C0F2E1">
            <w:pPr>
              <w:jc w:val="center"/>
              <w:rPr>
                <w:rFonts w:hint="eastAsia" w:ascii="宋体" w:hAnsi="宋体" w:eastAsia="宋体" w:cs="宋体"/>
                <w:color w:val="auto"/>
                <w:szCs w:val="21"/>
                <w:highlight w:val="none"/>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10ED3E95">
            <w:pPr>
              <w:jc w:val="center"/>
              <w:rPr>
                <w:rFonts w:hint="eastAsia" w:ascii="宋体" w:hAnsi="宋体" w:eastAsia="宋体" w:cs="宋体"/>
                <w:color w:val="auto"/>
                <w:szCs w:val="21"/>
                <w:highlight w:val="none"/>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5E3BF416">
            <w:pPr>
              <w:jc w:val="center"/>
              <w:rPr>
                <w:rFonts w:hint="eastAsia" w:ascii="宋体" w:hAnsi="宋体" w:eastAsia="宋体" w:cs="宋体"/>
                <w:color w:val="auto"/>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1D0D25A7">
            <w:pPr>
              <w:jc w:val="center"/>
              <w:rPr>
                <w:rFonts w:hint="eastAsia" w:ascii="宋体" w:hAnsi="宋体" w:eastAsia="宋体" w:cs="宋体"/>
                <w:color w:val="auto"/>
                <w:szCs w:val="21"/>
                <w:highlight w:val="none"/>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3C69469D">
            <w:pPr>
              <w:jc w:val="center"/>
              <w:rPr>
                <w:rFonts w:hint="eastAsia" w:ascii="宋体" w:hAnsi="宋体" w:eastAsia="宋体" w:cs="宋体"/>
                <w:color w:val="auto"/>
                <w:szCs w:val="21"/>
                <w:highlight w:val="none"/>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2F6E457E">
            <w:pPr>
              <w:jc w:val="center"/>
              <w:rPr>
                <w:rFonts w:hint="eastAsia" w:ascii="宋体" w:hAnsi="宋体" w:eastAsia="宋体" w:cs="宋体"/>
                <w:color w:val="auto"/>
                <w:szCs w:val="21"/>
                <w:highlight w:val="none"/>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3BFA82C9">
            <w:pPr>
              <w:jc w:val="center"/>
              <w:rPr>
                <w:rFonts w:hint="eastAsia" w:ascii="宋体" w:hAnsi="宋体" w:eastAsia="宋体" w:cs="宋体"/>
                <w:color w:val="auto"/>
                <w:szCs w:val="21"/>
                <w:highlight w:val="none"/>
              </w:rPr>
            </w:pPr>
          </w:p>
        </w:tc>
      </w:tr>
      <w:tr w14:paraId="2E14C1BA">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01B17F75">
            <w:pPr>
              <w:jc w:val="center"/>
              <w:rPr>
                <w:rFonts w:hint="eastAsia" w:ascii="宋体" w:hAnsi="宋体" w:eastAsia="宋体" w:cs="宋体"/>
                <w:color w:val="auto"/>
                <w:szCs w:val="21"/>
                <w:highlight w:val="none"/>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20FE87B0">
            <w:pPr>
              <w:jc w:val="center"/>
              <w:rPr>
                <w:rFonts w:hint="eastAsia" w:ascii="宋体" w:hAnsi="宋体" w:eastAsia="宋体" w:cs="宋体"/>
                <w:color w:val="auto"/>
                <w:szCs w:val="21"/>
                <w:highlight w:val="none"/>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0F2A7579">
            <w:pPr>
              <w:jc w:val="center"/>
              <w:rPr>
                <w:rFonts w:hint="eastAsia" w:ascii="宋体" w:hAnsi="宋体" w:eastAsia="宋体" w:cs="宋体"/>
                <w:color w:val="auto"/>
                <w:szCs w:val="21"/>
                <w:highlight w:val="none"/>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44CDBF02">
            <w:pPr>
              <w:jc w:val="center"/>
              <w:rPr>
                <w:rFonts w:hint="eastAsia" w:ascii="宋体" w:hAnsi="宋体" w:eastAsia="宋体" w:cs="宋体"/>
                <w:color w:val="auto"/>
                <w:szCs w:val="21"/>
                <w:highlight w:val="none"/>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0AE5805F">
            <w:pPr>
              <w:jc w:val="center"/>
              <w:rPr>
                <w:rFonts w:hint="eastAsia" w:ascii="宋体" w:hAnsi="宋体" w:eastAsia="宋体" w:cs="宋体"/>
                <w:color w:val="auto"/>
                <w:szCs w:val="21"/>
                <w:highlight w:val="none"/>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07924FCE">
            <w:pPr>
              <w:jc w:val="center"/>
              <w:rPr>
                <w:rFonts w:hint="eastAsia" w:ascii="宋体" w:hAnsi="宋体" w:eastAsia="宋体" w:cs="宋体"/>
                <w:color w:val="auto"/>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4AB0293E">
            <w:pPr>
              <w:jc w:val="center"/>
              <w:rPr>
                <w:rFonts w:hint="eastAsia" w:ascii="宋体" w:hAnsi="宋体" w:eastAsia="宋体" w:cs="宋体"/>
                <w:color w:val="auto"/>
                <w:szCs w:val="21"/>
                <w:highlight w:val="none"/>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35D48070">
            <w:pPr>
              <w:jc w:val="center"/>
              <w:rPr>
                <w:rFonts w:hint="eastAsia" w:ascii="宋体" w:hAnsi="宋体" w:eastAsia="宋体" w:cs="宋体"/>
                <w:color w:val="auto"/>
                <w:szCs w:val="21"/>
                <w:highlight w:val="none"/>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3A28047D">
            <w:pPr>
              <w:jc w:val="center"/>
              <w:rPr>
                <w:rFonts w:hint="eastAsia" w:ascii="宋体" w:hAnsi="宋体" w:eastAsia="宋体" w:cs="宋体"/>
                <w:color w:val="auto"/>
                <w:szCs w:val="21"/>
                <w:highlight w:val="none"/>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4199F98B">
            <w:pPr>
              <w:jc w:val="center"/>
              <w:rPr>
                <w:rFonts w:hint="eastAsia" w:ascii="宋体" w:hAnsi="宋体" w:eastAsia="宋体" w:cs="宋体"/>
                <w:color w:val="auto"/>
                <w:szCs w:val="21"/>
                <w:highlight w:val="none"/>
              </w:rPr>
            </w:pPr>
          </w:p>
        </w:tc>
      </w:tr>
      <w:tr w14:paraId="097E61D4">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2464529F">
            <w:pPr>
              <w:jc w:val="center"/>
              <w:rPr>
                <w:rFonts w:hint="eastAsia" w:ascii="宋体" w:hAnsi="宋体" w:eastAsia="宋体" w:cs="宋体"/>
                <w:color w:val="auto"/>
                <w:szCs w:val="21"/>
                <w:highlight w:val="none"/>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7EF658B2">
            <w:pPr>
              <w:jc w:val="center"/>
              <w:rPr>
                <w:rFonts w:hint="eastAsia" w:ascii="宋体" w:hAnsi="宋体" w:eastAsia="宋体" w:cs="宋体"/>
                <w:color w:val="auto"/>
                <w:szCs w:val="21"/>
                <w:highlight w:val="none"/>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69DBCE9E">
            <w:pPr>
              <w:jc w:val="center"/>
              <w:rPr>
                <w:rFonts w:hint="eastAsia" w:ascii="宋体" w:hAnsi="宋体" w:eastAsia="宋体" w:cs="宋体"/>
                <w:color w:val="auto"/>
                <w:szCs w:val="21"/>
                <w:highlight w:val="none"/>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1886F191">
            <w:pPr>
              <w:jc w:val="center"/>
              <w:rPr>
                <w:rFonts w:hint="eastAsia" w:ascii="宋体" w:hAnsi="宋体" w:eastAsia="宋体" w:cs="宋体"/>
                <w:color w:val="auto"/>
                <w:szCs w:val="21"/>
                <w:highlight w:val="none"/>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726F64FA">
            <w:pPr>
              <w:jc w:val="center"/>
              <w:rPr>
                <w:rFonts w:hint="eastAsia" w:ascii="宋体" w:hAnsi="宋体" w:eastAsia="宋体" w:cs="宋体"/>
                <w:color w:val="auto"/>
                <w:szCs w:val="21"/>
                <w:highlight w:val="none"/>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745A2FF1">
            <w:pPr>
              <w:jc w:val="center"/>
              <w:rPr>
                <w:rFonts w:hint="eastAsia" w:ascii="宋体" w:hAnsi="宋体" w:eastAsia="宋体" w:cs="宋体"/>
                <w:color w:val="auto"/>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479A531F">
            <w:pPr>
              <w:jc w:val="center"/>
              <w:rPr>
                <w:rFonts w:hint="eastAsia" w:ascii="宋体" w:hAnsi="宋体" w:eastAsia="宋体" w:cs="宋体"/>
                <w:color w:val="auto"/>
                <w:szCs w:val="21"/>
                <w:highlight w:val="none"/>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238E67E5">
            <w:pPr>
              <w:jc w:val="center"/>
              <w:rPr>
                <w:rFonts w:hint="eastAsia" w:ascii="宋体" w:hAnsi="宋体" w:eastAsia="宋体" w:cs="宋体"/>
                <w:color w:val="auto"/>
                <w:szCs w:val="21"/>
                <w:highlight w:val="none"/>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0933FD60">
            <w:pPr>
              <w:jc w:val="center"/>
              <w:rPr>
                <w:rFonts w:hint="eastAsia" w:ascii="宋体" w:hAnsi="宋体" w:eastAsia="宋体" w:cs="宋体"/>
                <w:color w:val="auto"/>
                <w:szCs w:val="21"/>
                <w:highlight w:val="none"/>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3BA6CA85">
            <w:pPr>
              <w:jc w:val="center"/>
              <w:rPr>
                <w:rFonts w:hint="eastAsia" w:ascii="宋体" w:hAnsi="宋体" w:eastAsia="宋体" w:cs="宋体"/>
                <w:color w:val="auto"/>
                <w:szCs w:val="21"/>
                <w:highlight w:val="none"/>
              </w:rPr>
            </w:pPr>
          </w:p>
        </w:tc>
      </w:tr>
      <w:tr w14:paraId="0508FFAF">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1DBA6DE2">
            <w:pPr>
              <w:jc w:val="center"/>
              <w:rPr>
                <w:rFonts w:hint="eastAsia" w:ascii="宋体" w:hAnsi="宋体" w:eastAsia="宋体" w:cs="宋体"/>
                <w:color w:val="auto"/>
                <w:szCs w:val="21"/>
                <w:highlight w:val="none"/>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3DB62866">
            <w:pPr>
              <w:jc w:val="center"/>
              <w:rPr>
                <w:rFonts w:hint="eastAsia" w:ascii="宋体" w:hAnsi="宋体" w:eastAsia="宋体" w:cs="宋体"/>
                <w:color w:val="auto"/>
                <w:szCs w:val="21"/>
                <w:highlight w:val="none"/>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1115D54F">
            <w:pPr>
              <w:jc w:val="center"/>
              <w:rPr>
                <w:rFonts w:hint="eastAsia" w:ascii="宋体" w:hAnsi="宋体" w:eastAsia="宋体" w:cs="宋体"/>
                <w:color w:val="auto"/>
                <w:szCs w:val="21"/>
                <w:highlight w:val="none"/>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14FB94C8">
            <w:pPr>
              <w:jc w:val="center"/>
              <w:rPr>
                <w:rFonts w:hint="eastAsia" w:ascii="宋体" w:hAnsi="宋体" w:eastAsia="宋体" w:cs="宋体"/>
                <w:color w:val="auto"/>
                <w:szCs w:val="21"/>
                <w:highlight w:val="none"/>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11030E74">
            <w:pPr>
              <w:jc w:val="center"/>
              <w:rPr>
                <w:rFonts w:hint="eastAsia" w:ascii="宋体" w:hAnsi="宋体" w:eastAsia="宋体" w:cs="宋体"/>
                <w:color w:val="auto"/>
                <w:szCs w:val="21"/>
                <w:highlight w:val="none"/>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3C5DCB79">
            <w:pPr>
              <w:jc w:val="center"/>
              <w:rPr>
                <w:rFonts w:hint="eastAsia" w:ascii="宋体" w:hAnsi="宋体" w:eastAsia="宋体" w:cs="宋体"/>
                <w:color w:val="auto"/>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3C0018B0">
            <w:pPr>
              <w:jc w:val="center"/>
              <w:rPr>
                <w:rFonts w:hint="eastAsia" w:ascii="宋体" w:hAnsi="宋体" w:eastAsia="宋体" w:cs="宋体"/>
                <w:color w:val="auto"/>
                <w:szCs w:val="21"/>
                <w:highlight w:val="none"/>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28BF07AE">
            <w:pPr>
              <w:jc w:val="center"/>
              <w:rPr>
                <w:rFonts w:hint="eastAsia" w:ascii="宋体" w:hAnsi="宋体" w:eastAsia="宋体" w:cs="宋体"/>
                <w:color w:val="auto"/>
                <w:szCs w:val="21"/>
                <w:highlight w:val="none"/>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7622DA2D">
            <w:pPr>
              <w:jc w:val="center"/>
              <w:rPr>
                <w:rFonts w:hint="eastAsia" w:ascii="宋体" w:hAnsi="宋体" w:eastAsia="宋体" w:cs="宋体"/>
                <w:color w:val="auto"/>
                <w:szCs w:val="21"/>
                <w:highlight w:val="none"/>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4F9F09CB">
            <w:pPr>
              <w:jc w:val="center"/>
              <w:rPr>
                <w:rFonts w:hint="eastAsia" w:ascii="宋体" w:hAnsi="宋体" w:eastAsia="宋体" w:cs="宋体"/>
                <w:color w:val="auto"/>
                <w:szCs w:val="21"/>
                <w:highlight w:val="none"/>
              </w:rPr>
            </w:pPr>
          </w:p>
        </w:tc>
      </w:tr>
      <w:tr w14:paraId="3A2ADD94">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1394FC1E">
            <w:pPr>
              <w:jc w:val="center"/>
              <w:rPr>
                <w:rFonts w:hint="eastAsia" w:ascii="宋体" w:hAnsi="宋体" w:eastAsia="宋体" w:cs="宋体"/>
                <w:color w:val="auto"/>
                <w:szCs w:val="21"/>
                <w:highlight w:val="none"/>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443F0BD9">
            <w:pPr>
              <w:jc w:val="center"/>
              <w:rPr>
                <w:rFonts w:hint="eastAsia" w:ascii="宋体" w:hAnsi="宋体" w:eastAsia="宋体" w:cs="宋体"/>
                <w:color w:val="auto"/>
                <w:szCs w:val="21"/>
                <w:highlight w:val="none"/>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2642AA22">
            <w:pPr>
              <w:jc w:val="center"/>
              <w:rPr>
                <w:rFonts w:hint="eastAsia" w:ascii="宋体" w:hAnsi="宋体" w:eastAsia="宋体" w:cs="宋体"/>
                <w:color w:val="auto"/>
                <w:szCs w:val="21"/>
                <w:highlight w:val="none"/>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61EC46A5">
            <w:pPr>
              <w:jc w:val="center"/>
              <w:rPr>
                <w:rFonts w:hint="eastAsia" w:ascii="宋体" w:hAnsi="宋体" w:eastAsia="宋体" w:cs="宋体"/>
                <w:color w:val="auto"/>
                <w:szCs w:val="21"/>
                <w:highlight w:val="none"/>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5634A985">
            <w:pPr>
              <w:jc w:val="center"/>
              <w:rPr>
                <w:rFonts w:hint="eastAsia" w:ascii="宋体" w:hAnsi="宋体" w:eastAsia="宋体" w:cs="宋体"/>
                <w:color w:val="auto"/>
                <w:szCs w:val="21"/>
                <w:highlight w:val="none"/>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0DD5BBC4">
            <w:pPr>
              <w:jc w:val="center"/>
              <w:rPr>
                <w:rFonts w:hint="eastAsia" w:ascii="宋体" w:hAnsi="宋体" w:eastAsia="宋体" w:cs="宋体"/>
                <w:color w:val="auto"/>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7C7B3AAE">
            <w:pPr>
              <w:jc w:val="center"/>
              <w:rPr>
                <w:rFonts w:hint="eastAsia" w:ascii="宋体" w:hAnsi="宋体" w:eastAsia="宋体" w:cs="宋体"/>
                <w:color w:val="auto"/>
                <w:szCs w:val="21"/>
                <w:highlight w:val="none"/>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21A02198">
            <w:pPr>
              <w:jc w:val="center"/>
              <w:rPr>
                <w:rFonts w:hint="eastAsia" w:ascii="宋体" w:hAnsi="宋体" w:eastAsia="宋体" w:cs="宋体"/>
                <w:color w:val="auto"/>
                <w:szCs w:val="21"/>
                <w:highlight w:val="none"/>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41E93150">
            <w:pPr>
              <w:jc w:val="center"/>
              <w:rPr>
                <w:rFonts w:hint="eastAsia" w:ascii="宋体" w:hAnsi="宋体" w:eastAsia="宋体" w:cs="宋体"/>
                <w:color w:val="auto"/>
                <w:szCs w:val="21"/>
                <w:highlight w:val="none"/>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53B1AC8C">
            <w:pPr>
              <w:jc w:val="center"/>
              <w:rPr>
                <w:rFonts w:hint="eastAsia" w:ascii="宋体" w:hAnsi="宋体" w:eastAsia="宋体" w:cs="宋体"/>
                <w:color w:val="auto"/>
                <w:szCs w:val="21"/>
                <w:highlight w:val="none"/>
              </w:rPr>
            </w:pPr>
          </w:p>
        </w:tc>
      </w:tr>
      <w:tr w14:paraId="26E8A893">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4E446017">
            <w:pPr>
              <w:jc w:val="center"/>
              <w:rPr>
                <w:rFonts w:hint="eastAsia" w:ascii="宋体" w:hAnsi="宋体" w:eastAsia="宋体" w:cs="宋体"/>
                <w:color w:val="auto"/>
                <w:szCs w:val="21"/>
                <w:highlight w:val="none"/>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7EF11B1F">
            <w:pPr>
              <w:jc w:val="center"/>
              <w:rPr>
                <w:rFonts w:hint="eastAsia" w:ascii="宋体" w:hAnsi="宋体" w:eastAsia="宋体" w:cs="宋体"/>
                <w:color w:val="auto"/>
                <w:szCs w:val="21"/>
                <w:highlight w:val="none"/>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1FD33CA7">
            <w:pPr>
              <w:jc w:val="center"/>
              <w:rPr>
                <w:rFonts w:hint="eastAsia" w:ascii="宋体" w:hAnsi="宋体" w:eastAsia="宋体" w:cs="宋体"/>
                <w:color w:val="auto"/>
                <w:szCs w:val="21"/>
                <w:highlight w:val="none"/>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419ECF4E">
            <w:pPr>
              <w:jc w:val="center"/>
              <w:rPr>
                <w:rFonts w:hint="eastAsia" w:ascii="宋体" w:hAnsi="宋体" w:eastAsia="宋体" w:cs="宋体"/>
                <w:color w:val="auto"/>
                <w:szCs w:val="21"/>
                <w:highlight w:val="none"/>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62D7A6C3">
            <w:pPr>
              <w:jc w:val="center"/>
              <w:rPr>
                <w:rFonts w:hint="eastAsia" w:ascii="宋体" w:hAnsi="宋体" w:eastAsia="宋体" w:cs="宋体"/>
                <w:color w:val="auto"/>
                <w:szCs w:val="21"/>
                <w:highlight w:val="none"/>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4DB157F1">
            <w:pPr>
              <w:jc w:val="center"/>
              <w:rPr>
                <w:rFonts w:hint="eastAsia" w:ascii="宋体" w:hAnsi="宋体" w:eastAsia="宋体" w:cs="宋体"/>
                <w:color w:val="auto"/>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5C026840">
            <w:pPr>
              <w:jc w:val="center"/>
              <w:rPr>
                <w:rFonts w:hint="eastAsia" w:ascii="宋体" w:hAnsi="宋体" w:eastAsia="宋体" w:cs="宋体"/>
                <w:color w:val="auto"/>
                <w:szCs w:val="21"/>
                <w:highlight w:val="none"/>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7926A620">
            <w:pPr>
              <w:jc w:val="center"/>
              <w:rPr>
                <w:rFonts w:hint="eastAsia" w:ascii="宋体" w:hAnsi="宋体" w:eastAsia="宋体" w:cs="宋体"/>
                <w:color w:val="auto"/>
                <w:szCs w:val="21"/>
                <w:highlight w:val="none"/>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4B264629">
            <w:pPr>
              <w:jc w:val="center"/>
              <w:rPr>
                <w:rFonts w:hint="eastAsia" w:ascii="宋体" w:hAnsi="宋体" w:eastAsia="宋体" w:cs="宋体"/>
                <w:color w:val="auto"/>
                <w:szCs w:val="21"/>
                <w:highlight w:val="none"/>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309CEDD0">
            <w:pPr>
              <w:jc w:val="center"/>
              <w:rPr>
                <w:rFonts w:hint="eastAsia" w:ascii="宋体" w:hAnsi="宋体" w:eastAsia="宋体" w:cs="宋体"/>
                <w:color w:val="auto"/>
                <w:szCs w:val="21"/>
                <w:highlight w:val="none"/>
              </w:rPr>
            </w:pPr>
          </w:p>
        </w:tc>
      </w:tr>
      <w:tr w14:paraId="61BFEB66">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6" w:space="0"/>
              <w:right w:val="single" w:color="000000" w:sz="6" w:space="0"/>
            </w:tcBorders>
            <w:noWrap w:val="0"/>
            <w:vAlign w:val="center"/>
          </w:tcPr>
          <w:p w14:paraId="5CCBD811">
            <w:pPr>
              <w:jc w:val="center"/>
              <w:rPr>
                <w:rFonts w:hint="eastAsia" w:ascii="宋体" w:hAnsi="宋体" w:eastAsia="宋体" w:cs="宋体"/>
                <w:color w:val="auto"/>
                <w:szCs w:val="21"/>
                <w:highlight w:val="none"/>
              </w:rPr>
            </w:pPr>
          </w:p>
        </w:tc>
        <w:tc>
          <w:tcPr>
            <w:tcW w:w="1448" w:type="dxa"/>
            <w:tcBorders>
              <w:top w:val="single" w:color="000000" w:sz="6" w:space="0"/>
              <w:left w:val="single" w:color="000000" w:sz="6" w:space="0"/>
              <w:bottom w:val="single" w:color="000000" w:sz="6" w:space="0"/>
              <w:right w:val="single" w:color="000000" w:sz="6" w:space="0"/>
            </w:tcBorders>
            <w:noWrap w:val="0"/>
            <w:vAlign w:val="center"/>
          </w:tcPr>
          <w:p w14:paraId="27F0B85C">
            <w:pPr>
              <w:jc w:val="center"/>
              <w:rPr>
                <w:rFonts w:hint="eastAsia" w:ascii="宋体" w:hAnsi="宋体" w:eastAsia="宋体" w:cs="宋体"/>
                <w:color w:val="auto"/>
                <w:szCs w:val="21"/>
                <w:highlight w:val="none"/>
              </w:rPr>
            </w:pPr>
          </w:p>
        </w:tc>
        <w:tc>
          <w:tcPr>
            <w:tcW w:w="1034" w:type="dxa"/>
            <w:tcBorders>
              <w:top w:val="single" w:color="000000" w:sz="6" w:space="0"/>
              <w:left w:val="single" w:color="000000" w:sz="6" w:space="0"/>
              <w:bottom w:val="single" w:color="000000" w:sz="6" w:space="0"/>
              <w:right w:val="single" w:color="000000" w:sz="6" w:space="0"/>
            </w:tcBorders>
            <w:noWrap w:val="0"/>
            <w:vAlign w:val="center"/>
          </w:tcPr>
          <w:p w14:paraId="7BDBEE9E">
            <w:pPr>
              <w:jc w:val="center"/>
              <w:rPr>
                <w:rFonts w:hint="eastAsia" w:ascii="宋体" w:hAnsi="宋体" w:eastAsia="宋体" w:cs="宋体"/>
                <w:color w:val="auto"/>
                <w:szCs w:val="21"/>
                <w:highlight w:val="none"/>
              </w:rPr>
            </w:pPr>
          </w:p>
        </w:tc>
        <w:tc>
          <w:tcPr>
            <w:tcW w:w="614" w:type="dxa"/>
            <w:tcBorders>
              <w:top w:val="single" w:color="000000" w:sz="6" w:space="0"/>
              <w:left w:val="single" w:color="000000" w:sz="6" w:space="0"/>
              <w:bottom w:val="single" w:color="000000" w:sz="6" w:space="0"/>
              <w:right w:val="single" w:color="000000" w:sz="6" w:space="0"/>
            </w:tcBorders>
            <w:noWrap w:val="0"/>
            <w:vAlign w:val="center"/>
          </w:tcPr>
          <w:p w14:paraId="1EF5D19B">
            <w:pPr>
              <w:jc w:val="center"/>
              <w:rPr>
                <w:rFonts w:hint="eastAsia" w:ascii="宋体" w:hAnsi="宋体" w:eastAsia="宋体" w:cs="宋体"/>
                <w:color w:val="auto"/>
                <w:szCs w:val="21"/>
                <w:highlight w:val="none"/>
              </w:rPr>
            </w:pPr>
          </w:p>
        </w:tc>
        <w:tc>
          <w:tcPr>
            <w:tcW w:w="763" w:type="dxa"/>
            <w:tcBorders>
              <w:top w:val="single" w:color="000000" w:sz="6" w:space="0"/>
              <w:left w:val="single" w:color="000000" w:sz="6" w:space="0"/>
              <w:bottom w:val="single" w:color="000000" w:sz="6" w:space="0"/>
              <w:right w:val="single" w:color="000000" w:sz="6" w:space="0"/>
            </w:tcBorders>
            <w:noWrap w:val="0"/>
            <w:vAlign w:val="center"/>
          </w:tcPr>
          <w:p w14:paraId="2731F770">
            <w:pPr>
              <w:jc w:val="center"/>
              <w:rPr>
                <w:rFonts w:hint="eastAsia" w:ascii="宋体" w:hAnsi="宋体" w:eastAsia="宋体" w:cs="宋体"/>
                <w:color w:val="auto"/>
                <w:szCs w:val="21"/>
                <w:highlight w:val="none"/>
              </w:rPr>
            </w:pPr>
          </w:p>
        </w:tc>
        <w:tc>
          <w:tcPr>
            <w:tcW w:w="896" w:type="dxa"/>
            <w:tcBorders>
              <w:top w:val="single" w:color="000000" w:sz="6" w:space="0"/>
              <w:left w:val="single" w:color="000000" w:sz="6" w:space="0"/>
              <w:bottom w:val="single" w:color="000000" w:sz="6" w:space="0"/>
              <w:right w:val="single" w:color="000000" w:sz="6" w:space="0"/>
            </w:tcBorders>
            <w:noWrap w:val="0"/>
            <w:vAlign w:val="center"/>
          </w:tcPr>
          <w:p w14:paraId="503AF82F">
            <w:pPr>
              <w:jc w:val="center"/>
              <w:rPr>
                <w:rFonts w:hint="eastAsia" w:ascii="宋体" w:hAnsi="宋体" w:eastAsia="宋体" w:cs="宋体"/>
                <w:color w:val="auto"/>
                <w:szCs w:val="21"/>
                <w:highlight w:val="none"/>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0B61A804">
            <w:pPr>
              <w:jc w:val="center"/>
              <w:rPr>
                <w:rFonts w:hint="eastAsia" w:ascii="宋体" w:hAnsi="宋体" w:eastAsia="宋体" w:cs="宋体"/>
                <w:color w:val="auto"/>
                <w:szCs w:val="21"/>
                <w:highlight w:val="none"/>
              </w:rPr>
            </w:pPr>
          </w:p>
        </w:tc>
        <w:tc>
          <w:tcPr>
            <w:tcW w:w="1260" w:type="dxa"/>
            <w:tcBorders>
              <w:top w:val="single" w:color="000000" w:sz="6" w:space="0"/>
              <w:left w:val="single" w:color="000000" w:sz="6" w:space="0"/>
              <w:bottom w:val="single" w:color="000000" w:sz="6" w:space="0"/>
              <w:right w:val="single" w:color="000000" w:sz="6" w:space="0"/>
            </w:tcBorders>
            <w:noWrap w:val="0"/>
            <w:vAlign w:val="center"/>
          </w:tcPr>
          <w:p w14:paraId="1101EC42">
            <w:pPr>
              <w:jc w:val="center"/>
              <w:rPr>
                <w:rFonts w:hint="eastAsia" w:ascii="宋体" w:hAnsi="宋体" w:eastAsia="宋体" w:cs="宋体"/>
                <w:color w:val="auto"/>
                <w:szCs w:val="21"/>
                <w:highlight w:val="none"/>
              </w:rPr>
            </w:pPr>
          </w:p>
        </w:tc>
        <w:tc>
          <w:tcPr>
            <w:tcW w:w="1410" w:type="dxa"/>
            <w:tcBorders>
              <w:top w:val="single" w:color="000000" w:sz="6" w:space="0"/>
              <w:left w:val="single" w:color="000000" w:sz="6" w:space="0"/>
              <w:bottom w:val="single" w:color="000000" w:sz="6" w:space="0"/>
              <w:right w:val="single" w:color="000000" w:sz="6" w:space="0"/>
            </w:tcBorders>
            <w:noWrap w:val="0"/>
            <w:vAlign w:val="center"/>
          </w:tcPr>
          <w:p w14:paraId="19CEBC37">
            <w:pPr>
              <w:jc w:val="center"/>
              <w:rPr>
                <w:rFonts w:hint="eastAsia" w:ascii="宋体" w:hAnsi="宋体" w:eastAsia="宋体" w:cs="宋体"/>
                <w:color w:val="auto"/>
                <w:szCs w:val="21"/>
                <w:highlight w:val="none"/>
              </w:rPr>
            </w:pPr>
          </w:p>
        </w:tc>
        <w:tc>
          <w:tcPr>
            <w:tcW w:w="698" w:type="dxa"/>
            <w:tcBorders>
              <w:top w:val="single" w:color="000000" w:sz="6" w:space="0"/>
              <w:left w:val="single" w:color="000000" w:sz="6" w:space="0"/>
              <w:bottom w:val="single" w:color="000000" w:sz="6" w:space="0"/>
              <w:right w:val="single" w:color="000000" w:sz="12" w:space="0"/>
            </w:tcBorders>
            <w:noWrap w:val="0"/>
            <w:vAlign w:val="center"/>
          </w:tcPr>
          <w:p w14:paraId="2B07AC4A">
            <w:pPr>
              <w:jc w:val="center"/>
              <w:rPr>
                <w:rFonts w:hint="eastAsia" w:ascii="宋体" w:hAnsi="宋体" w:eastAsia="宋体" w:cs="宋体"/>
                <w:color w:val="auto"/>
                <w:szCs w:val="21"/>
                <w:highlight w:val="none"/>
              </w:rPr>
            </w:pPr>
          </w:p>
        </w:tc>
      </w:tr>
      <w:tr w14:paraId="7A9DF2B3">
        <w:tblPrEx>
          <w:tblCellMar>
            <w:top w:w="0" w:type="dxa"/>
            <w:left w:w="28" w:type="dxa"/>
            <w:bottom w:w="0" w:type="dxa"/>
            <w:right w:w="28" w:type="dxa"/>
          </w:tblCellMar>
        </w:tblPrEx>
        <w:trPr>
          <w:trHeight w:val="567" w:hRule="atLeast"/>
          <w:jc w:val="center"/>
        </w:trPr>
        <w:tc>
          <w:tcPr>
            <w:tcW w:w="677" w:type="dxa"/>
            <w:tcBorders>
              <w:top w:val="single" w:color="000000" w:sz="6" w:space="0"/>
              <w:left w:val="single" w:color="000000" w:sz="12" w:space="0"/>
              <w:bottom w:val="single" w:color="000000" w:sz="12" w:space="0"/>
              <w:right w:val="single" w:color="000000" w:sz="6" w:space="0"/>
            </w:tcBorders>
            <w:noWrap w:val="0"/>
            <w:vAlign w:val="center"/>
          </w:tcPr>
          <w:p w14:paraId="72E7E6DD">
            <w:pPr>
              <w:jc w:val="center"/>
              <w:rPr>
                <w:rFonts w:hint="eastAsia" w:ascii="宋体" w:hAnsi="宋体" w:eastAsia="宋体" w:cs="宋体"/>
                <w:color w:val="auto"/>
                <w:szCs w:val="21"/>
                <w:highlight w:val="none"/>
              </w:rPr>
            </w:pPr>
          </w:p>
        </w:tc>
        <w:tc>
          <w:tcPr>
            <w:tcW w:w="1448" w:type="dxa"/>
            <w:tcBorders>
              <w:top w:val="single" w:color="000000" w:sz="6" w:space="0"/>
              <w:left w:val="single" w:color="000000" w:sz="6" w:space="0"/>
              <w:bottom w:val="single" w:color="000000" w:sz="12" w:space="0"/>
              <w:right w:val="single" w:color="000000" w:sz="6" w:space="0"/>
            </w:tcBorders>
            <w:noWrap w:val="0"/>
            <w:vAlign w:val="center"/>
          </w:tcPr>
          <w:p w14:paraId="53B431F3">
            <w:pPr>
              <w:jc w:val="center"/>
              <w:rPr>
                <w:rFonts w:hint="eastAsia" w:ascii="宋体" w:hAnsi="宋体" w:eastAsia="宋体" w:cs="宋体"/>
                <w:color w:val="auto"/>
                <w:szCs w:val="21"/>
                <w:highlight w:val="none"/>
              </w:rPr>
            </w:pPr>
          </w:p>
        </w:tc>
        <w:tc>
          <w:tcPr>
            <w:tcW w:w="1034" w:type="dxa"/>
            <w:tcBorders>
              <w:top w:val="single" w:color="000000" w:sz="6" w:space="0"/>
              <w:left w:val="single" w:color="000000" w:sz="6" w:space="0"/>
              <w:bottom w:val="single" w:color="000000" w:sz="12" w:space="0"/>
              <w:right w:val="single" w:color="000000" w:sz="6" w:space="0"/>
            </w:tcBorders>
            <w:noWrap w:val="0"/>
            <w:vAlign w:val="center"/>
          </w:tcPr>
          <w:p w14:paraId="23920384">
            <w:pPr>
              <w:jc w:val="center"/>
              <w:rPr>
                <w:rFonts w:hint="eastAsia" w:ascii="宋体" w:hAnsi="宋体" w:eastAsia="宋体" w:cs="宋体"/>
                <w:color w:val="auto"/>
                <w:szCs w:val="21"/>
                <w:highlight w:val="none"/>
              </w:rPr>
            </w:pPr>
          </w:p>
        </w:tc>
        <w:tc>
          <w:tcPr>
            <w:tcW w:w="614" w:type="dxa"/>
            <w:tcBorders>
              <w:top w:val="single" w:color="000000" w:sz="6" w:space="0"/>
              <w:left w:val="single" w:color="000000" w:sz="6" w:space="0"/>
              <w:bottom w:val="single" w:color="000000" w:sz="12" w:space="0"/>
              <w:right w:val="single" w:color="000000" w:sz="6" w:space="0"/>
            </w:tcBorders>
            <w:noWrap w:val="0"/>
            <w:vAlign w:val="center"/>
          </w:tcPr>
          <w:p w14:paraId="24BA6542">
            <w:pPr>
              <w:jc w:val="center"/>
              <w:rPr>
                <w:rFonts w:hint="eastAsia" w:ascii="宋体" w:hAnsi="宋体" w:eastAsia="宋体" w:cs="宋体"/>
                <w:color w:val="auto"/>
                <w:szCs w:val="21"/>
                <w:highlight w:val="none"/>
              </w:rPr>
            </w:pPr>
          </w:p>
        </w:tc>
        <w:tc>
          <w:tcPr>
            <w:tcW w:w="763" w:type="dxa"/>
            <w:tcBorders>
              <w:top w:val="single" w:color="000000" w:sz="6" w:space="0"/>
              <w:left w:val="single" w:color="000000" w:sz="6" w:space="0"/>
              <w:bottom w:val="single" w:color="000000" w:sz="12" w:space="0"/>
              <w:right w:val="single" w:color="000000" w:sz="6" w:space="0"/>
            </w:tcBorders>
            <w:noWrap w:val="0"/>
            <w:vAlign w:val="center"/>
          </w:tcPr>
          <w:p w14:paraId="41CA5C12">
            <w:pPr>
              <w:jc w:val="center"/>
              <w:rPr>
                <w:rFonts w:hint="eastAsia" w:ascii="宋体" w:hAnsi="宋体" w:eastAsia="宋体" w:cs="宋体"/>
                <w:color w:val="auto"/>
                <w:szCs w:val="21"/>
                <w:highlight w:val="none"/>
              </w:rPr>
            </w:pPr>
          </w:p>
        </w:tc>
        <w:tc>
          <w:tcPr>
            <w:tcW w:w="896" w:type="dxa"/>
            <w:tcBorders>
              <w:top w:val="single" w:color="000000" w:sz="6" w:space="0"/>
              <w:left w:val="single" w:color="000000" w:sz="6" w:space="0"/>
              <w:bottom w:val="single" w:color="000000" w:sz="12" w:space="0"/>
              <w:right w:val="single" w:color="000000" w:sz="6" w:space="0"/>
            </w:tcBorders>
            <w:noWrap w:val="0"/>
            <w:vAlign w:val="center"/>
          </w:tcPr>
          <w:p w14:paraId="47535098">
            <w:pPr>
              <w:jc w:val="center"/>
              <w:rPr>
                <w:rFonts w:hint="eastAsia" w:ascii="宋体" w:hAnsi="宋体" w:eastAsia="宋体" w:cs="宋体"/>
                <w:color w:val="auto"/>
                <w:szCs w:val="21"/>
                <w:highlight w:val="none"/>
              </w:rPr>
            </w:pPr>
          </w:p>
        </w:tc>
        <w:tc>
          <w:tcPr>
            <w:tcW w:w="1110" w:type="dxa"/>
            <w:tcBorders>
              <w:top w:val="single" w:color="000000" w:sz="6" w:space="0"/>
              <w:left w:val="single" w:color="000000" w:sz="6" w:space="0"/>
              <w:bottom w:val="single" w:color="000000" w:sz="12" w:space="0"/>
              <w:right w:val="single" w:color="000000" w:sz="6" w:space="0"/>
            </w:tcBorders>
            <w:noWrap w:val="0"/>
            <w:vAlign w:val="center"/>
          </w:tcPr>
          <w:p w14:paraId="64510E67">
            <w:pPr>
              <w:jc w:val="center"/>
              <w:rPr>
                <w:rFonts w:hint="eastAsia" w:ascii="宋体" w:hAnsi="宋体" w:eastAsia="宋体" w:cs="宋体"/>
                <w:color w:val="auto"/>
                <w:szCs w:val="21"/>
                <w:highlight w:val="none"/>
              </w:rPr>
            </w:pPr>
          </w:p>
        </w:tc>
        <w:tc>
          <w:tcPr>
            <w:tcW w:w="1260" w:type="dxa"/>
            <w:tcBorders>
              <w:top w:val="single" w:color="000000" w:sz="6" w:space="0"/>
              <w:left w:val="single" w:color="000000" w:sz="6" w:space="0"/>
              <w:bottom w:val="single" w:color="000000" w:sz="12" w:space="0"/>
              <w:right w:val="single" w:color="000000" w:sz="6" w:space="0"/>
            </w:tcBorders>
            <w:noWrap w:val="0"/>
            <w:vAlign w:val="center"/>
          </w:tcPr>
          <w:p w14:paraId="2E67247D">
            <w:pPr>
              <w:jc w:val="center"/>
              <w:rPr>
                <w:rFonts w:hint="eastAsia" w:ascii="宋体" w:hAnsi="宋体" w:eastAsia="宋体" w:cs="宋体"/>
                <w:color w:val="auto"/>
                <w:szCs w:val="21"/>
                <w:highlight w:val="none"/>
              </w:rPr>
            </w:pPr>
          </w:p>
        </w:tc>
        <w:tc>
          <w:tcPr>
            <w:tcW w:w="1410" w:type="dxa"/>
            <w:tcBorders>
              <w:top w:val="single" w:color="000000" w:sz="6" w:space="0"/>
              <w:left w:val="single" w:color="000000" w:sz="6" w:space="0"/>
              <w:bottom w:val="single" w:color="000000" w:sz="12" w:space="0"/>
              <w:right w:val="single" w:color="000000" w:sz="6" w:space="0"/>
            </w:tcBorders>
            <w:noWrap w:val="0"/>
            <w:vAlign w:val="center"/>
          </w:tcPr>
          <w:p w14:paraId="6A35DF0B">
            <w:pPr>
              <w:jc w:val="center"/>
              <w:rPr>
                <w:rFonts w:hint="eastAsia" w:ascii="宋体" w:hAnsi="宋体" w:eastAsia="宋体" w:cs="宋体"/>
                <w:color w:val="auto"/>
                <w:szCs w:val="21"/>
                <w:highlight w:val="none"/>
              </w:rPr>
            </w:pPr>
          </w:p>
        </w:tc>
        <w:tc>
          <w:tcPr>
            <w:tcW w:w="698" w:type="dxa"/>
            <w:tcBorders>
              <w:top w:val="single" w:color="000000" w:sz="6" w:space="0"/>
              <w:left w:val="single" w:color="000000" w:sz="6" w:space="0"/>
              <w:bottom w:val="single" w:color="000000" w:sz="12" w:space="0"/>
              <w:right w:val="single" w:color="000000" w:sz="12" w:space="0"/>
            </w:tcBorders>
            <w:noWrap w:val="0"/>
            <w:vAlign w:val="center"/>
          </w:tcPr>
          <w:p w14:paraId="764BCBC2">
            <w:pPr>
              <w:jc w:val="center"/>
              <w:rPr>
                <w:rFonts w:hint="eastAsia" w:ascii="宋体" w:hAnsi="宋体" w:eastAsia="宋体" w:cs="宋体"/>
                <w:color w:val="auto"/>
                <w:szCs w:val="21"/>
                <w:highlight w:val="none"/>
              </w:rPr>
            </w:pPr>
          </w:p>
        </w:tc>
      </w:tr>
    </w:tbl>
    <w:p w14:paraId="7A549B0A">
      <w:pPr>
        <w:spacing w:line="440" w:lineRule="exact"/>
        <w:rPr>
          <w:rFonts w:hint="eastAsia" w:ascii="宋体" w:hAnsi="宋体" w:eastAsia="宋体" w:cs="宋体"/>
          <w:color w:val="auto"/>
          <w:szCs w:val="21"/>
          <w:highlight w:val="none"/>
        </w:rPr>
      </w:pPr>
    </w:p>
    <w:p w14:paraId="4AAD8627">
      <w:pPr>
        <w:spacing w:line="440" w:lineRule="exact"/>
        <w:rPr>
          <w:rFonts w:hint="eastAsia" w:ascii="宋体" w:hAnsi="宋体" w:eastAsia="宋体" w:cs="宋体"/>
          <w:color w:val="auto"/>
          <w:szCs w:val="21"/>
          <w:highlight w:val="none"/>
        </w:rPr>
      </w:pPr>
    </w:p>
    <w:p w14:paraId="2F1F1C18">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br w:type="page" w:clear="all"/>
      </w:r>
    </w:p>
    <w:p w14:paraId="65F687EA">
      <w:pPr>
        <w:spacing w:line="360" w:lineRule="auto"/>
        <w:rPr>
          <w:rFonts w:ascii="Times New Roman" w:hAnsi="Times New Roman" w:eastAsia="宋体" w:cs="Times New Roman"/>
          <w:color w:val="auto"/>
          <w:highlight w:val="none"/>
        </w:rPr>
      </w:pPr>
      <w:r>
        <w:rPr>
          <w:rFonts w:hint="eastAsia" w:ascii="宋体" w:hAnsi="宋体" w:eastAsia="宋体" w:cs="宋体"/>
          <w:color w:val="auto"/>
          <w:szCs w:val="21"/>
          <w:highlight w:val="none"/>
          <w:lang w:bidi="ar"/>
        </w:rPr>
        <w:t xml:space="preserve">附件3：    </w:t>
      </w:r>
    </w:p>
    <w:p w14:paraId="6BACA709">
      <w:pPr>
        <w:keepNext w:val="0"/>
        <w:keepLines w:val="0"/>
        <w:pageBreakBefore w:val="0"/>
        <w:widowControl w:val="0"/>
        <w:spacing w:line="480" w:lineRule="auto"/>
        <w:jc w:val="center"/>
        <w:rPr>
          <w:rFonts w:hint="eastAsia" w:ascii="宋体" w:hAnsi="宋体" w:eastAsia="宋体" w:cs="宋体"/>
          <w:b/>
          <w:bCs/>
          <w:color w:val="auto"/>
          <w:sz w:val="24"/>
          <w:szCs w:val="24"/>
          <w:highlight w:val="none"/>
          <w:lang w:bidi="ar"/>
        </w:rPr>
      </w:pPr>
      <w:r>
        <w:rPr>
          <w:rFonts w:hint="eastAsia" w:ascii="宋体" w:hAnsi="宋体" w:eastAsia="宋体" w:cs="宋体"/>
          <w:b/>
          <w:color w:val="auto"/>
          <w:sz w:val="24"/>
          <w:szCs w:val="24"/>
          <w:highlight w:val="none"/>
          <w:lang w:bidi="ar"/>
        </w:rPr>
        <w:t>工程质量保修书</w:t>
      </w:r>
    </w:p>
    <w:p w14:paraId="5E798076">
      <w:pPr>
        <w:keepNext w:val="0"/>
        <w:keepLines w:val="0"/>
        <w:pageBreakBefore w:val="0"/>
        <w:widowControl w:val="0"/>
        <w:spacing w:line="360" w:lineRule="auto"/>
        <w:ind w:firstLine="420"/>
        <w:rPr>
          <w:rFonts w:hint="default" w:ascii="宋体" w:hAnsi="宋体" w:eastAsia="宋体" w:cs="宋体"/>
          <w:color w:val="auto"/>
          <w:sz w:val="24"/>
          <w:szCs w:val="24"/>
          <w:highlight w:val="none"/>
          <w:lang w:val="en-US" w:eastAsia="zh-CN" w:bidi="ar"/>
        </w:rPr>
      </w:pPr>
      <w:r>
        <w:rPr>
          <w:rFonts w:hint="eastAsia" w:ascii="宋体" w:hAnsi="宋体" w:eastAsia="宋体" w:cs="宋体"/>
          <w:b/>
          <w:bCs/>
          <w:color w:val="auto"/>
          <w:sz w:val="24"/>
          <w:szCs w:val="24"/>
          <w:highlight w:val="none"/>
          <w:lang w:bidi="ar"/>
        </w:rPr>
        <w:t>发包人（全称）：</w:t>
      </w:r>
      <w:r>
        <w:rPr>
          <w:rFonts w:hint="eastAsia" w:ascii="宋体" w:hAnsi="宋体" w:eastAsia="宋体" w:cs="宋体"/>
          <w:b/>
          <w:color w:val="auto"/>
          <w:sz w:val="24"/>
          <w:szCs w:val="24"/>
          <w:highlight w:val="none"/>
          <w:u w:val="single"/>
          <w:lang w:val="en-US" w:eastAsia="zh-CN" w:bidi="ar"/>
        </w:rPr>
        <w:t>江苏省经贸技师学院</w:t>
      </w:r>
    </w:p>
    <w:p w14:paraId="5B6A3CBB">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承包人（全称）：</w:t>
      </w:r>
      <w:r>
        <w:rPr>
          <w:rFonts w:hint="eastAsia" w:ascii="宋体" w:hAnsi="宋体" w:eastAsia="宋体" w:cs="宋体"/>
          <w:color w:val="auto"/>
          <w:sz w:val="24"/>
          <w:szCs w:val="24"/>
          <w:highlight w:val="none"/>
          <w:u w:val="single"/>
          <w:lang w:bidi="ar"/>
        </w:rPr>
        <w:t xml:space="preserve">                    </w:t>
      </w:r>
    </w:p>
    <w:p w14:paraId="3C5F923F">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发包人和承包人根据《中华人民共和国建筑法》和《建设工程质量管理条例》，经协商一致就</w:t>
      </w:r>
      <w:r>
        <w:rPr>
          <w:rFonts w:hint="eastAsia" w:ascii="宋体" w:hAnsi="宋体" w:eastAsia="宋体" w:cs="宋体"/>
          <w:b/>
          <w:bCs/>
          <w:color w:val="auto"/>
          <w:sz w:val="24"/>
          <w:szCs w:val="24"/>
          <w:highlight w:val="none"/>
          <w:u w:val="single"/>
          <w:lang w:eastAsia="zh-CN" w:bidi="ar"/>
        </w:rPr>
        <w:t>国际学术交流中心消防整改项目（专门面向中小微企业)</w:t>
      </w:r>
      <w:r>
        <w:rPr>
          <w:rFonts w:hint="eastAsia" w:ascii="宋体" w:hAnsi="宋体" w:eastAsia="宋体" w:cs="宋体"/>
          <w:color w:val="auto"/>
          <w:sz w:val="24"/>
          <w:szCs w:val="24"/>
          <w:highlight w:val="none"/>
          <w:lang w:bidi="ar"/>
        </w:rPr>
        <w:t>（工程全称）签订工程质量保修书。</w:t>
      </w:r>
    </w:p>
    <w:p w14:paraId="5D0EDB6C">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一、工程质量保修范围和内容</w:t>
      </w:r>
    </w:p>
    <w:p w14:paraId="0749AC9F">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承包人在质量保修期内，按照有关法律规定和合同约定，承担工程质量保修责任。</w:t>
      </w:r>
    </w:p>
    <w:p w14:paraId="15F8749A">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4"/>
          <w:szCs w:val="24"/>
          <w:highlight w:val="none"/>
          <w:u w:val="single"/>
          <w:lang w:bidi="ar"/>
        </w:rPr>
        <w:t>根据《建设工程质量管理条例》及有关规定执行</w:t>
      </w:r>
      <w:r>
        <w:rPr>
          <w:rFonts w:hint="eastAsia" w:ascii="宋体" w:hAnsi="宋体" w:eastAsia="宋体" w:cs="宋体"/>
          <w:color w:val="auto"/>
          <w:sz w:val="24"/>
          <w:szCs w:val="24"/>
          <w:highlight w:val="none"/>
          <w:lang w:bidi="ar"/>
        </w:rPr>
        <w:t>。</w:t>
      </w:r>
    </w:p>
    <w:p w14:paraId="037930C0">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二、质量保修期</w:t>
      </w:r>
    </w:p>
    <w:p w14:paraId="0F879E3A">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根据《建设工程质量管理条例》及有关规定，工程的质量保修期如下：</w:t>
      </w:r>
    </w:p>
    <w:p w14:paraId="5A94BD1E">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1．地基基础工程和主体结构工程为设计文件规定的工程合理使用年限；</w:t>
      </w:r>
    </w:p>
    <w:p w14:paraId="61EA0431">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2．屋面防水工程、有防水要求的卫生间、房间和外墙面的防渗为</w:t>
      </w:r>
      <w:r>
        <w:rPr>
          <w:rFonts w:hint="eastAsia" w:ascii="宋体" w:hAnsi="宋体" w:eastAsia="宋体" w:cs="宋体"/>
          <w:color w:val="auto"/>
          <w:sz w:val="24"/>
          <w:szCs w:val="24"/>
          <w:highlight w:val="none"/>
          <w:u w:val="single"/>
          <w:lang w:bidi="ar"/>
        </w:rPr>
        <w:t xml:space="preserve"> 5 </w:t>
      </w:r>
      <w:r>
        <w:rPr>
          <w:rFonts w:hint="eastAsia" w:ascii="宋体" w:hAnsi="宋体" w:eastAsia="宋体" w:cs="宋体"/>
          <w:color w:val="auto"/>
          <w:sz w:val="24"/>
          <w:szCs w:val="24"/>
          <w:highlight w:val="none"/>
          <w:lang w:bidi="ar"/>
        </w:rPr>
        <w:t>年；</w:t>
      </w:r>
    </w:p>
    <w:p w14:paraId="11203FD8">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3．装修工程为</w:t>
      </w:r>
      <w:r>
        <w:rPr>
          <w:rFonts w:hint="eastAsia" w:ascii="宋体" w:hAnsi="宋体" w:eastAsia="宋体" w:cs="宋体"/>
          <w:color w:val="auto"/>
          <w:sz w:val="24"/>
          <w:szCs w:val="24"/>
          <w:highlight w:val="none"/>
          <w:u w:val="single"/>
          <w:lang w:bidi="ar"/>
        </w:rPr>
        <w:t xml:space="preserve"> 2 </w:t>
      </w:r>
      <w:r>
        <w:rPr>
          <w:rFonts w:hint="eastAsia" w:ascii="宋体" w:hAnsi="宋体" w:eastAsia="宋体" w:cs="宋体"/>
          <w:color w:val="auto"/>
          <w:sz w:val="24"/>
          <w:szCs w:val="24"/>
          <w:highlight w:val="none"/>
          <w:lang w:bidi="ar"/>
        </w:rPr>
        <w:t>年；</w:t>
      </w:r>
    </w:p>
    <w:p w14:paraId="763EFEEF">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4．电气管线、给排水管道、设备安装工程为</w:t>
      </w:r>
      <w:r>
        <w:rPr>
          <w:rFonts w:hint="eastAsia" w:ascii="宋体" w:hAnsi="宋体" w:eastAsia="宋体" w:cs="宋体"/>
          <w:color w:val="auto"/>
          <w:sz w:val="24"/>
          <w:szCs w:val="24"/>
          <w:highlight w:val="none"/>
          <w:u w:val="single"/>
          <w:lang w:bidi="ar"/>
        </w:rPr>
        <w:t xml:space="preserve"> 2</w:t>
      </w:r>
      <w:r>
        <w:rPr>
          <w:rFonts w:hint="eastAsia" w:ascii="宋体" w:hAnsi="宋体" w:eastAsia="宋体" w:cs="宋体"/>
          <w:color w:val="auto"/>
          <w:sz w:val="24"/>
          <w:szCs w:val="24"/>
          <w:highlight w:val="none"/>
          <w:lang w:bidi="ar"/>
        </w:rPr>
        <w:t>年；</w:t>
      </w:r>
    </w:p>
    <w:p w14:paraId="71AC8D3B">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5．供热与供冷系统为</w:t>
      </w:r>
      <w:r>
        <w:rPr>
          <w:rFonts w:hint="eastAsia" w:ascii="宋体" w:hAnsi="宋体" w:eastAsia="宋体" w:cs="宋体"/>
          <w:color w:val="auto"/>
          <w:sz w:val="24"/>
          <w:szCs w:val="24"/>
          <w:highlight w:val="none"/>
          <w:u w:val="single"/>
          <w:lang w:bidi="ar"/>
        </w:rPr>
        <w:t xml:space="preserve"> 2 </w:t>
      </w:r>
      <w:r>
        <w:rPr>
          <w:rFonts w:hint="eastAsia" w:ascii="宋体" w:hAnsi="宋体" w:eastAsia="宋体" w:cs="宋体"/>
          <w:color w:val="auto"/>
          <w:sz w:val="24"/>
          <w:szCs w:val="24"/>
          <w:highlight w:val="none"/>
          <w:lang w:bidi="ar"/>
        </w:rPr>
        <w:t>个采暖期、供冷期；</w:t>
      </w:r>
    </w:p>
    <w:p w14:paraId="0CADCAA2">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6．住宅小区内的给排水设施、道路等配套工程为</w:t>
      </w:r>
      <w:r>
        <w:rPr>
          <w:rFonts w:hint="eastAsia" w:ascii="宋体" w:hAnsi="宋体" w:eastAsia="宋体" w:cs="宋体"/>
          <w:color w:val="auto"/>
          <w:sz w:val="24"/>
          <w:szCs w:val="24"/>
          <w:highlight w:val="none"/>
          <w:u w:val="single"/>
          <w:lang w:bidi="ar"/>
        </w:rPr>
        <w:t xml:space="preserve"> 2 </w:t>
      </w:r>
      <w:r>
        <w:rPr>
          <w:rFonts w:hint="eastAsia" w:ascii="宋体" w:hAnsi="宋体" w:eastAsia="宋体" w:cs="宋体"/>
          <w:color w:val="auto"/>
          <w:sz w:val="24"/>
          <w:szCs w:val="24"/>
          <w:highlight w:val="none"/>
          <w:lang w:bidi="ar"/>
        </w:rPr>
        <w:t>年；</w:t>
      </w:r>
    </w:p>
    <w:p w14:paraId="26DC87AD">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7．其他项目保修期限约定如下：</w:t>
      </w:r>
      <w:r>
        <w:rPr>
          <w:rFonts w:hint="eastAsia" w:ascii="宋体" w:hAnsi="宋体" w:eastAsia="宋体" w:cs="宋体"/>
          <w:color w:val="auto"/>
          <w:sz w:val="24"/>
          <w:szCs w:val="24"/>
          <w:highlight w:val="none"/>
          <w:u w:val="single"/>
          <w:lang w:val="en-US" w:eastAsia="zh-CN" w:bidi="ar"/>
        </w:rPr>
        <w:t>不少于2年</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w:t>
      </w:r>
    </w:p>
    <w:p w14:paraId="15B826E5">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质量保修期自工程竣工验收合格之日起计算。</w:t>
      </w:r>
    </w:p>
    <w:p w14:paraId="5321AA86">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三、缺陷责任期</w:t>
      </w:r>
    </w:p>
    <w:p w14:paraId="62601882">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工程缺陷责任期为</w:t>
      </w:r>
      <w:r>
        <w:rPr>
          <w:rFonts w:hint="eastAsia" w:ascii="宋体" w:hAnsi="宋体" w:eastAsia="宋体" w:cs="宋体"/>
          <w:color w:val="auto"/>
          <w:sz w:val="24"/>
          <w:szCs w:val="24"/>
          <w:highlight w:val="none"/>
          <w:u w:val="single"/>
          <w:lang w:bidi="ar"/>
        </w:rPr>
        <w:t xml:space="preserve"> 24 </w:t>
      </w:r>
      <w:r>
        <w:rPr>
          <w:rFonts w:hint="eastAsia" w:ascii="宋体" w:hAnsi="宋体" w:eastAsia="宋体" w:cs="宋体"/>
          <w:color w:val="auto"/>
          <w:sz w:val="24"/>
          <w:szCs w:val="24"/>
          <w:highlight w:val="none"/>
          <w:lang w:bidi="ar"/>
        </w:rPr>
        <w:t>个月，缺陷责任期自工程通过竣工验收之日起计算。单位工程先于全部工程进行验收，单位工程缺陷责任期自单位工程验收合格之日起算。</w:t>
      </w:r>
    </w:p>
    <w:p w14:paraId="33FA8B7E">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缺陷责任期终止后，发包人应退还剩余的质量保证金。</w:t>
      </w:r>
    </w:p>
    <w:p w14:paraId="667B3D60">
      <w:pPr>
        <w:keepNext w:val="0"/>
        <w:keepLines w:val="0"/>
        <w:pageBreakBefore w:val="0"/>
        <w:widowControl w:val="0"/>
        <w:spacing w:line="360" w:lineRule="auto"/>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    四、质量保修责任</w:t>
      </w:r>
    </w:p>
    <w:p w14:paraId="368B1F10">
      <w:pPr>
        <w:keepNext w:val="0"/>
        <w:keepLines w:val="0"/>
        <w:pageBreakBefore w:val="0"/>
        <w:widowControl w:val="0"/>
        <w:spacing w:line="360" w:lineRule="auto"/>
        <w:ind w:firstLine="428"/>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1．属于保修范围、内容的项目，承包人应当在接到保修通知之日起7天内派人保修。承包人不在约定期限内派人保修的，发包人可以委托他人修理。</w:t>
      </w:r>
    </w:p>
    <w:p w14:paraId="04226A39">
      <w:pPr>
        <w:keepNext w:val="0"/>
        <w:keepLines w:val="0"/>
        <w:pageBreakBefore w:val="0"/>
        <w:widowControl w:val="0"/>
        <w:spacing w:line="360" w:lineRule="auto"/>
        <w:ind w:firstLine="428"/>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2．发生紧急事故需抢修的，承包人在接到事故通知后，应当立即到达事故现场抢修。</w:t>
      </w:r>
    </w:p>
    <w:p w14:paraId="674AB759">
      <w:pPr>
        <w:keepNext w:val="0"/>
        <w:keepLines w:val="0"/>
        <w:pageBreakBefore w:val="0"/>
        <w:widowControl w:val="0"/>
        <w:spacing w:line="360" w:lineRule="auto"/>
        <w:ind w:firstLine="428"/>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6714559">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4．质量保修完成后，由发包人组织验收。</w:t>
      </w:r>
    </w:p>
    <w:p w14:paraId="29769CDE">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五、保修费用</w:t>
      </w:r>
    </w:p>
    <w:p w14:paraId="76CB5DA4">
      <w:pPr>
        <w:keepNext w:val="0"/>
        <w:keepLines w:val="0"/>
        <w:pageBreakBefore w:val="0"/>
        <w:widowControl w:val="0"/>
        <w:spacing w:line="360" w:lineRule="auto"/>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保修费用由造成质量缺陷的责任方承担。</w:t>
      </w:r>
    </w:p>
    <w:p w14:paraId="59FF8953">
      <w:pPr>
        <w:keepNext w:val="0"/>
        <w:keepLines w:val="0"/>
        <w:pageBreakBefore w:val="0"/>
        <w:widowControl w:val="0"/>
        <w:spacing w:line="360" w:lineRule="auto"/>
        <w:ind w:firstLine="420"/>
        <w:jc w:val="left"/>
        <w:rPr>
          <w:rFonts w:ascii="Times New Roman" w:hAnsi="Times New Roman" w:eastAsia="宋体" w:cs="Times New Roman"/>
          <w:color w:val="auto"/>
          <w:sz w:val="24"/>
          <w:szCs w:val="24"/>
          <w:highlight w:val="none"/>
        </w:rPr>
      </w:pPr>
      <w:r>
        <w:rPr>
          <w:rFonts w:hint="eastAsia" w:ascii="宋体" w:hAnsi="宋体" w:eastAsia="宋体" w:cs="宋体"/>
          <w:bCs/>
          <w:color w:val="auto"/>
          <w:sz w:val="24"/>
          <w:szCs w:val="24"/>
          <w:highlight w:val="none"/>
          <w:lang w:bidi="ar"/>
        </w:rPr>
        <w:t>六</w:t>
      </w:r>
      <w:r>
        <w:rPr>
          <w:rFonts w:hint="eastAsia" w:ascii="宋体" w:hAnsi="宋体" w:eastAsia="宋体" w:cs="宋体"/>
          <w:color w:val="auto"/>
          <w:sz w:val="24"/>
          <w:szCs w:val="24"/>
          <w:highlight w:val="none"/>
          <w:lang w:bidi="ar"/>
        </w:rPr>
        <w:t>、双方约定的其他工程质量保修事项：</w:t>
      </w:r>
      <w:r>
        <w:rPr>
          <w:rFonts w:hint="eastAsia" w:ascii="宋体" w:hAnsi="宋体" w:eastAsia="宋体" w:cs="宋体"/>
          <w:color w:val="auto"/>
          <w:sz w:val="24"/>
          <w:szCs w:val="24"/>
          <w:highlight w:val="none"/>
          <w:u w:val="single"/>
          <w:lang w:bidi="ar"/>
        </w:rPr>
        <w:t xml:space="preserve"> 根据《建设工程质量管理条例》及有关规定执行 </w:t>
      </w:r>
      <w:r>
        <w:rPr>
          <w:rFonts w:hint="eastAsia" w:ascii="宋体" w:hAnsi="宋体" w:eastAsia="宋体" w:cs="宋体"/>
          <w:color w:val="auto"/>
          <w:sz w:val="24"/>
          <w:szCs w:val="24"/>
          <w:highlight w:val="none"/>
          <w:lang w:bidi="ar"/>
        </w:rPr>
        <w:t>。</w:t>
      </w:r>
    </w:p>
    <w:p w14:paraId="62108371">
      <w:pPr>
        <w:keepNext w:val="0"/>
        <w:keepLines w:val="0"/>
        <w:pageBreakBefore w:val="0"/>
        <w:widowControl w:val="0"/>
        <w:spacing w:line="360" w:lineRule="auto"/>
        <w:ind w:firstLine="399"/>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工程质量保修书由发包人、承包人在工程竣工验收前共同签署，作为施工合同附件，其有效期限至保修期满。</w:t>
      </w:r>
    </w:p>
    <w:p w14:paraId="50EF477B">
      <w:pPr>
        <w:spacing w:line="360" w:lineRule="auto"/>
        <w:ind w:firstLine="420"/>
        <w:rPr>
          <w:rFonts w:hint="eastAsia" w:ascii="宋体" w:hAnsi="宋体" w:eastAsia="宋体" w:cs="宋体"/>
          <w:color w:val="auto"/>
          <w:sz w:val="24"/>
          <w:szCs w:val="24"/>
          <w:highlight w:val="none"/>
        </w:rPr>
      </w:pPr>
    </w:p>
    <w:p w14:paraId="3EED3453">
      <w:pPr>
        <w:spacing w:line="360" w:lineRule="auto"/>
        <w:jc w:val="left"/>
        <w:rPr>
          <w:rFonts w:hint="eastAsia" w:ascii="宋体" w:hAnsi="宋体" w:eastAsia="宋体" w:cs="宋体"/>
          <w:color w:val="auto"/>
          <w:sz w:val="24"/>
          <w:szCs w:val="24"/>
          <w:highlight w:val="none"/>
          <w:lang w:bidi="ar"/>
        </w:rPr>
      </w:pPr>
    </w:p>
    <w:p w14:paraId="066CFBC1">
      <w:pPr>
        <w:spacing w:line="360" w:lineRule="auto"/>
        <w:jc w:val="left"/>
        <w:rPr>
          <w:rFonts w:hint="eastAsia" w:ascii="宋体" w:hAnsi="宋体" w:eastAsia="宋体" w:cs="宋体"/>
          <w:color w:val="auto"/>
          <w:sz w:val="24"/>
          <w:szCs w:val="24"/>
          <w:highlight w:val="none"/>
          <w:lang w:bidi="ar"/>
        </w:rPr>
      </w:pPr>
    </w:p>
    <w:p w14:paraId="5834482F">
      <w:pPr>
        <w:keepNext w:val="0"/>
        <w:keepLines w:val="0"/>
        <w:pageBreakBefore w:val="0"/>
        <w:widowControl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发包人</w:t>
      </w:r>
      <w:r>
        <w:rPr>
          <w:rFonts w:hint="eastAsia" w:ascii="宋体" w:hAnsi="宋体" w:eastAsia="宋体" w:cs="宋体"/>
          <w:color w:val="auto"/>
          <w:sz w:val="24"/>
          <w:szCs w:val="24"/>
          <w:highlight w:val="none"/>
          <w:lang w:eastAsia="zh-CN" w:bidi="ar"/>
        </w:rPr>
        <w:t>（项目单位）</w:t>
      </w:r>
      <w:r>
        <w:rPr>
          <w:rFonts w:hint="eastAsia" w:ascii="宋体" w:hAnsi="宋体" w:eastAsia="宋体" w:cs="宋体"/>
          <w:color w:val="auto"/>
          <w:sz w:val="24"/>
          <w:szCs w:val="24"/>
          <w:highlight w:val="none"/>
          <w:lang w:bidi="ar"/>
        </w:rPr>
        <w:t xml:space="preserve">(公章)： </w:t>
      </w:r>
      <w:r>
        <w:rPr>
          <w:rFonts w:hint="eastAsia" w:ascii="宋体" w:hAnsi="宋体" w:eastAsia="宋体" w:cs="MingLiU_HKSCS"/>
          <w:color w:val="auto"/>
          <w:sz w:val="24"/>
          <w:szCs w:val="24"/>
          <w:highlight w:val="none"/>
          <w:lang w:bidi="ar"/>
        </w:rPr>
        <w:t xml:space="preserve"> </w:t>
      </w:r>
      <w:r>
        <w:rPr>
          <w:rFonts w:hint="eastAsia" w:ascii="宋体" w:hAnsi="宋体" w:eastAsia="宋体" w:cs="宋体"/>
          <w:color w:val="auto"/>
          <w:sz w:val="24"/>
          <w:szCs w:val="24"/>
          <w:highlight w:val="none"/>
          <w:lang w:bidi="ar"/>
        </w:rPr>
        <w:t xml:space="preserve"> </w:t>
      </w:r>
      <w:r>
        <w:rPr>
          <w:rFonts w:hint="eastAsia" w:ascii="宋体" w:hAnsi="宋体" w:eastAsia="宋体" w:cs="MingLiU_HKSCS"/>
          <w:color w:val="auto"/>
          <w:sz w:val="24"/>
          <w:szCs w:val="24"/>
          <w:highlight w:val="none"/>
          <w:lang w:bidi="ar"/>
        </w:rPr>
        <w:t xml:space="preserve">  </w:t>
      </w: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承包人(公章)：</w:t>
      </w:r>
      <w:r>
        <w:rPr>
          <w:rFonts w:hint="eastAsia" w:ascii="宋体" w:hAnsi="宋体" w:eastAsia="宋体" w:cs="MingLiU_HKSCS"/>
          <w:color w:val="auto"/>
          <w:sz w:val="24"/>
          <w:szCs w:val="24"/>
          <w:highlight w:val="none"/>
          <w:lang w:bidi="ar"/>
        </w:rPr>
        <w:t xml:space="preserve"> </w:t>
      </w:r>
      <w:r>
        <w:rPr>
          <w:rFonts w:hint="eastAsia" w:ascii="宋体" w:hAnsi="宋体" w:eastAsia="宋体" w:cs="宋体"/>
          <w:color w:val="auto"/>
          <w:sz w:val="24"/>
          <w:szCs w:val="24"/>
          <w:highlight w:val="none"/>
          <w:lang w:bidi="ar"/>
        </w:rPr>
        <w:t xml:space="preserve">          </w:t>
      </w:r>
      <w:r>
        <w:rPr>
          <w:rFonts w:hint="eastAsia" w:ascii="宋体" w:hAnsi="宋体" w:eastAsia="宋体" w:cs="MingLiU_HKSCS"/>
          <w:color w:val="auto"/>
          <w:sz w:val="24"/>
          <w:szCs w:val="24"/>
          <w:highlight w:val="none"/>
          <w:lang w:bidi="ar"/>
        </w:rPr>
        <w:t xml:space="preserve"> </w:t>
      </w:r>
      <w:r>
        <w:rPr>
          <w:rFonts w:hint="eastAsia" w:ascii="宋体" w:hAnsi="宋体" w:eastAsia="宋体" w:cs="宋体"/>
          <w:color w:val="auto"/>
          <w:sz w:val="24"/>
          <w:szCs w:val="24"/>
          <w:highlight w:val="none"/>
          <w:lang w:bidi="ar"/>
        </w:rPr>
        <w:t xml:space="preserve"> </w:t>
      </w:r>
      <w:r>
        <w:rPr>
          <w:rFonts w:hint="eastAsia" w:ascii="宋体" w:hAnsi="宋体" w:eastAsia="宋体" w:cs="MingLiU_HKSCS"/>
          <w:color w:val="auto"/>
          <w:sz w:val="24"/>
          <w:szCs w:val="24"/>
          <w:highlight w:val="none"/>
          <w:lang w:bidi="ar"/>
        </w:rPr>
        <w:t xml:space="preserve">  </w:t>
      </w:r>
      <w:r>
        <w:rPr>
          <w:rFonts w:hint="eastAsia" w:ascii="宋体" w:hAnsi="宋体" w:eastAsia="宋体" w:cs="宋体"/>
          <w:color w:val="auto"/>
          <w:sz w:val="24"/>
          <w:szCs w:val="24"/>
          <w:highlight w:val="none"/>
          <w:lang w:bidi="ar"/>
        </w:rPr>
        <w:t xml:space="preserve"> </w:t>
      </w:r>
      <w:r>
        <w:rPr>
          <w:rFonts w:hint="eastAsia" w:ascii="宋体" w:hAnsi="宋体" w:eastAsia="宋体" w:cs="MingLiU_HKSCS"/>
          <w:color w:val="auto"/>
          <w:sz w:val="24"/>
          <w:szCs w:val="24"/>
          <w:highlight w:val="none"/>
          <w:lang w:bidi="ar"/>
        </w:rPr>
        <w:t xml:space="preserve"> </w:t>
      </w:r>
      <w:r>
        <w:rPr>
          <w:rFonts w:hint="eastAsia" w:ascii="宋体" w:hAnsi="宋体" w:eastAsia="宋体" w:cs="宋体"/>
          <w:color w:val="auto"/>
          <w:sz w:val="24"/>
          <w:szCs w:val="24"/>
          <w:highlight w:val="none"/>
          <w:lang w:bidi="ar"/>
        </w:rPr>
        <w:t xml:space="preserve">      </w:t>
      </w:r>
    </w:p>
    <w:p w14:paraId="536DB578">
      <w:pPr>
        <w:keepNext w:val="0"/>
        <w:keepLines w:val="0"/>
        <w:pageBreakBefore w:val="0"/>
        <w:widowControl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法定代表人</w:t>
      </w:r>
      <w:r>
        <w:rPr>
          <w:rFonts w:hint="eastAsia" w:ascii="宋体" w:hAnsi="宋体" w:eastAsia="宋体" w:cs="宋体"/>
          <w:color w:val="auto"/>
          <w:sz w:val="24"/>
          <w:szCs w:val="24"/>
          <w:highlight w:val="none"/>
          <w:lang w:val="en-US" w:eastAsia="zh-CN" w:bidi="ar"/>
        </w:rPr>
        <w:t>或其</w:t>
      </w:r>
      <w:r>
        <w:rPr>
          <w:rFonts w:hint="eastAsia" w:ascii="宋体" w:hAnsi="宋体" w:eastAsia="宋体" w:cs="宋体"/>
          <w:color w:val="auto"/>
          <w:sz w:val="24"/>
          <w:szCs w:val="24"/>
          <w:highlight w:val="none"/>
          <w:lang w:bidi="ar"/>
        </w:rPr>
        <w:t>委托代理人(签字)：</w:t>
      </w:r>
      <w:r>
        <w:rPr>
          <w:rFonts w:hint="eastAsia" w:ascii="宋体" w:hAnsi="宋体" w:eastAsia="宋体" w:cs="MingLiU_HKSCS"/>
          <w:color w:val="auto"/>
          <w:sz w:val="24"/>
          <w:szCs w:val="24"/>
          <w:highlight w:val="none"/>
          <w:lang w:bidi="ar"/>
        </w:rPr>
        <w:t xml:space="preserve">  </w:t>
      </w: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法定代表人</w:t>
      </w:r>
      <w:r>
        <w:rPr>
          <w:rFonts w:hint="eastAsia" w:ascii="宋体" w:hAnsi="宋体" w:eastAsia="宋体" w:cs="宋体"/>
          <w:color w:val="auto"/>
          <w:sz w:val="24"/>
          <w:szCs w:val="24"/>
          <w:highlight w:val="none"/>
          <w:lang w:val="en-US" w:eastAsia="zh-CN" w:bidi="ar"/>
        </w:rPr>
        <w:t>或其</w:t>
      </w:r>
      <w:r>
        <w:rPr>
          <w:rFonts w:hint="eastAsia" w:ascii="宋体" w:hAnsi="宋体" w:eastAsia="宋体" w:cs="宋体"/>
          <w:color w:val="auto"/>
          <w:sz w:val="24"/>
          <w:szCs w:val="24"/>
          <w:highlight w:val="none"/>
          <w:lang w:bidi="ar"/>
        </w:rPr>
        <w:t>委托代理人(签字)：</w:t>
      </w:r>
      <w:r>
        <w:rPr>
          <w:rFonts w:hint="eastAsia" w:ascii="宋体" w:hAnsi="宋体" w:eastAsia="宋体" w:cs="MingLiU_HKSCS"/>
          <w:color w:val="auto"/>
          <w:sz w:val="24"/>
          <w:szCs w:val="24"/>
          <w:highlight w:val="none"/>
          <w:lang w:bidi="ar"/>
        </w:rPr>
        <w:t xml:space="preserve">    </w:t>
      </w:r>
      <w:r>
        <w:rPr>
          <w:rFonts w:hint="eastAsia" w:ascii="宋体" w:hAnsi="宋体" w:eastAsia="宋体" w:cs="宋体"/>
          <w:color w:val="auto"/>
          <w:sz w:val="24"/>
          <w:szCs w:val="24"/>
          <w:highlight w:val="none"/>
          <w:lang w:bidi="ar"/>
        </w:rPr>
        <w:t xml:space="preserve">       </w:t>
      </w:r>
    </w:p>
    <w:p w14:paraId="08295604">
      <w:pPr>
        <w:keepNext w:val="0"/>
        <w:keepLines w:val="0"/>
        <w:pageBreakBefore w:val="0"/>
        <w:widowControl w:val="0"/>
        <w:spacing w:line="360" w:lineRule="auto"/>
        <w:ind w:firstLine="480"/>
        <w:jc w:val="left"/>
        <w:rPr>
          <w:rFonts w:hint="eastAsia" w:ascii="宋体" w:hAnsi="宋体" w:eastAsia="宋体" w:cs="MingLiU_HKSCS"/>
          <w:color w:val="auto"/>
          <w:sz w:val="24"/>
          <w:szCs w:val="24"/>
          <w:highlight w:val="none"/>
          <w:lang w:bidi="ar"/>
        </w:rPr>
      </w:pPr>
      <w:r>
        <w:rPr>
          <w:rFonts w:hint="eastAsia" w:ascii="宋体" w:hAnsi="宋体" w:eastAsia="宋体" w:cs="宋体"/>
          <w:color w:val="auto"/>
          <w:sz w:val="24"/>
          <w:szCs w:val="24"/>
          <w:highlight w:val="none"/>
          <w:lang w:bidi="ar"/>
        </w:rPr>
        <w:t>签订日期：</w:t>
      </w:r>
      <w:r>
        <w:rPr>
          <w:rFonts w:hint="eastAsia" w:ascii="宋体" w:hAnsi="宋体" w:eastAsia="宋体" w:cs="MingLiU_HKSCS"/>
          <w:color w:val="auto"/>
          <w:sz w:val="24"/>
          <w:szCs w:val="24"/>
          <w:highlight w:val="none"/>
          <w:lang w:bidi="ar"/>
        </w:rPr>
        <w:t xml:space="preserve">     </w:t>
      </w: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MingLiU_HKSCS"/>
          <w:color w:val="auto"/>
          <w:sz w:val="24"/>
          <w:szCs w:val="24"/>
          <w:highlight w:val="none"/>
          <w:lang w:bidi="ar"/>
        </w:rPr>
        <w:t xml:space="preserve">       </w:t>
      </w:r>
    </w:p>
    <w:p w14:paraId="291449CC">
      <w:pPr>
        <w:spacing w:line="360" w:lineRule="auto"/>
        <w:rPr>
          <w:rFonts w:ascii="Times New Roman" w:hAnsi="Times New Roman" w:eastAsia="宋体" w:cs="Times New Roman"/>
          <w:color w:val="auto"/>
          <w:highlight w:val="none"/>
        </w:rPr>
      </w:pPr>
      <w:r>
        <w:rPr>
          <w:rFonts w:hint="eastAsia" w:ascii="宋体" w:hAnsi="宋体" w:eastAsia="宋体" w:cs="宋体"/>
          <w:color w:val="auto"/>
          <w:szCs w:val="21"/>
          <w:highlight w:val="none"/>
          <w:lang w:bidi="ar"/>
        </w:rPr>
        <w:t xml:space="preserve"> </w:t>
      </w:r>
    </w:p>
    <w:p w14:paraId="3CC2F9AA">
      <w:pPr>
        <w:spacing w:line="360" w:lineRule="auto"/>
        <w:jc w:val="left"/>
        <w:rPr>
          <w:rFonts w:hint="eastAsia" w:ascii="宋体" w:hAnsi="宋体" w:eastAsia="宋体" w:cs="MingLiU_HKSCS"/>
          <w:color w:val="auto"/>
          <w:szCs w:val="21"/>
          <w:highlight w:val="none"/>
          <w:lang w:bidi="ar"/>
        </w:rPr>
      </w:pPr>
      <w:r>
        <w:rPr>
          <w:rFonts w:hint="eastAsia" w:ascii="宋体" w:hAnsi="宋体" w:eastAsia="宋体" w:cs="宋体"/>
          <w:color w:val="auto"/>
          <w:szCs w:val="21"/>
          <w:highlight w:val="none"/>
          <w:lang w:bidi="ar"/>
        </w:rPr>
        <w:t xml:space="preserve"> </w:t>
      </w:r>
      <w:r>
        <w:rPr>
          <w:rFonts w:hint="eastAsia" w:ascii="宋体" w:hAnsi="宋体" w:eastAsia="宋体" w:cs="MingLiU_HKSCS"/>
          <w:color w:val="auto"/>
          <w:szCs w:val="21"/>
          <w:highlight w:val="none"/>
          <w:lang w:bidi="ar"/>
        </w:rPr>
        <w:t xml:space="preserve">      </w:t>
      </w:r>
      <w:r>
        <w:rPr>
          <w:rFonts w:hint="eastAsia" w:ascii="宋体" w:hAnsi="宋体" w:eastAsia="宋体" w:cs="宋体"/>
          <w:color w:val="auto"/>
          <w:szCs w:val="21"/>
          <w:highlight w:val="none"/>
          <w:lang w:bidi="ar"/>
        </w:rPr>
        <w:t xml:space="preserve">          </w:t>
      </w:r>
      <w:r>
        <w:rPr>
          <w:rFonts w:hint="eastAsia" w:ascii="宋体" w:hAnsi="宋体" w:eastAsia="宋体" w:cs="宋体"/>
          <w:color w:val="auto"/>
          <w:szCs w:val="21"/>
          <w:highlight w:val="none"/>
          <w:lang w:val="en-US" w:eastAsia="zh-CN" w:bidi="ar"/>
        </w:rPr>
        <w:t xml:space="preserve">               </w:t>
      </w:r>
      <w:r>
        <w:rPr>
          <w:rFonts w:hint="eastAsia" w:ascii="宋体" w:hAnsi="宋体" w:eastAsia="宋体" w:cs="MingLiU_HKSCS"/>
          <w:color w:val="auto"/>
          <w:szCs w:val="21"/>
          <w:highlight w:val="none"/>
          <w:lang w:bidi="ar"/>
        </w:rPr>
        <w:t xml:space="preserve">       </w:t>
      </w:r>
    </w:p>
    <w:p w14:paraId="3F112ED3">
      <w:pPr>
        <w:spacing w:line="360" w:lineRule="auto"/>
        <w:jc w:val="left"/>
        <w:rPr>
          <w:rFonts w:hint="eastAsia" w:ascii="宋体" w:hAnsi="宋体" w:eastAsia="宋体" w:cs="宋体"/>
          <w:color w:val="auto"/>
          <w:szCs w:val="21"/>
          <w:highlight w:val="none"/>
          <w:lang w:bidi="ar"/>
        </w:rPr>
      </w:pPr>
    </w:p>
    <w:p w14:paraId="39AA1213">
      <w:pPr>
        <w:spacing w:line="360" w:lineRule="auto"/>
        <w:jc w:val="left"/>
        <w:rPr>
          <w:rFonts w:hint="eastAsia" w:ascii="宋体" w:hAnsi="宋体" w:eastAsia="宋体" w:cs="宋体"/>
          <w:color w:val="auto"/>
          <w:szCs w:val="21"/>
          <w:highlight w:val="none"/>
          <w:lang w:bidi="ar"/>
        </w:rPr>
      </w:pPr>
    </w:p>
    <w:p w14:paraId="5AF695CF">
      <w:pPr>
        <w:spacing w:line="360" w:lineRule="auto"/>
        <w:jc w:val="left"/>
        <w:rPr>
          <w:rFonts w:hint="eastAsia" w:ascii="宋体" w:hAnsi="宋体" w:eastAsia="宋体" w:cs="宋体"/>
          <w:color w:val="auto"/>
          <w:szCs w:val="21"/>
          <w:highlight w:val="none"/>
          <w:lang w:bidi="ar"/>
        </w:rPr>
      </w:pPr>
    </w:p>
    <w:p w14:paraId="3A41875B">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br w:type="page" w:clear="all"/>
      </w:r>
    </w:p>
    <w:p w14:paraId="46F7EDA1">
      <w:pPr>
        <w:spacing w:line="360" w:lineRule="auto"/>
        <w:jc w:val="left"/>
        <w:rPr>
          <w:rFonts w:ascii="Times New Roman" w:hAnsi="Times New Roman" w:eastAsia="宋体" w:cs="Times New Roman"/>
          <w:color w:val="auto"/>
          <w:highlight w:val="none"/>
        </w:rPr>
      </w:pPr>
      <w:r>
        <w:rPr>
          <w:rFonts w:hint="eastAsia" w:ascii="宋体" w:hAnsi="宋体" w:eastAsia="宋体" w:cs="宋体"/>
          <w:color w:val="auto"/>
          <w:szCs w:val="21"/>
          <w:highlight w:val="none"/>
          <w:lang w:bidi="ar"/>
        </w:rPr>
        <w:t>附件4：</w:t>
      </w:r>
    </w:p>
    <w:p w14:paraId="42654042">
      <w:pPr>
        <w:spacing w:before="120" w:after="120" w:line="440" w:lineRule="exact"/>
        <w:jc w:val="center"/>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主要建设工程文件目录</w:t>
      </w:r>
    </w:p>
    <w:tbl>
      <w:tblPr>
        <w:tblStyle w:val="37"/>
        <w:tblW w:w="0" w:type="auto"/>
        <w:jc w:val="center"/>
        <w:tblLayout w:type="fixed"/>
        <w:tblCellMar>
          <w:top w:w="0" w:type="dxa"/>
          <w:left w:w="28" w:type="dxa"/>
          <w:bottom w:w="0" w:type="dxa"/>
          <w:right w:w="28" w:type="dxa"/>
        </w:tblCellMar>
      </w:tblPr>
      <w:tblGrid>
        <w:gridCol w:w="1954"/>
        <w:gridCol w:w="1276"/>
        <w:gridCol w:w="1451"/>
        <w:gridCol w:w="1243"/>
        <w:gridCol w:w="1451"/>
        <w:gridCol w:w="1698"/>
      </w:tblGrid>
      <w:tr w14:paraId="282DB102">
        <w:tblPrEx>
          <w:tblCellMar>
            <w:top w:w="0" w:type="dxa"/>
            <w:left w:w="28" w:type="dxa"/>
            <w:bottom w:w="0" w:type="dxa"/>
            <w:right w:w="28" w:type="dxa"/>
          </w:tblCellMar>
        </w:tblPrEx>
        <w:trPr>
          <w:jc w:val="center"/>
        </w:trPr>
        <w:tc>
          <w:tcPr>
            <w:tcW w:w="1954" w:type="dxa"/>
            <w:tcBorders>
              <w:top w:val="single" w:color="000000" w:sz="12" w:space="0"/>
              <w:left w:val="single" w:color="000000" w:sz="12" w:space="0"/>
              <w:bottom w:val="single" w:color="000000" w:sz="6" w:space="0"/>
              <w:right w:val="single" w:color="000000" w:sz="6" w:space="0"/>
            </w:tcBorders>
            <w:noWrap w:val="0"/>
            <w:vAlign w:val="center"/>
          </w:tcPr>
          <w:p w14:paraId="0AED07B0">
            <w:pPr>
              <w:keepNext/>
              <w:widowControl w:val="0"/>
              <w:spacing w:before="0" w:beforeAutospacing="1" w:after="0" w:afterAutospacing="1" w:line="440" w:lineRule="exact"/>
              <w:ind w:left="63" w:right="63"/>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文件名称</w:t>
            </w:r>
          </w:p>
        </w:tc>
        <w:tc>
          <w:tcPr>
            <w:tcW w:w="1276" w:type="dxa"/>
            <w:tcBorders>
              <w:top w:val="single" w:color="000000" w:sz="12" w:space="0"/>
              <w:left w:val="single" w:color="000000" w:sz="6" w:space="0"/>
              <w:bottom w:val="single" w:color="000000" w:sz="6" w:space="0"/>
              <w:right w:val="single" w:color="000000" w:sz="6" w:space="0"/>
            </w:tcBorders>
            <w:noWrap w:val="0"/>
            <w:vAlign w:val="center"/>
          </w:tcPr>
          <w:p w14:paraId="672AFB80">
            <w:pPr>
              <w:keepNext/>
              <w:widowControl w:val="0"/>
              <w:spacing w:before="0" w:beforeAutospacing="1" w:after="0" w:afterAutospacing="1" w:line="440" w:lineRule="exact"/>
              <w:ind w:left="63" w:right="63"/>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套数</w:t>
            </w:r>
          </w:p>
        </w:tc>
        <w:tc>
          <w:tcPr>
            <w:tcW w:w="1451" w:type="dxa"/>
            <w:tcBorders>
              <w:top w:val="single" w:color="000000" w:sz="12" w:space="0"/>
              <w:left w:val="single" w:color="000000" w:sz="6" w:space="0"/>
              <w:bottom w:val="single" w:color="000000" w:sz="6" w:space="0"/>
              <w:right w:val="single" w:color="000000" w:sz="6" w:space="0"/>
            </w:tcBorders>
            <w:noWrap w:val="0"/>
            <w:vAlign w:val="center"/>
          </w:tcPr>
          <w:p w14:paraId="76E989B0">
            <w:pPr>
              <w:keepNext/>
              <w:widowControl w:val="0"/>
              <w:spacing w:before="0" w:beforeAutospacing="1" w:after="0" w:afterAutospacing="1" w:line="440" w:lineRule="exact"/>
              <w:ind w:left="63" w:right="63"/>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费用（元）</w:t>
            </w:r>
          </w:p>
        </w:tc>
        <w:tc>
          <w:tcPr>
            <w:tcW w:w="1243" w:type="dxa"/>
            <w:tcBorders>
              <w:top w:val="single" w:color="000000" w:sz="12" w:space="0"/>
              <w:left w:val="single" w:color="000000" w:sz="6" w:space="0"/>
              <w:bottom w:val="single" w:color="000000" w:sz="6" w:space="0"/>
              <w:right w:val="single" w:color="000000" w:sz="6" w:space="0"/>
            </w:tcBorders>
            <w:noWrap w:val="0"/>
            <w:vAlign w:val="center"/>
          </w:tcPr>
          <w:p w14:paraId="1CD0E2CA">
            <w:pPr>
              <w:keepNext/>
              <w:widowControl w:val="0"/>
              <w:spacing w:before="0" w:beforeAutospacing="1" w:after="0" w:afterAutospacing="1" w:line="440" w:lineRule="exact"/>
              <w:ind w:left="63" w:right="63"/>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质量</w:t>
            </w:r>
          </w:p>
        </w:tc>
        <w:tc>
          <w:tcPr>
            <w:tcW w:w="1451" w:type="dxa"/>
            <w:tcBorders>
              <w:top w:val="single" w:color="000000" w:sz="12" w:space="0"/>
              <w:left w:val="single" w:color="000000" w:sz="6" w:space="0"/>
              <w:bottom w:val="single" w:color="000000" w:sz="6" w:space="0"/>
              <w:right w:val="single" w:color="000000" w:sz="6" w:space="0"/>
            </w:tcBorders>
            <w:noWrap w:val="0"/>
            <w:vAlign w:val="top"/>
          </w:tcPr>
          <w:p w14:paraId="085970E5">
            <w:pPr>
              <w:spacing w:line="440" w:lineRule="exact"/>
              <w:jc w:val="center"/>
              <w:rPr>
                <w:rFonts w:ascii="Times New Roman" w:hAnsi="Times New Roman" w:eastAsia="宋体" w:cs="Times New Roman"/>
                <w:color w:val="auto"/>
                <w:highlight w:val="none"/>
              </w:rPr>
            </w:pPr>
            <w:r>
              <w:rPr>
                <w:rFonts w:hint="eastAsia" w:ascii="宋体" w:hAnsi="宋体" w:eastAsia="宋体" w:cs="宋体"/>
                <w:color w:val="auto"/>
                <w:szCs w:val="21"/>
                <w:highlight w:val="none"/>
                <w:lang w:bidi="ar"/>
              </w:rPr>
              <w:t>移交时间</w:t>
            </w:r>
          </w:p>
        </w:tc>
        <w:tc>
          <w:tcPr>
            <w:tcW w:w="1698" w:type="dxa"/>
            <w:tcBorders>
              <w:top w:val="single" w:color="000000" w:sz="12" w:space="0"/>
              <w:left w:val="single" w:color="000000" w:sz="6" w:space="0"/>
              <w:bottom w:val="single" w:color="000000" w:sz="6" w:space="0"/>
              <w:right w:val="single" w:color="000000" w:sz="12" w:space="0"/>
            </w:tcBorders>
            <w:noWrap w:val="0"/>
            <w:vAlign w:val="top"/>
          </w:tcPr>
          <w:p w14:paraId="306BA733">
            <w:pPr>
              <w:spacing w:line="440" w:lineRule="exact"/>
              <w:jc w:val="center"/>
              <w:rPr>
                <w:rFonts w:ascii="Times New Roman" w:hAnsi="Times New Roman" w:eastAsia="宋体" w:cs="Times New Roman"/>
                <w:color w:val="auto"/>
                <w:highlight w:val="none"/>
              </w:rPr>
            </w:pPr>
            <w:r>
              <w:rPr>
                <w:rFonts w:hint="eastAsia" w:ascii="宋体" w:hAnsi="宋体" w:eastAsia="宋体" w:cs="宋体"/>
                <w:color w:val="auto"/>
                <w:szCs w:val="21"/>
                <w:highlight w:val="none"/>
                <w:lang w:bidi="ar"/>
              </w:rPr>
              <w:t>责任人</w:t>
            </w:r>
          </w:p>
        </w:tc>
      </w:tr>
      <w:tr w14:paraId="235C49A0">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5713D07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02CD791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76AD3A5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1B86CC3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44CBA20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0EAF8FF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45F7FE63">
        <w:tblPrEx>
          <w:tblCellMar>
            <w:top w:w="0" w:type="dxa"/>
            <w:left w:w="28" w:type="dxa"/>
            <w:bottom w:w="0" w:type="dxa"/>
            <w:right w:w="28" w:type="dxa"/>
          </w:tblCellMar>
        </w:tblPrEx>
        <w:trPr>
          <w:trHeight w:val="567" w:hRule="atLeast"/>
          <w:jc w:val="center"/>
        </w:trPr>
        <w:tc>
          <w:tcPr>
            <w:tcW w:w="1954" w:type="dxa"/>
            <w:tcBorders>
              <w:left w:val="single" w:color="000000" w:sz="12" w:space="0"/>
              <w:bottom w:val="single" w:color="000000" w:sz="6" w:space="0"/>
              <w:right w:val="single" w:color="000000" w:sz="6" w:space="0"/>
            </w:tcBorders>
            <w:noWrap w:val="0"/>
            <w:vAlign w:val="center"/>
          </w:tcPr>
          <w:p w14:paraId="53A88D4F">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6" w:type="dxa"/>
            <w:tcBorders>
              <w:left w:val="single" w:color="000000" w:sz="6" w:space="0"/>
              <w:bottom w:val="single" w:color="000000" w:sz="6" w:space="0"/>
              <w:right w:val="single" w:color="000000" w:sz="6" w:space="0"/>
            </w:tcBorders>
            <w:noWrap w:val="0"/>
            <w:vAlign w:val="center"/>
          </w:tcPr>
          <w:p w14:paraId="6703940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51" w:type="dxa"/>
            <w:tcBorders>
              <w:left w:val="single" w:color="000000" w:sz="6" w:space="0"/>
              <w:bottom w:val="single" w:color="000000" w:sz="6" w:space="0"/>
              <w:right w:val="single" w:color="000000" w:sz="6" w:space="0"/>
            </w:tcBorders>
            <w:noWrap w:val="0"/>
            <w:vAlign w:val="center"/>
          </w:tcPr>
          <w:p w14:paraId="71DCDC0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43" w:type="dxa"/>
            <w:tcBorders>
              <w:left w:val="single" w:color="000000" w:sz="6" w:space="0"/>
              <w:bottom w:val="single" w:color="000000" w:sz="6" w:space="0"/>
              <w:right w:val="single" w:color="000000" w:sz="6" w:space="0"/>
            </w:tcBorders>
            <w:noWrap w:val="0"/>
            <w:vAlign w:val="center"/>
          </w:tcPr>
          <w:p w14:paraId="3610A10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51" w:type="dxa"/>
            <w:tcBorders>
              <w:left w:val="single" w:color="000000" w:sz="6" w:space="0"/>
              <w:bottom w:val="single" w:color="000000" w:sz="6" w:space="0"/>
              <w:right w:val="single" w:color="000000" w:sz="6" w:space="0"/>
            </w:tcBorders>
            <w:noWrap w:val="0"/>
            <w:vAlign w:val="center"/>
          </w:tcPr>
          <w:p w14:paraId="41884BD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98" w:type="dxa"/>
            <w:tcBorders>
              <w:left w:val="single" w:color="000000" w:sz="6" w:space="0"/>
              <w:bottom w:val="single" w:color="000000" w:sz="6" w:space="0"/>
              <w:right w:val="single" w:color="000000" w:sz="12" w:space="0"/>
            </w:tcBorders>
            <w:noWrap w:val="0"/>
            <w:vAlign w:val="center"/>
          </w:tcPr>
          <w:p w14:paraId="6F74F54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47F4372D">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3255779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55E0A57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2D01EC7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28EAE5FF">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5878339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1779091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4F2D75B3">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4E78F4EF">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6354270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2059B31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6EA30AB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6C20E16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1399EBA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6BF05049">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7031518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6705908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231A4BB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3CB3DF8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066E3A5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54C4594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110ABD41">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3DEB1AB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2238E69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54CD768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0BD717D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3837990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539CDB5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19D5E764">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32AB257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67A73B1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4D4CBF4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6A6C907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0CD8A66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5058433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61B5C284">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0982DEC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1B9BF8F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6FDAB2D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33870BC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253A295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0B883C6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189FA2DC">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523B1765">
            <w:pPr>
              <w:rPr>
                <w:rFonts w:hint="eastAsia" w:ascii="宋体" w:hAnsi="宋体" w:eastAsia="宋体" w:cs="宋体"/>
                <w:color w:val="auto"/>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1E024B0B">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39811474">
            <w:pPr>
              <w:rPr>
                <w:rFonts w:hint="eastAsia" w:ascii="宋体" w:hAnsi="宋体" w:eastAsia="宋体" w:cs="宋体"/>
                <w:color w:val="auto"/>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4E31F79B">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3AE7479E">
            <w:pPr>
              <w:rPr>
                <w:rFonts w:hint="eastAsia" w:ascii="宋体" w:hAnsi="宋体" w:eastAsia="宋体" w:cs="宋体"/>
                <w:color w:val="auto"/>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388F95F4">
            <w:pPr>
              <w:rPr>
                <w:rFonts w:hint="eastAsia" w:ascii="宋体" w:hAnsi="宋体" w:eastAsia="宋体" w:cs="宋体"/>
                <w:color w:val="auto"/>
                <w:szCs w:val="21"/>
                <w:highlight w:val="none"/>
              </w:rPr>
            </w:pPr>
          </w:p>
        </w:tc>
      </w:tr>
      <w:tr w14:paraId="4583E391">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center"/>
          </w:tcPr>
          <w:p w14:paraId="1C481E4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76" w:type="dxa"/>
            <w:tcBorders>
              <w:top w:val="single" w:color="000000" w:sz="6" w:space="0"/>
              <w:left w:val="single" w:color="000000" w:sz="6" w:space="0"/>
              <w:bottom w:val="single" w:color="000000" w:sz="6" w:space="0"/>
              <w:right w:val="single" w:color="000000" w:sz="6" w:space="0"/>
            </w:tcBorders>
            <w:noWrap w:val="0"/>
            <w:vAlign w:val="center"/>
          </w:tcPr>
          <w:p w14:paraId="3F7F27CF">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49D9F01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43" w:type="dxa"/>
            <w:tcBorders>
              <w:top w:val="single" w:color="000000" w:sz="6" w:space="0"/>
              <w:left w:val="single" w:color="000000" w:sz="6" w:space="0"/>
              <w:bottom w:val="single" w:color="000000" w:sz="6" w:space="0"/>
              <w:right w:val="single" w:color="000000" w:sz="6" w:space="0"/>
            </w:tcBorders>
            <w:noWrap w:val="0"/>
            <w:vAlign w:val="center"/>
          </w:tcPr>
          <w:p w14:paraId="11348A0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51" w:type="dxa"/>
            <w:tcBorders>
              <w:top w:val="single" w:color="000000" w:sz="6" w:space="0"/>
              <w:left w:val="single" w:color="000000" w:sz="6" w:space="0"/>
              <w:bottom w:val="single" w:color="000000" w:sz="6" w:space="0"/>
              <w:right w:val="single" w:color="000000" w:sz="6" w:space="0"/>
            </w:tcBorders>
            <w:noWrap w:val="0"/>
            <w:vAlign w:val="center"/>
          </w:tcPr>
          <w:p w14:paraId="6C09797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698" w:type="dxa"/>
            <w:tcBorders>
              <w:top w:val="single" w:color="000000" w:sz="6" w:space="0"/>
              <w:left w:val="single" w:color="000000" w:sz="6" w:space="0"/>
              <w:bottom w:val="single" w:color="000000" w:sz="6" w:space="0"/>
              <w:right w:val="single" w:color="000000" w:sz="12" w:space="0"/>
            </w:tcBorders>
            <w:noWrap w:val="0"/>
            <w:vAlign w:val="center"/>
          </w:tcPr>
          <w:p w14:paraId="5D8FD34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31318ABB">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6BFD8D08">
            <w:pPr>
              <w:rPr>
                <w:rFonts w:hint="eastAsia" w:ascii="宋体" w:hAnsi="宋体" w:eastAsia="宋体" w:cs="宋体"/>
                <w:color w:val="auto"/>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6BA8DCB4">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65D5B466">
            <w:pPr>
              <w:rPr>
                <w:rFonts w:hint="eastAsia" w:ascii="宋体" w:hAnsi="宋体" w:eastAsia="宋体" w:cs="宋体"/>
                <w:color w:val="auto"/>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6EE90058">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0130409A">
            <w:pPr>
              <w:rPr>
                <w:rFonts w:hint="eastAsia" w:ascii="宋体" w:hAnsi="宋体" w:eastAsia="宋体" w:cs="宋体"/>
                <w:color w:val="auto"/>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3ED1D9F0">
            <w:pPr>
              <w:rPr>
                <w:rFonts w:hint="eastAsia" w:ascii="宋体" w:hAnsi="宋体" w:eastAsia="宋体" w:cs="宋体"/>
                <w:color w:val="auto"/>
                <w:szCs w:val="21"/>
                <w:highlight w:val="none"/>
              </w:rPr>
            </w:pPr>
          </w:p>
        </w:tc>
      </w:tr>
      <w:tr w14:paraId="347AF96A">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46470F27">
            <w:pPr>
              <w:rPr>
                <w:rFonts w:hint="eastAsia" w:ascii="宋体" w:hAnsi="宋体" w:eastAsia="宋体" w:cs="宋体"/>
                <w:color w:val="auto"/>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32DD8FED">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6695CBD7">
            <w:pPr>
              <w:rPr>
                <w:rFonts w:hint="eastAsia" w:ascii="宋体" w:hAnsi="宋体" w:eastAsia="宋体" w:cs="宋体"/>
                <w:color w:val="auto"/>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08E4888D">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5AFBCE11">
            <w:pPr>
              <w:rPr>
                <w:rFonts w:hint="eastAsia" w:ascii="宋体" w:hAnsi="宋体" w:eastAsia="宋体" w:cs="宋体"/>
                <w:color w:val="auto"/>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1B32904B">
            <w:pPr>
              <w:rPr>
                <w:rFonts w:hint="eastAsia" w:ascii="宋体" w:hAnsi="宋体" w:eastAsia="宋体" w:cs="宋体"/>
                <w:color w:val="auto"/>
                <w:szCs w:val="21"/>
                <w:highlight w:val="none"/>
              </w:rPr>
            </w:pPr>
          </w:p>
        </w:tc>
      </w:tr>
      <w:tr w14:paraId="6AE6B39C">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5E41515D">
            <w:pPr>
              <w:rPr>
                <w:rFonts w:hint="eastAsia" w:ascii="宋体" w:hAnsi="宋体" w:eastAsia="宋体" w:cs="宋体"/>
                <w:color w:val="auto"/>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3F845F05">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6FB8A46D">
            <w:pPr>
              <w:rPr>
                <w:rFonts w:hint="eastAsia" w:ascii="宋体" w:hAnsi="宋体" w:eastAsia="宋体" w:cs="宋体"/>
                <w:color w:val="auto"/>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6600BD07">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328AF5E0">
            <w:pPr>
              <w:rPr>
                <w:rFonts w:hint="eastAsia" w:ascii="宋体" w:hAnsi="宋体" w:eastAsia="宋体" w:cs="宋体"/>
                <w:color w:val="auto"/>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6344582F">
            <w:pPr>
              <w:rPr>
                <w:rFonts w:hint="eastAsia" w:ascii="宋体" w:hAnsi="宋体" w:eastAsia="宋体" w:cs="宋体"/>
                <w:color w:val="auto"/>
                <w:szCs w:val="21"/>
                <w:highlight w:val="none"/>
              </w:rPr>
            </w:pPr>
          </w:p>
        </w:tc>
      </w:tr>
      <w:tr w14:paraId="4DAEC052">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768A6DAF">
            <w:pPr>
              <w:rPr>
                <w:rFonts w:hint="eastAsia" w:ascii="宋体" w:hAnsi="宋体" w:eastAsia="宋体" w:cs="宋体"/>
                <w:color w:val="auto"/>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0F766B63">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62D5CFF0">
            <w:pPr>
              <w:rPr>
                <w:rFonts w:hint="eastAsia" w:ascii="宋体" w:hAnsi="宋体" w:eastAsia="宋体" w:cs="宋体"/>
                <w:color w:val="auto"/>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7E13A7A4">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38550B6C">
            <w:pPr>
              <w:rPr>
                <w:rFonts w:hint="eastAsia" w:ascii="宋体" w:hAnsi="宋体" w:eastAsia="宋体" w:cs="宋体"/>
                <w:color w:val="auto"/>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26E08215">
            <w:pPr>
              <w:rPr>
                <w:rFonts w:hint="eastAsia" w:ascii="宋体" w:hAnsi="宋体" w:eastAsia="宋体" w:cs="宋体"/>
                <w:color w:val="auto"/>
                <w:szCs w:val="21"/>
                <w:highlight w:val="none"/>
              </w:rPr>
            </w:pPr>
          </w:p>
        </w:tc>
      </w:tr>
      <w:tr w14:paraId="4F751810">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0EF0CBB7">
            <w:pPr>
              <w:rPr>
                <w:rFonts w:hint="eastAsia" w:ascii="宋体" w:hAnsi="宋体" w:eastAsia="宋体" w:cs="宋体"/>
                <w:color w:val="auto"/>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66CF9630">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66A9FB72">
            <w:pPr>
              <w:rPr>
                <w:rFonts w:hint="eastAsia" w:ascii="宋体" w:hAnsi="宋体" w:eastAsia="宋体" w:cs="宋体"/>
                <w:color w:val="auto"/>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2E6AB510">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4F1E55F4">
            <w:pPr>
              <w:rPr>
                <w:rFonts w:hint="eastAsia" w:ascii="宋体" w:hAnsi="宋体" w:eastAsia="宋体" w:cs="宋体"/>
                <w:color w:val="auto"/>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363221DA">
            <w:pPr>
              <w:rPr>
                <w:rFonts w:hint="eastAsia" w:ascii="宋体" w:hAnsi="宋体" w:eastAsia="宋体" w:cs="宋体"/>
                <w:color w:val="auto"/>
                <w:szCs w:val="21"/>
                <w:highlight w:val="none"/>
              </w:rPr>
            </w:pPr>
          </w:p>
        </w:tc>
      </w:tr>
      <w:tr w14:paraId="2FB7A7A6">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5731F389">
            <w:pPr>
              <w:rPr>
                <w:rFonts w:hint="eastAsia" w:ascii="宋体" w:hAnsi="宋体" w:eastAsia="宋体" w:cs="宋体"/>
                <w:color w:val="auto"/>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410DAF87">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2F16C6B5">
            <w:pPr>
              <w:rPr>
                <w:rFonts w:hint="eastAsia" w:ascii="宋体" w:hAnsi="宋体" w:eastAsia="宋体" w:cs="宋体"/>
                <w:color w:val="auto"/>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5B85C182">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530058AA">
            <w:pPr>
              <w:rPr>
                <w:rFonts w:hint="eastAsia" w:ascii="宋体" w:hAnsi="宋体" w:eastAsia="宋体" w:cs="宋体"/>
                <w:color w:val="auto"/>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36D8775A">
            <w:pPr>
              <w:rPr>
                <w:rFonts w:hint="eastAsia" w:ascii="宋体" w:hAnsi="宋体" w:eastAsia="宋体" w:cs="宋体"/>
                <w:color w:val="auto"/>
                <w:szCs w:val="21"/>
                <w:highlight w:val="none"/>
              </w:rPr>
            </w:pPr>
          </w:p>
        </w:tc>
      </w:tr>
      <w:tr w14:paraId="653A6148">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24DC6F07">
            <w:pPr>
              <w:rPr>
                <w:rFonts w:hint="eastAsia" w:ascii="宋体" w:hAnsi="宋体" w:eastAsia="宋体" w:cs="宋体"/>
                <w:color w:val="auto"/>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3F4D3622">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04863E01">
            <w:pPr>
              <w:rPr>
                <w:rFonts w:hint="eastAsia" w:ascii="宋体" w:hAnsi="宋体" w:eastAsia="宋体" w:cs="宋体"/>
                <w:color w:val="auto"/>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20CD5760">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4CCB35E8">
            <w:pPr>
              <w:rPr>
                <w:rFonts w:hint="eastAsia" w:ascii="宋体" w:hAnsi="宋体" w:eastAsia="宋体" w:cs="宋体"/>
                <w:color w:val="auto"/>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10E9CBB7">
            <w:pPr>
              <w:rPr>
                <w:rFonts w:hint="eastAsia" w:ascii="宋体" w:hAnsi="宋体" w:eastAsia="宋体" w:cs="宋体"/>
                <w:color w:val="auto"/>
                <w:szCs w:val="21"/>
                <w:highlight w:val="none"/>
              </w:rPr>
            </w:pPr>
          </w:p>
        </w:tc>
      </w:tr>
      <w:tr w14:paraId="49A36F27">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6" w:space="0"/>
              <w:right w:val="single" w:color="000000" w:sz="6" w:space="0"/>
            </w:tcBorders>
            <w:noWrap w:val="0"/>
            <w:vAlign w:val="top"/>
          </w:tcPr>
          <w:p w14:paraId="18C36175">
            <w:pPr>
              <w:rPr>
                <w:rFonts w:hint="eastAsia" w:ascii="宋体" w:hAnsi="宋体" w:eastAsia="宋体" w:cs="宋体"/>
                <w:color w:val="auto"/>
                <w:szCs w:val="21"/>
                <w:highlight w:val="none"/>
              </w:rPr>
            </w:pPr>
          </w:p>
        </w:tc>
        <w:tc>
          <w:tcPr>
            <w:tcW w:w="1276" w:type="dxa"/>
            <w:tcBorders>
              <w:top w:val="single" w:color="000000" w:sz="6" w:space="0"/>
              <w:left w:val="single" w:color="000000" w:sz="6" w:space="0"/>
              <w:bottom w:val="single" w:color="000000" w:sz="6" w:space="0"/>
              <w:right w:val="single" w:color="000000" w:sz="6" w:space="0"/>
            </w:tcBorders>
            <w:noWrap w:val="0"/>
            <w:vAlign w:val="top"/>
          </w:tcPr>
          <w:p w14:paraId="615378BC">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30F8DF27">
            <w:pPr>
              <w:rPr>
                <w:rFonts w:hint="eastAsia" w:ascii="宋体" w:hAnsi="宋体" w:eastAsia="宋体" w:cs="宋体"/>
                <w:color w:val="auto"/>
                <w:szCs w:val="21"/>
                <w:highlight w:val="none"/>
              </w:rPr>
            </w:pPr>
          </w:p>
        </w:tc>
        <w:tc>
          <w:tcPr>
            <w:tcW w:w="1243" w:type="dxa"/>
            <w:tcBorders>
              <w:top w:val="single" w:color="000000" w:sz="6" w:space="0"/>
              <w:left w:val="single" w:color="000000" w:sz="6" w:space="0"/>
              <w:bottom w:val="single" w:color="000000" w:sz="6" w:space="0"/>
              <w:right w:val="single" w:color="000000" w:sz="6" w:space="0"/>
            </w:tcBorders>
            <w:noWrap w:val="0"/>
            <w:vAlign w:val="top"/>
          </w:tcPr>
          <w:p w14:paraId="5CEEEC44">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6" w:space="0"/>
              <w:right w:val="single" w:color="000000" w:sz="6" w:space="0"/>
            </w:tcBorders>
            <w:noWrap w:val="0"/>
            <w:vAlign w:val="top"/>
          </w:tcPr>
          <w:p w14:paraId="1925F7C2">
            <w:pPr>
              <w:rPr>
                <w:rFonts w:hint="eastAsia" w:ascii="宋体" w:hAnsi="宋体" w:eastAsia="宋体" w:cs="宋体"/>
                <w:color w:val="auto"/>
                <w:szCs w:val="21"/>
                <w:highlight w:val="none"/>
              </w:rPr>
            </w:pPr>
          </w:p>
        </w:tc>
        <w:tc>
          <w:tcPr>
            <w:tcW w:w="1698" w:type="dxa"/>
            <w:tcBorders>
              <w:top w:val="single" w:color="000000" w:sz="6" w:space="0"/>
              <w:left w:val="single" w:color="000000" w:sz="6" w:space="0"/>
              <w:bottom w:val="single" w:color="000000" w:sz="6" w:space="0"/>
              <w:right w:val="single" w:color="000000" w:sz="12" w:space="0"/>
            </w:tcBorders>
            <w:noWrap w:val="0"/>
            <w:vAlign w:val="top"/>
          </w:tcPr>
          <w:p w14:paraId="1A6DDEDA">
            <w:pPr>
              <w:rPr>
                <w:rFonts w:hint="eastAsia" w:ascii="宋体" w:hAnsi="宋体" w:eastAsia="宋体" w:cs="宋体"/>
                <w:color w:val="auto"/>
                <w:szCs w:val="21"/>
                <w:highlight w:val="none"/>
              </w:rPr>
            </w:pPr>
          </w:p>
        </w:tc>
      </w:tr>
      <w:tr w14:paraId="6BD354CD">
        <w:tblPrEx>
          <w:tblCellMar>
            <w:top w:w="0" w:type="dxa"/>
            <w:left w:w="28" w:type="dxa"/>
            <w:bottom w:w="0" w:type="dxa"/>
            <w:right w:w="28" w:type="dxa"/>
          </w:tblCellMar>
        </w:tblPrEx>
        <w:trPr>
          <w:trHeight w:val="567" w:hRule="atLeast"/>
          <w:jc w:val="center"/>
        </w:trPr>
        <w:tc>
          <w:tcPr>
            <w:tcW w:w="1954" w:type="dxa"/>
            <w:tcBorders>
              <w:top w:val="single" w:color="000000" w:sz="6" w:space="0"/>
              <w:left w:val="single" w:color="000000" w:sz="12" w:space="0"/>
              <w:bottom w:val="single" w:color="000000" w:sz="12" w:space="0"/>
              <w:right w:val="single" w:color="000000" w:sz="6" w:space="0"/>
            </w:tcBorders>
            <w:noWrap w:val="0"/>
            <w:vAlign w:val="top"/>
          </w:tcPr>
          <w:p w14:paraId="5AC0C9AB">
            <w:pPr>
              <w:rPr>
                <w:rFonts w:hint="eastAsia" w:ascii="宋体" w:hAnsi="宋体" w:eastAsia="宋体" w:cs="宋体"/>
                <w:color w:val="auto"/>
                <w:szCs w:val="21"/>
                <w:highlight w:val="none"/>
              </w:rPr>
            </w:pPr>
          </w:p>
        </w:tc>
        <w:tc>
          <w:tcPr>
            <w:tcW w:w="1276" w:type="dxa"/>
            <w:tcBorders>
              <w:top w:val="single" w:color="000000" w:sz="6" w:space="0"/>
              <w:left w:val="single" w:color="000000" w:sz="6" w:space="0"/>
              <w:bottom w:val="single" w:color="000000" w:sz="12" w:space="0"/>
              <w:right w:val="single" w:color="000000" w:sz="6" w:space="0"/>
            </w:tcBorders>
            <w:noWrap w:val="0"/>
            <w:vAlign w:val="top"/>
          </w:tcPr>
          <w:p w14:paraId="56B04895">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12" w:space="0"/>
              <w:right w:val="single" w:color="000000" w:sz="6" w:space="0"/>
            </w:tcBorders>
            <w:noWrap w:val="0"/>
            <w:vAlign w:val="top"/>
          </w:tcPr>
          <w:p w14:paraId="79799EFB">
            <w:pPr>
              <w:rPr>
                <w:rFonts w:hint="eastAsia" w:ascii="宋体" w:hAnsi="宋体" w:eastAsia="宋体" w:cs="宋体"/>
                <w:color w:val="auto"/>
                <w:szCs w:val="21"/>
                <w:highlight w:val="none"/>
              </w:rPr>
            </w:pPr>
          </w:p>
        </w:tc>
        <w:tc>
          <w:tcPr>
            <w:tcW w:w="1243" w:type="dxa"/>
            <w:tcBorders>
              <w:top w:val="single" w:color="000000" w:sz="6" w:space="0"/>
              <w:left w:val="single" w:color="000000" w:sz="6" w:space="0"/>
              <w:bottom w:val="single" w:color="000000" w:sz="12" w:space="0"/>
              <w:right w:val="single" w:color="000000" w:sz="6" w:space="0"/>
            </w:tcBorders>
            <w:noWrap w:val="0"/>
            <w:vAlign w:val="top"/>
          </w:tcPr>
          <w:p w14:paraId="03E324B1">
            <w:pPr>
              <w:rPr>
                <w:rFonts w:hint="eastAsia" w:ascii="宋体" w:hAnsi="宋体" w:eastAsia="宋体" w:cs="宋体"/>
                <w:color w:val="auto"/>
                <w:szCs w:val="21"/>
                <w:highlight w:val="none"/>
              </w:rPr>
            </w:pPr>
          </w:p>
        </w:tc>
        <w:tc>
          <w:tcPr>
            <w:tcW w:w="1451" w:type="dxa"/>
            <w:tcBorders>
              <w:top w:val="single" w:color="000000" w:sz="6" w:space="0"/>
              <w:left w:val="single" w:color="000000" w:sz="6" w:space="0"/>
              <w:bottom w:val="single" w:color="000000" w:sz="12" w:space="0"/>
              <w:right w:val="single" w:color="000000" w:sz="6" w:space="0"/>
            </w:tcBorders>
            <w:noWrap w:val="0"/>
            <w:vAlign w:val="top"/>
          </w:tcPr>
          <w:p w14:paraId="4BFB6925">
            <w:pPr>
              <w:rPr>
                <w:rFonts w:hint="eastAsia" w:ascii="宋体" w:hAnsi="宋体" w:eastAsia="宋体" w:cs="宋体"/>
                <w:color w:val="auto"/>
                <w:szCs w:val="21"/>
                <w:highlight w:val="none"/>
              </w:rPr>
            </w:pPr>
          </w:p>
        </w:tc>
        <w:tc>
          <w:tcPr>
            <w:tcW w:w="1698" w:type="dxa"/>
            <w:tcBorders>
              <w:top w:val="single" w:color="000000" w:sz="6" w:space="0"/>
              <w:left w:val="single" w:color="000000" w:sz="6" w:space="0"/>
              <w:bottom w:val="single" w:color="000000" w:sz="12" w:space="0"/>
              <w:right w:val="single" w:color="000000" w:sz="12" w:space="0"/>
            </w:tcBorders>
            <w:noWrap w:val="0"/>
            <w:vAlign w:val="top"/>
          </w:tcPr>
          <w:p w14:paraId="3A55F905">
            <w:pPr>
              <w:rPr>
                <w:rFonts w:hint="eastAsia" w:ascii="宋体" w:hAnsi="宋体" w:eastAsia="宋体" w:cs="宋体"/>
                <w:color w:val="auto"/>
                <w:szCs w:val="21"/>
                <w:highlight w:val="none"/>
              </w:rPr>
            </w:pPr>
          </w:p>
        </w:tc>
      </w:tr>
    </w:tbl>
    <w:p w14:paraId="55FE5648">
      <w:pPr>
        <w:pageBreakBefore/>
        <w:spacing w:line="440" w:lineRule="exact"/>
        <w:rPr>
          <w:rFonts w:ascii="Times New Roman" w:hAnsi="Times New Roman" w:eastAsia="宋体" w:cs="Times New Roman"/>
          <w:color w:val="auto"/>
          <w:highlight w:val="none"/>
        </w:rPr>
      </w:pPr>
      <w:r>
        <w:rPr>
          <w:rFonts w:hint="eastAsia" w:ascii="宋体" w:hAnsi="宋体" w:eastAsia="宋体" w:cs="宋体"/>
          <w:color w:val="auto"/>
          <w:szCs w:val="21"/>
          <w:highlight w:val="none"/>
          <w:lang w:bidi="ar"/>
        </w:rPr>
        <w:t>附件5：</w:t>
      </w:r>
    </w:p>
    <w:p w14:paraId="75E67A8E">
      <w:pPr>
        <w:spacing w:before="120" w:after="120" w:line="440" w:lineRule="exact"/>
        <w:jc w:val="center"/>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承包人用于本工程施工的机械设备表</w:t>
      </w:r>
    </w:p>
    <w:tbl>
      <w:tblPr>
        <w:tblStyle w:val="37"/>
        <w:tblW w:w="9839" w:type="dxa"/>
        <w:jc w:val="center"/>
        <w:tblLayout w:type="fixed"/>
        <w:tblCellMar>
          <w:top w:w="0" w:type="dxa"/>
          <w:left w:w="28" w:type="dxa"/>
          <w:bottom w:w="0" w:type="dxa"/>
          <w:right w:w="28" w:type="dxa"/>
        </w:tblCellMar>
      </w:tblPr>
      <w:tblGrid>
        <w:gridCol w:w="631"/>
        <w:gridCol w:w="1745"/>
        <w:gridCol w:w="1054"/>
        <w:gridCol w:w="869"/>
        <w:gridCol w:w="750"/>
        <w:gridCol w:w="1022"/>
        <w:gridCol w:w="1528"/>
        <w:gridCol w:w="1289"/>
        <w:gridCol w:w="951"/>
      </w:tblGrid>
      <w:tr w14:paraId="71A70C82">
        <w:tblPrEx>
          <w:tblCellMar>
            <w:top w:w="0" w:type="dxa"/>
            <w:left w:w="28" w:type="dxa"/>
            <w:bottom w:w="0" w:type="dxa"/>
            <w:right w:w="28" w:type="dxa"/>
          </w:tblCellMar>
        </w:tblPrEx>
        <w:trPr>
          <w:jc w:val="center"/>
        </w:trPr>
        <w:tc>
          <w:tcPr>
            <w:tcW w:w="631" w:type="dxa"/>
            <w:tcBorders>
              <w:top w:val="single" w:color="000000" w:sz="12" w:space="0"/>
              <w:left w:val="single" w:color="000000" w:sz="12" w:space="0"/>
              <w:bottom w:val="single" w:color="000000" w:sz="6" w:space="0"/>
              <w:right w:val="single" w:color="000000" w:sz="6" w:space="0"/>
            </w:tcBorders>
            <w:noWrap w:val="0"/>
            <w:vAlign w:val="center"/>
          </w:tcPr>
          <w:p w14:paraId="6038D5EB">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序号</w:t>
            </w:r>
          </w:p>
        </w:tc>
        <w:tc>
          <w:tcPr>
            <w:tcW w:w="1745" w:type="dxa"/>
            <w:tcBorders>
              <w:top w:val="single" w:color="000000" w:sz="12" w:space="0"/>
              <w:left w:val="single" w:color="000000" w:sz="6" w:space="0"/>
              <w:bottom w:val="single" w:color="000000" w:sz="6" w:space="0"/>
              <w:right w:val="single" w:color="000000" w:sz="6" w:space="0"/>
            </w:tcBorders>
            <w:noWrap w:val="0"/>
            <w:vAlign w:val="center"/>
          </w:tcPr>
          <w:p w14:paraId="2ADB4B30">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机械或设备名称</w:t>
            </w:r>
          </w:p>
        </w:tc>
        <w:tc>
          <w:tcPr>
            <w:tcW w:w="1054" w:type="dxa"/>
            <w:tcBorders>
              <w:top w:val="single" w:color="000000" w:sz="12" w:space="0"/>
              <w:left w:val="single" w:color="000000" w:sz="6" w:space="0"/>
              <w:bottom w:val="single" w:color="000000" w:sz="6" w:space="0"/>
              <w:right w:val="single" w:color="000000" w:sz="6" w:space="0"/>
            </w:tcBorders>
            <w:noWrap w:val="0"/>
            <w:vAlign w:val="center"/>
          </w:tcPr>
          <w:p w14:paraId="35F8CE6C">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规格型号</w:t>
            </w:r>
          </w:p>
        </w:tc>
        <w:tc>
          <w:tcPr>
            <w:tcW w:w="869" w:type="dxa"/>
            <w:tcBorders>
              <w:top w:val="single" w:color="000000" w:sz="12" w:space="0"/>
              <w:left w:val="single" w:color="000000" w:sz="6" w:space="0"/>
              <w:bottom w:val="single" w:color="000000" w:sz="6" w:space="0"/>
              <w:right w:val="single" w:color="000000" w:sz="6" w:space="0"/>
            </w:tcBorders>
            <w:noWrap w:val="0"/>
            <w:vAlign w:val="center"/>
          </w:tcPr>
          <w:p w14:paraId="5A27092F">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数量</w:t>
            </w:r>
          </w:p>
        </w:tc>
        <w:tc>
          <w:tcPr>
            <w:tcW w:w="750" w:type="dxa"/>
            <w:tcBorders>
              <w:top w:val="single" w:color="000000" w:sz="12" w:space="0"/>
              <w:left w:val="single" w:color="000000" w:sz="6" w:space="0"/>
              <w:bottom w:val="single" w:color="000000" w:sz="6" w:space="0"/>
              <w:right w:val="single" w:color="000000" w:sz="6" w:space="0"/>
            </w:tcBorders>
            <w:noWrap w:val="0"/>
            <w:vAlign w:val="center"/>
          </w:tcPr>
          <w:p w14:paraId="141AEAF6">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产地</w:t>
            </w:r>
          </w:p>
        </w:tc>
        <w:tc>
          <w:tcPr>
            <w:tcW w:w="1022" w:type="dxa"/>
            <w:tcBorders>
              <w:top w:val="single" w:color="000000" w:sz="12" w:space="0"/>
              <w:left w:val="single" w:color="000000" w:sz="6" w:space="0"/>
              <w:bottom w:val="single" w:color="000000" w:sz="6" w:space="0"/>
              <w:right w:val="single" w:color="000000" w:sz="6" w:space="0"/>
            </w:tcBorders>
            <w:noWrap w:val="0"/>
            <w:vAlign w:val="center"/>
          </w:tcPr>
          <w:p w14:paraId="07EEA28D">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制造年份</w:t>
            </w:r>
          </w:p>
        </w:tc>
        <w:tc>
          <w:tcPr>
            <w:tcW w:w="1528" w:type="dxa"/>
            <w:tcBorders>
              <w:top w:val="single" w:color="000000" w:sz="12" w:space="0"/>
              <w:left w:val="single" w:color="000000" w:sz="6" w:space="0"/>
              <w:bottom w:val="single" w:color="000000" w:sz="6" w:space="0"/>
              <w:right w:val="single" w:color="000000" w:sz="6" w:space="0"/>
            </w:tcBorders>
            <w:noWrap w:val="0"/>
            <w:vAlign w:val="center"/>
          </w:tcPr>
          <w:p w14:paraId="118633D7">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额定功率(kW)</w:t>
            </w:r>
          </w:p>
        </w:tc>
        <w:tc>
          <w:tcPr>
            <w:tcW w:w="1289" w:type="dxa"/>
            <w:tcBorders>
              <w:top w:val="single" w:color="000000" w:sz="12" w:space="0"/>
              <w:left w:val="single" w:color="000000" w:sz="6" w:space="0"/>
              <w:bottom w:val="single" w:color="000000" w:sz="6" w:space="0"/>
              <w:right w:val="single" w:color="000000" w:sz="6" w:space="0"/>
            </w:tcBorders>
            <w:noWrap w:val="0"/>
            <w:vAlign w:val="center"/>
          </w:tcPr>
          <w:p w14:paraId="47B0313C">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生产能力</w:t>
            </w:r>
          </w:p>
        </w:tc>
        <w:tc>
          <w:tcPr>
            <w:tcW w:w="951" w:type="dxa"/>
            <w:tcBorders>
              <w:top w:val="single" w:color="000000" w:sz="12" w:space="0"/>
              <w:left w:val="single" w:color="000000" w:sz="6" w:space="0"/>
              <w:bottom w:val="single" w:color="000000" w:sz="6" w:space="0"/>
              <w:right w:val="single" w:color="000000" w:sz="12" w:space="0"/>
            </w:tcBorders>
            <w:noWrap w:val="0"/>
            <w:vAlign w:val="center"/>
          </w:tcPr>
          <w:p w14:paraId="511A6B1D">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备注</w:t>
            </w:r>
          </w:p>
        </w:tc>
      </w:tr>
      <w:tr w14:paraId="3E0A1BED">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1F574B2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02D324C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6A4BFC2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597520A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000B328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03B34BF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61453E2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233593C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2872472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240E4F15">
        <w:tblPrEx>
          <w:tblCellMar>
            <w:top w:w="0" w:type="dxa"/>
            <w:left w:w="28" w:type="dxa"/>
            <w:bottom w:w="0" w:type="dxa"/>
            <w:right w:w="28" w:type="dxa"/>
          </w:tblCellMar>
        </w:tblPrEx>
        <w:trPr>
          <w:trHeight w:val="567" w:hRule="atLeast"/>
          <w:jc w:val="center"/>
        </w:trPr>
        <w:tc>
          <w:tcPr>
            <w:tcW w:w="631" w:type="dxa"/>
            <w:tcBorders>
              <w:left w:val="single" w:color="000000" w:sz="12" w:space="0"/>
              <w:bottom w:val="single" w:color="000000" w:sz="6" w:space="0"/>
              <w:right w:val="single" w:color="000000" w:sz="6" w:space="0"/>
            </w:tcBorders>
            <w:noWrap w:val="0"/>
            <w:vAlign w:val="center"/>
          </w:tcPr>
          <w:p w14:paraId="5CEF2AD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45" w:type="dxa"/>
            <w:tcBorders>
              <w:left w:val="single" w:color="000000" w:sz="6" w:space="0"/>
              <w:bottom w:val="single" w:color="000000" w:sz="6" w:space="0"/>
              <w:right w:val="single" w:color="000000" w:sz="6" w:space="0"/>
            </w:tcBorders>
            <w:noWrap w:val="0"/>
            <w:vAlign w:val="center"/>
          </w:tcPr>
          <w:p w14:paraId="743C074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54" w:type="dxa"/>
            <w:tcBorders>
              <w:left w:val="single" w:color="000000" w:sz="6" w:space="0"/>
              <w:bottom w:val="single" w:color="000000" w:sz="6" w:space="0"/>
              <w:right w:val="single" w:color="000000" w:sz="6" w:space="0"/>
            </w:tcBorders>
            <w:noWrap w:val="0"/>
            <w:vAlign w:val="center"/>
          </w:tcPr>
          <w:p w14:paraId="7B0BF76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869" w:type="dxa"/>
            <w:tcBorders>
              <w:left w:val="single" w:color="000000" w:sz="6" w:space="0"/>
              <w:bottom w:val="single" w:color="000000" w:sz="6" w:space="0"/>
              <w:right w:val="single" w:color="000000" w:sz="6" w:space="0"/>
            </w:tcBorders>
            <w:noWrap w:val="0"/>
            <w:vAlign w:val="center"/>
          </w:tcPr>
          <w:p w14:paraId="3B7229B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750" w:type="dxa"/>
            <w:tcBorders>
              <w:left w:val="single" w:color="000000" w:sz="6" w:space="0"/>
              <w:bottom w:val="single" w:color="000000" w:sz="6" w:space="0"/>
              <w:right w:val="single" w:color="000000" w:sz="6" w:space="0"/>
            </w:tcBorders>
            <w:noWrap w:val="0"/>
            <w:vAlign w:val="center"/>
          </w:tcPr>
          <w:p w14:paraId="7966011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2" w:type="dxa"/>
            <w:tcBorders>
              <w:left w:val="single" w:color="000000" w:sz="6" w:space="0"/>
              <w:bottom w:val="single" w:color="000000" w:sz="6" w:space="0"/>
              <w:right w:val="single" w:color="000000" w:sz="6" w:space="0"/>
            </w:tcBorders>
            <w:noWrap w:val="0"/>
            <w:vAlign w:val="center"/>
          </w:tcPr>
          <w:p w14:paraId="39A61CD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528" w:type="dxa"/>
            <w:tcBorders>
              <w:left w:val="single" w:color="000000" w:sz="6" w:space="0"/>
              <w:bottom w:val="single" w:color="000000" w:sz="6" w:space="0"/>
              <w:right w:val="single" w:color="000000" w:sz="6" w:space="0"/>
            </w:tcBorders>
            <w:noWrap w:val="0"/>
            <w:vAlign w:val="center"/>
          </w:tcPr>
          <w:p w14:paraId="3123837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89" w:type="dxa"/>
            <w:tcBorders>
              <w:left w:val="single" w:color="000000" w:sz="6" w:space="0"/>
              <w:bottom w:val="single" w:color="000000" w:sz="6" w:space="0"/>
              <w:right w:val="single" w:color="000000" w:sz="6" w:space="0"/>
            </w:tcBorders>
            <w:noWrap w:val="0"/>
            <w:vAlign w:val="center"/>
          </w:tcPr>
          <w:p w14:paraId="5A9562D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951" w:type="dxa"/>
            <w:tcBorders>
              <w:left w:val="single" w:color="000000" w:sz="6" w:space="0"/>
              <w:bottom w:val="single" w:color="000000" w:sz="6" w:space="0"/>
              <w:right w:val="single" w:color="000000" w:sz="12" w:space="0"/>
            </w:tcBorders>
            <w:noWrap w:val="0"/>
            <w:vAlign w:val="center"/>
          </w:tcPr>
          <w:p w14:paraId="280CCEA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36ABA13E">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59A6AE9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2A31581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5777F4A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6C47272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4413F70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6F66535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6F290FE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4DD0A88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0D3A84E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4148AF09">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5A6FF88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5C343CF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69B4A34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177EF09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1B93BAF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3CEE437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07B262F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7E588B5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586239FF">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3AC6168B">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44245F4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5AD9120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50819F3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3C75435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47B2DEE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49A16AF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415A468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4F02BD3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158557C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3220742A">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5A3F9E7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22514D4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5DFDCEC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11C0742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4E135EFF">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5518646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2B18C51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044F8C5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2D68A4A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31EFBD7E">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0C861BA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65A31C9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2BDC9A0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7B196F4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15BB746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5BD24F0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4463F3E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1074841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60DF77C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40AA4B1F">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078117B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6265DFA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5002A40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5FD76FC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5B98469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15D255E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3997D44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7F7305A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4697340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7C5E8F5D">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2813F500">
            <w:pPr>
              <w:rPr>
                <w:rFonts w:hint="eastAsia" w:ascii="宋体" w:hAnsi="宋体" w:eastAsia="宋体" w:cs="宋体"/>
                <w:color w:val="auto"/>
                <w:szCs w:val="21"/>
                <w:highlight w:val="none"/>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34F6263D">
            <w:pPr>
              <w:rPr>
                <w:rFonts w:hint="eastAsia" w:ascii="宋体" w:hAnsi="宋体" w:eastAsia="宋体" w:cs="宋体"/>
                <w:color w:val="auto"/>
                <w:szCs w:val="21"/>
                <w:highlight w:val="none"/>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496676E6">
            <w:pPr>
              <w:rPr>
                <w:rFonts w:hint="eastAsia" w:ascii="宋体" w:hAnsi="宋体" w:eastAsia="宋体" w:cs="宋体"/>
                <w:color w:val="auto"/>
                <w:szCs w:val="21"/>
                <w:highlight w:val="none"/>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44E20027">
            <w:pPr>
              <w:rPr>
                <w:rFonts w:hint="eastAsia" w:ascii="宋体" w:hAnsi="宋体" w:eastAsia="宋体" w:cs="宋体"/>
                <w:color w:val="auto"/>
                <w:szCs w:val="21"/>
                <w:highlight w:val="none"/>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604B63A4">
            <w:pPr>
              <w:rPr>
                <w:rFonts w:hint="eastAsia" w:ascii="宋体" w:hAnsi="宋体" w:eastAsia="宋体" w:cs="宋体"/>
                <w:color w:val="auto"/>
                <w:szCs w:val="21"/>
                <w:highlight w:val="none"/>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748F121B">
            <w:pPr>
              <w:rPr>
                <w:rFonts w:hint="eastAsia" w:ascii="宋体" w:hAnsi="宋体" w:eastAsia="宋体" w:cs="宋体"/>
                <w:color w:val="auto"/>
                <w:szCs w:val="21"/>
                <w:highlight w:val="none"/>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07162CA1">
            <w:pPr>
              <w:rPr>
                <w:rFonts w:hint="eastAsia" w:ascii="宋体" w:hAnsi="宋体" w:eastAsia="宋体" w:cs="宋体"/>
                <w:color w:val="auto"/>
                <w:szCs w:val="21"/>
                <w:highlight w:val="none"/>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45FD921E">
            <w:pPr>
              <w:rPr>
                <w:rFonts w:hint="eastAsia" w:ascii="宋体" w:hAnsi="宋体" w:eastAsia="宋体" w:cs="宋体"/>
                <w:color w:val="auto"/>
                <w:szCs w:val="21"/>
                <w:highlight w:val="none"/>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7C00BE0E">
            <w:pPr>
              <w:rPr>
                <w:rFonts w:hint="eastAsia" w:ascii="宋体" w:hAnsi="宋体" w:eastAsia="宋体" w:cs="宋体"/>
                <w:color w:val="auto"/>
                <w:szCs w:val="21"/>
                <w:highlight w:val="none"/>
              </w:rPr>
            </w:pPr>
          </w:p>
        </w:tc>
      </w:tr>
      <w:tr w14:paraId="23F357D0">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center"/>
          </w:tcPr>
          <w:p w14:paraId="68E9226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745" w:type="dxa"/>
            <w:tcBorders>
              <w:top w:val="single" w:color="000000" w:sz="6" w:space="0"/>
              <w:left w:val="single" w:color="000000" w:sz="6" w:space="0"/>
              <w:bottom w:val="single" w:color="000000" w:sz="6" w:space="0"/>
              <w:right w:val="single" w:color="000000" w:sz="6" w:space="0"/>
            </w:tcBorders>
            <w:noWrap w:val="0"/>
            <w:vAlign w:val="center"/>
          </w:tcPr>
          <w:p w14:paraId="28E148E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54" w:type="dxa"/>
            <w:tcBorders>
              <w:top w:val="single" w:color="000000" w:sz="6" w:space="0"/>
              <w:left w:val="single" w:color="000000" w:sz="6" w:space="0"/>
              <w:bottom w:val="single" w:color="000000" w:sz="6" w:space="0"/>
              <w:right w:val="single" w:color="000000" w:sz="6" w:space="0"/>
            </w:tcBorders>
            <w:noWrap w:val="0"/>
            <w:vAlign w:val="center"/>
          </w:tcPr>
          <w:p w14:paraId="05823BD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869" w:type="dxa"/>
            <w:tcBorders>
              <w:top w:val="single" w:color="000000" w:sz="6" w:space="0"/>
              <w:left w:val="single" w:color="000000" w:sz="6" w:space="0"/>
              <w:bottom w:val="single" w:color="000000" w:sz="6" w:space="0"/>
              <w:right w:val="single" w:color="000000" w:sz="6" w:space="0"/>
            </w:tcBorders>
            <w:noWrap w:val="0"/>
            <w:vAlign w:val="center"/>
          </w:tcPr>
          <w:p w14:paraId="22D28C6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750" w:type="dxa"/>
            <w:tcBorders>
              <w:top w:val="single" w:color="000000" w:sz="6" w:space="0"/>
              <w:left w:val="single" w:color="000000" w:sz="6" w:space="0"/>
              <w:bottom w:val="single" w:color="000000" w:sz="6" w:space="0"/>
              <w:right w:val="single" w:color="000000" w:sz="6" w:space="0"/>
            </w:tcBorders>
            <w:noWrap w:val="0"/>
            <w:vAlign w:val="center"/>
          </w:tcPr>
          <w:p w14:paraId="09E094D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022" w:type="dxa"/>
            <w:tcBorders>
              <w:top w:val="single" w:color="000000" w:sz="6" w:space="0"/>
              <w:left w:val="single" w:color="000000" w:sz="6" w:space="0"/>
              <w:bottom w:val="single" w:color="000000" w:sz="6" w:space="0"/>
              <w:right w:val="single" w:color="000000" w:sz="6" w:space="0"/>
            </w:tcBorders>
            <w:noWrap w:val="0"/>
            <w:vAlign w:val="center"/>
          </w:tcPr>
          <w:p w14:paraId="4D44D0E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528" w:type="dxa"/>
            <w:tcBorders>
              <w:top w:val="single" w:color="000000" w:sz="6" w:space="0"/>
              <w:left w:val="single" w:color="000000" w:sz="6" w:space="0"/>
              <w:bottom w:val="single" w:color="000000" w:sz="6" w:space="0"/>
              <w:right w:val="single" w:color="000000" w:sz="6" w:space="0"/>
            </w:tcBorders>
            <w:noWrap w:val="0"/>
            <w:vAlign w:val="center"/>
          </w:tcPr>
          <w:p w14:paraId="10C0F76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289" w:type="dxa"/>
            <w:tcBorders>
              <w:top w:val="single" w:color="000000" w:sz="6" w:space="0"/>
              <w:left w:val="single" w:color="000000" w:sz="6" w:space="0"/>
              <w:bottom w:val="single" w:color="000000" w:sz="6" w:space="0"/>
              <w:right w:val="single" w:color="000000" w:sz="6" w:space="0"/>
            </w:tcBorders>
            <w:noWrap w:val="0"/>
            <w:vAlign w:val="center"/>
          </w:tcPr>
          <w:p w14:paraId="6E6568E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951" w:type="dxa"/>
            <w:tcBorders>
              <w:top w:val="single" w:color="000000" w:sz="6" w:space="0"/>
              <w:left w:val="single" w:color="000000" w:sz="6" w:space="0"/>
              <w:bottom w:val="single" w:color="000000" w:sz="6" w:space="0"/>
              <w:right w:val="single" w:color="000000" w:sz="12" w:space="0"/>
            </w:tcBorders>
            <w:noWrap w:val="0"/>
            <w:vAlign w:val="center"/>
          </w:tcPr>
          <w:p w14:paraId="58961DE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26B84491">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7444010A">
            <w:pPr>
              <w:rPr>
                <w:rFonts w:hint="eastAsia" w:ascii="宋体" w:hAnsi="宋体" w:eastAsia="宋体" w:cs="宋体"/>
                <w:color w:val="auto"/>
                <w:szCs w:val="21"/>
                <w:highlight w:val="none"/>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557CFA03">
            <w:pPr>
              <w:rPr>
                <w:rFonts w:hint="eastAsia" w:ascii="宋体" w:hAnsi="宋体" w:eastAsia="宋体" w:cs="宋体"/>
                <w:color w:val="auto"/>
                <w:szCs w:val="21"/>
                <w:highlight w:val="none"/>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05B67D23">
            <w:pPr>
              <w:rPr>
                <w:rFonts w:hint="eastAsia" w:ascii="宋体" w:hAnsi="宋体" w:eastAsia="宋体" w:cs="宋体"/>
                <w:color w:val="auto"/>
                <w:szCs w:val="21"/>
                <w:highlight w:val="none"/>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469C80AA">
            <w:pPr>
              <w:rPr>
                <w:rFonts w:hint="eastAsia" w:ascii="宋体" w:hAnsi="宋体" w:eastAsia="宋体" w:cs="宋体"/>
                <w:color w:val="auto"/>
                <w:szCs w:val="21"/>
                <w:highlight w:val="none"/>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5C255971">
            <w:pPr>
              <w:rPr>
                <w:rFonts w:hint="eastAsia" w:ascii="宋体" w:hAnsi="宋体" w:eastAsia="宋体" w:cs="宋体"/>
                <w:color w:val="auto"/>
                <w:szCs w:val="21"/>
                <w:highlight w:val="none"/>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0B95FB6D">
            <w:pPr>
              <w:rPr>
                <w:rFonts w:hint="eastAsia" w:ascii="宋体" w:hAnsi="宋体" w:eastAsia="宋体" w:cs="宋体"/>
                <w:color w:val="auto"/>
                <w:szCs w:val="21"/>
                <w:highlight w:val="none"/>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45346995">
            <w:pPr>
              <w:rPr>
                <w:rFonts w:hint="eastAsia" w:ascii="宋体" w:hAnsi="宋体" w:eastAsia="宋体" w:cs="宋体"/>
                <w:color w:val="auto"/>
                <w:szCs w:val="21"/>
                <w:highlight w:val="none"/>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542BD327">
            <w:pPr>
              <w:rPr>
                <w:rFonts w:hint="eastAsia" w:ascii="宋体" w:hAnsi="宋体" w:eastAsia="宋体" w:cs="宋体"/>
                <w:color w:val="auto"/>
                <w:szCs w:val="21"/>
                <w:highlight w:val="none"/>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07D2CBAB">
            <w:pPr>
              <w:rPr>
                <w:rFonts w:hint="eastAsia" w:ascii="宋体" w:hAnsi="宋体" w:eastAsia="宋体" w:cs="宋体"/>
                <w:color w:val="auto"/>
                <w:szCs w:val="21"/>
                <w:highlight w:val="none"/>
              </w:rPr>
            </w:pPr>
          </w:p>
        </w:tc>
      </w:tr>
      <w:tr w14:paraId="7E079B9D">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33999FEC">
            <w:pPr>
              <w:rPr>
                <w:rFonts w:hint="eastAsia" w:ascii="宋体" w:hAnsi="宋体" w:eastAsia="宋体" w:cs="宋体"/>
                <w:color w:val="auto"/>
                <w:szCs w:val="21"/>
                <w:highlight w:val="none"/>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4A9A820D">
            <w:pPr>
              <w:rPr>
                <w:rFonts w:hint="eastAsia" w:ascii="宋体" w:hAnsi="宋体" w:eastAsia="宋体" w:cs="宋体"/>
                <w:color w:val="auto"/>
                <w:szCs w:val="21"/>
                <w:highlight w:val="none"/>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2281BDBB">
            <w:pPr>
              <w:rPr>
                <w:rFonts w:hint="eastAsia" w:ascii="宋体" w:hAnsi="宋体" w:eastAsia="宋体" w:cs="宋体"/>
                <w:color w:val="auto"/>
                <w:szCs w:val="21"/>
                <w:highlight w:val="none"/>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1ECF3CD9">
            <w:pPr>
              <w:rPr>
                <w:rFonts w:hint="eastAsia" w:ascii="宋体" w:hAnsi="宋体" w:eastAsia="宋体" w:cs="宋体"/>
                <w:color w:val="auto"/>
                <w:szCs w:val="21"/>
                <w:highlight w:val="none"/>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58FFA744">
            <w:pPr>
              <w:rPr>
                <w:rFonts w:hint="eastAsia" w:ascii="宋体" w:hAnsi="宋体" w:eastAsia="宋体" w:cs="宋体"/>
                <w:color w:val="auto"/>
                <w:szCs w:val="21"/>
                <w:highlight w:val="none"/>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1B8844E4">
            <w:pPr>
              <w:rPr>
                <w:rFonts w:hint="eastAsia" w:ascii="宋体" w:hAnsi="宋体" w:eastAsia="宋体" w:cs="宋体"/>
                <w:color w:val="auto"/>
                <w:szCs w:val="21"/>
                <w:highlight w:val="none"/>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0E502239">
            <w:pPr>
              <w:rPr>
                <w:rFonts w:hint="eastAsia" w:ascii="宋体" w:hAnsi="宋体" w:eastAsia="宋体" w:cs="宋体"/>
                <w:color w:val="auto"/>
                <w:szCs w:val="21"/>
                <w:highlight w:val="none"/>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08B12EBE">
            <w:pPr>
              <w:rPr>
                <w:rFonts w:hint="eastAsia" w:ascii="宋体" w:hAnsi="宋体" w:eastAsia="宋体" w:cs="宋体"/>
                <w:color w:val="auto"/>
                <w:szCs w:val="21"/>
                <w:highlight w:val="none"/>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00CFCE5F">
            <w:pPr>
              <w:rPr>
                <w:rFonts w:hint="eastAsia" w:ascii="宋体" w:hAnsi="宋体" w:eastAsia="宋体" w:cs="宋体"/>
                <w:color w:val="auto"/>
                <w:szCs w:val="21"/>
                <w:highlight w:val="none"/>
              </w:rPr>
            </w:pPr>
          </w:p>
        </w:tc>
      </w:tr>
      <w:tr w14:paraId="5A12742C">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00B2E48C">
            <w:pPr>
              <w:rPr>
                <w:rFonts w:hint="eastAsia" w:ascii="宋体" w:hAnsi="宋体" w:eastAsia="宋体" w:cs="宋体"/>
                <w:color w:val="auto"/>
                <w:szCs w:val="21"/>
                <w:highlight w:val="none"/>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26FC286A">
            <w:pPr>
              <w:rPr>
                <w:rFonts w:hint="eastAsia" w:ascii="宋体" w:hAnsi="宋体" w:eastAsia="宋体" w:cs="宋体"/>
                <w:color w:val="auto"/>
                <w:szCs w:val="21"/>
                <w:highlight w:val="none"/>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0FE9AC43">
            <w:pPr>
              <w:rPr>
                <w:rFonts w:hint="eastAsia" w:ascii="宋体" w:hAnsi="宋体" w:eastAsia="宋体" w:cs="宋体"/>
                <w:color w:val="auto"/>
                <w:szCs w:val="21"/>
                <w:highlight w:val="none"/>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4E9D4CB4">
            <w:pPr>
              <w:rPr>
                <w:rFonts w:hint="eastAsia" w:ascii="宋体" w:hAnsi="宋体" w:eastAsia="宋体" w:cs="宋体"/>
                <w:color w:val="auto"/>
                <w:szCs w:val="21"/>
                <w:highlight w:val="none"/>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739B30D6">
            <w:pPr>
              <w:rPr>
                <w:rFonts w:hint="eastAsia" w:ascii="宋体" w:hAnsi="宋体" w:eastAsia="宋体" w:cs="宋体"/>
                <w:color w:val="auto"/>
                <w:szCs w:val="21"/>
                <w:highlight w:val="none"/>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55CAD439">
            <w:pPr>
              <w:rPr>
                <w:rFonts w:hint="eastAsia" w:ascii="宋体" w:hAnsi="宋体" w:eastAsia="宋体" w:cs="宋体"/>
                <w:color w:val="auto"/>
                <w:szCs w:val="21"/>
                <w:highlight w:val="none"/>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6845D00E">
            <w:pPr>
              <w:rPr>
                <w:rFonts w:hint="eastAsia" w:ascii="宋体" w:hAnsi="宋体" w:eastAsia="宋体" w:cs="宋体"/>
                <w:color w:val="auto"/>
                <w:szCs w:val="21"/>
                <w:highlight w:val="none"/>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48C7DE55">
            <w:pPr>
              <w:rPr>
                <w:rFonts w:hint="eastAsia" w:ascii="宋体" w:hAnsi="宋体" w:eastAsia="宋体" w:cs="宋体"/>
                <w:color w:val="auto"/>
                <w:szCs w:val="21"/>
                <w:highlight w:val="none"/>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25137C53">
            <w:pPr>
              <w:rPr>
                <w:rFonts w:hint="eastAsia" w:ascii="宋体" w:hAnsi="宋体" w:eastAsia="宋体" w:cs="宋体"/>
                <w:color w:val="auto"/>
                <w:szCs w:val="21"/>
                <w:highlight w:val="none"/>
              </w:rPr>
            </w:pPr>
          </w:p>
        </w:tc>
      </w:tr>
      <w:tr w14:paraId="056DB7BD">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589C97D6">
            <w:pPr>
              <w:rPr>
                <w:rFonts w:hint="eastAsia" w:ascii="宋体" w:hAnsi="宋体" w:eastAsia="宋体" w:cs="宋体"/>
                <w:color w:val="auto"/>
                <w:szCs w:val="21"/>
                <w:highlight w:val="none"/>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049E7F96">
            <w:pPr>
              <w:rPr>
                <w:rFonts w:hint="eastAsia" w:ascii="宋体" w:hAnsi="宋体" w:eastAsia="宋体" w:cs="宋体"/>
                <w:color w:val="auto"/>
                <w:szCs w:val="21"/>
                <w:highlight w:val="none"/>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5355D652">
            <w:pPr>
              <w:rPr>
                <w:rFonts w:hint="eastAsia" w:ascii="宋体" w:hAnsi="宋体" w:eastAsia="宋体" w:cs="宋体"/>
                <w:color w:val="auto"/>
                <w:szCs w:val="21"/>
                <w:highlight w:val="none"/>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4F99735F">
            <w:pPr>
              <w:rPr>
                <w:rFonts w:hint="eastAsia" w:ascii="宋体" w:hAnsi="宋体" w:eastAsia="宋体" w:cs="宋体"/>
                <w:color w:val="auto"/>
                <w:szCs w:val="21"/>
                <w:highlight w:val="none"/>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0524E07B">
            <w:pPr>
              <w:rPr>
                <w:rFonts w:hint="eastAsia" w:ascii="宋体" w:hAnsi="宋体" w:eastAsia="宋体" w:cs="宋体"/>
                <w:color w:val="auto"/>
                <w:szCs w:val="21"/>
                <w:highlight w:val="none"/>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381C7B8B">
            <w:pPr>
              <w:rPr>
                <w:rFonts w:hint="eastAsia" w:ascii="宋体" w:hAnsi="宋体" w:eastAsia="宋体" w:cs="宋体"/>
                <w:color w:val="auto"/>
                <w:szCs w:val="21"/>
                <w:highlight w:val="none"/>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05CEB725">
            <w:pPr>
              <w:rPr>
                <w:rFonts w:hint="eastAsia" w:ascii="宋体" w:hAnsi="宋体" w:eastAsia="宋体" w:cs="宋体"/>
                <w:color w:val="auto"/>
                <w:szCs w:val="21"/>
                <w:highlight w:val="none"/>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727133F8">
            <w:pPr>
              <w:rPr>
                <w:rFonts w:hint="eastAsia" w:ascii="宋体" w:hAnsi="宋体" w:eastAsia="宋体" w:cs="宋体"/>
                <w:color w:val="auto"/>
                <w:szCs w:val="21"/>
                <w:highlight w:val="none"/>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7B664BD8">
            <w:pPr>
              <w:rPr>
                <w:rFonts w:hint="eastAsia" w:ascii="宋体" w:hAnsi="宋体" w:eastAsia="宋体" w:cs="宋体"/>
                <w:color w:val="auto"/>
                <w:szCs w:val="21"/>
                <w:highlight w:val="none"/>
              </w:rPr>
            </w:pPr>
          </w:p>
        </w:tc>
      </w:tr>
      <w:tr w14:paraId="2D052A09">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5AB54764">
            <w:pPr>
              <w:rPr>
                <w:rFonts w:hint="eastAsia" w:ascii="宋体" w:hAnsi="宋体" w:eastAsia="宋体" w:cs="宋体"/>
                <w:color w:val="auto"/>
                <w:szCs w:val="21"/>
                <w:highlight w:val="none"/>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03B8DD1E">
            <w:pPr>
              <w:rPr>
                <w:rFonts w:hint="eastAsia" w:ascii="宋体" w:hAnsi="宋体" w:eastAsia="宋体" w:cs="宋体"/>
                <w:color w:val="auto"/>
                <w:szCs w:val="21"/>
                <w:highlight w:val="none"/>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1EA22160">
            <w:pPr>
              <w:rPr>
                <w:rFonts w:hint="eastAsia" w:ascii="宋体" w:hAnsi="宋体" w:eastAsia="宋体" w:cs="宋体"/>
                <w:color w:val="auto"/>
                <w:szCs w:val="21"/>
                <w:highlight w:val="none"/>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5A7BC167">
            <w:pPr>
              <w:rPr>
                <w:rFonts w:hint="eastAsia" w:ascii="宋体" w:hAnsi="宋体" w:eastAsia="宋体" w:cs="宋体"/>
                <w:color w:val="auto"/>
                <w:szCs w:val="21"/>
                <w:highlight w:val="none"/>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240963D1">
            <w:pPr>
              <w:rPr>
                <w:rFonts w:hint="eastAsia" w:ascii="宋体" w:hAnsi="宋体" w:eastAsia="宋体" w:cs="宋体"/>
                <w:color w:val="auto"/>
                <w:szCs w:val="21"/>
                <w:highlight w:val="none"/>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35685263">
            <w:pPr>
              <w:rPr>
                <w:rFonts w:hint="eastAsia" w:ascii="宋体" w:hAnsi="宋体" w:eastAsia="宋体" w:cs="宋体"/>
                <w:color w:val="auto"/>
                <w:szCs w:val="21"/>
                <w:highlight w:val="none"/>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3EDCE99E">
            <w:pPr>
              <w:rPr>
                <w:rFonts w:hint="eastAsia" w:ascii="宋体" w:hAnsi="宋体" w:eastAsia="宋体" w:cs="宋体"/>
                <w:color w:val="auto"/>
                <w:szCs w:val="21"/>
                <w:highlight w:val="none"/>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482C8A47">
            <w:pPr>
              <w:rPr>
                <w:rFonts w:hint="eastAsia" w:ascii="宋体" w:hAnsi="宋体" w:eastAsia="宋体" w:cs="宋体"/>
                <w:color w:val="auto"/>
                <w:szCs w:val="21"/>
                <w:highlight w:val="none"/>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5D4C9C89">
            <w:pPr>
              <w:rPr>
                <w:rFonts w:hint="eastAsia" w:ascii="宋体" w:hAnsi="宋体" w:eastAsia="宋体" w:cs="宋体"/>
                <w:color w:val="auto"/>
                <w:szCs w:val="21"/>
                <w:highlight w:val="none"/>
              </w:rPr>
            </w:pPr>
          </w:p>
        </w:tc>
      </w:tr>
      <w:tr w14:paraId="6166439F">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40F3AEDC">
            <w:pPr>
              <w:rPr>
                <w:rFonts w:hint="eastAsia" w:ascii="宋体" w:hAnsi="宋体" w:eastAsia="宋体" w:cs="宋体"/>
                <w:color w:val="auto"/>
                <w:szCs w:val="21"/>
                <w:highlight w:val="none"/>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2D56B9A7">
            <w:pPr>
              <w:rPr>
                <w:rFonts w:hint="eastAsia" w:ascii="宋体" w:hAnsi="宋体" w:eastAsia="宋体" w:cs="宋体"/>
                <w:color w:val="auto"/>
                <w:szCs w:val="21"/>
                <w:highlight w:val="none"/>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0C5342A9">
            <w:pPr>
              <w:rPr>
                <w:rFonts w:hint="eastAsia" w:ascii="宋体" w:hAnsi="宋体" w:eastAsia="宋体" w:cs="宋体"/>
                <w:color w:val="auto"/>
                <w:szCs w:val="21"/>
                <w:highlight w:val="none"/>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4CBBF80F">
            <w:pPr>
              <w:rPr>
                <w:rFonts w:hint="eastAsia" w:ascii="宋体" w:hAnsi="宋体" w:eastAsia="宋体" w:cs="宋体"/>
                <w:color w:val="auto"/>
                <w:szCs w:val="21"/>
                <w:highlight w:val="none"/>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7C018F8C">
            <w:pPr>
              <w:rPr>
                <w:rFonts w:hint="eastAsia" w:ascii="宋体" w:hAnsi="宋体" w:eastAsia="宋体" w:cs="宋体"/>
                <w:color w:val="auto"/>
                <w:szCs w:val="21"/>
                <w:highlight w:val="none"/>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3DBE3E13">
            <w:pPr>
              <w:rPr>
                <w:rFonts w:hint="eastAsia" w:ascii="宋体" w:hAnsi="宋体" w:eastAsia="宋体" w:cs="宋体"/>
                <w:color w:val="auto"/>
                <w:szCs w:val="21"/>
                <w:highlight w:val="none"/>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521126B7">
            <w:pPr>
              <w:rPr>
                <w:rFonts w:hint="eastAsia" w:ascii="宋体" w:hAnsi="宋体" w:eastAsia="宋体" w:cs="宋体"/>
                <w:color w:val="auto"/>
                <w:szCs w:val="21"/>
                <w:highlight w:val="none"/>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327B5323">
            <w:pPr>
              <w:rPr>
                <w:rFonts w:hint="eastAsia" w:ascii="宋体" w:hAnsi="宋体" w:eastAsia="宋体" w:cs="宋体"/>
                <w:color w:val="auto"/>
                <w:szCs w:val="21"/>
                <w:highlight w:val="none"/>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4E98C212">
            <w:pPr>
              <w:rPr>
                <w:rFonts w:hint="eastAsia" w:ascii="宋体" w:hAnsi="宋体" w:eastAsia="宋体" w:cs="宋体"/>
                <w:color w:val="auto"/>
                <w:szCs w:val="21"/>
                <w:highlight w:val="none"/>
              </w:rPr>
            </w:pPr>
          </w:p>
        </w:tc>
      </w:tr>
      <w:tr w14:paraId="3893859F">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0556F794">
            <w:pPr>
              <w:rPr>
                <w:rFonts w:hint="eastAsia" w:ascii="宋体" w:hAnsi="宋体" w:eastAsia="宋体" w:cs="宋体"/>
                <w:color w:val="auto"/>
                <w:szCs w:val="21"/>
                <w:highlight w:val="none"/>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2E7C75D5">
            <w:pPr>
              <w:rPr>
                <w:rFonts w:hint="eastAsia" w:ascii="宋体" w:hAnsi="宋体" w:eastAsia="宋体" w:cs="宋体"/>
                <w:color w:val="auto"/>
                <w:szCs w:val="21"/>
                <w:highlight w:val="none"/>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7A5688DD">
            <w:pPr>
              <w:rPr>
                <w:rFonts w:hint="eastAsia" w:ascii="宋体" w:hAnsi="宋体" w:eastAsia="宋体" w:cs="宋体"/>
                <w:color w:val="auto"/>
                <w:szCs w:val="21"/>
                <w:highlight w:val="none"/>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45F0012C">
            <w:pPr>
              <w:rPr>
                <w:rFonts w:hint="eastAsia" w:ascii="宋体" w:hAnsi="宋体" w:eastAsia="宋体" w:cs="宋体"/>
                <w:color w:val="auto"/>
                <w:szCs w:val="21"/>
                <w:highlight w:val="none"/>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3506A953">
            <w:pPr>
              <w:rPr>
                <w:rFonts w:hint="eastAsia" w:ascii="宋体" w:hAnsi="宋体" w:eastAsia="宋体" w:cs="宋体"/>
                <w:color w:val="auto"/>
                <w:szCs w:val="21"/>
                <w:highlight w:val="none"/>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5207AB10">
            <w:pPr>
              <w:rPr>
                <w:rFonts w:hint="eastAsia" w:ascii="宋体" w:hAnsi="宋体" w:eastAsia="宋体" w:cs="宋体"/>
                <w:color w:val="auto"/>
                <w:szCs w:val="21"/>
                <w:highlight w:val="none"/>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31CD5448">
            <w:pPr>
              <w:rPr>
                <w:rFonts w:hint="eastAsia" w:ascii="宋体" w:hAnsi="宋体" w:eastAsia="宋体" w:cs="宋体"/>
                <w:color w:val="auto"/>
                <w:szCs w:val="21"/>
                <w:highlight w:val="none"/>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0711DA64">
            <w:pPr>
              <w:rPr>
                <w:rFonts w:hint="eastAsia" w:ascii="宋体" w:hAnsi="宋体" w:eastAsia="宋体" w:cs="宋体"/>
                <w:color w:val="auto"/>
                <w:szCs w:val="21"/>
                <w:highlight w:val="none"/>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180E202E">
            <w:pPr>
              <w:rPr>
                <w:rFonts w:hint="eastAsia" w:ascii="宋体" w:hAnsi="宋体" w:eastAsia="宋体" w:cs="宋体"/>
                <w:color w:val="auto"/>
                <w:szCs w:val="21"/>
                <w:highlight w:val="none"/>
              </w:rPr>
            </w:pPr>
          </w:p>
        </w:tc>
      </w:tr>
      <w:tr w14:paraId="2113D42D">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6" w:space="0"/>
              <w:right w:val="single" w:color="000000" w:sz="6" w:space="0"/>
            </w:tcBorders>
            <w:noWrap w:val="0"/>
            <w:vAlign w:val="top"/>
          </w:tcPr>
          <w:p w14:paraId="0140C22D">
            <w:pPr>
              <w:rPr>
                <w:rFonts w:hint="eastAsia" w:ascii="宋体" w:hAnsi="宋体" w:eastAsia="宋体" w:cs="宋体"/>
                <w:color w:val="auto"/>
                <w:szCs w:val="21"/>
                <w:highlight w:val="none"/>
              </w:rPr>
            </w:pPr>
          </w:p>
        </w:tc>
        <w:tc>
          <w:tcPr>
            <w:tcW w:w="1745" w:type="dxa"/>
            <w:tcBorders>
              <w:top w:val="single" w:color="000000" w:sz="6" w:space="0"/>
              <w:left w:val="single" w:color="000000" w:sz="6" w:space="0"/>
              <w:bottom w:val="single" w:color="000000" w:sz="6" w:space="0"/>
              <w:right w:val="single" w:color="000000" w:sz="6" w:space="0"/>
            </w:tcBorders>
            <w:noWrap w:val="0"/>
            <w:vAlign w:val="top"/>
          </w:tcPr>
          <w:p w14:paraId="561CCE4B">
            <w:pPr>
              <w:rPr>
                <w:rFonts w:hint="eastAsia" w:ascii="宋体" w:hAnsi="宋体" w:eastAsia="宋体" w:cs="宋体"/>
                <w:color w:val="auto"/>
                <w:szCs w:val="21"/>
                <w:highlight w:val="none"/>
              </w:rPr>
            </w:pPr>
          </w:p>
        </w:tc>
        <w:tc>
          <w:tcPr>
            <w:tcW w:w="1054" w:type="dxa"/>
            <w:tcBorders>
              <w:top w:val="single" w:color="000000" w:sz="6" w:space="0"/>
              <w:left w:val="single" w:color="000000" w:sz="6" w:space="0"/>
              <w:bottom w:val="single" w:color="000000" w:sz="6" w:space="0"/>
              <w:right w:val="single" w:color="000000" w:sz="6" w:space="0"/>
            </w:tcBorders>
            <w:noWrap w:val="0"/>
            <w:vAlign w:val="top"/>
          </w:tcPr>
          <w:p w14:paraId="00758B47">
            <w:pPr>
              <w:rPr>
                <w:rFonts w:hint="eastAsia" w:ascii="宋体" w:hAnsi="宋体" w:eastAsia="宋体" w:cs="宋体"/>
                <w:color w:val="auto"/>
                <w:szCs w:val="21"/>
                <w:highlight w:val="none"/>
              </w:rPr>
            </w:pPr>
          </w:p>
        </w:tc>
        <w:tc>
          <w:tcPr>
            <w:tcW w:w="869" w:type="dxa"/>
            <w:tcBorders>
              <w:top w:val="single" w:color="000000" w:sz="6" w:space="0"/>
              <w:left w:val="single" w:color="000000" w:sz="6" w:space="0"/>
              <w:bottom w:val="single" w:color="000000" w:sz="6" w:space="0"/>
              <w:right w:val="single" w:color="000000" w:sz="6" w:space="0"/>
            </w:tcBorders>
            <w:noWrap w:val="0"/>
            <w:vAlign w:val="top"/>
          </w:tcPr>
          <w:p w14:paraId="243FE376">
            <w:pPr>
              <w:rPr>
                <w:rFonts w:hint="eastAsia" w:ascii="宋体" w:hAnsi="宋体" w:eastAsia="宋体" w:cs="宋体"/>
                <w:color w:val="auto"/>
                <w:szCs w:val="21"/>
                <w:highlight w:val="none"/>
              </w:rPr>
            </w:pPr>
          </w:p>
        </w:tc>
        <w:tc>
          <w:tcPr>
            <w:tcW w:w="750" w:type="dxa"/>
            <w:tcBorders>
              <w:top w:val="single" w:color="000000" w:sz="6" w:space="0"/>
              <w:left w:val="single" w:color="000000" w:sz="6" w:space="0"/>
              <w:bottom w:val="single" w:color="000000" w:sz="6" w:space="0"/>
              <w:right w:val="single" w:color="000000" w:sz="6" w:space="0"/>
            </w:tcBorders>
            <w:noWrap w:val="0"/>
            <w:vAlign w:val="top"/>
          </w:tcPr>
          <w:p w14:paraId="453C7440">
            <w:pPr>
              <w:rPr>
                <w:rFonts w:hint="eastAsia" w:ascii="宋体" w:hAnsi="宋体" w:eastAsia="宋体" w:cs="宋体"/>
                <w:color w:val="auto"/>
                <w:szCs w:val="21"/>
                <w:highlight w:val="none"/>
              </w:rPr>
            </w:pPr>
          </w:p>
        </w:tc>
        <w:tc>
          <w:tcPr>
            <w:tcW w:w="1022" w:type="dxa"/>
            <w:tcBorders>
              <w:top w:val="single" w:color="000000" w:sz="6" w:space="0"/>
              <w:left w:val="single" w:color="000000" w:sz="6" w:space="0"/>
              <w:bottom w:val="single" w:color="000000" w:sz="6" w:space="0"/>
              <w:right w:val="single" w:color="000000" w:sz="6" w:space="0"/>
            </w:tcBorders>
            <w:noWrap w:val="0"/>
            <w:vAlign w:val="top"/>
          </w:tcPr>
          <w:p w14:paraId="7C332DA1">
            <w:pPr>
              <w:rPr>
                <w:rFonts w:hint="eastAsia" w:ascii="宋体" w:hAnsi="宋体" w:eastAsia="宋体" w:cs="宋体"/>
                <w:color w:val="auto"/>
                <w:szCs w:val="21"/>
                <w:highlight w:val="none"/>
              </w:rPr>
            </w:pPr>
          </w:p>
        </w:tc>
        <w:tc>
          <w:tcPr>
            <w:tcW w:w="1528" w:type="dxa"/>
            <w:tcBorders>
              <w:top w:val="single" w:color="000000" w:sz="6" w:space="0"/>
              <w:left w:val="single" w:color="000000" w:sz="6" w:space="0"/>
              <w:bottom w:val="single" w:color="000000" w:sz="6" w:space="0"/>
              <w:right w:val="single" w:color="000000" w:sz="6" w:space="0"/>
            </w:tcBorders>
            <w:noWrap w:val="0"/>
            <w:vAlign w:val="top"/>
          </w:tcPr>
          <w:p w14:paraId="2AC64A1D">
            <w:pPr>
              <w:rPr>
                <w:rFonts w:hint="eastAsia" w:ascii="宋体" w:hAnsi="宋体" w:eastAsia="宋体" w:cs="宋体"/>
                <w:color w:val="auto"/>
                <w:szCs w:val="21"/>
                <w:highlight w:val="none"/>
              </w:rPr>
            </w:pPr>
          </w:p>
        </w:tc>
        <w:tc>
          <w:tcPr>
            <w:tcW w:w="1289" w:type="dxa"/>
            <w:tcBorders>
              <w:top w:val="single" w:color="000000" w:sz="6" w:space="0"/>
              <w:left w:val="single" w:color="000000" w:sz="6" w:space="0"/>
              <w:bottom w:val="single" w:color="000000" w:sz="6" w:space="0"/>
              <w:right w:val="single" w:color="000000" w:sz="6" w:space="0"/>
            </w:tcBorders>
            <w:noWrap w:val="0"/>
            <w:vAlign w:val="top"/>
          </w:tcPr>
          <w:p w14:paraId="41E8727C">
            <w:pPr>
              <w:rPr>
                <w:rFonts w:hint="eastAsia" w:ascii="宋体" w:hAnsi="宋体" w:eastAsia="宋体" w:cs="宋体"/>
                <w:color w:val="auto"/>
                <w:szCs w:val="21"/>
                <w:highlight w:val="none"/>
              </w:rPr>
            </w:pPr>
          </w:p>
        </w:tc>
        <w:tc>
          <w:tcPr>
            <w:tcW w:w="951" w:type="dxa"/>
            <w:tcBorders>
              <w:top w:val="single" w:color="000000" w:sz="6" w:space="0"/>
              <w:left w:val="single" w:color="000000" w:sz="6" w:space="0"/>
              <w:bottom w:val="single" w:color="000000" w:sz="6" w:space="0"/>
              <w:right w:val="single" w:color="000000" w:sz="12" w:space="0"/>
            </w:tcBorders>
            <w:noWrap w:val="0"/>
            <w:vAlign w:val="top"/>
          </w:tcPr>
          <w:p w14:paraId="73111622">
            <w:pPr>
              <w:rPr>
                <w:rFonts w:hint="eastAsia" w:ascii="宋体" w:hAnsi="宋体" w:eastAsia="宋体" w:cs="宋体"/>
                <w:color w:val="auto"/>
                <w:szCs w:val="21"/>
                <w:highlight w:val="none"/>
              </w:rPr>
            </w:pPr>
          </w:p>
        </w:tc>
      </w:tr>
      <w:tr w14:paraId="70050258">
        <w:tblPrEx>
          <w:tblCellMar>
            <w:top w:w="0" w:type="dxa"/>
            <w:left w:w="28" w:type="dxa"/>
            <w:bottom w:w="0" w:type="dxa"/>
            <w:right w:w="28" w:type="dxa"/>
          </w:tblCellMar>
        </w:tblPrEx>
        <w:trPr>
          <w:trHeight w:val="567" w:hRule="atLeast"/>
          <w:jc w:val="center"/>
        </w:trPr>
        <w:tc>
          <w:tcPr>
            <w:tcW w:w="631" w:type="dxa"/>
            <w:tcBorders>
              <w:top w:val="single" w:color="000000" w:sz="6" w:space="0"/>
              <w:left w:val="single" w:color="000000" w:sz="12" w:space="0"/>
              <w:bottom w:val="single" w:color="000000" w:sz="12" w:space="0"/>
              <w:right w:val="single" w:color="000000" w:sz="6" w:space="0"/>
            </w:tcBorders>
            <w:noWrap w:val="0"/>
            <w:vAlign w:val="top"/>
          </w:tcPr>
          <w:p w14:paraId="0F6D31D8">
            <w:pPr>
              <w:rPr>
                <w:rFonts w:hint="eastAsia" w:ascii="宋体" w:hAnsi="宋体" w:eastAsia="宋体" w:cs="宋体"/>
                <w:color w:val="auto"/>
                <w:szCs w:val="21"/>
                <w:highlight w:val="none"/>
              </w:rPr>
            </w:pPr>
          </w:p>
        </w:tc>
        <w:tc>
          <w:tcPr>
            <w:tcW w:w="1745" w:type="dxa"/>
            <w:tcBorders>
              <w:top w:val="single" w:color="000000" w:sz="6" w:space="0"/>
              <w:left w:val="single" w:color="000000" w:sz="6" w:space="0"/>
              <w:bottom w:val="single" w:color="000000" w:sz="12" w:space="0"/>
              <w:right w:val="single" w:color="000000" w:sz="6" w:space="0"/>
            </w:tcBorders>
            <w:noWrap w:val="0"/>
            <w:vAlign w:val="top"/>
          </w:tcPr>
          <w:p w14:paraId="3B3BD19A">
            <w:pPr>
              <w:rPr>
                <w:rFonts w:hint="eastAsia" w:ascii="宋体" w:hAnsi="宋体" w:eastAsia="宋体" w:cs="宋体"/>
                <w:color w:val="auto"/>
                <w:szCs w:val="21"/>
                <w:highlight w:val="none"/>
              </w:rPr>
            </w:pPr>
          </w:p>
        </w:tc>
        <w:tc>
          <w:tcPr>
            <w:tcW w:w="1054" w:type="dxa"/>
            <w:tcBorders>
              <w:top w:val="single" w:color="000000" w:sz="6" w:space="0"/>
              <w:left w:val="single" w:color="000000" w:sz="6" w:space="0"/>
              <w:bottom w:val="single" w:color="000000" w:sz="12" w:space="0"/>
              <w:right w:val="single" w:color="000000" w:sz="6" w:space="0"/>
            </w:tcBorders>
            <w:noWrap w:val="0"/>
            <w:vAlign w:val="top"/>
          </w:tcPr>
          <w:p w14:paraId="464BF8DF">
            <w:pPr>
              <w:rPr>
                <w:rFonts w:hint="eastAsia" w:ascii="宋体" w:hAnsi="宋体" w:eastAsia="宋体" w:cs="宋体"/>
                <w:color w:val="auto"/>
                <w:szCs w:val="21"/>
                <w:highlight w:val="none"/>
              </w:rPr>
            </w:pPr>
          </w:p>
        </w:tc>
        <w:tc>
          <w:tcPr>
            <w:tcW w:w="869" w:type="dxa"/>
            <w:tcBorders>
              <w:top w:val="single" w:color="000000" w:sz="6" w:space="0"/>
              <w:left w:val="single" w:color="000000" w:sz="6" w:space="0"/>
              <w:bottom w:val="single" w:color="000000" w:sz="12" w:space="0"/>
              <w:right w:val="single" w:color="000000" w:sz="6" w:space="0"/>
            </w:tcBorders>
            <w:noWrap w:val="0"/>
            <w:vAlign w:val="top"/>
          </w:tcPr>
          <w:p w14:paraId="27E0521A">
            <w:pPr>
              <w:rPr>
                <w:rFonts w:hint="eastAsia" w:ascii="宋体" w:hAnsi="宋体" w:eastAsia="宋体" w:cs="宋体"/>
                <w:color w:val="auto"/>
                <w:szCs w:val="21"/>
                <w:highlight w:val="none"/>
              </w:rPr>
            </w:pPr>
          </w:p>
        </w:tc>
        <w:tc>
          <w:tcPr>
            <w:tcW w:w="750" w:type="dxa"/>
            <w:tcBorders>
              <w:top w:val="single" w:color="000000" w:sz="6" w:space="0"/>
              <w:left w:val="single" w:color="000000" w:sz="6" w:space="0"/>
              <w:bottom w:val="single" w:color="000000" w:sz="12" w:space="0"/>
              <w:right w:val="single" w:color="000000" w:sz="6" w:space="0"/>
            </w:tcBorders>
            <w:noWrap w:val="0"/>
            <w:vAlign w:val="top"/>
          </w:tcPr>
          <w:p w14:paraId="29F705A4">
            <w:pPr>
              <w:rPr>
                <w:rFonts w:hint="eastAsia" w:ascii="宋体" w:hAnsi="宋体" w:eastAsia="宋体" w:cs="宋体"/>
                <w:color w:val="auto"/>
                <w:szCs w:val="21"/>
                <w:highlight w:val="none"/>
              </w:rPr>
            </w:pPr>
          </w:p>
        </w:tc>
        <w:tc>
          <w:tcPr>
            <w:tcW w:w="1022" w:type="dxa"/>
            <w:tcBorders>
              <w:top w:val="single" w:color="000000" w:sz="6" w:space="0"/>
              <w:left w:val="single" w:color="000000" w:sz="6" w:space="0"/>
              <w:bottom w:val="single" w:color="000000" w:sz="12" w:space="0"/>
              <w:right w:val="single" w:color="000000" w:sz="6" w:space="0"/>
            </w:tcBorders>
            <w:noWrap w:val="0"/>
            <w:vAlign w:val="top"/>
          </w:tcPr>
          <w:p w14:paraId="675BCFC8">
            <w:pPr>
              <w:rPr>
                <w:rFonts w:hint="eastAsia" w:ascii="宋体" w:hAnsi="宋体" w:eastAsia="宋体" w:cs="宋体"/>
                <w:color w:val="auto"/>
                <w:szCs w:val="21"/>
                <w:highlight w:val="none"/>
              </w:rPr>
            </w:pPr>
          </w:p>
        </w:tc>
        <w:tc>
          <w:tcPr>
            <w:tcW w:w="1528" w:type="dxa"/>
            <w:tcBorders>
              <w:top w:val="single" w:color="000000" w:sz="6" w:space="0"/>
              <w:left w:val="single" w:color="000000" w:sz="6" w:space="0"/>
              <w:bottom w:val="single" w:color="000000" w:sz="12" w:space="0"/>
              <w:right w:val="single" w:color="000000" w:sz="6" w:space="0"/>
            </w:tcBorders>
            <w:noWrap w:val="0"/>
            <w:vAlign w:val="top"/>
          </w:tcPr>
          <w:p w14:paraId="7D45838D">
            <w:pPr>
              <w:rPr>
                <w:rFonts w:hint="eastAsia" w:ascii="宋体" w:hAnsi="宋体" w:eastAsia="宋体" w:cs="宋体"/>
                <w:color w:val="auto"/>
                <w:szCs w:val="21"/>
                <w:highlight w:val="none"/>
              </w:rPr>
            </w:pPr>
          </w:p>
        </w:tc>
        <w:tc>
          <w:tcPr>
            <w:tcW w:w="1289" w:type="dxa"/>
            <w:tcBorders>
              <w:top w:val="single" w:color="000000" w:sz="6" w:space="0"/>
              <w:left w:val="single" w:color="000000" w:sz="6" w:space="0"/>
              <w:bottom w:val="single" w:color="000000" w:sz="12" w:space="0"/>
              <w:right w:val="single" w:color="000000" w:sz="6" w:space="0"/>
            </w:tcBorders>
            <w:noWrap w:val="0"/>
            <w:vAlign w:val="top"/>
          </w:tcPr>
          <w:p w14:paraId="5002BAB0">
            <w:pPr>
              <w:rPr>
                <w:rFonts w:hint="eastAsia" w:ascii="宋体" w:hAnsi="宋体" w:eastAsia="宋体" w:cs="宋体"/>
                <w:color w:val="auto"/>
                <w:szCs w:val="21"/>
                <w:highlight w:val="none"/>
              </w:rPr>
            </w:pPr>
          </w:p>
        </w:tc>
        <w:tc>
          <w:tcPr>
            <w:tcW w:w="951" w:type="dxa"/>
            <w:tcBorders>
              <w:top w:val="single" w:color="000000" w:sz="6" w:space="0"/>
              <w:left w:val="single" w:color="000000" w:sz="6" w:space="0"/>
              <w:bottom w:val="single" w:color="000000" w:sz="12" w:space="0"/>
              <w:right w:val="single" w:color="000000" w:sz="12" w:space="0"/>
            </w:tcBorders>
            <w:noWrap w:val="0"/>
            <w:vAlign w:val="top"/>
          </w:tcPr>
          <w:p w14:paraId="13154AF8">
            <w:pPr>
              <w:rPr>
                <w:rFonts w:hint="eastAsia" w:ascii="宋体" w:hAnsi="宋体" w:eastAsia="宋体" w:cs="宋体"/>
                <w:color w:val="auto"/>
                <w:szCs w:val="21"/>
                <w:highlight w:val="none"/>
              </w:rPr>
            </w:pPr>
          </w:p>
        </w:tc>
      </w:tr>
    </w:tbl>
    <w:p w14:paraId="22499282">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br w:type="page" w:clear="all"/>
      </w:r>
    </w:p>
    <w:p w14:paraId="76C53088">
      <w:pPr>
        <w:spacing w:line="440" w:lineRule="exact"/>
        <w:rPr>
          <w:rFonts w:ascii="Times New Roman" w:hAnsi="Times New Roman" w:eastAsia="宋体" w:cs="Times New Roman"/>
          <w:color w:val="auto"/>
          <w:highlight w:val="none"/>
        </w:rPr>
      </w:pPr>
      <w:r>
        <w:rPr>
          <w:rFonts w:hint="eastAsia" w:ascii="宋体" w:hAnsi="宋体" w:eastAsia="宋体" w:cs="宋体"/>
          <w:color w:val="auto"/>
          <w:szCs w:val="21"/>
          <w:highlight w:val="none"/>
          <w:lang w:bidi="ar"/>
        </w:rPr>
        <w:t>附件6：</w:t>
      </w:r>
    </w:p>
    <w:p w14:paraId="1A2BBDE3">
      <w:pPr>
        <w:spacing w:before="120" w:after="120" w:line="440" w:lineRule="exact"/>
        <w:jc w:val="center"/>
        <w:rPr>
          <w:rFonts w:ascii="Times New Roman" w:hAnsi="Times New Roman" w:eastAsia="宋体" w:cs="Times New Roman"/>
          <w:color w:val="auto"/>
          <w:highlight w:val="none"/>
        </w:rPr>
      </w:pPr>
      <w:r>
        <w:rPr>
          <w:rFonts w:hint="eastAsia" w:ascii="宋体" w:hAnsi="宋体" w:eastAsia="宋体" w:cs="宋体"/>
          <w:color w:val="auto"/>
          <w:sz w:val="24"/>
          <w:szCs w:val="24"/>
          <w:highlight w:val="none"/>
          <w:lang w:bidi="ar"/>
        </w:rPr>
        <w:t>承包人主要施工管理人员表</w:t>
      </w:r>
    </w:p>
    <w:tbl>
      <w:tblPr>
        <w:tblStyle w:val="37"/>
        <w:tblW w:w="0" w:type="auto"/>
        <w:jc w:val="center"/>
        <w:tblLayout w:type="fixed"/>
        <w:tblCellMar>
          <w:top w:w="0" w:type="dxa"/>
          <w:left w:w="28" w:type="dxa"/>
          <w:bottom w:w="0" w:type="dxa"/>
          <w:right w:w="28" w:type="dxa"/>
        </w:tblCellMar>
      </w:tblPr>
      <w:tblGrid>
        <w:gridCol w:w="1870"/>
        <w:gridCol w:w="1417"/>
        <w:gridCol w:w="1134"/>
        <w:gridCol w:w="1134"/>
        <w:gridCol w:w="4281"/>
      </w:tblGrid>
      <w:tr w14:paraId="563E8BBD">
        <w:tblPrEx>
          <w:tblCellMar>
            <w:top w:w="0" w:type="dxa"/>
            <w:left w:w="28" w:type="dxa"/>
            <w:bottom w:w="0" w:type="dxa"/>
            <w:right w:w="28" w:type="dxa"/>
          </w:tblCellMar>
        </w:tblPrEx>
        <w:trPr>
          <w:jc w:val="center"/>
        </w:trPr>
        <w:tc>
          <w:tcPr>
            <w:tcW w:w="1870" w:type="dxa"/>
            <w:tcBorders>
              <w:top w:val="single" w:color="000000" w:sz="12" w:space="0"/>
              <w:left w:val="single" w:color="000000" w:sz="12" w:space="0"/>
              <w:bottom w:val="single" w:color="000000" w:sz="6" w:space="0"/>
              <w:right w:val="single" w:color="000000" w:sz="6" w:space="0"/>
            </w:tcBorders>
            <w:noWrap w:val="0"/>
            <w:vAlign w:val="center"/>
          </w:tcPr>
          <w:p w14:paraId="4985B853">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名    称</w:t>
            </w:r>
          </w:p>
        </w:tc>
        <w:tc>
          <w:tcPr>
            <w:tcW w:w="1417" w:type="dxa"/>
            <w:tcBorders>
              <w:top w:val="single" w:color="000000" w:sz="12" w:space="0"/>
              <w:left w:val="single" w:color="000000" w:sz="6" w:space="0"/>
              <w:bottom w:val="single" w:color="000000" w:sz="6" w:space="0"/>
              <w:right w:val="single" w:color="000000" w:sz="6" w:space="0"/>
            </w:tcBorders>
            <w:noWrap w:val="0"/>
            <w:vAlign w:val="center"/>
          </w:tcPr>
          <w:p w14:paraId="3F00FE2F">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姓名</w:t>
            </w:r>
          </w:p>
        </w:tc>
        <w:tc>
          <w:tcPr>
            <w:tcW w:w="1134" w:type="dxa"/>
            <w:tcBorders>
              <w:top w:val="single" w:color="000000" w:sz="12" w:space="0"/>
              <w:left w:val="single" w:color="000000" w:sz="6" w:space="0"/>
              <w:bottom w:val="single" w:color="000000" w:sz="6" w:space="0"/>
              <w:right w:val="single" w:color="000000" w:sz="6" w:space="0"/>
            </w:tcBorders>
            <w:noWrap w:val="0"/>
            <w:vAlign w:val="center"/>
          </w:tcPr>
          <w:p w14:paraId="7404F775">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职务</w:t>
            </w:r>
          </w:p>
        </w:tc>
        <w:tc>
          <w:tcPr>
            <w:tcW w:w="1134" w:type="dxa"/>
            <w:tcBorders>
              <w:top w:val="single" w:color="000000" w:sz="12" w:space="0"/>
              <w:left w:val="single" w:color="000000" w:sz="6" w:space="0"/>
              <w:bottom w:val="single" w:color="000000" w:sz="6" w:space="0"/>
              <w:right w:val="single" w:color="000000" w:sz="6" w:space="0"/>
            </w:tcBorders>
            <w:noWrap w:val="0"/>
            <w:vAlign w:val="center"/>
          </w:tcPr>
          <w:p w14:paraId="7D9A1664">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职称</w:t>
            </w:r>
          </w:p>
        </w:tc>
        <w:tc>
          <w:tcPr>
            <w:tcW w:w="4281" w:type="dxa"/>
            <w:tcBorders>
              <w:top w:val="single" w:color="000000" w:sz="12" w:space="0"/>
              <w:left w:val="single" w:color="000000" w:sz="6" w:space="0"/>
              <w:bottom w:val="single" w:color="000000" w:sz="6" w:space="0"/>
              <w:right w:val="single" w:color="000000" w:sz="12" w:space="0"/>
            </w:tcBorders>
            <w:noWrap w:val="0"/>
            <w:vAlign w:val="center"/>
          </w:tcPr>
          <w:p w14:paraId="2B3C3A0E">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主要资历、经验及承担过的项目</w:t>
            </w:r>
          </w:p>
        </w:tc>
      </w:tr>
      <w:tr w14:paraId="11064225">
        <w:tblPrEx>
          <w:tblCellMar>
            <w:top w:w="0" w:type="dxa"/>
            <w:left w:w="28" w:type="dxa"/>
            <w:bottom w:w="0" w:type="dxa"/>
            <w:right w:w="28" w:type="dxa"/>
          </w:tblCellMar>
        </w:tblPrEx>
        <w:trPr>
          <w:jc w:val="center"/>
        </w:trPr>
        <w:tc>
          <w:tcPr>
            <w:tcW w:w="9836" w:type="dxa"/>
            <w:gridSpan w:val="5"/>
            <w:tcBorders>
              <w:top w:val="single" w:color="000000" w:sz="6" w:space="0"/>
              <w:left w:val="single" w:color="000000" w:sz="12" w:space="0"/>
              <w:bottom w:val="single" w:color="000000" w:sz="6" w:space="0"/>
              <w:right w:val="single" w:color="000000" w:sz="12" w:space="0"/>
            </w:tcBorders>
            <w:noWrap w:val="0"/>
            <w:vAlign w:val="center"/>
          </w:tcPr>
          <w:p w14:paraId="7E88167C">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一、总部人员</w:t>
            </w:r>
          </w:p>
        </w:tc>
      </w:tr>
      <w:tr w14:paraId="39960130">
        <w:tblPrEx>
          <w:tblCellMar>
            <w:top w:w="0" w:type="dxa"/>
            <w:left w:w="28" w:type="dxa"/>
            <w:bottom w:w="0" w:type="dxa"/>
            <w:right w:w="28" w:type="dxa"/>
          </w:tblCellMar>
        </w:tblPrEx>
        <w:trPr>
          <w:jc w:val="center"/>
        </w:trPr>
        <w:tc>
          <w:tcPr>
            <w:tcW w:w="1870" w:type="dxa"/>
            <w:tcBorders>
              <w:left w:val="single" w:color="000000" w:sz="12" w:space="0"/>
              <w:right w:val="single" w:color="000000" w:sz="6" w:space="0"/>
            </w:tcBorders>
            <w:noWrap w:val="0"/>
            <w:vAlign w:val="center"/>
          </w:tcPr>
          <w:p w14:paraId="10B57B33">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项目主管</w:t>
            </w:r>
          </w:p>
        </w:tc>
        <w:tc>
          <w:tcPr>
            <w:tcW w:w="1417" w:type="dxa"/>
            <w:tcBorders>
              <w:left w:val="single" w:color="000000" w:sz="6" w:space="0"/>
              <w:bottom w:val="single" w:color="000000" w:sz="6" w:space="0"/>
              <w:right w:val="single" w:color="000000" w:sz="6" w:space="0"/>
            </w:tcBorders>
            <w:noWrap w:val="0"/>
            <w:vAlign w:val="center"/>
          </w:tcPr>
          <w:p w14:paraId="3FDE24A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left w:val="single" w:color="000000" w:sz="6" w:space="0"/>
              <w:bottom w:val="single" w:color="000000" w:sz="6" w:space="0"/>
              <w:right w:val="single" w:color="000000" w:sz="6" w:space="0"/>
            </w:tcBorders>
            <w:noWrap w:val="0"/>
            <w:vAlign w:val="center"/>
          </w:tcPr>
          <w:p w14:paraId="5A08989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left w:val="single" w:color="000000" w:sz="6" w:space="0"/>
              <w:bottom w:val="single" w:color="000000" w:sz="6" w:space="0"/>
              <w:right w:val="single" w:color="000000" w:sz="6" w:space="0"/>
            </w:tcBorders>
            <w:noWrap w:val="0"/>
            <w:vAlign w:val="center"/>
          </w:tcPr>
          <w:p w14:paraId="5655EE9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4281" w:type="dxa"/>
            <w:tcBorders>
              <w:left w:val="single" w:color="000000" w:sz="6" w:space="0"/>
              <w:bottom w:val="single" w:color="000000" w:sz="6" w:space="0"/>
              <w:right w:val="single" w:color="000000" w:sz="12" w:space="0"/>
            </w:tcBorders>
            <w:noWrap w:val="0"/>
            <w:vAlign w:val="center"/>
          </w:tcPr>
          <w:p w14:paraId="107B89F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1FA98878">
        <w:tblPrEx>
          <w:tblCellMar>
            <w:top w:w="0" w:type="dxa"/>
            <w:left w:w="28" w:type="dxa"/>
            <w:bottom w:w="0" w:type="dxa"/>
            <w:right w:w="28" w:type="dxa"/>
          </w:tblCellMar>
        </w:tblPrEx>
        <w:trPr>
          <w:jc w:val="center"/>
        </w:trPr>
        <w:tc>
          <w:tcPr>
            <w:tcW w:w="1870" w:type="dxa"/>
            <w:tcBorders>
              <w:top w:val="single" w:color="000000" w:sz="6" w:space="0"/>
              <w:left w:val="single" w:color="000000" w:sz="12" w:space="0"/>
              <w:right w:val="single" w:color="000000" w:sz="6" w:space="0"/>
            </w:tcBorders>
            <w:noWrap w:val="0"/>
            <w:vAlign w:val="center"/>
          </w:tcPr>
          <w:p w14:paraId="1833D92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2D5465E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2E7D738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468D812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6062421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57CDF233">
        <w:tblPrEx>
          <w:tblCellMar>
            <w:top w:w="0" w:type="dxa"/>
            <w:left w:w="28" w:type="dxa"/>
            <w:bottom w:w="0" w:type="dxa"/>
            <w:right w:w="28" w:type="dxa"/>
          </w:tblCellMar>
        </w:tblPrEx>
        <w:trPr>
          <w:jc w:val="center"/>
        </w:trPr>
        <w:tc>
          <w:tcPr>
            <w:tcW w:w="1870" w:type="dxa"/>
            <w:tcBorders>
              <w:left w:val="single" w:color="000000" w:sz="12" w:space="0"/>
              <w:right w:val="single" w:color="000000" w:sz="6" w:space="0"/>
            </w:tcBorders>
            <w:noWrap w:val="0"/>
            <w:vAlign w:val="center"/>
          </w:tcPr>
          <w:p w14:paraId="353096AE">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其他人员</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3377ED6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3558646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665EC57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433D3F1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18E0717B">
        <w:tblPrEx>
          <w:tblCellMar>
            <w:top w:w="0" w:type="dxa"/>
            <w:left w:w="28" w:type="dxa"/>
            <w:bottom w:w="0" w:type="dxa"/>
            <w:right w:w="28" w:type="dxa"/>
          </w:tblCellMar>
        </w:tblPrEx>
        <w:trPr>
          <w:jc w:val="center"/>
        </w:trPr>
        <w:tc>
          <w:tcPr>
            <w:tcW w:w="1870" w:type="dxa"/>
            <w:tcBorders>
              <w:left w:val="single" w:color="000000" w:sz="12" w:space="0"/>
              <w:right w:val="single" w:color="000000" w:sz="6" w:space="0"/>
            </w:tcBorders>
            <w:noWrap w:val="0"/>
            <w:vAlign w:val="center"/>
          </w:tcPr>
          <w:p w14:paraId="0C02EC4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09339CB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7E3089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298842D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429C7FD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2E51D3D8">
        <w:tblPrEx>
          <w:tblCellMar>
            <w:top w:w="0" w:type="dxa"/>
            <w:left w:w="28" w:type="dxa"/>
            <w:bottom w:w="0" w:type="dxa"/>
            <w:right w:w="28" w:type="dxa"/>
          </w:tblCellMar>
        </w:tblPrEx>
        <w:trPr>
          <w:jc w:val="center"/>
        </w:trPr>
        <w:tc>
          <w:tcPr>
            <w:tcW w:w="9836" w:type="dxa"/>
            <w:gridSpan w:val="5"/>
            <w:tcBorders>
              <w:top w:val="single" w:color="000000" w:sz="6" w:space="0"/>
              <w:left w:val="single" w:color="000000" w:sz="12" w:space="0"/>
              <w:bottom w:val="single" w:color="000000" w:sz="6" w:space="0"/>
              <w:right w:val="single" w:color="000000" w:sz="12" w:space="0"/>
            </w:tcBorders>
            <w:noWrap w:val="0"/>
            <w:vAlign w:val="center"/>
          </w:tcPr>
          <w:p w14:paraId="116F62D2">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二、现场人员</w:t>
            </w:r>
          </w:p>
        </w:tc>
      </w:tr>
      <w:tr w14:paraId="631C2E66">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7ADEC90B">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项目经理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5B6ACCA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6CCF0C8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CE63C1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30B5119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0C342001">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0DE2D40D">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项目副经理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56420E0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D155E1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3EFD6C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360102C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2BAEFE7D">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254E6F4C">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技术负责人</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7A1BFE9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7CC97D2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EC321E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56D839C1">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6EB81D91">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637593A7">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造价管理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4727421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3F8C5CC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688A63EF">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473C855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77D9217B">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13D37157">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质量管理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60FBCD7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817053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4ADAE4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35DE1BC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76D2B4E7">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185A92AA">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材料管理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3EB8D9B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537DA9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8430E2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012DAF7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294AEE13">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77FE0AC9">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计划管理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20F0418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422A8EB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3720E8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1921CE8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71016C0A">
        <w:tblPrEx>
          <w:tblCellMar>
            <w:top w:w="0" w:type="dxa"/>
            <w:left w:w="28" w:type="dxa"/>
            <w:bottom w:w="0" w:type="dxa"/>
            <w:right w:w="28" w:type="dxa"/>
          </w:tblCellMar>
        </w:tblPrEx>
        <w:trPr>
          <w:jc w:val="center"/>
        </w:trPr>
        <w:tc>
          <w:tcPr>
            <w:tcW w:w="1870" w:type="dxa"/>
            <w:tcBorders>
              <w:top w:val="single" w:color="000000" w:sz="6" w:space="0"/>
              <w:left w:val="single" w:color="000000" w:sz="12" w:space="0"/>
              <w:bottom w:val="single" w:color="000000" w:sz="6" w:space="0"/>
              <w:right w:val="single" w:color="000000" w:sz="6" w:space="0"/>
            </w:tcBorders>
            <w:noWrap w:val="0"/>
            <w:vAlign w:val="center"/>
          </w:tcPr>
          <w:p w14:paraId="3623B906">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安全管理</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2BA497A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7B0921C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0B29C51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00A0630B">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331C2E35">
        <w:tblPrEx>
          <w:tblCellMar>
            <w:top w:w="0" w:type="dxa"/>
            <w:left w:w="28" w:type="dxa"/>
            <w:bottom w:w="0" w:type="dxa"/>
            <w:right w:w="28" w:type="dxa"/>
          </w:tblCellMar>
        </w:tblPrEx>
        <w:trPr>
          <w:jc w:val="center"/>
        </w:trPr>
        <w:tc>
          <w:tcPr>
            <w:tcW w:w="1870" w:type="dxa"/>
            <w:vMerge w:val="restart"/>
            <w:tcBorders>
              <w:top w:val="single" w:color="000000" w:sz="6" w:space="0"/>
              <w:left w:val="single" w:color="000000" w:sz="12" w:space="0"/>
              <w:bottom w:val="single" w:color="000000" w:sz="12" w:space="0"/>
              <w:right w:val="single" w:color="000000" w:sz="6" w:space="0"/>
            </w:tcBorders>
            <w:noWrap w:val="0"/>
            <w:vAlign w:val="center"/>
          </w:tcPr>
          <w:p w14:paraId="6C684FA5">
            <w:pPr>
              <w:keepNext/>
              <w:widowControl w:val="0"/>
              <w:spacing w:before="0" w:beforeAutospacing="1" w:after="0" w:afterAutospacing="1" w:line="440" w:lineRule="exact"/>
              <w:ind w:left="63" w:right="63"/>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其他人员</w:t>
            </w: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6FA6167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602E802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530B834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6C49CD2C">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5D28076F">
        <w:tblPrEx>
          <w:tblCellMar>
            <w:top w:w="0" w:type="dxa"/>
            <w:left w:w="28" w:type="dxa"/>
            <w:bottom w:w="0" w:type="dxa"/>
            <w:right w:w="28" w:type="dxa"/>
          </w:tblCellMar>
        </w:tblPrEx>
        <w:trPr>
          <w:jc w:val="center"/>
        </w:trPr>
        <w:tc>
          <w:tcPr>
            <w:tcW w:w="1870"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4E1535AA">
            <w:pPr>
              <w:rPr>
                <w:rFonts w:hint="eastAsia" w:ascii="宋体" w:hAnsi="宋体" w:eastAsia="宋体" w:cs="宋体"/>
                <w:color w:val="auto"/>
                <w:szCs w:val="21"/>
                <w:highlight w:val="none"/>
              </w:rPr>
            </w:pPr>
          </w:p>
        </w:tc>
        <w:tc>
          <w:tcPr>
            <w:tcW w:w="1417" w:type="dxa"/>
            <w:tcBorders>
              <w:top w:val="single" w:color="000000" w:sz="6" w:space="0"/>
              <w:left w:val="single" w:color="000000" w:sz="6" w:space="0"/>
              <w:right w:val="single" w:color="000000" w:sz="6" w:space="0"/>
            </w:tcBorders>
            <w:noWrap w:val="0"/>
            <w:vAlign w:val="center"/>
          </w:tcPr>
          <w:p w14:paraId="26E59E2F">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right w:val="single" w:color="000000" w:sz="6" w:space="0"/>
            </w:tcBorders>
            <w:noWrap w:val="0"/>
            <w:vAlign w:val="center"/>
          </w:tcPr>
          <w:p w14:paraId="3EE8552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right w:val="single" w:color="000000" w:sz="6" w:space="0"/>
            </w:tcBorders>
            <w:noWrap w:val="0"/>
            <w:vAlign w:val="center"/>
          </w:tcPr>
          <w:p w14:paraId="2976F2B0">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4281" w:type="dxa"/>
            <w:tcBorders>
              <w:top w:val="single" w:color="000000" w:sz="6" w:space="0"/>
              <w:left w:val="single" w:color="000000" w:sz="6" w:space="0"/>
              <w:right w:val="single" w:color="000000" w:sz="12" w:space="0"/>
            </w:tcBorders>
            <w:noWrap w:val="0"/>
            <w:vAlign w:val="center"/>
          </w:tcPr>
          <w:p w14:paraId="569FA8F9">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48BF6F87">
        <w:tblPrEx>
          <w:tblCellMar>
            <w:top w:w="0" w:type="dxa"/>
            <w:left w:w="28" w:type="dxa"/>
            <w:bottom w:w="0" w:type="dxa"/>
            <w:right w:w="28" w:type="dxa"/>
          </w:tblCellMar>
        </w:tblPrEx>
        <w:trPr>
          <w:jc w:val="center"/>
        </w:trPr>
        <w:tc>
          <w:tcPr>
            <w:tcW w:w="1870"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16A01132">
            <w:pPr>
              <w:rPr>
                <w:rFonts w:hint="eastAsia" w:ascii="宋体" w:hAnsi="宋体" w:eastAsia="宋体" w:cs="宋体"/>
                <w:color w:val="auto"/>
                <w:szCs w:val="21"/>
                <w:highlight w:val="none"/>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70057D26">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66DCCCA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2A38BB3F">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4261202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4BFB05C6">
        <w:tblPrEx>
          <w:tblCellMar>
            <w:top w:w="0" w:type="dxa"/>
            <w:left w:w="28" w:type="dxa"/>
            <w:bottom w:w="0" w:type="dxa"/>
            <w:right w:w="28" w:type="dxa"/>
          </w:tblCellMar>
        </w:tblPrEx>
        <w:trPr>
          <w:jc w:val="center"/>
        </w:trPr>
        <w:tc>
          <w:tcPr>
            <w:tcW w:w="1870"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1881A10D">
            <w:pPr>
              <w:rPr>
                <w:rFonts w:hint="eastAsia" w:ascii="宋体" w:hAnsi="宋体" w:eastAsia="宋体" w:cs="宋体"/>
                <w:color w:val="auto"/>
                <w:szCs w:val="21"/>
                <w:highlight w:val="none"/>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3128A15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17DB6567">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4E13418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5DAE7F6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2FA9B3F7">
        <w:tblPrEx>
          <w:tblCellMar>
            <w:top w:w="0" w:type="dxa"/>
            <w:left w:w="28" w:type="dxa"/>
            <w:bottom w:w="0" w:type="dxa"/>
            <w:right w:w="28" w:type="dxa"/>
          </w:tblCellMar>
        </w:tblPrEx>
        <w:trPr>
          <w:jc w:val="center"/>
        </w:trPr>
        <w:tc>
          <w:tcPr>
            <w:tcW w:w="1870"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75D40F35">
            <w:pPr>
              <w:rPr>
                <w:rFonts w:hint="eastAsia" w:ascii="宋体" w:hAnsi="宋体" w:eastAsia="宋体" w:cs="宋体"/>
                <w:color w:val="auto"/>
                <w:szCs w:val="21"/>
                <w:highlight w:val="none"/>
              </w:rPr>
            </w:pPr>
          </w:p>
        </w:tc>
        <w:tc>
          <w:tcPr>
            <w:tcW w:w="1417" w:type="dxa"/>
            <w:tcBorders>
              <w:top w:val="single" w:color="000000" w:sz="6" w:space="0"/>
              <w:left w:val="single" w:color="000000" w:sz="6" w:space="0"/>
              <w:bottom w:val="single" w:color="000000" w:sz="6" w:space="0"/>
              <w:right w:val="single" w:color="000000" w:sz="6" w:space="0"/>
            </w:tcBorders>
            <w:noWrap w:val="0"/>
            <w:vAlign w:val="center"/>
          </w:tcPr>
          <w:p w14:paraId="125A9D5D">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441C888A">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6" w:space="0"/>
              <w:right w:val="single" w:color="000000" w:sz="6" w:space="0"/>
            </w:tcBorders>
            <w:noWrap w:val="0"/>
            <w:vAlign w:val="center"/>
          </w:tcPr>
          <w:p w14:paraId="42F26D62">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4281" w:type="dxa"/>
            <w:tcBorders>
              <w:top w:val="single" w:color="000000" w:sz="6" w:space="0"/>
              <w:left w:val="single" w:color="000000" w:sz="6" w:space="0"/>
              <w:bottom w:val="single" w:color="000000" w:sz="6" w:space="0"/>
              <w:right w:val="single" w:color="000000" w:sz="12" w:space="0"/>
            </w:tcBorders>
            <w:noWrap w:val="0"/>
            <w:vAlign w:val="center"/>
          </w:tcPr>
          <w:p w14:paraId="3258F1D3">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r w14:paraId="2635C000">
        <w:tblPrEx>
          <w:tblCellMar>
            <w:top w:w="0" w:type="dxa"/>
            <w:left w:w="28" w:type="dxa"/>
            <w:bottom w:w="0" w:type="dxa"/>
            <w:right w:w="28" w:type="dxa"/>
          </w:tblCellMar>
        </w:tblPrEx>
        <w:trPr>
          <w:jc w:val="center"/>
        </w:trPr>
        <w:tc>
          <w:tcPr>
            <w:tcW w:w="1870" w:type="dxa"/>
            <w:vMerge w:val="continue"/>
            <w:tcBorders>
              <w:top w:val="single" w:color="000000" w:sz="6" w:space="0"/>
              <w:left w:val="single" w:color="000000" w:sz="12" w:space="0"/>
              <w:bottom w:val="single" w:color="000000" w:sz="12" w:space="0"/>
              <w:right w:val="single" w:color="000000" w:sz="6" w:space="0"/>
            </w:tcBorders>
            <w:noWrap w:val="0"/>
            <w:vAlign w:val="center"/>
          </w:tcPr>
          <w:p w14:paraId="5C2F68C6">
            <w:pPr>
              <w:rPr>
                <w:rFonts w:hint="eastAsia" w:ascii="宋体" w:hAnsi="宋体" w:eastAsia="宋体" w:cs="宋体"/>
                <w:color w:val="auto"/>
                <w:szCs w:val="21"/>
                <w:highlight w:val="none"/>
              </w:rPr>
            </w:pPr>
          </w:p>
        </w:tc>
        <w:tc>
          <w:tcPr>
            <w:tcW w:w="1417" w:type="dxa"/>
            <w:tcBorders>
              <w:top w:val="single" w:color="000000" w:sz="6" w:space="0"/>
              <w:left w:val="single" w:color="000000" w:sz="6" w:space="0"/>
              <w:bottom w:val="single" w:color="000000" w:sz="12" w:space="0"/>
              <w:right w:val="single" w:color="000000" w:sz="6" w:space="0"/>
            </w:tcBorders>
            <w:noWrap w:val="0"/>
            <w:vAlign w:val="center"/>
          </w:tcPr>
          <w:p w14:paraId="64738868">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12" w:space="0"/>
              <w:right w:val="single" w:color="000000" w:sz="6" w:space="0"/>
            </w:tcBorders>
            <w:noWrap w:val="0"/>
            <w:vAlign w:val="center"/>
          </w:tcPr>
          <w:p w14:paraId="7AFD8FBE">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1134" w:type="dxa"/>
            <w:tcBorders>
              <w:top w:val="single" w:color="000000" w:sz="6" w:space="0"/>
              <w:left w:val="single" w:color="000000" w:sz="6" w:space="0"/>
              <w:bottom w:val="single" w:color="000000" w:sz="12" w:space="0"/>
              <w:right w:val="single" w:color="000000" w:sz="6" w:space="0"/>
            </w:tcBorders>
            <w:noWrap w:val="0"/>
            <w:vAlign w:val="center"/>
          </w:tcPr>
          <w:p w14:paraId="74E9C3B5">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c>
          <w:tcPr>
            <w:tcW w:w="4281" w:type="dxa"/>
            <w:tcBorders>
              <w:top w:val="single" w:color="000000" w:sz="6" w:space="0"/>
              <w:left w:val="single" w:color="000000" w:sz="6" w:space="0"/>
              <w:bottom w:val="single" w:color="000000" w:sz="12" w:space="0"/>
              <w:right w:val="single" w:color="000000" w:sz="12" w:space="0"/>
            </w:tcBorders>
            <w:noWrap w:val="0"/>
            <w:vAlign w:val="center"/>
          </w:tcPr>
          <w:p w14:paraId="04E34FA4">
            <w:pPr>
              <w:keepNext/>
              <w:widowControl w:val="0"/>
              <w:spacing w:before="0" w:beforeAutospacing="1" w:after="0" w:afterAutospacing="1" w:line="440" w:lineRule="exact"/>
              <w:ind w:left="63" w:right="63"/>
              <w:jc w:val="both"/>
              <w:rPr>
                <w:rFonts w:hint="eastAsia" w:ascii="宋体" w:hAnsi="宋体" w:eastAsia="宋体" w:cs="宋体"/>
                <w:color w:val="auto"/>
                <w:sz w:val="21"/>
                <w:szCs w:val="21"/>
                <w:highlight w:val="none"/>
                <w:lang w:val="en-US" w:eastAsia="zh-CN" w:bidi="ar-SA"/>
              </w:rPr>
            </w:pPr>
          </w:p>
        </w:tc>
      </w:tr>
    </w:tbl>
    <w:p w14:paraId="12931A59">
      <w:pPr>
        <w:pageBreakBefore/>
        <w:spacing w:line="440" w:lineRule="exact"/>
        <w:rPr>
          <w:rFonts w:ascii="Times New Roman" w:hAnsi="Times New Roman" w:eastAsia="宋体" w:cs="Times New Roman"/>
          <w:color w:val="auto"/>
          <w:highlight w:val="none"/>
        </w:rPr>
      </w:pPr>
      <w:r>
        <w:rPr>
          <w:rFonts w:hint="eastAsia" w:ascii="宋体" w:hAnsi="宋体" w:eastAsia="宋体" w:cs="宋体"/>
          <w:color w:val="auto"/>
          <w:szCs w:val="21"/>
          <w:highlight w:val="none"/>
          <w:lang w:bidi="ar"/>
        </w:rPr>
        <w:t xml:space="preserve">附件7：                       </w:t>
      </w:r>
    </w:p>
    <w:p w14:paraId="15052B15">
      <w:pPr>
        <w:spacing w:line="360" w:lineRule="auto"/>
        <w:ind w:firstLine="420"/>
        <w:jc w:val="center"/>
        <w:rPr>
          <w:rFonts w:hint="eastAsia" w:ascii="宋体" w:hAnsi="宋体" w:eastAsia="宋体" w:cs="宋体"/>
          <w:b/>
          <w:color w:val="auto"/>
          <w:sz w:val="24"/>
          <w:szCs w:val="24"/>
          <w:highlight w:val="none"/>
          <w:lang w:bidi="ar"/>
        </w:rPr>
      </w:pPr>
      <w:r>
        <w:rPr>
          <w:rFonts w:hint="eastAsia" w:ascii="宋体" w:hAnsi="宋体" w:eastAsia="宋体" w:cs="宋体"/>
          <w:b/>
          <w:color w:val="auto"/>
          <w:sz w:val="24"/>
          <w:szCs w:val="24"/>
          <w:highlight w:val="none"/>
          <w:lang w:bidi="ar"/>
        </w:rPr>
        <w:t>工程安全环境管理协议</w:t>
      </w:r>
    </w:p>
    <w:p w14:paraId="5BB7B865">
      <w:pPr>
        <w:keepNext w:val="0"/>
        <w:keepLines w:val="0"/>
        <w:pageBreakBefore w:val="0"/>
        <w:widowControl w:val="0"/>
        <w:spacing w:line="400" w:lineRule="exact"/>
        <w:ind w:firstLine="420"/>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bidi="ar"/>
        </w:rPr>
        <w:t>发包人（全称）：</w:t>
      </w:r>
      <w:r>
        <w:rPr>
          <w:rFonts w:hint="eastAsia" w:ascii="宋体" w:hAnsi="宋体" w:eastAsia="宋体" w:cs="宋体"/>
          <w:b/>
          <w:bCs/>
          <w:color w:val="auto"/>
          <w:sz w:val="24"/>
          <w:szCs w:val="24"/>
          <w:highlight w:val="none"/>
          <w:u w:val="single"/>
          <w:lang w:eastAsia="zh-CN" w:bidi="ar"/>
        </w:rPr>
        <w:t>江苏省经贸技师学院</w:t>
      </w:r>
    </w:p>
    <w:p w14:paraId="40B2D9CE">
      <w:pPr>
        <w:keepNext w:val="0"/>
        <w:keepLines w:val="0"/>
        <w:pageBreakBefore w:val="0"/>
        <w:widowControl w:val="0"/>
        <w:spacing w:line="400" w:lineRule="exact"/>
        <w:ind w:firstLine="482"/>
        <w:rPr>
          <w:rFonts w:hint="default" w:ascii="Times New Roman" w:hAnsi="Times New Roman" w:eastAsia="宋体" w:cs="Times New Roman"/>
          <w:color w:val="auto"/>
          <w:sz w:val="24"/>
          <w:szCs w:val="24"/>
          <w:highlight w:val="none"/>
          <w:lang w:val="en-US" w:eastAsia="zh-CN"/>
        </w:rPr>
      </w:pPr>
      <w:r>
        <w:rPr>
          <w:rFonts w:hint="eastAsia" w:ascii="宋体" w:hAnsi="宋体" w:eastAsia="宋体" w:cs="宋体"/>
          <w:b/>
          <w:color w:val="auto"/>
          <w:sz w:val="24"/>
          <w:szCs w:val="24"/>
          <w:highlight w:val="none"/>
          <w:lang w:bidi="ar"/>
        </w:rPr>
        <w:t>承包人</w:t>
      </w:r>
      <w:r>
        <w:rPr>
          <w:rFonts w:hint="eastAsia" w:ascii="宋体" w:hAnsi="宋体" w:eastAsia="宋体" w:cs="宋体"/>
          <w:b/>
          <w:bCs/>
          <w:color w:val="auto"/>
          <w:sz w:val="24"/>
          <w:szCs w:val="24"/>
          <w:highlight w:val="none"/>
          <w:lang w:bidi="ar"/>
        </w:rPr>
        <w:t>（全称）</w:t>
      </w:r>
      <w:r>
        <w:rPr>
          <w:rFonts w:hint="eastAsia" w:ascii="宋体" w:hAnsi="宋体" w:eastAsia="宋体" w:cs="宋体"/>
          <w:b/>
          <w:color w:val="auto"/>
          <w:sz w:val="24"/>
          <w:szCs w:val="24"/>
          <w:highlight w:val="none"/>
          <w:lang w:bidi="ar"/>
        </w:rPr>
        <w:t>：</w:t>
      </w:r>
      <w:r>
        <w:rPr>
          <w:rFonts w:hint="eastAsia" w:ascii="宋体" w:hAnsi="宋体" w:eastAsia="宋体" w:cs="宋体"/>
          <w:color w:val="auto"/>
          <w:sz w:val="24"/>
          <w:szCs w:val="24"/>
          <w:highlight w:val="none"/>
          <w:u w:val="single"/>
          <w:lang w:val="en-US" w:eastAsia="zh-CN" w:bidi="ar"/>
        </w:rPr>
        <w:t xml:space="preserve">                  </w:t>
      </w:r>
    </w:p>
    <w:p w14:paraId="26EC0244">
      <w:pPr>
        <w:keepNext w:val="0"/>
        <w:keepLines w:val="0"/>
        <w:pageBreakBefore w:val="0"/>
        <w:widowControl w:val="0"/>
        <w:spacing w:line="400" w:lineRule="exact"/>
        <w:ind w:firstLine="48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工程项目名称：</w:t>
      </w:r>
      <w:r>
        <w:rPr>
          <w:rFonts w:hint="eastAsia" w:ascii="宋体" w:hAnsi="宋体" w:eastAsia="宋体" w:cs="宋体"/>
          <w:b/>
          <w:bCs/>
          <w:color w:val="auto"/>
          <w:sz w:val="24"/>
          <w:szCs w:val="24"/>
          <w:highlight w:val="none"/>
          <w:u w:val="single"/>
          <w:lang w:eastAsia="zh-CN" w:bidi="ar"/>
        </w:rPr>
        <w:t>国际学术交流中心消防整改项目（专门面向中小微企业)</w:t>
      </w:r>
      <w:r>
        <w:rPr>
          <w:rFonts w:hint="eastAsia" w:ascii="宋体" w:hAnsi="宋体" w:eastAsia="宋体" w:cs="宋体"/>
          <w:color w:val="auto"/>
          <w:sz w:val="24"/>
          <w:szCs w:val="24"/>
          <w:highlight w:val="none"/>
          <w:lang w:bidi="ar"/>
        </w:rPr>
        <w:t xml:space="preserve">   </w:t>
      </w:r>
    </w:p>
    <w:p w14:paraId="6FEFE439">
      <w:pPr>
        <w:keepNext w:val="0"/>
        <w:keepLines w:val="0"/>
        <w:pageBreakBefore w:val="0"/>
        <w:widowControl w:val="0"/>
        <w:spacing w:line="400" w:lineRule="exact"/>
        <w:ind w:firstLine="48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15C206FB">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1 安全文明施工管理目标</w:t>
      </w:r>
    </w:p>
    <w:p w14:paraId="7C87C314">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1．1 杜绝重伤及以上事故；</w:t>
      </w:r>
    </w:p>
    <w:p w14:paraId="66A922F4">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1．2 杜绝重大机械设备事故；</w:t>
      </w:r>
    </w:p>
    <w:p w14:paraId="3D50797C">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1．3 杜绝重大火灾事故；</w:t>
      </w:r>
    </w:p>
    <w:p w14:paraId="7E0FDFDE">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1．4 杜绝负主要责任的重大交通事故；</w:t>
      </w:r>
    </w:p>
    <w:p w14:paraId="58596D0C">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1．5 杜绝重复发生相同性质的事故；</w:t>
      </w:r>
    </w:p>
    <w:p w14:paraId="62625F6E">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1．6 创建安全文明施工样板工程；</w:t>
      </w:r>
    </w:p>
    <w:p w14:paraId="0DE7B84E">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1．7 杜绝重大设备损坏事故。</w:t>
      </w:r>
    </w:p>
    <w:p w14:paraId="491D09F8">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2 安全文明施工和环境管理执行标准：</w:t>
      </w:r>
    </w:p>
    <w:p w14:paraId="11B5CDF2">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以下标准双方均应认真执行：</w:t>
      </w:r>
    </w:p>
    <w:p w14:paraId="01B3266B">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2．1 《建设工程安全管理条例》；</w:t>
      </w:r>
    </w:p>
    <w:p w14:paraId="3974BA13">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2．2 国家有关部、委、各级政府部门和上级主管部门颁发的有关安全生产和环境保护工作的法令、法规、规定、制度；  </w:t>
      </w:r>
    </w:p>
    <w:p w14:paraId="065DFCB0">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2．3 发包人有关安全文明施工及环境保护的规定、制度。</w:t>
      </w:r>
    </w:p>
    <w:p w14:paraId="379180C7">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3 发包人的权利和义务：</w:t>
      </w:r>
    </w:p>
    <w:p w14:paraId="1513B4EB">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3．1 发包人按有关规定对承包人的资质进行审查，确认承包人承包的工程与其资质相符合；</w:t>
      </w:r>
    </w:p>
    <w:p w14:paraId="3D55438B">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3．2 发包人在施工前负责审核承包人的施工组织设计；</w:t>
      </w:r>
    </w:p>
    <w:p w14:paraId="1D12C13D">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7F2592B8">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3．4 对承包人在施工中新增的施工人员，发包人有权按以上要求进行检查；</w:t>
      </w:r>
    </w:p>
    <w:p w14:paraId="43263095">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3．5 施工前发包人有权对承包人的电动工器具、仪表等进行抽样检查；</w:t>
      </w:r>
    </w:p>
    <w:p w14:paraId="7D587298">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3．6 施工期间，发包人设专职安监人员负责联系、检查、督促承包人执行有关安全、防火规定，并协助检查和处理工程施工中有关的安全、防火工作、预防事故发生；</w:t>
      </w:r>
    </w:p>
    <w:p w14:paraId="74A056C2">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3．7 发包人有协助承包人搞好安全生产、防火管理的义务。当承包人出现安全、文明施工严重失控情况下，发包人有权按《建设工程安全管理条例》的要求做出停工整顿，限期整改、直到清退出场的决定；</w:t>
      </w:r>
    </w:p>
    <w:p w14:paraId="372E3849">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3．8 发包人不得要求承包人违反安全管理规定进行施工。因发包人原因导致事故由发包人承担责任；</w:t>
      </w:r>
    </w:p>
    <w:p w14:paraId="45682AC3">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3．9 由发包人提供的机械设备、安全设施，在安装完毕提交使用前，发包人应配合承包人共同按规定验收，并做好验收及交付使用的书面手续。</w:t>
      </w:r>
    </w:p>
    <w:p w14:paraId="010E05B8">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 承包人的权利和义务：</w:t>
      </w:r>
    </w:p>
    <w:p w14:paraId="22EE053C">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4．1 承包人需根据现场的实际开工情况，找出危险源，列出《风险源清单》，根据风险的大小，编制《施工现场工作风险评估》；</w:t>
      </w:r>
    </w:p>
    <w:p w14:paraId="614BF1AC">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4．2 承包人应建立安全管理体系，明确在施工现场负责安全生产的领导。承包人必须配有专职安全员，专职安全人员的数量应按施工人员数量的3%配备。安全员应经专门培训考试合格，并持有相应上岗证或资质证书；</w:t>
      </w:r>
    </w:p>
    <w:p w14:paraId="7156135D">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4．3 承包人必须建立安全管理制度，各级安全生产岗位责任制和定期安全检查、安全教育制度，包括各工种的安全操作规程、特种作业人员的考核制度等；</w:t>
      </w:r>
    </w:p>
    <w:p w14:paraId="2B3CCD65">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4．4 承包人在项目施工开始前要根据《施工组织设计》或《安全施工方案（措施）》向施工人员进行安全技术交底；</w:t>
      </w:r>
    </w:p>
    <w:p w14:paraId="076A5053">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4．5 承包人必须严格按施工组织设计和有关安全要求规定组织施工。对有可能发生火灾、爆炸、触电、中毒、窒息、机械伤害、烧烫伤等危险或会引起严重设备事故的作业，承包人应制定专项施工安全技术措施；</w:t>
      </w:r>
    </w:p>
    <w:p w14:paraId="7A84A591">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159DEFBA">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4．7 承包人施工人员应经安规考试合格后上岗；</w:t>
      </w:r>
    </w:p>
    <w:p w14:paraId="5F5B4544">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4．8 承包人施工人员应对所在的施工区域、作业环境、操作设施设备、工器具等进行认真检查，发现隐患立即处理，落实整改措施；</w:t>
      </w:r>
    </w:p>
    <w:p w14:paraId="5E9771DE">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4．9承包人在施工期间由于施工机械、工器具原因或使用操作不当而造成伤亡事故，由承包人负责；</w:t>
      </w:r>
    </w:p>
    <w:p w14:paraId="79535474">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4．10承包人对施工现场安全设施（如脚手架等）每天开工前必须检查，发现隐患及时整改；</w:t>
      </w:r>
    </w:p>
    <w:p w14:paraId="401BC26A">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023A99BE">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4．12承包人必须按规定为作业人员配备应有的劳动保护用品、用具。承包人所属人员的身体健康状况必须能满足所从事工作的要求；</w:t>
      </w:r>
    </w:p>
    <w:p w14:paraId="35F04B47">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p>
    <w:p w14:paraId="033F5B5C">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p>
    <w:p w14:paraId="6CAB8CC0">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7 其他</w:t>
      </w:r>
    </w:p>
    <w:p w14:paraId="0E78B040">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7．1承包人工程施工方案中必须包括安全、健康、环保等措施，并贯彻落实到具体工作中区，确保施工安全及当地环境不受工程施工破坏；</w:t>
      </w:r>
    </w:p>
    <w:p w14:paraId="6D3100A6">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7．2施工过程中产生的废弃物、噪音等排放必须符合相关规定标准；</w:t>
      </w:r>
    </w:p>
    <w:p w14:paraId="4A18BB83">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7．3由于承包人施工破坏周围环境，造成恶劣影响印发纠纷和社会矛盾等由承包人承担全部责任；</w:t>
      </w:r>
    </w:p>
    <w:p w14:paraId="175F1790">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7．4承包人按月（年）向发包人报送企业职工伤亡事故月（年）报告；</w:t>
      </w:r>
    </w:p>
    <w:p w14:paraId="1E038332">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7．5对发包人组织的安全环境大检查、安全工作会议，承包人应及时派员参加，认真贯彻落实；</w:t>
      </w:r>
    </w:p>
    <w:p w14:paraId="7F36B74D">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8 本协议执行过程中如遇有与国家、交通部和地方政府的有关规定不一致时，按国家、交通部和地方政府的有关规定执行；</w:t>
      </w:r>
    </w:p>
    <w:p w14:paraId="7982EC2C">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9 本协议经甲乙双方签字、盖章后生效，作为工程合同的附件与合同具有同等的法律效力；</w:t>
      </w:r>
    </w:p>
    <w:p w14:paraId="39EFEA98">
      <w:pPr>
        <w:keepNext w:val="0"/>
        <w:keepLines w:val="0"/>
        <w:pageBreakBefore w:val="0"/>
        <w:widowControl w:val="0"/>
        <w:spacing w:line="400" w:lineRule="exact"/>
        <w:ind w:firstLine="51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10 甲乙双方必须严格执行本协议，因违反本协议而造成设备、伤亡事故，由违约方承担一切经济损失。</w:t>
      </w:r>
    </w:p>
    <w:p w14:paraId="5445C37C">
      <w:pPr>
        <w:keepNext w:val="0"/>
        <w:keepLines w:val="0"/>
        <w:pageBreakBefore w:val="0"/>
        <w:widowControl w:val="0"/>
        <w:spacing w:line="40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      </w:t>
      </w:r>
    </w:p>
    <w:p w14:paraId="30989DD3">
      <w:pPr>
        <w:keepNext w:val="0"/>
        <w:keepLines w:val="0"/>
        <w:pageBreakBefore w:val="0"/>
        <w:widowControl w:val="0"/>
        <w:spacing w:line="40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eastAsia="zh-CN" w:bidi="ar"/>
        </w:rPr>
        <w:t>发包人（项目单位）</w:t>
      </w:r>
      <w:r>
        <w:rPr>
          <w:rFonts w:hint="eastAsia" w:ascii="宋体" w:hAnsi="宋体" w:eastAsia="宋体" w:cs="宋体"/>
          <w:color w:val="auto"/>
          <w:sz w:val="24"/>
          <w:szCs w:val="24"/>
          <w:highlight w:val="none"/>
          <w:lang w:bidi="ar"/>
        </w:rPr>
        <w:t xml:space="preserve">：  (盖章)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eastAsia="zh-CN" w:bidi="ar"/>
        </w:rPr>
        <w:t>承包人</w:t>
      </w:r>
      <w:r>
        <w:rPr>
          <w:rFonts w:hint="eastAsia" w:ascii="宋体" w:hAnsi="宋体" w:eastAsia="宋体" w:cs="宋体"/>
          <w:color w:val="auto"/>
          <w:sz w:val="24"/>
          <w:szCs w:val="24"/>
          <w:highlight w:val="none"/>
          <w:lang w:bidi="ar"/>
        </w:rPr>
        <w:t>：（单位全称）（盖章）</w:t>
      </w:r>
    </w:p>
    <w:p w14:paraId="630D3642">
      <w:pPr>
        <w:keepNext w:val="0"/>
        <w:keepLines w:val="0"/>
        <w:pageBreakBefore w:val="0"/>
        <w:widowControl w:val="0"/>
        <w:spacing w:line="40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法定代表人：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法定代表人：</w:t>
      </w:r>
    </w:p>
    <w:p w14:paraId="14397FDA">
      <w:pPr>
        <w:keepNext w:val="0"/>
        <w:keepLines w:val="0"/>
        <w:pageBreakBefore w:val="0"/>
        <w:widowControl w:val="0"/>
        <w:spacing w:line="400" w:lineRule="exact"/>
        <w:ind w:right="0" w:firstLine="561"/>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或其授权的代理人：（签字）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或其授权的代理人：（签字）  </w:t>
      </w:r>
    </w:p>
    <w:p w14:paraId="468BF331">
      <w:pPr>
        <w:keepNext/>
        <w:keepLines/>
        <w:pageBreakBefore w:val="0"/>
        <w:widowControl w:val="0"/>
        <w:spacing w:before="0" w:after="0"/>
        <w:ind w:firstLine="720"/>
        <w:jc w:val="both"/>
        <w:outlineLvl w:val="0"/>
        <w:rPr>
          <w:rFonts w:hint="eastAsia" w:ascii="宋体" w:hAnsi="宋体" w:eastAsia="宋体" w:cs="宋体"/>
          <w:color w:val="auto"/>
          <w:sz w:val="24"/>
          <w:szCs w:val="24"/>
          <w:highlight w:val="none"/>
          <w:lang w:val="en-US" w:eastAsia="zh-CN" w:bidi="ar"/>
        </w:rPr>
      </w:pPr>
    </w:p>
    <w:p w14:paraId="25FDC36C">
      <w:pPr>
        <w:keepNext/>
        <w:keepLines/>
        <w:pageBreakBefore w:val="0"/>
        <w:widowControl w:val="0"/>
        <w:spacing w:before="0" w:after="0"/>
        <w:ind w:firstLine="720"/>
        <w:jc w:val="both"/>
        <w:outlineLvl w:val="0"/>
        <w:rPr>
          <w:rFonts w:hint="eastAsia" w:ascii="Arial" w:hAnsi="Arial" w:eastAsia="Arial" w:cs="Arial"/>
          <w:color w:val="auto"/>
          <w:sz w:val="24"/>
          <w:szCs w:val="24"/>
          <w:highlight w:val="none"/>
          <w:lang w:val="en-US" w:eastAsia="zh-CN" w:bidi="ar-SA"/>
        </w:rPr>
      </w:pPr>
      <w:r>
        <w:rPr>
          <w:rFonts w:hint="eastAsia" w:ascii="宋体" w:hAnsi="宋体" w:eastAsia="Arial" w:cs="宋体"/>
          <w:color w:val="auto"/>
          <w:sz w:val="24"/>
          <w:szCs w:val="24"/>
          <w:highlight w:val="none"/>
          <w:lang w:val="en-US" w:eastAsia="zh-CN" w:bidi="ar"/>
        </w:rPr>
        <w:br w:type="page" w:clear="all"/>
      </w:r>
    </w:p>
    <w:p w14:paraId="3C392003">
      <w:pPr>
        <w:keepNext w:val="0"/>
        <w:keepLines w:val="0"/>
        <w:pageBreakBefore/>
        <w:spacing w:line="480" w:lineRule="exact"/>
        <w:ind w:right="0"/>
        <w:jc w:val="left"/>
        <w:rPr>
          <w:rFonts w:ascii="Times New Roman" w:hAnsi="Times New Roman" w:eastAsia="宋体" w:cs="Times New Roman"/>
          <w:color w:val="auto"/>
          <w:highlight w:val="none"/>
        </w:rPr>
      </w:pPr>
      <w:r>
        <w:rPr>
          <w:rFonts w:hint="eastAsia" w:ascii="宋体" w:hAnsi="宋体" w:eastAsia="宋体" w:cs="宋体"/>
          <w:color w:val="auto"/>
          <w:szCs w:val="21"/>
          <w:highlight w:val="none"/>
          <w:lang w:bidi="ar"/>
        </w:rPr>
        <w:t xml:space="preserve">附件8：                            </w:t>
      </w:r>
    </w:p>
    <w:p w14:paraId="77A6735F">
      <w:pPr>
        <w:keepNext w:val="0"/>
        <w:keepLines w:val="0"/>
        <w:spacing w:line="480" w:lineRule="exact"/>
        <w:ind w:right="0"/>
        <w:jc w:val="center"/>
        <w:rPr>
          <w:rFonts w:hint="eastAsia" w:ascii="宋体" w:hAnsi="宋体" w:eastAsia="宋体" w:cs="宋体"/>
          <w:color w:val="auto"/>
          <w:sz w:val="24"/>
          <w:szCs w:val="24"/>
          <w:highlight w:val="none"/>
          <w:lang w:bidi="ar"/>
        </w:rPr>
      </w:pPr>
      <w:r>
        <w:rPr>
          <w:rFonts w:hint="eastAsia" w:ascii="宋体" w:hAnsi="宋体" w:eastAsia="宋体" w:cs="宋体"/>
          <w:b/>
          <w:color w:val="auto"/>
          <w:sz w:val="24"/>
          <w:szCs w:val="24"/>
          <w:highlight w:val="none"/>
          <w:lang w:bidi="ar"/>
        </w:rPr>
        <w:t>工程廉政合同</w:t>
      </w:r>
    </w:p>
    <w:p w14:paraId="259C60FC">
      <w:pPr>
        <w:keepNext w:val="0"/>
        <w:keepLines w:val="0"/>
        <w:spacing w:line="480" w:lineRule="exact"/>
        <w:ind w:right="0" w:firstLine="561"/>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根据有关工程建设、廉政建设的规定，为做好工程建设中的党风廉政建设，保证工程建设高效优质，保证建设资金的安全和有效使用以及投资效益，建设工程的</w:t>
      </w:r>
      <w:r>
        <w:rPr>
          <w:rFonts w:hint="eastAsia" w:ascii="宋体" w:hAnsi="宋体" w:eastAsia="宋体" w:cs="宋体"/>
          <w:color w:val="auto"/>
          <w:sz w:val="24"/>
          <w:szCs w:val="24"/>
          <w:highlight w:val="none"/>
          <w:lang w:eastAsia="zh-CN" w:bidi="ar"/>
        </w:rPr>
        <w:t>发包人</w:t>
      </w:r>
      <w:r>
        <w:rPr>
          <w:rFonts w:hint="eastAsia" w:ascii="宋体" w:hAnsi="宋体" w:eastAsia="宋体" w:cs="宋体"/>
          <w:color w:val="auto"/>
          <w:sz w:val="24"/>
          <w:szCs w:val="24"/>
          <w:highlight w:val="none"/>
          <w:lang w:bidi="ar"/>
        </w:rPr>
        <w:t>（</w:t>
      </w:r>
      <w:r>
        <w:rPr>
          <w:rFonts w:hint="eastAsia" w:ascii="宋体" w:hAnsi="宋体" w:eastAsia="宋体" w:cs="宋体"/>
          <w:color w:val="auto"/>
          <w:sz w:val="24"/>
          <w:szCs w:val="24"/>
          <w:highlight w:val="none"/>
          <w:lang w:eastAsia="zh-CN" w:bidi="ar"/>
        </w:rPr>
        <w:t>项目单位</w:t>
      </w:r>
      <w:r>
        <w:rPr>
          <w:rFonts w:hint="eastAsia" w:ascii="宋体" w:hAnsi="宋体" w:eastAsia="宋体" w:cs="宋体"/>
          <w:color w:val="auto"/>
          <w:sz w:val="24"/>
          <w:szCs w:val="24"/>
          <w:highlight w:val="none"/>
          <w:lang w:bidi="ar"/>
        </w:rPr>
        <w:t>全称）</w:t>
      </w:r>
      <w:r>
        <w:rPr>
          <w:rFonts w:hint="eastAsia" w:ascii="宋体" w:hAnsi="宋体" w:eastAsia="宋体" w:cs="宋体"/>
          <w:b/>
          <w:color w:val="auto"/>
          <w:sz w:val="24"/>
          <w:szCs w:val="24"/>
          <w:highlight w:val="none"/>
          <w:u w:val="single"/>
          <w:lang w:eastAsia="zh-CN" w:bidi="ar"/>
        </w:rPr>
        <w:t>江苏省经贸技师学院</w:t>
      </w:r>
      <w:r>
        <w:rPr>
          <w:rFonts w:hint="eastAsia" w:ascii="宋体" w:hAnsi="宋体" w:eastAsia="宋体" w:cs="宋体"/>
          <w:b w:val="0"/>
          <w:bCs/>
          <w:color w:val="auto"/>
          <w:sz w:val="24"/>
          <w:szCs w:val="24"/>
          <w:highlight w:val="none"/>
          <w:u w:val="none"/>
          <w:lang w:eastAsia="zh-CN" w:bidi="ar"/>
        </w:rPr>
        <w:t>（全称）</w:t>
      </w:r>
      <w:r>
        <w:rPr>
          <w:rFonts w:hint="eastAsia" w:ascii="宋体" w:hAnsi="宋体" w:eastAsia="宋体" w:cs="宋体"/>
          <w:color w:val="auto"/>
          <w:sz w:val="24"/>
          <w:szCs w:val="24"/>
          <w:highlight w:val="none"/>
          <w:lang w:bidi="ar"/>
        </w:rPr>
        <w:t>（以下简称“发包人”）与中标单位（全称）</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bidi="ar"/>
        </w:rPr>
        <w:t>（以下简称“承包人”），特订立如下合同。</w:t>
      </w:r>
    </w:p>
    <w:p w14:paraId="05F146C7">
      <w:pPr>
        <w:keepNext w:val="0"/>
        <w:keepLines w:val="0"/>
        <w:spacing w:line="480" w:lineRule="exact"/>
        <w:ind w:right="0" w:firstLine="561"/>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1．甲乙双方的权利和义务</w:t>
      </w:r>
    </w:p>
    <w:p w14:paraId="40AA4647">
      <w:pPr>
        <w:keepNext w:val="0"/>
        <w:keepLines w:val="0"/>
        <w:spacing w:line="480" w:lineRule="exact"/>
        <w:ind w:right="0" w:firstLine="561"/>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（1）严格遵守党的政策规定和国家、省、市有关法律法规有关规定。</w:t>
      </w:r>
    </w:p>
    <w:p w14:paraId="5C146F57">
      <w:pPr>
        <w:keepNext w:val="0"/>
        <w:keepLines w:val="0"/>
        <w:spacing w:line="480" w:lineRule="exact"/>
        <w:ind w:right="0" w:firstLine="561"/>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（2）严格执行工程的合同文件，自觉按合同办事。</w:t>
      </w:r>
    </w:p>
    <w:p w14:paraId="529E6397">
      <w:pPr>
        <w:keepNext w:val="0"/>
        <w:keepLines w:val="0"/>
        <w:spacing w:line="480" w:lineRule="exact"/>
        <w:ind w:right="0" w:firstLine="561"/>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（3）双方的业务活动坚持公开、公正、诚信、透明的原则（法律认定的商业秘密和合同文件另有规定除外），不得损害国家和集体利益，违反工程建设管理规章制度。</w:t>
      </w:r>
    </w:p>
    <w:p w14:paraId="6CAEB06E">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（4）建立健全廉政制度，开展廉政教育，设计廉政告示牌，公布举报电话，监督并认真查处违法违纪行为。</w:t>
      </w:r>
    </w:p>
    <w:p w14:paraId="55E0DA70">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（5）发现对方在业务活动中有违反廉政规定的行为，有及时提醒对方纠正的权利和义务。</w:t>
      </w:r>
    </w:p>
    <w:p w14:paraId="0A9C6305">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（6）发现对方严重违反合同义务条款的行为，有向其上级有关部门举报、建议给予处理并要求告知处理结果的权利。</w:t>
      </w:r>
    </w:p>
    <w:p w14:paraId="432141CB">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2．发包人的义务</w:t>
      </w:r>
    </w:p>
    <w:p w14:paraId="54C433F9">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（1）发包人及其工作人员不得索要或接受承包人的礼金、有价证券和贵重物品，不得在承包人报销任何应由发包人或发包人工作人员个人支付的费用等。</w:t>
      </w:r>
    </w:p>
    <w:p w14:paraId="39C2D4A7">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（2）发包人工作人员不得参加承包人安排的超标准宴请和娱乐活动；不得接受承包人提供的通讯工具、交通工具和高档办公用品等。</w:t>
      </w:r>
    </w:p>
    <w:p w14:paraId="285CC8BC">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（3）发包人及其工作人员不得要求或者接受承包人为其住房装修、婚丧嫁娶活动、配偶子女的工作安排以及出国出境、旅游等提供方便等。</w:t>
      </w:r>
    </w:p>
    <w:p w14:paraId="522E01FB">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（4）发包人工作人员及其配偶、子女不得从事与发包人工程有关的材料设备供应、工程分包、劳务等经济活动等。</w:t>
      </w:r>
    </w:p>
    <w:p w14:paraId="6374EBEC">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（5）发包人及其工作人员不得以任何理由向承包人推荐分包单位或推销材料，不得要求承包人购买合同规定外的材料和设备。</w:t>
      </w:r>
    </w:p>
    <w:p w14:paraId="7A26CF12">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（6）发包人工作人员要秉公办事，不准营私舞弊，不准利用职权从事各种个人有偿中介活动和安排个人施工队伍。</w:t>
      </w:r>
    </w:p>
    <w:p w14:paraId="5E2DE02D">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3．承包人义务</w:t>
      </w:r>
    </w:p>
    <w:p w14:paraId="4526898F">
      <w:pPr>
        <w:keepNext w:val="0"/>
        <w:keepLines w:val="0"/>
        <w:pageBreakBefore w:val="0"/>
        <w:widowControl/>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（1）承包人不得以任何理由向发包人及其工作人员行贿或馈赠礼金、有价证券、贵重礼品。</w:t>
      </w:r>
    </w:p>
    <w:p w14:paraId="67AEB7C2">
      <w:pPr>
        <w:keepNext w:val="0"/>
        <w:keepLines w:val="0"/>
        <w:pageBreakBefore w:val="0"/>
        <w:widowControl/>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（2）承包人不得以任何名义为发包人及其工作人员报销应由发包人单位或个人支付的任何费用。</w:t>
      </w:r>
    </w:p>
    <w:p w14:paraId="00DA9F57">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（3）承包人不得以任何理由安排发包人工作人员参加超标准宴请及娱乐活动。</w:t>
      </w:r>
    </w:p>
    <w:p w14:paraId="71071730">
      <w:pPr>
        <w:keepNext w:val="0"/>
        <w:keepLines w:val="0"/>
        <w:pageBreakBefore w:val="0"/>
        <w:widowControl/>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（4）承包人不得为发包人单位和个人购置或提拱通讯工具、交通工具和高档办公用品等。</w:t>
      </w:r>
    </w:p>
    <w:p w14:paraId="60833413">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4．违约责任</w:t>
      </w:r>
    </w:p>
    <w:p w14:paraId="4B6DEBE4">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（1）发包人及其工作人员违反本合同第一、二条，按管理权限，依据有关规定给予党纪、政纪或组织处理；涉嫌犯罪的，移交司法机关追究刑事责任；给承包人单位造成经济损失的，应予以赔偿。</w:t>
      </w:r>
    </w:p>
    <w:p w14:paraId="3D45289F">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2818D6AB">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6A38AEBD">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6．本合同有效期为甲乙双方签署之日起至该工程项目竣工验收后止。</w:t>
      </w:r>
    </w:p>
    <w:p w14:paraId="343C43F7">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7．本合同作为工程施工合同的附件，与工程施工合同具有同等的法律效力，经合同双方签署立即生效。</w:t>
      </w:r>
    </w:p>
    <w:p w14:paraId="0034A18F">
      <w:pPr>
        <w:keepNext w:val="0"/>
        <w:keepLines w:val="0"/>
        <w:spacing w:line="480" w:lineRule="exact"/>
        <w:ind w:right="0" w:firstLine="561"/>
        <w:rPr>
          <w:rFonts w:hint="eastAsia" w:ascii="宋体" w:hAnsi="宋体" w:eastAsia="宋体" w:cs="宋体"/>
          <w:color w:val="auto"/>
          <w:sz w:val="24"/>
          <w:szCs w:val="24"/>
          <w:highlight w:val="none"/>
          <w:lang w:eastAsia="zh-CN" w:bidi="ar"/>
        </w:rPr>
      </w:pPr>
    </w:p>
    <w:p w14:paraId="47EF647C">
      <w:pPr>
        <w:keepNext w:val="0"/>
        <w:keepLines w:val="0"/>
        <w:spacing w:line="480" w:lineRule="exact"/>
        <w:ind w:right="0" w:firstLine="561"/>
        <w:rPr>
          <w:rFonts w:hint="eastAsia" w:ascii="宋体" w:hAnsi="宋体" w:eastAsia="宋体" w:cs="宋体"/>
          <w:color w:val="auto"/>
          <w:sz w:val="24"/>
          <w:szCs w:val="24"/>
          <w:highlight w:val="none"/>
          <w:lang w:eastAsia="zh-CN" w:bidi="ar"/>
        </w:rPr>
      </w:pPr>
    </w:p>
    <w:p w14:paraId="4452B1FE">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eastAsia="zh-CN" w:bidi="ar"/>
        </w:rPr>
        <w:t>发包人（项目单位）</w:t>
      </w:r>
      <w:r>
        <w:rPr>
          <w:rFonts w:hint="eastAsia" w:ascii="宋体" w:hAnsi="宋体" w:eastAsia="宋体" w:cs="宋体"/>
          <w:color w:val="auto"/>
          <w:sz w:val="24"/>
          <w:szCs w:val="24"/>
          <w:highlight w:val="none"/>
          <w:lang w:bidi="ar"/>
        </w:rPr>
        <w:t xml:space="preserve">：  (盖章)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eastAsia="zh-CN" w:bidi="ar"/>
        </w:rPr>
        <w:t>承包人</w:t>
      </w:r>
      <w:r>
        <w:rPr>
          <w:rFonts w:hint="eastAsia" w:ascii="宋体" w:hAnsi="宋体" w:eastAsia="宋体" w:cs="宋体"/>
          <w:color w:val="auto"/>
          <w:sz w:val="24"/>
          <w:szCs w:val="24"/>
          <w:highlight w:val="none"/>
          <w:lang w:bidi="ar"/>
        </w:rPr>
        <w:t>：（单位全称）（盖章）</w:t>
      </w:r>
    </w:p>
    <w:p w14:paraId="1DC2C17E">
      <w:pPr>
        <w:keepNext w:val="0"/>
        <w:keepLines w:val="0"/>
        <w:spacing w:line="480" w:lineRule="exact"/>
        <w:ind w:right="0" w:firstLine="561"/>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法定代表人：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法定代表人：</w:t>
      </w:r>
    </w:p>
    <w:p w14:paraId="3D91B8F5">
      <w:pPr>
        <w:keepNext w:val="0"/>
        <w:keepLines w:val="0"/>
        <w:spacing w:line="480" w:lineRule="exact"/>
        <w:ind w:right="0" w:firstLine="561"/>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或其授权的代理人：（签字）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或其授权的代理人：（签字）  </w:t>
      </w:r>
    </w:p>
    <w:p w14:paraId="56354968">
      <w:pPr>
        <w:keepNext w:val="0"/>
        <w:keepLines w:val="0"/>
        <w:spacing w:line="480" w:lineRule="exact"/>
        <w:ind w:right="0"/>
        <w:rPr>
          <w:rFonts w:ascii="Times New Roman" w:hAnsi="Times New Roman" w:eastAsia="宋体" w:cs="Times New Roman"/>
          <w:color w:val="auto"/>
          <w:highlight w:val="none"/>
        </w:rPr>
      </w:pPr>
      <w:r>
        <w:rPr>
          <w:rFonts w:hint="eastAsia" w:ascii="宋体" w:hAnsi="宋体" w:eastAsia="宋体" w:cs="宋体"/>
          <w:color w:val="auto"/>
          <w:sz w:val="24"/>
          <w:szCs w:val="24"/>
          <w:highlight w:val="none"/>
          <w:lang w:bidi="ar"/>
        </w:rPr>
        <w:br w:type="page" w:clear="all"/>
      </w:r>
      <w:r>
        <w:rPr>
          <w:rFonts w:hint="eastAsia" w:ascii="宋体" w:hAnsi="宋体" w:eastAsia="宋体" w:cs="宋体"/>
          <w:color w:val="auto"/>
          <w:szCs w:val="21"/>
          <w:highlight w:val="none"/>
          <w:lang w:bidi="ar"/>
        </w:rPr>
        <w:t>附件9：</w:t>
      </w:r>
    </w:p>
    <w:p w14:paraId="3D6720E9">
      <w:pPr>
        <w:spacing w:line="480" w:lineRule="exact"/>
        <w:ind w:left="1"/>
        <w:jc w:val="center"/>
        <w:rPr>
          <w:rFonts w:ascii="Times New Roman" w:hAnsi="Times New Roman" w:eastAsia="宋体" w:cs="Times New Roman"/>
          <w:color w:val="auto"/>
          <w:sz w:val="24"/>
          <w:szCs w:val="24"/>
          <w:highlight w:val="none"/>
        </w:rPr>
      </w:pPr>
      <w:r>
        <w:rPr>
          <w:rFonts w:hint="eastAsia" w:ascii="宋体" w:hAnsi="宋体" w:eastAsia="宋体" w:cs="宋体"/>
          <w:b/>
          <w:color w:val="auto"/>
          <w:sz w:val="24"/>
          <w:szCs w:val="24"/>
          <w:highlight w:val="none"/>
          <w:lang w:bidi="ar"/>
        </w:rPr>
        <w:t>不拖欠农民工工资承诺书</w:t>
      </w:r>
    </w:p>
    <w:p w14:paraId="692DEAE2">
      <w:pPr>
        <w:spacing w:line="480" w:lineRule="exact"/>
        <w:ind w:left="1334" w:hanging="1334"/>
        <w:rPr>
          <w:rFonts w:hint="eastAsia" w:ascii="宋体" w:hAnsi="宋体" w:eastAsia="宋体" w:cs="宋体"/>
          <w:b/>
          <w:color w:val="auto"/>
          <w:sz w:val="24"/>
          <w:szCs w:val="24"/>
          <w:highlight w:val="none"/>
        </w:rPr>
      </w:pPr>
    </w:p>
    <w:p w14:paraId="5DE531C2">
      <w:pPr>
        <w:spacing w:line="480" w:lineRule="exact"/>
        <w:ind w:left="1"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我公司承诺我公司承接的</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按照国家规定、合同要求支付农民工工资，决不拖欠农民工工资，如果发生违反规定拖欠或克扣农民工工资行为，造成农民工上访，本单位愿意接受人力资源社会保障、建设、公安等部门依照有关规定作出的处理和处罚决定，并接受招标人直接扣除工程款支付农民工工资。</w:t>
      </w:r>
    </w:p>
    <w:p w14:paraId="6B1E420B">
      <w:pPr>
        <w:spacing w:line="480" w:lineRule="exact"/>
        <w:ind w:left="1329" w:hanging="1329"/>
        <w:rPr>
          <w:rFonts w:hint="eastAsia" w:ascii="宋体" w:hAnsi="宋体" w:eastAsia="宋体" w:cs="宋体"/>
          <w:color w:val="auto"/>
          <w:sz w:val="24"/>
          <w:szCs w:val="24"/>
          <w:highlight w:val="none"/>
        </w:rPr>
      </w:pPr>
    </w:p>
    <w:p w14:paraId="3D42DBA1">
      <w:pPr>
        <w:spacing w:line="480" w:lineRule="exact"/>
        <w:ind w:left="1329" w:hanging="1329"/>
        <w:rPr>
          <w:rFonts w:hint="eastAsia" w:ascii="宋体" w:hAnsi="宋体" w:eastAsia="宋体" w:cs="宋体"/>
          <w:color w:val="auto"/>
          <w:sz w:val="24"/>
          <w:szCs w:val="24"/>
          <w:highlight w:val="none"/>
        </w:rPr>
      </w:pPr>
    </w:p>
    <w:p w14:paraId="5E2E79D0">
      <w:pPr>
        <w:spacing w:line="480" w:lineRule="exac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单位全称：     （盖  章）</w:t>
      </w:r>
    </w:p>
    <w:p w14:paraId="681BCDCD">
      <w:pPr>
        <w:spacing w:line="480" w:lineRule="exact"/>
        <w:ind w:firstLine="5520"/>
        <w:jc w:val="both"/>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法定代表人或委托人：（签 字）</w:t>
      </w:r>
    </w:p>
    <w:p w14:paraId="2A290334">
      <w:pPr>
        <w:spacing w:line="480" w:lineRule="exact"/>
        <w:ind w:left="1329" w:hanging="1329"/>
        <w:jc w:val="center"/>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                            2026</w:t>
      </w:r>
      <w:r>
        <w:rPr>
          <w:rFonts w:hint="eastAsia" w:ascii="宋体" w:hAnsi="宋体" w:eastAsia="宋体" w:cs="宋体"/>
          <w:color w:val="auto"/>
          <w:sz w:val="24"/>
          <w:szCs w:val="24"/>
          <w:highlight w:val="none"/>
          <w:lang w:bidi="ar"/>
        </w:rPr>
        <w:t>年  月  日</w:t>
      </w:r>
    </w:p>
    <w:p w14:paraId="5AF21D4B">
      <w:pPr>
        <w:pageBreakBefore/>
        <w:spacing w:line="480" w:lineRule="exact"/>
        <w:rPr>
          <w:rFonts w:ascii="Times New Roman" w:hAnsi="Times New Roman" w:eastAsia="宋体" w:cs="Times New Roman"/>
          <w:color w:val="auto"/>
          <w:highlight w:val="none"/>
        </w:rPr>
      </w:pPr>
      <w:r>
        <w:rPr>
          <w:rFonts w:hint="eastAsia" w:ascii="宋体" w:hAnsi="宋体" w:eastAsia="宋体" w:cs="宋体"/>
          <w:color w:val="auto"/>
          <w:szCs w:val="21"/>
          <w:highlight w:val="none"/>
          <w:lang w:bidi="ar"/>
        </w:rPr>
        <w:t xml:space="preserve">附件10：                    </w:t>
      </w:r>
    </w:p>
    <w:p w14:paraId="13B40134">
      <w:pPr>
        <w:spacing w:line="480" w:lineRule="exact"/>
        <w:jc w:val="center"/>
        <w:rPr>
          <w:rFonts w:ascii="Times New Roman" w:hAnsi="Times New Roman" w:eastAsia="宋体" w:cs="Times New Roman"/>
          <w:color w:val="auto"/>
          <w:highlight w:val="none"/>
        </w:rPr>
      </w:pPr>
      <w:r>
        <w:rPr>
          <w:rFonts w:hint="eastAsia" w:ascii="宋体" w:hAnsi="宋体" w:eastAsia="宋体" w:cs="宋体"/>
          <w:b/>
          <w:color w:val="auto"/>
          <w:szCs w:val="21"/>
          <w:highlight w:val="none"/>
          <w:lang w:bidi="ar"/>
        </w:rPr>
        <w:t>中标人诚信承诺书</w:t>
      </w:r>
    </w:p>
    <w:p w14:paraId="5FAD29EA">
      <w:pPr>
        <w:spacing w:line="480" w:lineRule="exact"/>
        <w:ind w:firstLine="1050"/>
        <w:rPr>
          <w:rFonts w:hint="eastAsia" w:ascii="宋体" w:hAnsi="宋体" w:eastAsia="宋体" w:cs="宋体"/>
          <w:color w:val="auto"/>
          <w:szCs w:val="21"/>
          <w:highlight w:val="none"/>
        </w:rPr>
      </w:pPr>
    </w:p>
    <w:p w14:paraId="02F9CA35">
      <w:pPr>
        <w:spacing w:line="480" w:lineRule="exact"/>
        <w:ind w:firstLine="42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我单位系公司作为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（建设单位）</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的中标人，我单位郑重承诺，我单位在该项目标段的投标工作中所出具的所有文件（如单位资质证书、建造师证书、单位及建造师业绩证明等）均是真实有效的，我单位对该中标标段派遣建造师将严格按照</w:t>
      </w:r>
      <w:r>
        <w:rPr>
          <w:rFonts w:hint="eastAsia" w:ascii="宋体" w:hAnsi="宋体" w:eastAsia="宋体" w:cs="宋体"/>
          <w:color w:val="auto"/>
          <w:sz w:val="24"/>
          <w:szCs w:val="24"/>
          <w:highlight w:val="none"/>
          <w:lang w:eastAsia="zh-CN" w:bidi="ar"/>
        </w:rPr>
        <w:t>响应文件</w:t>
      </w:r>
      <w:r>
        <w:rPr>
          <w:rFonts w:hint="eastAsia" w:ascii="宋体" w:hAnsi="宋体" w:eastAsia="宋体" w:cs="宋体"/>
          <w:color w:val="auto"/>
          <w:sz w:val="24"/>
          <w:szCs w:val="24"/>
          <w:highlight w:val="none"/>
          <w:lang w:bidi="ar"/>
        </w:rPr>
        <w:t>及合同约定的内容、期限等积极到场开展工作，若我单位投标过程中提供的资审资料及</w:t>
      </w:r>
      <w:r>
        <w:rPr>
          <w:rFonts w:hint="eastAsia" w:ascii="宋体" w:hAnsi="宋体" w:eastAsia="宋体" w:cs="宋体"/>
          <w:color w:val="auto"/>
          <w:sz w:val="24"/>
          <w:szCs w:val="24"/>
          <w:highlight w:val="none"/>
          <w:lang w:eastAsia="zh-CN" w:bidi="ar"/>
        </w:rPr>
        <w:t>响应文件</w:t>
      </w:r>
      <w:r>
        <w:rPr>
          <w:rFonts w:hint="eastAsia" w:ascii="宋体" w:hAnsi="宋体" w:eastAsia="宋体" w:cs="宋体"/>
          <w:color w:val="auto"/>
          <w:sz w:val="24"/>
          <w:szCs w:val="24"/>
          <w:highlight w:val="none"/>
          <w:lang w:bidi="ar"/>
        </w:rPr>
        <w:t>有伪造事实以及建造师未按合同约定开展现场工作，经查实后，我单位愿意接受相关法律法规处罚，并承担作为不良行为公示所产生的一切后果。</w:t>
      </w:r>
    </w:p>
    <w:p w14:paraId="38EDCA6E">
      <w:pPr>
        <w:spacing w:line="480" w:lineRule="exact"/>
        <w:ind w:left="210" w:hanging="210"/>
        <w:rPr>
          <w:rFonts w:hint="eastAsia" w:ascii="宋体" w:hAnsi="宋体" w:eastAsia="宋体" w:cs="宋体"/>
          <w:color w:val="auto"/>
          <w:sz w:val="24"/>
          <w:szCs w:val="24"/>
          <w:highlight w:val="none"/>
          <w:u w:val="single"/>
        </w:rPr>
      </w:pPr>
    </w:p>
    <w:p w14:paraId="1976EA38">
      <w:pPr>
        <w:spacing w:line="480" w:lineRule="exact"/>
        <w:ind w:left="210" w:hanging="210"/>
        <w:rPr>
          <w:rFonts w:hint="eastAsia" w:ascii="宋体" w:hAnsi="宋体" w:eastAsia="宋体" w:cs="宋体"/>
          <w:color w:val="auto"/>
          <w:sz w:val="24"/>
          <w:szCs w:val="24"/>
          <w:highlight w:val="none"/>
        </w:rPr>
      </w:pPr>
    </w:p>
    <w:p w14:paraId="5FCC9EC2">
      <w:pPr>
        <w:keepNext w:val="0"/>
        <w:keepLines w:val="0"/>
        <w:pageBreakBefore w:val="0"/>
        <w:widowControl w:val="0"/>
        <w:spacing w:line="360" w:lineRule="auto"/>
        <w:ind w:left="0" w:hanging="21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 建造师签字：</w:t>
      </w:r>
    </w:p>
    <w:p w14:paraId="15512A16">
      <w:pPr>
        <w:keepNext w:val="0"/>
        <w:keepLines w:val="0"/>
        <w:pageBreakBefore w:val="0"/>
        <w:widowControl w:val="0"/>
        <w:spacing w:line="360" w:lineRule="auto"/>
        <w:ind w:left="0" w:firstLine="10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中标人法定代表人或授权委托人签字：</w:t>
      </w:r>
    </w:p>
    <w:p w14:paraId="5B110AA8">
      <w:pPr>
        <w:keepNext w:val="0"/>
        <w:keepLines w:val="0"/>
        <w:pageBreakBefore w:val="0"/>
        <w:widowControl w:val="0"/>
        <w:spacing w:line="360" w:lineRule="auto"/>
        <w:ind w:left="0"/>
        <w:rPr>
          <w:rFonts w:hint="eastAsia" w:ascii="Times New Roman" w:hAnsi="Times New Roman" w:eastAsia="宋体" w:cs="Times New Roman"/>
          <w:color w:val="auto"/>
          <w:sz w:val="24"/>
          <w:szCs w:val="24"/>
          <w:highlight w:val="none"/>
          <w:lang w:eastAsia="zh-CN"/>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单位全称：     （盖  章）</w:t>
      </w:r>
    </w:p>
    <w:p w14:paraId="23B7FECE">
      <w:pPr>
        <w:keepNext w:val="0"/>
        <w:keepLines w:val="0"/>
        <w:pageBreakBefore w:val="0"/>
        <w:widowControl w:val="0"/>
        <w:spacing w:line="360" w:lineRule="auto"/>
        <w:ind w:left="0"/>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bidi="ar"/>
        </w:rPr>
        <w:t>2026</w:t>
      </w:r>
      <w:r>
        <w:rPr>
          <w:rFonts w:hint="eastAsia" w:ascii="宋体" w:hAnsi="宋体" w:eastAsia="宋体" w:cs="宋体"/>
          <w:color w:val="auto"/>
          <w:sz w:val="24"/>
          <w:szCs w:val="24"/>
          <w:highlight w:val="none"/>
          <w:lang w:bidi="ar"/>
        </w:rPr>
        <w:t>年  月     日</w:t>
      </w:r>
    </w:p>
    <w:p w14:paraId="431F809D">
      <w:pPr>
        <w:pStyle w:val="209"/>
        <w:spacing w:line="360" w:lineRule="auto"/>
        <w:ind w:firstLine="480"/>
        <w:rPr>
          <w:rFonts w:hint="eastAsia" w:ascii="宋体" w:hAnsi="宋体" w:eastAsia="宋体" w:cs="宋体"/>
          <w:color w:val="auto"/>
          <w:highlight w:val="none"/>
        </w:rPr>
      </w:pPr>
    </w:p>
    <w:p w14:paraId="4C58E759">
      <w:pPr>
        <w:spacing w:line="360" w:lineRule="auto"/>
        <w:ind w:firstLine="480"/>
        <w:contextualSpacing/>
        <w:rPr>
          <w:rStyle w:val="224"/>
          <w:rFonts w:hint="eastAsia" w:ascii="宋体" w:hAnsi="宋体" w:eastAsia="宋体" w:cs="宋体"/>
          <w:color w:val="auto"/>
          <w:sz w:val="24"/>
          <w:highlight w:val="none"/>
        </w:rPr>
      </w:pPr>
      <w:r>
        <w:rPr>
          <w:rStyle w:val="224"/>
          <w:rFonts w:hint="eastAsia" w:ascii="宋体" w:hAnsi="宋体" w:eastAsia="宋体" w:cs="宋体"/>
          <w:color w:val="auto"/>
          <w:sz w:val="24"/>
          <w:highlight w:val="none"/>
        </w:rPr>
        <w:t xml:space="preserve">      </w:t>
      </w:r>
    </w:p>
    <w:p w14:paraId="628CFE89">
      <w:pPr>
        <w:spacing w:line="360" w:lineRule="auto"/>
        <w:rPr>
          <w:rFonts w:hint="eastAsia" w:ascii="宋体" w:hAnsi="宋体" w:eastAsia="宋体" w:cs="宋体"/>
          <w:b/>
          <w:bCs/>
          <w:color w:val="auto"/>
          <w:sz w:val="36"/>
          <w:szCs w:val="36"/>
          <w:highlight w:val="none"/>
          <w:lang w:bidi="ar"/>
        </w:rPr>
      </w:pPr>
      <w:r>
        <w:rPr>
          <w:rFonts w:hint="eastAsia" w:ascii="宋体" w:hAnsi="宋体" w:eastAsia="宋体" w:cs="宋体"/>
          <w:b/>
          <w:bCs/>
          <w:color w:val="auto"/>
          <w:sz w:val="36"/>
          <w:szCs w:val="36"/>
          <w:highlight w:val="none"/>
          <w:lang w:bidi="ar"/>
        </w:rPr>
        <w:br w:type="page" w:clear="all"/>
      </w:r>
    </w:p>
    <w:p w14:paraId="622E94FD">
      <w:pPr>
        <w:keepNext w:val="0"/>
        <w:keepLines w:val="0"/>
        <w:pageBreakBefore w:val="0"/>
        <w:widowControl/>
        <w:spacing w:line="360" w:lineRule="auto"/>
        <w:ind w:firstLine="726"/>
        <w:jc w:val="center"/>
        <w:outlineLvl w:val="0"/>
        <w:rPr>
          <w:rFonts w:hint="eastAsia" w:ascii="宋体" w:hAnsi="宋体" w:eastAsia="宋体" w:cs="宋体"/>
          <w:color w:val="auto"/>
          <w:highlight w:val="none"/>
        </w:rPr>
      </w:pPr>
      <w:r>
        <w:rPr>
          <w:rFonts w:hint="eastAsia" w:ascii="宋体" w:hAnsi="宋体" w:eastAsia="宋体" w:cs="宋体"/>
          <w:b/>
          <w:bCs/>
          <w:color w:val="auto"/>
          <w:sz w:val="36"/>
          <w:szCs w:val="36"/>
          <w:highlight w:val="none"/>
          <w:lang w:bidi="ar"/>
        </w:rPr>
        <w:t>第四章 项目需求</w:t>
      </w:r>
    </w:p>
    <w:p w14:paraId="6CC204A0">
      <w:pPr>
        <w:keepNext w:val="0"/>
        <w:keepLines w:val="0"/>
        <w:pageBreakBefore w:val="0"/>
        <w:widowControl w:val="0"/>
        <w:spacing w:line="360" w:lineRule="auto"/>
        <w:ind w:firstLine="482"/>
        <w:jc w:val="left"/>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项目属性:</w:t>
      </w:r>
      <w:r>
        <w:rPr>
          <w:rFonts w:hint="eastAsia" w:ascii="宋体" w:hAnsi="宋体" w:eastAsia="宋体" w:cs="宋体"/>
          <w:b/>
          <w:bCs/>
          <w:color w:val="auto"/>
          <w:sz w:val="24"/>
          <w:szCs w:val="24"/>
          <w:highlight w:val="none"/>
          <w:lang w:eastAsia="zh-CN"/>
        </w:rPr>
        <w:t>工程</w:t>
      </w:r>
      <w:r>
        <w:rPr>
          <w:rFonts w:hint="eastAsia" w:ascii="宋体" w:hAnsi="宋体" w:eastAsia="宋体" w:cs="宋体"/>
          <w:b/>
          <w:bCs/>
          <w:color w:val="auto"/>
          <w:sz w:val="24"/>
          <w:szCs w:val="24"/>
          <w:highlight w:val="none"/>
        </w:rPr>
        <w:t>类项目</w:t>
      </w:r>
      <w:r>
        <w:rPr>
          <w:rFonts w:hint="eastAsia" w:ascii="宋体" w:hAnsi="宋体" w:eastAsia="宋体" w:cs="宋体"/>
          <w:b w:val="0"/>
          <w:bCs w:val="0"/>
          <w:color w:val="auto"/>
          <w:sz w:val="24"/>
          <w:szCs w:val="24"/>
          <w:highlight w:val="none"/>
        </w:rPr>
        <w:t>。</w:t>
      </w:r>
    </w:p>
    <w:p w14:paraId="6039FEC7">
      <w:pPr>
        <w:keepNext w:val="0"/>
        <w:keepLines w:val="0"/>
        <w:pageBreakBefore w:val="0"/>
        <w:widowControl w:val="0"/>
        <w:numPr>
          <w:ilvl w:val="0"/>
          <w:numId w:val="0"/>
        </w:numPr>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采购标的对应的中小企业划分标准所属行业为</w:t>
      </w:r>
      <w:r>
        <w:rPr>
          <w:rFonts w:hint="eastAsia" w:ascii="宋体" w:hAnsi="宋体" w:eastAsia="宋体" w:cs="宋体"/>
          <w:b/>
          <w:bCs/>
          <w:color w:val="auto"/>
          <w:sz w:val="24"/>
          <w:szCs w:val="24"/>
          <w:highlight w:val="none"/>
          <w:u w:val="single"/>
        </w:rPr>
        <w:t>　建筑业　</w:t>
      </w:r>
      <w:r>
        <w:rPr>
          <w:rFonts w:hint="eastAsia" w:ascii="宋体" w:hAnsi="宋体" w:eastAsia="宋体" w:cs="宋体"/>
          <w:b/>
          <w:bCs/>
          <w:color w:val="auto"/>
          <w:sz w:val="24"/>
          <w:szCs w:val="24"/>
          <w:highlight w:val="none"/>
        </w:rPr>
        <w:t>。</w:t>
      </w:r>
    </w:p>
    <w:p w14:paraId="2F76CBD5">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本</w:t>
      </w:r>
      <w:r>
        <w:rPr>
          <w:rFonts w:hint="eastAsia" w:ascii="宋体" w:hAnsi="宋体" w:eastAsia="宋体" w:cs="宋体"/>
          <w:b/>
          <w:color w:val="auto"/>
          <w:sz w:val="24"/>
          <w:szCs w:val="24"/>
          <w:highlight w:val="none"/>
          <w:lang w:eastAsia="zh-CN"/>
        </w:rPr>
        <w:t>磋商</w:t>
      </w:r>
      <w:r>
        <w:rPr>
          <w:rFonts w:hint="eastAsia" w:ascii="宋体" w:hAnsi="宋体" w:eastAsia="宋体" w:cs="宋体"/>
          <w:b/>
          <w:color w:val="auto"/>
          <w:sz w:val="24"/>
          <w:szCs w:val="24"/>
          <w:highlight w:val="none"/>
        </w:rPr>
        <w:t>文件中标注★号的部分为实质性要求和条件</w:t>
      </w: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eastAsia="zh-CN"/>
        </w:rPr>
        <w:t>采购</w:t>
      </w:r>
      <w:r>
        <w:rPr>
          <w:rFonts w:hint="eastAsia" w:ascii="宋体" w:hAnsi="宋体" w:eastAsia="宋体" w:cs="宋体"/>
          <w:color w:val="auto"/>
          <w:sz w:val="24"/>
          <w:szCs w:val="24"/>
          <w:highlight w:val="none"/>
        </w:rPr>
        <w:t>人根据实际情况设置，</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须逐条明确作出满足实质性要求和条件的响应，否则将按无效响应处理。</w:t>
      </w:r>
    </w:p>
    <w:p w14:paraId="1EC6AA3C">
      <w:pPr>
        <w:pStyle w:val="55"/>
        <w:numPr>
          <w:ilvl w:val="0"/>
          <w:numId w:val="0"/>
        </w:numPr>
        <w:ind w:leftChars="0"/>
        <w:rPr>
          <w:rFonts w:hint="eastAsia"/>
          <w:color w:val="auto"/>
          <w:highlight w:val="none"/>
        </w:rPr>
      </w:pPr>
      <w:r>
        <w:rPr>
          <w:rFonts w:hint="eastAsia"/>
          <w:color w:val="auto"/>
          <w:highlight w:val="none"/>
          <w:lang w:val="en-US" w:eastAsia="zh-CN"/>
        </w:rPr>
        <w:t>一、</w:t>
      </w:r>
      <w:r>
        <w:rPr>
          <w:rFonts w:hint="eastAsia"/>
          <w:color w:val="auto"/>
          <w:highlight w:val="none"/>
        </w:rPr>
        <w:t>项目概况</w:t>
      </w:r>
    </w:p>
    <w:p w14:paraId="1A2BFF2E">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国际学术交流中心作为承载学术研讨、中外交流、人才汇聚的重要公共建筑，其消防安全是保障人员生命财产安全、确保项目顺利推进、实现场地正常启用的核心前提。当前，该中心处于毛坯房阶段，消防设施未通过验收，已成为制约室内装饰装修施工、阻碍项目投入使用的关键瓶颈，开展消防改造工作具有不可替代的必要性。</w:t>
      </w:r>
    </w:p>
    <w:p w14:paraId="627B85E5">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国际学术交流中心消防改造是落实法律法规要求、破解项目推进瓶颈、防范消防安全隐患、保障项目功能落地的必要举措，事关人员生命财产安全、项目合法合规启用及学术交流工作的顺利开展，紧迫性强、意义重大，需尽快启动实施，确保消防设施达到验收标准，为后续工作推进奠定坚实基础。</w:t>
      </w:r>
    </w:p>
    <w:p w14:paraId="67669559">
      <w:pPr>
        <w:pStyle w:val="55"/>
        <w:numPr>
          <w:ilvl w:val="0"/>
          <w:numId w:val="0"/>
        </w:numPr>
        <w:ind w:left="0" w:leftChars="0" w:firstLine="0" w:firstLineChars="0"/>
        <w:rPr>
          <w:rFonts w:hint="eastAsia"/>
          <w:color w:val="auto"/>
          <w:highlight w:val="none"/>
          <w:lang w:val="en-US" w:eastAsia="zh-CN"/>
        </w:rPr>
      </w:pPr>
      <w:r>
        <w:rPr>
          <w:rFonts w:hint="eastAsia"/>
          <w:color w:val="auto"/>
          <w:highlight w:val="none"/>
          <w:lang w:val="en-US" w:eastAsia="zh-CN"/>
        </w:rPr>
        <w:t>二、技术商务要求</w:t>
      </w:r>
    </w:p>
    <w:p w14:paraId="6B6E9356">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1、工程建设标准及技术规范：根据国家行业和地方现行标准、规范和规程等；</w:t>
      </w:r>
    </w:p>
    <w:p w14:paraId="3F6E15CC">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lang w:val="en-US" w:eastAsia="zh-CN"/>
        </w:rPr>
        <w:t>2、本项目报价不得超过预算价（最高限价）。</w:t>
      </w:r>
    </w:p>
    <w:p w14:paraId="1CA1E44E">
      <w:pPr>
        <w:keepNext w:val="0"/>
        <w:keepLines w:val="0"/>
        <w:pageBreakBefore w:val="0"/>
        <w:widowControl w:val="0"/>
        <w:numPr>
          <w:ilvl w:val="0"/>
          <w:numId w:val="0"/>
        </w:numPr>
        <w:spacing w:line="360" w:lineRule="auto"/>
        <w:ind w:right="0" w:firstLine="482"/>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特别提醒供应商：应根据国家收费标准并结合市场实际进行报价。</w:t>
      </w:r>
    </w:p>
    <w:p w14:paraId="1E516C7A">
      <w:pPr>
        <w:keepNext w:val="0"/>
        <w:keepLines w:val="0"/>
        <w:pageBreakBefore w:val="0"/>
        <w:spacing w:beforeAutospacing="0" w:afterAutospacing="0"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工作中涉及的敏感资料、电子数据等相关信息，成交供应商应严格执行保密的相关规定，不得以任何方式向任何第三人披露、泄露或许可第三人使用，否则追究其相应法律责任。</w:t>
      </w:r>
    </w:p>
    <w:p w14:paraId="34520CC8">
      <w:pPr>
        <w:keepNext w:val="0"/>
        <w:keepLines w:val="0"/>
        <w:pageBreakBefore w:val="0"/>
        <w:spacing w:beforeAutospacing="0" w:afterAutospacing="0"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履约保证金</w:t>
      </w:r>
    </w:p>
    <w:p w14:paraId="3F2486BB">
      <w:pPr>
        <w:keepNext w:val="0"/>
        <w:keepLines w:val="0"/>
        <w:pageBreakBefore w:val="0"/>
        <w:spacing w:beforeAutospacing="0" w:afterAutospacing="0"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（1）履约保证金的金额：中标价的10%。</w:t>
      </w:r>
    </w:p>
    <w:p w14:paraId="272EC4FA">
      <w:pPr>
        <w:keepNext w:val="0"/>
        <w:keepLines w:val="0"/>
        <w:pageBreakBefore w:val="0"/>
        <w:spacing w:beforeAutospacing="0" w:afterAutospacing="0"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履约保证金应当以支票、汇票、本票或者金融机构、担保机构出具的保函等非现金形式提交。依据《关于在全省政府采购领域推行电子履约保函(保险)的通知》（苏财购〔2023〕150号）鼓励供应商自愿使用履约保函(保险)代替缴纳履约保证金。如以履约保函(保险)形式缴纳履约保证金，供应商可通过政府采购电子履约保函(保险)平台(www.jsdzbh.com)在线申请履约保函(保险)。</w:t>
      </w:r>
    </w:p>
    <w:p w14:paraId="6968F684">
      <w:pPr>
        <w:keepNext w:val="0"/>
        <w:keepLines w:val="0"/>
        <w:pageBreakBefore w:val="0"/>
        <w:spacing w:beforeAutospacing="0" w:afterAutospacing="0"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（3）履约保证金提交时间：合同签订前提交履约保证金，未在规定时间内提交履约保证金的视为放弃中标资格。</w:t>
      </w:r>
    </w:p>
    <w:p w14:paraId="0466C939">
      <w:pPr>
        <w:keepNext w:val="0"/>
        <w:keepLines w:val="0"/>
        <w:pageBreakBefore w:val="0"/>
        <w:spacing w:beforeAutospacing="0" w:afterAutospacing="0"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（4）履约保证金的退还：工程竣工验收合格后28日内退还。</w:t>
      </w:r>
    </w:p>
    <w:p w14:paraId="271E780B">
      <w:pPr>
        <w:keepNext w:val="0"/>
        <w:keepLines w:val="0"/>
        <w:pageBreakBefore w:val="0"/>
        <w:spacing w:beforeAutospacing="0" w:afterAutospacing="0"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不予退还的情形：供应商不履行合同，履约保证金不予退还。供应商违约的，采购人将按照磋商文件及合同约定扣除其全部或部分履约保证金。如供应商违约给采购人造成的损失超过履约保证金的，应当依法赔偿超过部分的损失。</w:t>
      </w:r>
    </w:p>
    <w:p w14:paraId="0371FB4A">
      <w:pPr>
        <w:keepNext w:val="0"/>
        <w:keepLines w:val="0"/>
        <w:pageBreakBefore w:val="0"/>
        <w:spacing w:beforeAutospacing="0" w:afterAutospacing="0"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本项目最高投标限价中，安全生产措施费已按《江苏省建设工程费用参考》文件计入。投标报价中安全生产措施费的具体费率由投标人根据项目实际自行确定，但不得低于《江苏省建设工程费用参考》文件规定的下限值。如未按要求填报安全生产措施费，其费用视为已按《江苏省建设工程费用参考》文件规定的下限值综合考虑在投标总价中。</w:t>
      </w:r>
    </w:p>
    <w:p w14:paraId="5596115F">
      <w:pPr>
        <w:keepNext w:val="0"/>
        <w:keepLines w:val="0"/>
        <w:pageBreakBefore w:val="0"/>
        <w:spacing w:beforeAutospacing="0" w:afterAutospacing="0"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lang w:val="en-US" w:eastAsia="zh-CN"/>
        </w:rPr>
        <w:t>5、付款方式与履约保证金</w:t>
      </w:r>
    </w:p>
    <w:p w14:paraId="79855E7E">
      <w:pPr>
        <w:keepNext w:val="0"/>
        <w:keepLines w:val="0"/>
        <w:pageBreakBefore w:val="0"/>
        <w:spacing w:beforeAutospacing="0" w:afterAutospacing="0"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1、付款方式：（1）预付款：开工令发出后且承包人提供了发包人认可的等额预付款保函后15日内，发包人向承包人支付合同价款（扣除暂列金额）20%的预付款。</w:t>
      </w:r>
    </w:p>
    <w:p w14:paraId="3FF9713E">
      <w:pPr>
        <w:keepNext w:val="0"/>
        <w:keepLines w:val="0"/>
        <w:pageBreakBefore w:val="0"/>
        <w:spacing w:beforeAutospacing="0" w:afterAutospacing="0"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（2）工程全部完工并经竣工验收合格后付合同总价（扣除暂列金额）的80%，项目审计后付至审定价的97%，缺陷责任期满后付清余款(无息）</w:t>
      </w:r>
    </w:p>
    <w:p w14:paraId="493572A8">
      <w:pPr>
        <w:keepNext w:val="0"/>
        <w:keepLines w:val="0"/>
        <w:pageBreakBefore w:val="0"/>
        <w:spacing w:beforeAutospacing="0" w:afterAutospacing="0"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工程标准及要求：本项目依据《中华人民共和国消防法》、住建部《建设工程消防设计审查验收管理暂行规定》、GB55036-2022《消防设施通用规范》、GB55037-2022《防火通用规范》、GB/T44481-2024《建筑消防设施检测技术规范》、2025版《重大火灾隐患判定规则》、等政策法规。</w:t>
      </w:r>
    </w:p>
    <w:p w14:paraId="7F9F6DB0">
      <w:pPr>
        <w:keepNext w:val="0"/>
        <w:keepLines w:val="0"/>
        <w:pageBreakBefore w:val="0"/>
        <w:spacing w:beforeAutospacing="0" w:afterAutospacing="0" w:line="360" w:lineRule="auto"/>
        <w:ind w:firstLine="480"/>
        <w:rPr>
          <w:color w:val="auto"/>
          <w:highlight w:val="none"/>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lang w:val="en-US" w:eastAsia="zh-CN"/>
        </w:rPr>
        <w:t>7、供应商必须进行现场踏勘以充分了解工地位置、情况、道路、储存空间、装卸条件及任何其它足以影响成本价的情况。现场踏勘后，应根据自身实际情况，制订工程的施工方案或施工组织设计进行投标报价。中标后，因忽视或误解工地情况而导致的索赔或工期延长申请将不被批准。</w:t>
      </w:r>
    </w:p>
    <w:p w14:paraId="264BF7C3">
      <w:pPr>
        <w:keepNext w:val="0"/>
        <w:keepLines w:val="0"/>
        <w:pageBreakBefore w:val="0"/>
        <w:spacing w:beforeAutospacing="0" w:afterAutospacing="0"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w:t>
      </w:r>
      <w:r>
        <w:rPr>
          <w:rFonts w:hint="eastAsia" w:ascii="宋体" w:hAnsi="宋体" w:eastAsia="宋体" w:cs="宋体"/>
          <w:color w:val="auto"/>
          <w:sz w:val="24"/>
          <w:szCs w:val="24"/>
          <w:highlight w:val="none"/>
          <w:lang w:val="en-US" w:eastAsia="zh-CN"/>
        </w:rPr>
        <w:t>8、项目管理团队人员接受采购人不定时签到考核</w:t>
      </w:r>
      <w:r>
        <w:rPr>
          <w:rFonts w:hint="eastAsia" w:eastAsia="宋体"/>
          <w:color w:val="auto"/>
          <w:highlight w:val="none"/>
          <w:lang w:eastAsia="zh-CN"/>
        </w:rPr>
        <w:t>。</w:t>
      </w:r>
    </w:p>
    <w:p w14:paraId="04C6D687">
      <w:pPr>
        <w:pStyle w:val="55"/>
        <w:numPr>
          <w:ilvl w:val="0"/>
          <w:numId w:val="0"/>
        </w:numPr>
        <w:ind w:leftChars="0"/>
        <w:rPr>
          <w:rFonts w:hint="default"/>
          <w:color w:val="auto"/>
          <w:highlight w:val="none"/>
          <w:lang w:val="en-US" w:eastAsia="zh-CN"/>
        </w:rPr>
      </w:pPr>
    </w:p>
    <w:p w14:paraId="13DB97CE">
      <w:pP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br w:type="page" w:clear="all"/>
      </w:r>
    </w:p>
    <w:p w14:paraId="5A169C42">
      <w:pPr>
        <w:pStyle w:val="209"/>
        <w:keepNext w:val="0"/>
        <w:keepLines w:val="0"/>
        <w:pageBreakBefore w:val="0"/>
        <w:widowControl/>
        <w:numPr>
          <w:ilvl w:val="0"/>
          <w:numId w:val="0"/>
        </w:numPr>
        <w:spacing w:line="360" w:lineRule="auto"/>
        <w:jc w:val="center"/>
        <w:outlineLvl w:val="0"/>
        <w:rPr>
          <w:rFonts w:hint="eastAsia" w:ascii="宋体" w:hAnsi="宋体" w:eastAsia="宋体" w:cs="宋体"/>
          <w:b/>
          <w:bCs/>
          <w:color w:val="auto"/>
          <w:sz w:val="36"/>
          <w:szCs w:val="36"/>
          <w:highlight w:val="none"/>
          <w:lang w:eastAsia="zh-CN" w:bidi="ar"/>
        </w:rPr>
      </w:pPr>
      <w:r>
        <w:rPr>
          <w:rFonts w:hint="eastAsia" w:ascii="宋体" w:hAnsi="宋体" w:eastAsia="宋体" w:cs="宋体"/>
          <w:b/>
          <w:bCs/>
          <w:color w:val="auto"/>
          <w:sz w:val="36"/>
          <w:szCs w:val="36"/>
          <w:highlight w:val="none"/>
          <w:lang w:val="en-US" w:eastAsia="zh-CN" w:bidi="ar"/>
        </w:rPr>
        <w:t xml:space="preserve">第五章  </w:t>
      </w:r>
      <w:r>
        <w:rPr>
          <w:rFonts w:hint="eastAsia" w:ascii="宋体" w:hAnsi="宋体" w:eastAsia="宋体" w:cs="宋体"/>
          <w:b/>
          <w:bCs/>
          <w:color w:val="auto"/>
          <w:sz w:val="36"/>
          <w:szCs w:val="36"/>
          <w:highlight w:val="none"/>
          <w:lang w:bidi="ar"/>
        </w:rPr>
        <w:t>工程量清单</w:t>
      </w:r>
    </w:p>
    <w:p w14:paraId="0CF3A37B">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1．工程量清单编制说明</w:t>
      </w:r>
    </w:p>
    <w:p w14:paraId="7CD9450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1.1本工程量清单是依据现行国家标准《建设工程工程量清单计价标准》GB/T50500-2024、地方规定以及磋商文件中包括的图纸等编制。</w:t>
      </w:r>
    </w:p>
    <w:p w14:paraId="66DFF423">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1.2本工程量清单应与磋商文件中的供应商须知、通用合同条款、专用合同条款、技术标准和要求及图纸等章节内容一起阅读和理解。</w:t>
      </w:r>
    </w:p>
    <w:p w14:paraId="2CC18C72">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1.3本工程量清单仅是投标报价的共同基础，竣工结算的工程量按合同约定确定。合同价格的确定以及价款支付应遵循合同条款(包括通用合同条款和专用合同条款)、技术标准和要求以及本章的有关约定。</w:t>
      </w:r>
    </w:p>
    <w:p w14:paraId="39AA14A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1.4本条第1.1款中约定的计量和计价规则适用于合同履约过程中工程量计量与价款支付、工程变更、索赔和工程结算。</w:t>
      </w:r>
    </w:p>
    <w:p w14:paraId="2B557B7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1.5本条与本章第2条和第3条的说明内容是构成合同文件的已标价工程量清单的组成部分。</w:t>
      </w:r>
    </w:p>
    <w:p w14:paraId="4ABFE11F">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2．投标报价编制要求</w:t>
      </w:r>
    </w:p>
    <w:p w14:paraId="219A92DE">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2.1投标报价应根据磋商文件中的有关计价要求，并按照下列依据自主报价，但不得低于成本。</w:t>
      </w:r>
    </w:p>
    <w:p w14:paraId="51D9245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 本磋商文件；</w:t>
      </w:r>
    </w:p>
    <w:p w14:paraId="1BACE018">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 《建设工程工程量清单计价标准》GB/T50500-2024和相关工程国家及行业工程量计算标准；</w:t>
      </w:r>
    </w:p>
    <w:p w14:paraId="097CA8F4">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(3) 国家或省级、行业建设主管部门颁发的计价办法；</w:t>
      </w:r>
    </w:p>
    <w:p w14:paraId="71442D0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(4) 企业定额，国家或省级、行业建设主管部门颁发的计价定额；</w:t>
      </w:r>
    </w:p>
    <w:p w14:paraId="0AAA189C">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(5) 磋商文件、招标工程量清单及其补充通知、答疑纪要；</w:t>
      </w:r>
    </w:p>
    <w:p w14:paraId="205D77C9">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(6) 建设工程设计文件及相关资料；</w:t>
      </w:r>
    </w:p>
    <w:p w14:paraId="309F9573">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(7) 施工现场情况、工程特点及拟定的投标施工组织设计或施工方案；</w:t>
      </w:r>
    </w:p>
    <w:p w14:paraId="4B4212C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(8) 与建设项目相关的标准、规范等技术资料；</w:t>
      </w:r>
    </w:p>
    <w:p w14:paraId="1F6A8184">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(9) 市场价格信息或工程造价管理机构发布的工程造价信息；</w:t>
      </w:r>
    </w:p>
    <w:p w14:paraId="4737C301">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(10) 其他的相关资料。</w:t>
      </w:r>
    </w:p>
    <w:p w14:paraId="3548EA86">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2.2招标工程量清单与计价表中列明的所有需要填写单价和合价的项目，均应填写且只允许有一个报价。未填写单价和合价的项目，视为此项费用已包含在已标价工程量清单中其他项目的单价和合价之中。</w:t>
      </w:r>
    </w:p>
    <w:p w14:paraId="54799409">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2.3工程量清单中标价的单价或金额，应包括所需人工费、材料费、施工机具使用费、管理费和利润，以及一定范围内的风险费用。所谓“一定范围内的风险”是指合同约定的风险。</w:t>
      </w:r>
    </w:p>
    <w:p w14:paraId="3FAC185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p>
    <w:p w14:paraId="4CDD37DA">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2.5投标报价编制要求</w:t>
      </w:r>
    </w:p>
    <w:p w14:paraId="540DEEFA">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（1）须按本文件规定的表式编制投标报价。</w:t>
      </w:r>
    </w:p>
    <w:p w14:paraId="5C915694">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本项目最高投标限价中，安全生产措施费已按《江苏省建设工程费用参考》文件计入。投标报价中安全生产措施费的具体费率由投标人根据项目实际自行确定，但不得低于《江苏省建设工程费用参考》文件规定的下限值。</w:t>
      </w:r>
      <w:r>
        <w:rPr>
          <w:rFonts w:hint="eastAsia" w:ascii="宋体" w:hAnsi="宋体" w:eastAsia="宋体" w:cs="宋体"/>
          <w:color w:val="auto"/>
          <w:sz w:val="24"/>
          <w:szCs w:val="24"/>
          <w:highlight w:val="none"/>
          <w:lang w:eastAsia="zh-CN"/>
        </w:rPr>
        <w:t>如未按要求填报安全生产措施费，其费用视为已按《江苏省建设工程费用参考》文件规定的下限值综合考虑在投标总价中。</w:t>
      </w:r>
    </w:p>
    <w:p w14:paraId="205B7D9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（3）工程量清单凡有数量的项目均应填写投标价格进行报价，若无报价，则认为其含在其他项目报价中。</w:t>
      </w:r>
    </w:p>
    <w:p w14:paraId="38A5CB7E">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4）对分部分项工程项目清单中按项计价的项目,投标人应按其项目特征的工作内容、自身的实施方案、市场合理价格,以及履行招标图纸和技术标准规范要求、按合同规定执行工程变更价格调整引起的承包风险,对按项计价项目进行投标报价。除合同另有约定外,按项计价项目报价为包干价,工程结算时不应做调整。</w:t>
      </w:r>
    </w:p>
    <w:p w14:paraId="3DDBC101">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（5）投标人应按自身的工程实施方案及投标工期对措施项目清单进行自主报价,其中安全生产措施费应符合国家及省级、行业主管部门的相关规定。</w:t>
      </w:r>
    </w:p>
    <w:p w14:paraId="31A1C47A">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投标人应在接收招标文件后,在规定时间内根据工程特点、合同要求及现场踏勘情况,复查措施项目清单列项的完整性和适用性。如投标人对措施项目清单有疑问或异议的,可按招标文件的规定以书面形式提请招标人澄清或修正,若投标人认为需要增加措施项目的,可在措施项目中补充列项及报价,并对措施项目清单的准确性和完整性负责。</w:t>
      </w:r>
    </w:p>
    <w:p w14:paraId="4887D31C">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（6）未按要求填报总价合同中分部分项工程清单项目综合单价及合价的,其费用可视为已包含在其他的清单项目综合单价、合价及投标总价中,工程结算时不做重新计价及调整;</w:t>
      </w:r>
    </w:p>
    <w:p w14:paraId="5D363D0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（7）未按要求填报措施清单项目的价格、按项计价的分部分项工程清单项目的价格,其费用可视为已包含在其他的清单项目综合单价、合价及投标总价中,工程结算时不做重新计价及调整;</w:t>
      </w:r>
    </w:p>
    <w:p w14:paraId="5518BE9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（8）投标人应按招标工程量清单中提供的暂列金额、专业工程暂估价金额,准确填报在相应投标总价内。</w:t>
      </w:r>
    </w:p>
    <w:p w14:paraId="786E0778">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9）投标人必须进行现场踏勘以充分了解工地位置、情况、道路、储存空间、装卸条件及任何其它足以影响成本价的情况。现场踏勘后，应根据自身实际情况，制订工程的施工方案或施工组织设计进行投标报价。中标后，不论施工方案或施工组织设计发生任何变化，由此引起的合同价款的变化均不予调整，任何因忽视或误解工地情况而导致的索赔或工期延长申请将不被批准。</w:t>
      </w:r>
    </w:p>
    <w:p w14:paraId="219EC77D">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（10）暂估价：招标人在工程量清单中提供的用于支付必然发生但暂时不能确定价格的材料、工程设备的单价以及专业工程的金额。</w:t>
      </w:r>
    </w:p>
    <w:p w14:paraId="245F64B7">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暂列金额：招标人在工程量清单中暂定并包括在合同价款中的一笔款项。用于工程合同签订时尚未确定或者不可预见的所需材料、工程设备、服务的采购，施工中可能发生的工程变更、合同约定调整因素出现时的合同价款调整以及发生的索赔等费用。</w:t>
      </w:r>
    </w:p>
    <w:p w14:paraId="26C0391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暂估价、暂列金额、发包人提供的材料和工程设备在投标报价时不得变动。</w:t>
      </w:r>
    </w:p>
    <w:p w14:paraId="305696DF">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11）投标报价中应包括：施工方案和施工工艺造成的增量；相关施工规范与工程验收规范可以确定但施工技术方案没有表达的，为了达到施工规范与工程验收规范要求而必须发生的技术措施；招标文件中提出的某些需要通过一定技术措施才能实现的要求，设计文件中一些不足以写进技术方案但是要通过一定的技术措施才能实现的内容。以上所述所有费用在施工过程中因施工组织设计和施工方案的改变引起工程内容和数量的改变及措施费用的改变，费用不予调整。</w:t>
      </w:r>
    </w:p>
    <w:p w14:paraId="310B24E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12）投标人所购买材料必须严格按照施工图纸、招标文件要求采购。投标人不得购买伪劣产品或以旧充新、以次充好、掺杂使假。所有材料及其它配件均须确保为国标合格、先进、成熟、安全可靠的知名品牌的全新优等产品，以确保结构安全环保。</w:t>
      </w:r>
    </w:p>
    <w:p w14:paraId="12D3A584">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（13）投标人应核实工程量清单的数量及项目特征，发现问题可按招标文件规定的澄清方式向招标人提出澄清要求及时修正。</w:t>
      </w:r>
    </w:p>
    <w:p w14:paraId="3FDF844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（14）由投标人自行提供材料、设备等接水接电，并自备合格计量表计量，供水供电费用（含接水接电费用）由投标人支付并包含在投标报价中，不予调整。</w:t>
      </w:r>
    </w:p>
    <w:p w14:paraId="3EBBBEA2">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15）投标人所报的分部分项清单计价表，仅其中的各项综合单价将产生合同效力，这类综合单价将被用于工程施工过程中对同样的和类似的工程设计变更的计价。投标人的综合单价，不论其对应的项目特征是否描述完全，都将被认为已包括计价规范中对应的项目编码和项目名称的所有工程内容及完成此工作内容而必须的各种辅助工作。</w:t>
      </w:r>
    </w:p>
    <w:p w14:paraId="4D288CA5">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（16）施工过程中与周围发生的纠纷由投标人自行协商解决，费用由投标人自理，该费用应包含在投标报价中。</w:t>
      </w:r>
    </w:p>
    <w:p w14:paraId="0260AC48">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（17）除不可抗力因素外，投标报价中应包括防洪、防风、暴雨措施所需要的一切费用。</w:t>
      </w:r>
    </w:p>
    <w:p w14:paraId="3D854B5B">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（18）关于投标报价的其他说明：</w:t>
      </w:r>
    </w:p>
    <w:p w14:paraId="2923DC9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1）技术标中明确或招标文件、设计图纸确定的相应技术规范要求的费用应包括在投标报价中，否则视同投标优惠。</w:t>
      </w:r>
    </w:p>
    <w:p w14:paraId="212A8ABD">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2）投标人应负责做好竣工验收前的成品保护工作，否则由此引起的一切损失由投标人承担。</w:t>
      </w:r>
    </w:p>
    <w:p w14:paraId="0D3C82A4">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3）如在结算时发现已标价工程量清单中存在过高报价项目，将调整其综合单价，重新按照计价表组价，其人工、材料、机械的消耗量按江苏省现行计价表执行，材料单价按已标价工程量清单中相同或类似的正常投标价格，没有相同或类似的，按市场价并需经发包人确认，管理费率、利润率按已标价工程量清单中最低费率报价项目的费率计取。</w:t>
      </w:r>
    </w:p>
    <w:p w14:paraId="042EE9FD">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4）对于施工场地内的地下障碍物的清理及周围的地下管线的保护（除遇不可抗力因素，如战争、地震、名木古树、地下文物等），投标人应根据自身的施工技术能力并考虑其施工风险，将此费用考虑在投标报价中，一旦中标此项费用在施工中不予调整，中标人有责任采取保护措施，否则承担造成的一切责任及相应费用。</w:t>
      </w:r>
    </w:p>
    <w:p w14:paraId="7BC97E1F">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5）投标人应自行考虑施工组织设计中材料和构件的二次搬运、非招标人所为八小时内的临时停水停电、环保噪音扰民、连续降雨、高（中）考、节假日、市内重大活动期间以及发包人需要的时间段内可能对施工作出某些限制和配合要求引起工效降低和民抚费用等，以上费用由投标人自行报价并计入投标报价，以后不作调整；并应将施工方案中各种施工组织、施工技术措施增加费用以及为确保招标人要求的质量、工期发生的费用计入投标报价。</w:t>
      </w:r>
    </w:p>
    <w:p w14:paraId="38A9D6B9">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6）投标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招标人。投标人应将办理上述事项的费用综合考虑在投标报价中，该部分费用包干使用，以后不作调整。</w:t>
      </w:r>
    </w:p>
    <w:p w14:paraId="2A7C1E09">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7）投标人应将施工中产生的建筑垃圾清运出场，其外运堆放场地及运距由投标人事先勘察现场情况进行考虑确定，费用包括在投标报价中，以后无论如何变化均不作调整。因投标人倾倒地点和处置方法不妥或运输途中泥土废渣掉落受到有关部门的处罚均由投标人自行承担。若投标人清除现场垃圾不及时，招标人有权另请他人清除现场垃圾，由此产生的费用由招标人直接从投标人的工程款中扣除，投标人不得对招标人代付的费用金额提出任何异议。</w:t>
      </w:r>
    </w:p>
    <w:p w14:paraId="21E0AF20">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8）投标人应充分考虑各专业工程交叉作业所带来的工效降低，作业难度增大，其费用在报价中充分考虑。</w:t>
      </w:r>
    </w:p>
    <w:p w14:paraId="562AFAD1">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val="0"/>
          <w:bCs w:val="0"/>
          <w:color w:val="auto"/>
          <w:spacing w:val="0"/>
          <w:sz w:val="24"/>
          <w:szCs w:val="24"/>
          <w:highlight w:val="none"/>
          <w:lang w:val="zh-CN" w:eastAsia="zh-CN" w:bidi="zh-CN"/>
        </w:rPr>
      </w:pPr>
      <w:r>
        <w:rPr>
          <w:rFonts w:hint="eastAsia" w:ascii="宋体" w:hAnsi="宋体" w:eastAsia="宋体" w:cs="宋体"/>
          <w:b w:val="0"/>
          <w:bCs w:val="0"/>
          <w:color w:val="auto"/>
          <w:spacing w:val="0"/>
          <w:sz w:val="24"/>
          <w:szCs w:val="24"/>
          <w:highlight w:val="none"/>
          <w:lang w:val="zh-CN" w:eastAsia="zh-CN" w:bidi="zh-CN"/>
        </w:rPr>
        <w:t>9）本项目区域内土方不得外运，土方所有权属于发包人，施工过程中多余土方须按发包人要求回填到示范中心指定地点，费用包括在投标报价中。</w:t>
      </w:r>
    </w:p>
    <w:p w14:paraId="44D7E36B">
      <w:pPr>
        <w:pageBreakBefore w:val="0"/>
        <w:widowControl w:val="0"/>
        <w:numPr>
          <w:ilvl w:val="1"/>
          <w:numId w:val="0"/>
        </w:numPr>
        <w:tabs>
          <w:tab w:val="left" w:pos="1639"/>
        </w:tabs>
        <w:spacing w:line="360" w:lineRule="auto"/>
        <w:ind w:left="0" w:firstLine="480"/>
        <w:contextualSpacing/>
        <w:jc w:val="both"/>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val="0"/>
          <w:bCs w:val="0"/>
          <w:color w:val="auto"/>
          <w:spacing w:val="0"/>
          <w:sz w:val="24"/>
          <w:szCs w:val="24"/>
          <w:highlight w:val="none"/>
          <w:lang w:val="zh-CN" w:eastAsia="zh-CN" w:bidi="zh-CN"/>
        </w:rPr>
        <w:t>其余见《工程量清单编制说明》及合同条款。</w:t>
      </w:r>
    </w:p>
    <w:p w14:paraId="0B351364">
      <w:pPr>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br w:type="page" w:clear="all"/>
      </w:r>
    </w:p>
    <w:p w14:paraId="5CCAB163">
      <w:pPr>
        <w:pStyle w:val="209"/>
        <w:keepNext w:val="0"/>
        <w:keepLines w:val="0"/>
        <w:pageBreakBefore w:val="0"/>
        <w:widowControl/>
        <w:numPr>
          <w:ilvl w:val="0"/>
          <w:numId w:val="0"/>
        </w:numPr>
        <w:spacing w:line="360" w:lineRule="auto"/>
        <w:jc w:val="center"/>
        <w:outlineLvl w:val="0"/>
        <w:rPr>
          <w:rFonts w:hint="eastAsia" w:ascii="宋体" w:hAnsi="宋体" w:eastAsia="宋体" w:cs="宋体"/>
          <w:b/>
          <w:bCs/>
          <w:color w:val="auto"/>
          <w:sz w:val="36"/>
          <w:szCs w:val="36"/>
          <w:highlight w:val="none"/>
          <w:lang w:val="en-US" w:eastAsia="zh-CN" w:bidi="ar"/>
        </w:rPr>
      </w:pPr>
      <w:r>
        <w:rPr>
          <w:rFonts w:hint="eastAsia" w:ascii="宋体" w:hAnsi="宋体" w:eastAsia="宋体" w:cs="宋体"/>
          <w:b/>
          <w:bCs/>
          <w:color w:val="auto"/>
          <w:sz w:val="36"/>
          <w:szCs w:val="36"/>
          <w:highlight w:val="none"/>
          <w:lang w:val="en-US" w:eastAsia="zh-CN" w:bidi="ar"/>
        </w:rPr>
        <w:t>第六章  磋商响应文件格式</w:t>
      </w:r>
    </w:p>
    <w:p w14:paraId="67154788">
      <w:pPr>
        <w:widowControl/>
        <w:spacing w:line="360" w:lineRule="auto"/>
        <w:ind w:firstLine="860"/>
        <w:jc w:val="center"/>
        <w:rPr>
          <w:rFonts w:hint="eastAsia" w:ascii="宋体" w:hAnsi="宋体" w:eastAsia="宋体" w:cs="宋体"/>
          <w:color w:val="auto"/>
          <w:sz w:val="43"/>
          <w:szCs w:val="43"/>
          <w:highlight w:val="none"/>
          <w:lang w:bidi="ar"/>
        </w:rPr>
      </w:pPr>
    </w:p>
    <w:p w14:paraId="027F2FB4">
      <w:pPr>
        <w:widowControl/>
        <w:spacing w:before="100" w:beforeAutospacing="1" w:after="100" w:afterAutospacing="1" w:line="360" w:lineRule="auto"/>
        <w:ind w:left="1874" w:right="1470" w:firstLine="0"/>
        <w:jc w:val="left"/>
        <w:rPr>
          <w:rFonts w:hint="default" w:ascii="宋体" w:hAnsi="宋体" w:eastAsia="宋体" w:cs="宋体"/>
          <w:color w:val="auto"/>
          <w:sz w:val="24"/>
          <w:szCs w:val="24"/>
          <w:highlight w:val="none"/>
          <w:lang w:val="en-US" w:eastAsia="zh-CN" w:bidi="ar-SA"/>
        </w:rPr>
      </w:pPr>
    </w:p>
    <w:p w14:paraId="02B80A53">
      <w:pPr>
        <w:widowControl/>
        <w:spacing w:before="100" w:beforeAutospacing="1" w:after="100" w:afterAutospacing="1" w:line="360" w:lineRule="auto"/>
        <w:ind w:left="1874" w:right="1470" w:firstLine="0"/>
        <w:jc w:val="left"/>
        <w:rPr>
          <w:rFonts w:hint="default" w:ascii="宋体" w:hAnsi="宋体" w:eastAsia="宋体" w:cs="宋体"/>
          <w:color w:val="auto"/>
          <w:sz w:val="24"/>
          <w:szCs w:val="24"/>
          <w:highlight w:val="none"/>
          <w:lang w:val="en-US" w:eastAsia="zh-CN" w:bidi="ar-SA"/>
        </w:rPr>
      </w:pPr>
    </w:p>
    <w:p w14:paraId="188A00ED">
      <w:pPr>
        <w:jc w:val="center"/>
        <w:rPr>
          <w:rFonts w:ascii="宋体" w:hAnsi="宋体" w:eastAsia="宋体" w:cs="宋体"/>
          <w:b/>
          <w:color w:val="auto"/>
          <w:sz w:val="56"/>
          <w:szCs w:val="48"/>
          <w:highlight w:val="none"/>
        </w:rPr>
      </w:pPr>
    </w:p>
    <w:p w14:paraId="15922AA1">
      <w:pPr>
        <w:jc w:val="center"/>
        <w:rPr>
          <w:rFonts w:ascii="宋体" w:hAnsi="宋体" w:eastAsia="宋体" w:cs="宋体"/>
          <w:b/>
          <w:color w:val="auto"/>
          <w:sz w:val="72"/>
          <w:szCs w:val="21"/>
          <w:highlight w:val="none"/>
        </w:rPr>
      </w:pPr>
    </w:p>
    <w:p w14:paraId="2E6347A6">
      <w:pPr>
        <w:jc w:val="center"/>
        <w:rPr>
          <w:rFonts w:ascii="宋体" w:hAnsi="宋体" w:eastAsia="宋体" w:cs="宋体"/>
          <w:b/>
          <w:color w:val="auto"/>
          <w:sz w:val="56"/>
          <w:szCs w:val="20"/>
          <w:highlight w:val="none"/>
        </w:rPr>
      </w:pPr>
      <w:r>
        <w:rPr>
          <w:rFonts w:hint="eastAsia" w:ascii="宋体" w:hAnsi="宋体" w:eastAsia="宋体" w:cs="宋体"/>
          <w:b/>
          <w:color w:val="auto"/>
          <w:sz w:val="56"/>
          <w:szCs w:val="20"/>
          <w:highlight w:val="none"/>
        </w:rPr>
        <w:t>响应文件</w:t>
      </w:r>
    </w:p>
    <w:p w14:paraId="256BFEBA">
      <w:pPr>
        <w:ind w:firstLine="643"/>
        <w:jc w:val="center"/>
        <w:rPr>
          <w:rFonts w:ascii="宋体" w:hAnsi="宋体" w:eastAsia="宋体" w:cs="宋体"/>
          <w:b/>
          <w:color w:val="auto"/>
          <w:sz w:val="32"/>
          <w:szCs w:val="32"/>
          <w:highlight w:val="none"/>
        </w:rPr>
      </w:pPr>
    </w:p>
    <w:p w14:paraId="657D478F">
      <w:pPr>
        <w:widowControl/>
        <w:spacing w:before="100" w:beforeAutospacing="1" w:after="100" w:afterAutospacing="1" w:line="480" w:lineRule="atLeast"/>
        <w:ind w:firstLine="1749"/>
        <w:jc w:val="both"/>
        <w:rPr>
          <w:rFonts w:hint="default" w:ascii="宋体" w:hAnsi="宋体" w:eastAsia="宋体" w:cs="宋体"/>
          <w:b/>
          <w:color w:val="auto"/>
          <w:sz w:val="32"/>
          <w:szCs w:val="32"/>
          <w:highlight w:val="none"/>
          <w:u w:val="single"/>
          <w:lang w:val="en-US" w:eastAsia="zh-CN" w:bidi="ar-SA"/>
        </w:rPr>
      </w:pPr>
      <w:r>
        <w:rPr>
          <w:rFonts w:hint="eastAsia" w:ascii="宋体" w:hAnsi="宋体" w:eastAsia="宋体" w:cs="宋体"/>
          <w:b/>
          <w:color w:val="auto"/>
          <w:sz w:val="32"/>
          <w:szCs w:val="32"/>
          <w:highlight w:val="none"/>
          <w:lang w:val="en-US" w:eastAsia="zh-CN" w:bidi="ar-SA"/>
        </w:rPr>
        <w:t>项目名称：</w:t>
      </w:r>
      <w:r>
        <w:rPr>
          <w:rFonts w:hint="eastAsia" w:ascii="宋体" w:hAnsi="宋体" w:eastAsia="宋体" w:cs="宋体"/>
          <w:b/>
          <w:color w:val="auto"/>
          <w:sz w:val="32"/>
          <w:szCs w:val="32"/>
          <w:highlight w:val="none"/>
          <w:u w:val="single"/>
          <w:lang w:val="en-US" w:eastAsia="zh-CN" w:bidi="ar-SA"/>
        </w:rPr>
        <w:t xml:space="preserve">                    </w:t>
      </w:r>
    </w:p>
    <w:p w14:paraId="6DA5E82E">
      <w:pPr>
        <w:widowControl/>
        <w:spacing w:before="100" w:beforeAutospacing="1" w:after="100" w:afterAutospacing="1" w:line="480" w:lineRule="atLeast"/>
        <w:ind w:firstLine="1749"/>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b/>
          <w:color w:val="auto"/>
          <w:sz w:val="32"/>
          <w:szCs w:val="32"/>
          <w:highlight w:val="none"/>
          <w:lang w:val="en-US" w:eastAsia="zh-CN" w:bidi="ar-SA"/>
        </w:rPr>
        <w:t>项目编号：</w:t>
      </w:r>
      <w:r>
        <w:rPr>
          <w:rFonts w:hint="eastAsia" w:ascii="宋体" w:hAnsi="宋体" w:eastAsia="宋体" w:cs="宋体"/>
          <w:b/>
          <w:color w:val="auto"/>
          <w:sz w:val="32"/>
          <w:szCs w:val="32"/>
          <w:highlight w:val="none"/>
          <w:u w:val="single"/>
          <w:lang w:val="en-US" w:eastAsia="zh-CN" w:bidi="ar-SA"/>
        </w:rPr>
        <w:t xml:space="preserve">                    </w:t>
      </w:r>
    </w:p>
    <w:p w14:paraId="49D1EEC6">
      <w:pPr>
        <w:widowControl/>
        <w:spacing w:before="100" w:beforeAutospacing="1" w:after="100" w:afterAutospacing="1" w:line="360" w:lineRule="atLeast"/>
        <w:jc w:val="both"/>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p>
    <w:p w14:paraId="6EF305FA">
      <w:pPr>
        <w:widowControl/>
        <w:spacing w:before="100" w:beforeAutospacing="1" w:after="100" w:afterAutospacing="1" w:line="480" w:lineRule="atLeast"/>
        <w:ind w:firstLine="1749"/>
        <w:jc w:val="both"/>
        <w:rPr>
          <w:rFonts w:hint="default"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供应商名称：</w:t>
      </w:r>
      <w:r>
        <w:rPr>
          <w:rFonts w:hint="eastAsia" w:ascii="宋体" w:hAnsi="宋体" w:eastAsia="宋体" w:cs="宋体"/>
          <w:b/>
          <w:bCs/>
          <w:color w:val="auto"/>
          <w:sz w:val="36"/>
          <w:szCs w:val="36"/>
          <w:highlight w:val="none"/>
          <w:u w:val="single"/>
          <w:lang w:val="en-US" w:eastAsia="zh-CN" w:bidi="ar-SA"/>
        </w:rPr>
        <w:t>（加盖CA电子公章）</w:t>
      </w:r>
      <w:r>
        <w:rPr>
          <w:rFonts w:hint="eastAsia" w:ascii="宋体" w:hAnsi="宋体" w:eastAsia="宋体" w:cs="宋体"/>
          <w:b/>
          <w:color w:val="auto"/>
          <w:sz w:val="32"/>
          <w:szCs w:val="32"/>
          <w:highlight w:val="none"/>
          <w:lang w:val="en-US" w:eastAsia="zh-CN" w:bidi="ar-SA"/>
        </w:rPr>
        <w:t> </w:t>
      </w:r>
    </w:p>
    <w:p w14:paraId="6F211FF9">
      <w:pPr>
        <w:widowControl/>
        <w:spacing w:before="100" w:beforeAutospacing="1" w:after="100" w:afterAutospacing="1" w:line="480" w:lineRule="atLeast"/>
        <w:ind w:firstLine="1749"/>
        <w:jc w:val="both"/>
        <w:rPr>
          <w:rFonts w:hint="default" w:ascii="宋体" w:hAnsi="宋体" w:eastAsia="宋体" w:cs="宋体"/>
          <w:color w:val="auto"/>
          <w:sz w:val="36"/>
          <w:szCs w:val="24"/>
          <w:highlight w:val="none"/>
          <w:lang w:val="en-US" w:eastAsia="zh-CN" w:bidi="ar-SA"/>
        </w:rPr>
      </w:pPr>
      <w:r>
        <w:rPr>
          <w:rFonts w:hint="eastAsia" w:ascii="宋体" w:hAnsi="宋体" w:eastAsia="宋体" w:cs="宋体"/>
          <w:b/>
          <w:color w:val="auto"/>
          <w:sz w:val="32"/>
          <w:szCs w:val="32"/>
          <w:highlight w:val="none"/>
          <w:lang w:val="en-US" w:eastAsia="zh-CN" w:bidi="ar-SA"/>
        </w:rPr>
        <w:t>日 期 ：</w:t>
      </w:r>
      <w:r>
        <w:rPr>
          <w:rFonts w:hint="eastAsia" w:ascii="宋体" w:hAnsi="宋体" w:eastAsia="宋体" w:cs="宋体"/>
          <w:b/>
          <w:color w:val="auto"/>
          <w:sz w:val="32"/>
          <w:szCs w:val="32"/>
          <w:highlight w:val="none"/>
          <w:u w:val="single"/>
          <w:lang w:val="en-US" w:eastAsia="zh-CN" w:bidi="ar-SA"/>
        </w:rPr>
        <w:t xml:space="preserve">                    </w:t>
      </w:r>
    </w:p>
    <w:p w14:paraId="69A1B987">
      <w:pPr>
        <w:widowControl w:val="0"/>
        <w:spacing w:before="0" w:after="0" w:line="360" w:lineRule="auto"/>
        <w:ind w:firstLine="0"/>
        <w:jc w:val="left"/>
        <w:rPr>
          <w:rFonts w:hint="eastAsia" w:ascii="宋体" w:hAnsi="宋体" w:eastAsia="宋体" w:cs="宋体"/>
          <w:color w:val="auto"/>
          <w:sz w:val="24"/>
          <w:szCs w:val="24"/>
          <w:highlight w:val="none"/>
          <w:lang w:val="en-US" w:eastAsia="zh-CN" w:bidi="ar-SA"/>
        </w:rPr>
      </w:pPr>
    </w:p>
    <w:p w14:paraId="2A0A0CA1">
      <w:pPr>
        <w:widowControl w:val="0"/>
        <w:spacing w:before="0" w:after="0" w:line="360" w:lineRule="auto"/>
        <w:ind w:firstLine="0"/>
        <w:jc w:val="left"/>
        <w:rPr>
          <w:rFonts w:hint="eastAsia" w:ascii="宋体" w:hAnsi="宋体" w:eastAsia="宋体" w:cs="宋体"/>
          <w:color w:val="auto"/>
          <w:sz w:val="24"/>
          <w:szCs w:val="24"/>
          <w:highlight w:val="none"/>
          <w:lang w:val="en-US" w:eastAsia="zh-CN" w:bidi="ar-SA"/>
        </w:rPr>
      </w:pPr>
    </w:p>
    <w:p w14:paraId="1D8CEF60">
      <w:pPr>
        <w:jc w:val="center"/>
        <w:rPr>
          <w:rFonts w:hint="eastAsia" w:ascii="宋体" w:hAnsi="宋体" w:eastAsia="宋体" w:cs="Times New Roman"/>
          <w:b/>
          <w:bCs/>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Times New Roman"/>
          <w:b/>
          <w:bCs/>
          <w:color w:val="auto"/>
          <w:sz w:val="32"/>
          <w:szCs w:val="32"/>
          <w:highlight w:val="none"/>
        </w:rPr>
        <w:t>响应文件目录</w:t>
      </w:r>
    </w:p>
    <w:p w14:paraId="7B26E612">
      <w:pPr>
        <w:spacing w:line="440" w:lineRule="exact"/>
        <w:jc w:val="center"/>
        <w:rPr>
          <w:rFonts w:hint="eastAsia" w:ascii="宋体" w:hAnsi="宋体" w:eastAsia="宋体" w:cs="Times New Roman"/>
          <w:b/>
          <w:bCs/>
          <w:color w:val="auto"/>
          <w:sz w:val="32"/>
          <w:szCs w:val="32"/>
          <w:highlight w:val="none"/>
        </w:rPr>
      </w:pPr>
    </w:p>
    <w:p w14:paraId="4FF5B5B8">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一、法人或者其他组织的营业执照等证明文件，自然人的身份证明</w:t>
      </w:r>
    </w:p>
    <w:p w14:paraId="53651B78">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二、具有良好的商业信誉和健全的财务会计制度</w:t>
      </w:r>
    </w:p>
    <w:p w14:paraId="73D207E2">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三、依法缴纳税收和社会保障资金的相关材料</w:t>
      </w:r>
    </w:p>
    <w:p w14:paraId="19C950EE">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四、具备履行合同所必需的设备和专业技术能力的声明及证明材料</w:t>
      </w:r>
    </w:p>
    <w:p w14:paraId="6387DB38">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五、参加政府采购活动前三年内在经营活动中没有重大违法记录的书面声明</w:t>
      </w:r>
    </w:p>
    <w:p w14:paraId="5EBF3220">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六、特定资格要求的证明文件</w:t>
      </w:r>
    </w:p>
    <w:p w14:paraId="2F815427">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七、法人授权书</w:t>
      </w:r>
    </w:p>
    <w:p w14:paraId="383EA868">
      <w:pPr>
        <w:keepNext w:val="0"/>
        <w:keepLines w:val="0"/>
        <w:pageBreakBefore w:val="0"/>
        <w:widowControl w:val="0"/>
        <w:spacing w:line="360" w:lineRule="auto"/>
        <w:ind w:left="0" w:firstLine="480"/>
        <w:rPr>
          <w:rFonts w:hint="eastAsia" w:ascii="宋体" w:hAnsi="宋体" w:eastAsia="宋体" w:cs="Times New Roman"/>
          <w:i w:val="0"/>
          <w:iCs/>
          <w:color w:val="auto"/>
          <w:sz w:val="24"/>
          <w:szCs w:val="21"/>
          <w:highlight w:val="none"/>
          <w:u w:val="none"/>
        </w:rPr>
      </w:pPr>
      <w:r>
        <w:rPr>
          <w:rFonts w:hint="eastAsia" w:ascii="宋体" w:hAnsi="宋体" w:eastAsia="宋体" w:cs="Times New Roman"/>
          <w:i w:val="0"/>
          <w:iCs/>
          <w:color w:val="auto"/>
          <w:sz w:val="24"/>
          <w:szCs w:val="21"/>
          <w:highlight w:val="none"/>
          <w:u w:val="none"/>
        </w:rPr>
        <w:t>八、磋商响应函</w:t>
      </w:r>
    </w:p>
    <w:p w14:paraId="28EB1D69">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九、</w:t>
      </w:r>
      <w:r>
        <w:rPr>
          <w:rFonts w:hint="eastAsia" w:ascii="宋体" w:hAnsi="宋体" w:eastAsia="宋体" w:cs="Times New Roman"/>
          <w:color w:val="auto"/>
          <w:sz w:val="24"/>
          <w:szCs w:val="21"/>
          <w:highlight w:val="none"/>
          <w:lang w:eastAsia="zh-CN"/>
        </w:rPr>
        <w:t>中小</w:t>
      </w:r>
      <w:r>
        <w:rPr>
          <w:rFonts w:hint="eastAsia" w:ascii="宋体" w:hAnsi="宋体" w:eastAsia="宋体" w:cs="Times New Roman"/>
          <w:color w:val="auto"/>
          <w:sz w:val="24"/>
          <w:szCs w:val="21"/>
          <w:highlight w:val="none"/>
        </w:rPr>
        <w:t>企业声明函</w:t>
      </w:r>
    </w:p>
    <w:p w14:paraId="335CDA54">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十、残疾人福利性单位声明函</w:t>
      </w:r>
    </w:p>
    <w:p w14:paraId="4C980325">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十一、磋商响应报价表</w:t>
      </w:r>
    </w:p>
    <w:p w14:paraId="148621D5">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eastAsia="zh-CN"/>
        </w:rPr>
        <w:t>十二、已标价的工程量清单</w:t>
      </w:r>
    </w:p>
    <w:p w14:paraId="41967DEA">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十</w:t>
      </w:r>
      <w:r>
        <w:rPr>
          <w:rFonts w:hint="eastAsia" w:ascii="宋体" w:hAnsi="宋体" w:eastAsia="宋体" w:cs="Times New Roman"/>
          <w:color w:val="auto"/>
          <w:sz w:val="24"/>
          <w:szCs w:val="21"/>
          <w:highlight w:val="none"/>
          <w:lang w:eastAsia="zh-CN"/>
        </w:rPr>
        <w:t>三</w:t>
      </w:r>
      <w:r>
        <w:rPr>
          <w:rFonts w:hint="eastAsia" w:ascii="宋体" w:hAnsi="宋体" w:eastAsia="宋体" w:cs="Times New Roman"/>
          <w:color w:val="auto"/>
          <w:sz w:val="24"/>
          <w:szCs w:val="21"/>
          <w:highlight w:val="none"/>
        </w:rPr>
        <w:t>、技术文件</w:t>
      </w:r>
    </w:p>
    <w:p w14:paraId="5372FF81">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i w:val="0"/>
          <w:iCs/>
          <w:color w:val="auto"/>
          <w:sz w:val="24"/>
          <w:highlight w:val="none"/>
          <w:u w:val="none"/>
          <w:lang w:eastAsia="zh-CN"/>
        </w:rPr>
        <w:t>十四、</w:t>
      </w:r>
      <w:r>
        <w:rPr>
          <w:rFonts w:hint="eastAsia" w:ascii="宋体" w:hAnsi="宋体" w:eastAsia="宋体" w:cs="Times New Roman"/>
          <w:color w:val="auto"/>
          <w:sz w:val="24"/>
          <w:szCs w:val="21"/>
          <w:highlight w:val="none"/>
        </w:rPr>
        <w:t>商务要求响应及偏离表</w:t>
      </w:r>
    </w:p>
    <w:p w14:paraId="11C69754">
      <w:pPr>
        <w:keepNext w:val="0"/>
        <w:keepLines w:val="0"/>
        <w:pageBreakBefore w:val="0"/>
        <w:widowControl w:val="0"/>
        <w:spacing w:line="360" w:lineRule="auto"/>
        <w:ind w:left="0"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十五、</w:t>
      </w:r>
      <w:r>
        <w:rPr>
          <w:rFonts w:hint="eastAsia" w:ascii="宋体" w:hAnsi="宋体" w:eastAsia="宋体" w:cs="Times New Roman"/>
          <w:i w:val="0"/>
          <w:iCs/>
          <w:color w:val="auto"/>
          <w:sz w:val="24"/>
          <w:highlight w:val="none"/>
          <w:u w:val="none"/>
        </w:rPr>
        <w:t>企业类似业绩一览表</w:t>
      </w:r>
    </w:p>
    <w:p w14:paraId="59B85B59">
      <w:pPr>
        <w:keepNext w:val="0"/>
        <w:keepLines w:val="0"/>
        <w:pageBreakBefore w:val="0"/>
        <w:widowControl w:val="0"/>
        <w:spacing w:line="360" w:lineRule="auto"/>
        <w:ind w:left="0" w:firstLine="480"/>
        <w:rPr>
          <w:rFonts w:hint="eastAsia" w:ascii="宋体" w:hAnsi="宋体" w:eastAsia="宋体" w:cs="Times New Roman"/>
          <w:i w:val="0"/>
          <w:iCs/>
          <w:color w:val="auto"/>
          <w:sz w:val="24"/>
          <w:highlight w:val="none"/>
          <w:u w:val="none"/>
        </w:rPr>
      </w:pPr>
      <w:r>
        <w:rPr>
          <w:rFonts w:hint="eastAsia" w:ascii="宋体" w:hAnsi="宋体" w:eastAsia="宋体" w:cs="Times New Roman"/>
          <w:color w:val="auto"/>
          <w:sz w:val="24"/>
          <w:szCs w:val="21"/>
          <w:highlight w:val="none"/>
        </w:rPr>
        <w:t>十</w:t>
      </w:r>
      <w:r>
        <w:rPr>
          <w:rFonts w:hint="eastAsia" w:ascii="宋体" w:hAnsi="宋体" w:eastAsia="宋体" w:cs="Times New Roman"/>
          <w:color w:val="auto"/>
          <w:sz w:val="24"/>
          <w:szCs w:val="21"/>
          <w:highlight w:val="none"/>
          <w:lang w:eastAsia="zh-CN"/>
        </w:rPr>
        <w:t>六</w:t>
      </w:r>
      <w:r>
        <w:rPr>
          <w:rFonts w:hint="eastAsia" w:ascii="宋体" w:hAnsi="宋体" w:eastAsia="宋体" w:cs="Times New Roman"/>
          <w:color w:val="auto"/>
          <w:sz w:val="24"/>
          <w:szCs w:val="21"/>
          <w:highlight w:val="none"/>
        </w:rPr>
        <w:t>、</w:t>
      </w:r>
      <w:r>
        <w:rPr>
          <w:rFonts w:hint="eastAsia" w:ascii="宋体" w:hAnsi="宋体" w:eastAsia="宋体" w:cs="Times New Roman"/>
          <w:i w:val="0"/>
          <w:iCs/>
          <w:color w:val="auto"/>
          <w:sz w:val="24"/>
          <w:highlight w:val="none"/>
          <w:u w:val="none"/>
        </w:rPr>
        <w:t>项目管理及技术人员一览表</w:t>
      </w:r>
    </w:p>
    <w:p w14:paraId="3B4C5A03">
      <w:pPr>
        <w:keepNext w:val="0"/>
        <w:keepLines w:val="0"/>
        <w:pageBreakBefore w:val="0"/>
        <w:widowControl w:val="0"/>
        <w:spacing w:line="360" w:lineRule="auto"/>
        <w:ind w:left="0" w:firstLine="480"/>
        <w:rPr>
          <w:rFonts w:ascii="宋体" w:hAnsi="宋体" w:eastAsia="宋体" w:cs="Times New Roman"/>
          <w:color w:val="auto"/>
          <w:sz w:val="24"/>
          <w:szCs w:val="21"/>
          <w:highlight w:val="none"/>
        </w:rPr>
      </w:pPr>
      <w:r>
        <w:rPr>
          <w:rFonts w:hint="eastAsia" w:ascii="宋体" w:hAnsi="宋体" w:eastAsia="宋体" w:cs="Times New Roman"/>
          <w:i w:val="0"/>
          <w:iCs/>
          <w:color w:val="auto"/>
          <w:sz w:val="24"/>
          <w:highlight w:val="none"/>
          <w:u w:val="none"/>
          <w:lang w:eastAsia="zh-CN"/>
        </w:rPr>
        <w:t>十七</w:t>
      </w:r>
      <w:r>
        <w:rPr>
          <w:rFonts w:hint="eastAsia" w:ascii="宋体" w:hAnsi="宋体" w:eastAsia="宋体" w:cs="Times New Roman"/>
          <w:color w:val="auto"/>
          <w:sz w:val="24"/>
          <w:szCs w:val="21"/>
          <w:highlight w:val="none"/>
        </w:rPr>
        <w:t>、</w:t>
      </w:r>
      <w:r>
        <w:rPr>
          <w:rFonts w:hint="eastAsia" w:ascii="宋体" w:hAnsi="宋体" w:eastAsia="宋体" w:cs="Times New Roman"/>
          <w:color w:val="auto"/>
          <w:sz w:val="24"/>
          <w:szCs w:val="21"/>
          <w:highlight w:val="none"/>
          <w:lang w:eastAsia="zh-CN"/>
        </w:rPr>
        <w:t>供应商</w:t>
      </w:r>
      <w:r>
        <w:rPr>
          <w:rFonts w:hint="eastAsia" w:ascii="宋体" w:hAnsi="宋体" w:eastAsia="宋体" w:cs="Times New Roman"/>
          <w:i w:val="0"/>
          <w:iCs/>
          <w:color w:val="auto"/>
          <w:sz w:val="24"/>
          <w:highlight w:val="none"/>
          <w:u w:val="none"/>
        </w:rPr>
        <w:t>认为需要提供的其他材料</w:t>
      </w:r>
    </w:p>
    <w:p w14:paraId="6D444A57">
      <w:pPr>
        <w:keepNext w:val="0"/>
        <w:keepLines w:val="0"/>
        <w:pageBreakBefore w:val="0"/>
        <w:widowControl w:val="0"/>
        <w:spacing w:line="360" w:lineRule="auto"/>
        <w:ind w:left="0" w:firstLine="480"/>
        <w:rPr>
          <w:rFonts w:hint="eastAsia" w:ascii="宋体" w:hAnsi="宋体" w:eastAsia="宋体" w:cs="Times New Roman"/>
          <w:i w:val="0"/>
          <w:iCs/>
          <w:color w:val="auto"/>
          <w:sz w:val="24"/>
          <w:highlight w:val="none"/>
          <w:u w:val="none"/>
          <w:lang w:eastAsia="zh-CN"/>
        </w:rPr>
      </w:pPr>
      <w:r>
        <w:rPr>
          <w:rFonts w:hint="eastAsia" w:ascii="宋体" w:hAnsi="宋体" w:eastAsia="宋体" w:cs="Times New Roman"/>
          <w:i w:val="0"/>
          <w:iCs/>
          <w:color w:val="auto"/>
          <w:sz w:val="24"/>
          <w:highlight w:val="none"/>
          <w:u w:val="none"/>
          <w:lang w:eastAsia="zh-CN"/>
        </w:rPr>
        <w:t>十八、投标人承诺书</w:t>
      </w:r>
    </w:p>
    <w:p w14:paraId="22EDF0F1">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br w:type="page" w:clear="all"/>
      </w:r>
    </w:p>
    <w:p w14:paraId="2BB47E1E">
      <w:pPr>
        <w:rPr>
          <w:rFonts w:hint="eastAsia" w:ascii="黑体" w:hAnsi="黑体" w:eastAsia="黑体" w:cs="Times New Roman"/>
          <w:i/>
          <w:color w:val="auto"/>
          <w:sz w:val="32"/>
          <w:szCs w:val="32"/>
          <w:highlight w:val="none"/>
          <w:u w:val="single"/>
        </w:rPr>
      </w:pPr>
      <w:r>
        <w:rPr>
          <w:rFonts w:hint="eastAsia" w:ascii="黑体" w:hAnsi="黑体" w:eastAsia="黑体" w:cs="Times New Roman"/>
          <w:i/>
          <w:color w:val="auto"/>
          <w:sz w:val="32"/>
          <w:szCs w:val="32"/>
          <w:highlight w:val="none"/>
          <w:u w:val="single"/>
        </w:rPr>
        <w:t>一、法人或者其他组织的营业执照等证明文件，自然人的身份证明</w:t>
      </w:r>
    </w:p>
    <w:p w14:paraId="335A2BAC">
      <w:pPr>
        <w:spacing w:line="440" w:lineRule="exact"/>
        <w:ind w:firstLine="480"/>
        <w:rPr>
          <w:rFonts w:ascii="宋体" w:hAnsi="宋体" w:eastAsia="宋体" w:cs="Times New Roman"/>
          <w:color w:val="auto"/>
          <w:sz w:val="24"/>
          <w:szCs w:val="21"/>
          <w:highlight w:val="none"/>
        </w:rPr>
      </w:pPr>
    </w:p>
    <w:p w14:paraId="330204DF">
      <w:pPr>
        <w:rPr>
          <w:rFonts w:hint="eastAsia" w:ascii="黑体" w:hAnsi="黑体" w:eastAsia="黑体" w:cs="Times New Roman"/>
          <w:i/>
          <w:color w:val="auto"/>
          <w:sz w:val="32"/>
          <w:szCs w:val="32"/>
          <w:highlight w:val="none"/>
          <w:u w:val="single"/>
        </w:rPr>
      </w:pPr>
    </w:p>
    <w:p w14:paraId="63F6D67E">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color w:val="auto"/>
          <w:sz w:val="32"/>
          <w:szCs w:val="32"/>
          <w:highlight w:val="none"/>
          <w:u w:val="single"/>
        </w:rPr>
        <w:br w:type="page" w:clear="all"/>
      </w:r>
      <w:r>
        <w:rPr>
          <w:rFonts w:hint="eastAsia" w:ascii="黑体" w:hAnsi="黑体" w:eastAsia="黑体" w:cs="Times New Roman"/>
          <w:i w:val="0"/>
          <w:iCs/>
          <w:color w:val="auto"/>
          <w:sz w:val="30"/>
          <w:szCs w:val="30"/>
          <w:highlight w:val="none"/>
          <w:u w:val="single"/>
        </w:rPr>
        <w:t>二、具有良好的商业信誉和健全的财务会计制度</w:t>
      </w:r>
    </w:p>
    <w:p w14:paraId="1F3835F4">
      <w:pPr>
        <w:keepNext w:val="0"/>
        <w:keepLines w:val="0"/>
        <w:widowControl/>
        <w:suppressLineNumbers w:val="0"/>
        <w:jc w:val="center"/>
        <w:rPr>
          <w:rFonts w:hint="eastAsia" w:ascii="宋体" w:hAnsi="宋体" w:eastAsia="宋体" w:cs="宋体"/>
          <w:b/>
          <w:bCs/>
          <w:color w:val="auto"/>
          <w:sz w:val="24"/>
          <w:szCs w:val="24"/>
          <w:highlight w:val="none"/>
          <w:lang w:val="en-US" w:eastAsia="zh-CN" w:bidi="ar"/>
        </w:rPr>
      </w:pPr>
    </w:p>
    <w:p w14:paraId="0F7C83AD">
      <w:pPr>
        <w:keepNext w:val="0"/>
        <w:keepLines w:val="0"/>
        <w:pageBreakBefore w:val="0"/>
        <w:widowControl/>
        <w:suppressLineNumbers w:val="0"/>
        <w:spacing w:line="360" w:lineRule="auto"/>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财务状况报告及税收、社会保障资金</w:t>
      </w:r>
    </w:p>
    <w:p w14:paraId="3D3674C7">
      <w:pPr>
        <w:keepNext w:val="0"/>
        <w:keepLines w:val="0"/>
        <w:pageBreakBefore w:val="0"/>
        <w:widowControl/>
        <w:suppressLineNumbers w:val="0"/>
        <w:spacing w:line="360" w:lineRule="auto"/>
        <w:jc w:val="center"/>
        <w:rPr>
          <w:rFonts w:hint="eastAsia" w:ascii="宋体" w:hAnsi="宋体" w:eastAsia="宋体" w:cs="宋体"/>
          <w:color w:val="auto"/>
          <w:sz w:val="21"/>
          <w:szCs w:val="21"/>
          <w:highlight w:val="none"/>
          <w:u w:val="single"/>
          <w:lang w:val="en-US" w:eastAsia="zh-CN" w:bidi="ar"/>
        </w:rPr>
      </w:pPr>
      <w:r>
        <w:rPr>
          <w:rFonts w:hint="eastAsia" w:ascii="宋体" w:hAnsi="宋体" w:eastAsia="宋体" w:cs="宋体"/>
          <w:b/>
          <w:bCs/>
          <w:color w:val="auto"/>
          <w:sz w:val="24"/>
          <w:szCs w:val="24"/>
          <w:highlight w:val="none"/>
          <w:lang w:val="en-US" w:eastAsia="zh-CN" w:bidi="ar"/>
        </w:rPr>
        <w:t>缴纳情况承诺函</w:t>
      </w:r>
    </w:p>
    <w:p w14:paraId="5194B69A">
      <w:pPr>
        <w:keepNext w:val="0"/>
        <w:keepLines w:val="0"/>
        <w:pageBreakBefore w:val="0"/>
        <w:widowControl/>
        <w:suppressLineNumbers w:val="0"/>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u w:val="single"/>
          <w:lang w:val="en-US" w:eastAsia="zh-CN" w:bidi="ar"/>
        </w:rPr>
        <w:t>致：采购人名称</w:t>
      </w:r>
      <w:r>
        <w:rPr>
          <w:rFonts w:hint="eastAsia" w:ascii="宋体" w:hAnsi="宋体" w:eastAsia="宋体" w:cs="宋体"/>
          <w:color w:val="auto"/>
          <w:sz w:val="24"/>
          <w:szCs w:val="24"/>
          <w:highlight w:val="none"/>
          <w:lang w:val="en-US" w:eastAsia="zh-CN" w:bidi="ar"/>
        </w:rPr>
        <w:t xml:space="preserve"> </w:t>
      </w:r>
    </w:p>
    <w:p w14:paraId="44AB94B2">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我方</w:t>
      </w:r>
      <w:r>
        <w:rPr>
          <w:rFonts w:hint="eastAsia" w:ascii="宋体" w:hAnsi="宋体" w:eastAsia="宋体" w:cs="宋体"/>
          <w:color w:val="auto"/>
          <w:sz w:val="24"/>
          <w:szCs w:val="24"/>
          <w:highlight w:val="none"/>
          <w:u w:val="single"/>
          <w:lang w:val="en-US" w:eastAsia="zh-CN" w:bidi="ar"/>
        </w:rPr>
        <w:t>供应商名称</w:t>
      </w:r>
      <w:r>
        <w:rPr>
          <w:rFonts w:hint="eastAsia" w:ascii="宋体" w:hAnsi="宋体" w:eastAsia="宋体" w:cs="宋体"/>
          <w:color w:val="auto"/>
          <w:sz w:val="24"/>
          <w:szCs w:val="24"/>
          <w:highlight w:val="none"/>
          <w:lang w:val="en-US" w:eastAsia="zh-CN" w:bidi="ar"/>
        </w:rPr>
        <w:t>参加</w:t>
      </w:r>
      <w:r>
        <w:rPr>
          <w:rFonts w:hint="eastAsia" w:ascii="宋体" w:hAnsi="宋体" w:eastAsia="宋体" w:cs="宋体"/>
          <w:color w:val="auto"/>
          <w:sz w:val="24"/>
          <w:szCs w:val="24"/>
          <w:highlight w:val="none"/>
          <w:u w:val="single"/>
          <w:lang w:val="en-US" w:eastAsia="zh-CN" w:bidi="ar"/>
        </w:rPr>
        <w:t>项目名称</w:t>
      </w:r>
      <w:r>
        <w:rPr>
          <w:rFonts w:hint="eastAsia" w:ascii="宋体" w:hAnsi="宋体" w:eastAsia="宋体" w:cs="宋体"/>
          <w:color w:val="auto"/>
          <w:sz w:val="24"/>
          <w:szCs w:val="24"/>
          <w:highlight w:val="none"/>
          <w:lang w:val="en-US" w:eastAsia="zh-CN" w:bidi="ar"/>
        </w:rPr>
        <w:t>（项目编号：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p>
    <w:p w14:paraId="2B52B082">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（1）具有良好的商业信誉和健全的财务会计制度（财务状况报告）； </w:t>
      </w:r>
    </w:p>
    <w:p w14:paraId="71A2128C">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（2）有依法缴纳税收和社会保障资金的良好记录。 </w:t>
      </w:r>
    </w:p>
    <w:p w14:paraId="5DB6720F">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p>
    <w:p w14:paraId="065C34B9">
      <w:pPr>
        <w:keepNext w:val="0"/>
        <w:keepLines w:val="0"/>
        <w:pageBreakBefore w:val="0"/>
        <w:widowControl/>
        <w:suppressLineNumbers w:val="0"/>
        <w:spacing w:line="360" w:lineRule="auto"/>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特此承诺</w:t>
      </w:r>
    </w:p>
    <w:p w14:paraId="271F98CD">
      <w:pPr>
        <w:keepNext w:val="0"/>
        <w:keepLines w:val="0"/>
        <w:pageBreakBefore w:val="0"/>
        <w:widowControl w:val="0"/>
        <w:spacing w:line="360" w:lineRule="auto"/>
        <w:rPr>
          <w:rFonts w:hint="eastAsia" w:ascii="宋体" w:hAnsi="宋体" w:eastAsia="宋体" w:cs="宋体"/>
          <w:color w:val="auto"/>
          <w:sz w:val="24"/>
          <w:szCs w:val="24"/>
          <w:highlight w:val="none"/>
          <w:lang w:val="en-US" w:eastAsia="zh-CN" w:bidi="ar"/>
        </w:rPr>
      </w:pPr>
    </w:p>
    <w:p w14:paraId="60487DFE">
      <w:pPr>
        <w:keepNext w:val="0"/>
        <w:keepLines w:val="0"/>
        <w:pageBreakBefore w:val="0"/>
        <w:widowControl w:val="0"/>
        <w:spacing w:line="360" w:lineRule="auto"/>
        <w:jc w:val="right"/>
        <w:rPr>
          <w:rFonts w:hint="eastAsia" w:ascii="宋体" w:hAnsi="宋体" w:eastAsia="宋体" w:cs="宋体"/>
          <w:color w:val="auto"/>
          <w:sz w:val="24"/>
          <w:szCs w:val="24"/>
          <w:highlight w:val="none"/>
          <w:lang w:val="en-US" w:eastAsia="zh-CN" w:bidi="ar"/>
        </w:rPr>
      </w:pPr>
    </w:p>
    <w:p w14:paraId="0BCC6DBB">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供应商（公章）： </w:t>
      </w:r>
    </w:p>
    <w:p w14:paraId="34C6ED57">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法定代表人或其委托代理人（签字或盖章）： </w:t>
      </w:r>
    </w:p>
    <w:p w14:paraId="7834B890">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日期：</w:t>
      </w:r>
    </w:p>
    <w:p w14:paraId="4440D3A8">
      <w:pPr>
        <w:spacing w:line="440" w:lineRule="exact"/>
        <w:rPr>
          <w:rFonts w:ascii="宋体" w:hAnsi="宋体" w:eastAsia="宋体" w:cs="Times New Roman"/>
          <w:bCs/>
          <w:i w:val="0"/>
          <w:iCs/>
          <w:color w:val="auto"/>
          <w:sz w:val="24"/>
          <w:highlight w:val="none"/>
        </w:rPr>
      </w:pPr>
    </w:p>
    <w:p w14:paraId="05C76C60">
      <w:pPr>
        <w:rPr>
          <w:rFonts w:hint="eastAsia" w:ascii="黑体" w:hAnsi="黑体" w:eastAsia="黑体" w:cs="Times New Roman"/>
          <w:i w:val="0"/>
          <w:iCs/>
          <w:color w:val="auto"/>
          <w:sz w:val="32"/>
          <w:szCs w:val="32"/>
          <w:highlight w:val="none"/>
          <w:u w:val="single"/>
        </w:rPr>
      </w:pPr>
    </w:p>
    <w:p w14:paraId="79320A89">
      <w:pPr>
        <w:rPr>
          <w:rFonts w:hint="eastAsia" w:ascii="黑体" w:hAnsi="黑体" w:eastAsia="黑体" w:cs="Times New Roman"/>
          <w:i w:val="0"/>
          <w:iCs/>
          <w:color w:val="auto"/>
          <w:sz w:val="30"/>
          <w:szCs w:val="30"/>
          <w:highlight w:val="none"/>
          <w:u w:val="single"/>
        </w:rPr>
      </w:pPr>
    </w:p>
    <w:p w14:paraId="6247CF3D">
      <w:pPr>
        <w:rPr>
          <w:rFonts w:hint="eastAsia" w:ascii="黑体" w:hAnsi="黑体" w:eastAsia="黑体" w:cs="Times New Roman"/>
          <w:i w:val="0"/>
          <w:iCs/>
          <w:color w:val="auto"/>
          <w:sz w:val="30"/>
          <w:szCs w:val="30"/>
          <w:highlight w:val="none"/>
          <w:u w:val="single"/>
        </w:rPr>
      </w:pPr>
    </w:p>
    <w:p w14:paraId="7FC97E66">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p>
    <w:p w14:paraId="3C49EED3">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t>三、依法缴纳税收和社会保障资金的相关材料</w:t>
      </w:r>
    </w:p>
    <w:p w14:paraId="0C6BCFD0">
      <w:pPr>
        <w:keepNext w:val="0"/>
        <w:keepLines w:val="0"/>
        <w:widowControl/>
        <w:suppressLineNumbers w:val="0"/>
        <w:jc w:val="center"/>
        <w:rPr>
          <w:rFonts w:hint="eastAsia" w:ascii="宋体" w:hAnsi="宋体" w:eastAsia="宋体" w:cs="宋体"/>
          <w:b/>
          <w:bCs/>
          <w:color w:val="auto"/>
          <w:sz w:val="24"/>
          <w:szCs w:val="24"/>
          <w:highlight w:val="none"/>
          <w:lang w:val="en-US" w:eastAsia="zh-CN" w:bidi="ar"/>
        </w:rPr>
      </w:pPr>
    </w:p>
    <w:p w14:paraId="4800149B">
      <w:pPr>
        <w:keepNext w:val="0"/>
        <w:keepLines w:val="0"/>
        <w:pageBreakBefore w:val="0"/>
        <w:widowControl/>
        <w:suppressLineNumbers w:val="0"/>
        <w:spacing w:line="360" w:lineRule="auto"/>
        <w:jc w:val="center"/>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财务状况报告及税收、社会保障资金</w:t>
      </w:r>
    </w:p>
    <w:p w14:paraId="49E11EFB">
      <w:pPr>
        <w:keepNext w:val="0"/>
        <w:keepLines w:val="0"/>
        <w:pageBreakBefore w:val="0"/>
        <w:widowControl/>
        <w:suppressLineNumbers w:val="0"/>
        <w:spacing w:line="360" w:lineRule="auto"/>
        <w:jc w:val="center"/>
        <w:rPr>
          <w:rFonts w:hint="eastAsia" w:ascii="宋体" w:hAnsi="宋体" w:eastAsia="宋体" w:cs="宋体"/>
          <w:color w:val="auto"/>
          <w:sz w:val="21"/>
          <w:szCs w:val="21"/>
          <w:highlight w:val="none"/>
          <w:u w:val="single"/>
          <w:lang w:val="en-US" w:eastAsia="zh-CN" w:bidi="ar"/>
        </w:rPr>
      </w:pPr>
      <w:r>
        <w:rPr>
          <w:rFonts w:hint="eastAsia" w:ascii="宋体" w:hAnsi="宋体" w:eastAsia="宋体" w:cs="宋体"/>
          <w:b/>
          <w:bCs/>
          <w:color w:val="auto"/>
          <w:sz w:val="24"/>
          <w:szCs w:val="24"/>
          <w:highlight w:val="none"/>
          <w:lang w:val="en-US" w:eastAsia="zh-CN" w:bidi="ar"/>
        </w:rPr>
        <w:t>缴纳情况承诺函</w:t>
      </w:r>
    </w:p>
    <w:p w14:paraId="739F36E8">
      <w:pPr>
        <w:keepNext w:val="0"/>
        <w:keepLines w:val="0"/>
        <w:pageBreakBefore w:val="0"/>
        <w:widowControl/>
        <w:suppressLineNumbers w:val="0"/>
        <w:spacing w:line="360" w:lineRule="auto"/>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u w:val="single"/>
          <w:lang w:val="en-US" w:eastAsia="zh-CN" w:bidi="ar"/>
        </w:rPr>
        <w:t>致：采购人名称</w:t>
      </w:r>
      <w:r>
        <w:rPr>
          <w:rFonts w:hint="eastAsia" w:ascii="宋体" w:hAnsi="宋体" w:eastAsia="宋体" w:cs="宋体"/>
          <w:color w:val="auto"/>
          <w:sz w:val="24"/>
          <w:szCs w:val="24"/>
          <w:highlight w:val="none"/>
          <w:lang w:val="en-US" w:eastAsia="zh-CN" w:bidi="ar"/>
        </w:rPr>
        <w:t xml:space="preserve"> </w:t>
      </w:r>
    </w:p>
    <w:p w14:paraId="17D56A75">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我方</w:t>
      </w:r>
      <w:r>
        <w:rPr>
          <w:rFonts w:hint="eastAsia" w:ascii="宋体" w:hAnsi="宋体" w:eastAsia="宋体" w:cs="宋体"/>
          <w:color w:val="auto"/>
          <w:sz w:val="24"/>
          <w:szCs w:val="24"/>
          <w:highlight w:val="none"/>
          <w:u w:val="single"/>
          <w:lang w:val="en-US" w:eastAsia="zh-CN" w:bidi="ar"/>
        </w:rPr>
        <w:t>供应商名称</w:t>
      </w:r>
      <w:r>
        <w:rPr>
          <w:rFonts w:hint="eastAsia" w:ascii="宋体" w:hAnsi="宋体" w:eastAsia="宋体" w:cs="宋体"/>
          <w:color w:val="auto"/>
          <w:sz w:val="24"/>
          <w:szCs w:val="24"/>
          <w:highlight w:val="none"/>
          <w:lang w:val="en-US" w:eastAsia="zh-CN" w:bidi="ar"/>
        </w:rPr>
        <w:t>参加</w:t>
      </w:r>
      <w:r>
        <w:rPr>
          <w:rFonts w:hint="eastAsia" w:ascii="宋体" w:hAnsi="宋体" w:eastAsia="宋体" w:cs="宋体"/>
          <w:color w:val="auto"/>
          <w:sz w:val="24"/>
          <w:szCs w:val="24"/>
          <w:highlight w:val="none"/>
          <w:u w:val="single"/>
          <w:lang w:val="en-US" w:eastAsia="zh-CN" w:bidi="ar"/>
        </w:rPr>
        <w:t>项目名称</w:t>
      </w:r>
      <w:r>
        <w:rPr>
          <w:rFonts w:hint="eastAsia" w:ascii="宋体" w:hAnsi="宋体" w:eastAsia="宋体" w:cs="宋体"/>
          <w:color w:val="auto"/>
          <w:sz w:val="24"/>
          <w:szCs w:val="24"/>
          <w:highlight w:val="none"/>
          <w:lang w:val="en-US" w:eastAsia="zh-CN" w:bidi="ar"/>
        </w:rPr>
        <w:t>（项目编号：</w:t>
      </w:r>
      <w:r>
        <w:rPr>
          <w:rFonts w:hint="eastAsia" w:ascii="宋体" w:hAnsi="宋体" w:eastAsia="宋体" w:cs="宋体"/>
          <w:color w:val="auto"/>
          <w:sz w:val="24"/>
          <w:szCs w:val="24"/>
          <w:highlight w:val="none"/>
          <w:u w:val="single"/>
          <w:lang w:val="en-US" w:eastAsia="zh-CN" w:bidi="ar"/>
        </w:rPr>
        <w:t xml:space="preserve">         </w:t>
      </w:r>
      <w:r>
        <w:rPr>
          <w:rFonts w:hint="eastAsia" w:ascii="宋体" w:hAnsi="宋体" w:eastAsia="宋体" w:cs="宋体"/>
          <w:color w:val="auto"/>
          <w:sz w:val="24"/>
          <w:szCs w:val="24"/>
          <w:highlight w:val="none"/>
          <w:lang w:val="en-US" w:eastAsia="zh-CN" w:bidi="ar"/>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 </w:t>
      </w:r>
    </w:p>
    <w:p w14:paraId="27C41779">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（1）具有良好的商业信誉和健全的财务会计制度（财务状况报告）； </w:t>
      </w:r>
    </w:p>
    <w:p w14:paraId="732C38AF">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（2）有依法缴纳税收和社会保障资金的良好记录。 </w:t>
      </w:r>
    </w:p>
    <w:p w14:paraId="02B85AEA">
      <w:pPr>
        <w:keepNext w:val="0"/>
        <w:keepLines w:val="0"/>
        <w:pageBreakBefore w:val="0"/>
        <w:widowControl/>
        <w:suppressLineNumbers w:val="0"/>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我方对上述承诺的真实性负责，如有虚假，将依法承担提供虚假材料谋取中标、成交责任，同时同意有关主管部门将相关失信信息记入公共信用信息系统并在相关政府门户网站公开。 </w:t>
      </w:r>
    </w:p>
    <w:p w14:paraId="3D30DE43">
      <w:pPr>
        <w:keepNext w:val="0"/>
        <w:keepLines w:val="0"/>
        <w:pageBreakBefore w:val="0"/>
        <w:widowControl/>
        <w:suppressLineNumbers w:val="0"/>
        <w:spacing w:line="360" w:lineRule="auto"/>
        <w:ind w:firstLine="480"/>
        <w:jc w:val="left"/>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特此承诺</w:t>
      </w:r>
    </w:p>
    <w:p w14:paraId="34961225">
      <w:pPr>
        <w:keepNext w:val="0"/>
        <w:keepLines w:val="0"/>
        <w:pageBreakBefore w:val="0"/>
        <w:widowControl w:val="0"/>
        <w:spacing w:line="360" w:lineRule="auto"/>
        <w:rPr>
          <w:rFonts w:hint="eastAsia" w:ascii="宋体" w:hAnsi="宋体" w:eastAsia="宋体" w:cs="宋体"/>
          <w:color w:val="auto"/>
          <w:sz w:val="24"/>
          <w:szCs w:val="24"/>
          <w:highlight w:val="none"/>
          <w:lang w:val="en-US" w:eastAsia="zh-CN" w:bidi="ar"/>
        </w:rPr>
      </w:pPr>
    </w:p>
    <w:p w14:paraId="25929D1D">
      <w:pPr>
        <w:keepNext w:val="0"/>
        <w:keepLines w:val="0"/>
        <w:pageBreakBefore w:val="0"/>
        <w:widowControl w:val="0"/>
        <w:spacing w:line="360" w:lineRule="auto"/>
        <w:jc w:val="right"/>
        <w:rPr>
          <w:rFonts w:hint="eastAsia" w:ascii="宋体" w:hAnsi="宋体" w:eastAsia="宋体" w:cs="宋体"/>
          <w:color w:val="auto"/>
          <w:sz w:val="24"/>
          <w:szCs w:val="24"/>
          <w:highlight w:val="none"/>
          <w:lang w:val="en-US" w:eastAsia="zh-CN" w:bidi="ar"/>
        </w:rPr>
      </w:pPr>
    </w:p>
    <w:p w14:paraId="347B685C">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供应商（公章）： </w:t>
      </w:r>
    </w:p>
    <w:p w14:paraId="1FFDC61B">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 xml:space="preserve">法定代表人或其委托代理人（签字或盖章）： </w:t>
      </w:r>
    </w:p>
    <w:p w14:paraId="6827D84D">
      <w:pPr>
        <w:keepNext w:val="0"/>
        <w:keepLines w:val="0"/>
        <w:pageBreakBefore w:val="0"/>
        <w:widowControl/>
        <w:suppressLineNumbers w:val="0"/>
        <w:spacing w:line="360" w:lineRule="auto"/>
        <w:jc w:val="right"/>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lang w:val="en-US" w:eastAsia="zh-CN" w:bidi="ar"/>
        </w:rPr>
        <w:t>日期：</w:t>
      </w:r>
    </w:p>
    <w:p w14:paraId="49CCA7BA">
      <w:pPr>
        <w:rPr>
          <w:rFonts w:hint="eastAsia" w:ascii="黑体" w:hAnsi="黑体" w:eastAsia="黑体" w:cs="Times New Roman"/>
          <w:i w:val="0"/>
          <w:iCs/>
          <w:color w:val="auto"/>
          <w:sz w:val="32"/>
          <w:szCs w:val="32"/>
          <w:highlight w:val="none"/>
          <w:u w:val="single"/>
        </w:rPr>
      </w:pPr>
    </w:p>
    <w:p w14:paraId="68943848">
      <w:pPr>
        <w:rPr>
          <w:rFonts w:hint="eastAsia" w:ascii="黑体" w:hAnsi="黑体" w:eastAsia="黑体" w:cs="Times New Roman"/>
          <w:i w:val="0"/>
          <w:iCs/>
          <w:color w:val="auto"/>
          <w:sz w:val="32"/>
          <w:szCs w:val="32"/>
          <w:highlight w:val="none"/>
          <w:u w:val="single"/>
        </w:rPr>
      </w:pPr>
    </w:p>
    <w:p w14:paraId="5614C2B4">
      <w:pPr>
        <w:rPr>
          <w:rFonts w:hint="eastAsia" w:ascii="黑体" w:hAnsi="黑体" w:eastAsia="黑体" w:cs="Times New Roman"/>
          <w:i w:val="0"/>
          <w:iCs/>
          <w:color w:val="auto"/>
          <w:sz w:val="30"/>
          <w:szCs w:val="30"/>
          <w:highlight w:val="none"/>
          <w:u w:val="single"/>
        </w:rPr>
      </w:pPr>
    </w:p>
    <w:p w14:paraId="1FFE4930">
      <w:pPr>
        <w:rPr>
          <w:rFonts w:hint="eastAsia" w:ascii="黑体" w:hAnsi="黑体" w:eastAsia="黑体" w:cs="Times New Roman"/>
          <w:i w:val="0"/>
          <w:iCs/>
          <w:color w:val="auto"/>
          <w:sz w:val="30"/>
          <w:szCs w:val="30"/>
          <w:highlight w:val="none"/>
          <w:u w:val="single"/>
        </w:rPr>
      </w:pPr>
    </w:p>
    <w:p w14:paraId="63FE4EC6">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p>
    <w:p w14:paraId="4237EDF3">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t>四、具备履行合同所必需的设备和专业技术能力的证明材料</w:t>
      </w:r>
    </w:p>
    <w:p w14:paraId="0AD75032">
      <w:pPr>
        <w:spacing w:line="460" w:lineRule="exact"/>
        <w:ind w:firstLine="492"/>
        <w:rPr>
          <w:rFonts w:hint="eastAsia" w:ascii="宋体" w:hAnsi="宋体" w:eastAsia="宋体" w:cs="Times New Roman"/>
          <w:bCs/>
          <w:i w:val="0"/>
          <w:iCs/>
          <w:color w:val="auto"/>
          <w:sz w:val="24"/>
          <w:szCs w:val="24"/>
          <w:highlight w:val="none"/>
        </w:rPr>
      </w:pPr>
    </w:p>
    <w:p w14:paraId="3ED21BA9">
      <w:pPr>
        <w:keepNext w:val="0"/>
        <w:keepLines w:val="0"/>
        <w:pageBreakBefore w:val="0"/>
        <w:spacing w:line="360" w:lineRule="auto"/>
        <w:ind w:firstLine="492"/>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具备履行合同所必需的设备和专业技术能力的证明材料</w:t>
      </w:r>
    </w:p>
    <w:p w14:paraId="34C7F238">
      <w:pPr>
        <w:keepNext w:val="0"/>
        <w:keepLines w:val="0"/>
        <w:pageBreakBefore w:val="0"/>
        <w:spacing w:line="360" w:lineRule="auto"/>
        <w:ind w:firstLine="492"/>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我单位郑重声明：我单位具备履行本项采购合同所必需的设备和专业技术能力，为履行本项采购合同我公司具备如下主要设备和主要专业技术能力：</w:t>
      </w:r>
    </w:p>
    <w:p w14:paraId="3E00A064">
      <w:pPr>
        <w:keepNext w:val="0"/>
        <w:keepLines w:val="0"/>
        <w:pageBreakBefore w:val="0"/>
        <w:spacing w:line="360" w:lineRule="auto"/>
        <w:ind w:firstLine="492"/>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主要设备有：</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u w:val="single"/>
          <w:lang w:val="en-US" w:eastAsia="zh-CN"/>
        </w:rPr>
        <w:t xml:space="preserve">   </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rPr>
        <w:t>。</w:t>
      </w:r>
    </w:p>
    <w:p w14:paraId="107502AD">
      <w:pPr>
        <w:keepNext w:val="0"/>
        <w:keepLines w:val="0"/>
        <w:pageBreakBefore w:val="0"/>
        <w:spacing w:line="360" w:lineRule="auto"/>
        <w:ind w:firstLine="492"/>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主要专业技术能力有：</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u w:val="single"/>
          <w:lang w:val="en-US" w:eastAsia="zh-CN"/>
        </w:rPr>
        <w:t xml:space="preserve">  </w:t>
      </w:r>
      <w:r>
        <w:rPr>
          <w:rFonts w:hint="eastAsia" w:ascii="宋体" w:hAnsi="宋体" w:eastAsia="宋体" w:cs="Times New Roman"/>
          <w:bCs/>
          <w:i w:val="0"/>
          <w:iCs/>
          <w:color w:val="auto"/>
          <w:sz w:val="24"/>
          <w:szCs w:val="24"/>
          <w:highlight w:val="none"/>
          <w:u w:val="single"/>
        </w:rPr>
        <w:t xml:space="preserve"> </w:t>
      </w:r>
      <w:r>
        <w:rPr>
          <w:rFonts w:hint="eastAsia" w:ascii="宋体" w:hAnsi="宋体" w:eastAsia="宋体" w:cs="Times New Roman"/>
          <w:bCs/>
          <w:i w:val="0"/>
          <w:iCs/>
          <w:color w:val="auto"/>
          <w:sz w:val="24"/>
          <w:szCs w:val="24"/>
          <w:highlight w:val="none"/>
        </w:rPr>
        <w:t>。</w:t>
      </w:r>
    </w:p>
    <w:p w14:paraId="128E5D88">
      <w:pPr>
        <w:keepNext w:val="0"/>
        <w:keepLines w:val="0"/>
        <w:pageBreakBefore w:val="0"/>
        <w:spacing w:line="360" w:lineRule="auto"/>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   </w:t>
      </w:r>
    </w:p>
    <w:p w14:paraId="0F98B3B5">
      <w:pPr>
        <w:keepNext w:val="0"/>
        <w:keepLines w:val="0"/>
        <w:pageBreakBefore w:val="0"/>
        <w:spacing w:line="360" w:lineRule="auto"/>
        <w:ind w:firstLine="480"/>
        <w:rPr>
          <w:rFonts w:hint="eastAsia" w:ascii="宋体" w:hAnsi="宋体" w:eastAsia="宋体" w:cs="Times New Roman"/>
          <w:bCs/>
          <w:i w:val="0"/>
          <w:iCs/>
          <w:color w:val="auto"/>
          <w:sz w:val="24"/>
          <w:szCs w:val="24"/>
          <w:highlight w:val="none"/>
          <w:lang w:eastAsia="zh-CN"/>
        </w:rPr>
      </w:pPr>
      <w:r>
        <w:rPr>
          <w:rFonts w:hint="eastAsia" w:ascii="宋体" w:hAnsi="宋体" w:eastAsia="宋体" w:cs="Times New Roman"/>
          <w:bCs/>
          <w:i w:val="0"/>
          <w:iCs/>
          <w:color w:val="auto"/>
          <w:sz w:val="24"/>
          <w:szCs w:val="24"/>
          <w:highlight w:val="none"/>
          <w:lang w:eastAsia="zh-CN"/>
        </w:rPr>
        <w:t>须附证明材料：</w:t>
      </w:r>
    </w:p>
    <w:p w14:paraId="222A4AEC">
      <w:pPr>
        <w:keepNext w:val="0"/>
        <w:keepLines w:val="0"/>
        <w:pageBreakBefore w:val="0"/>
        <w:spacing w:line="360" w:lineRule="auto"/>
        <w:ind w:firstLine="480"/>
        <w:rPr>
          <w:rFonts w:hint="eastAsia" w:ascii="宋体" w:hAnsi="宋体" w:eastAsia="宋体" w:cs="Times New Roman"/>
          <w:bCs/>
          <w:i w:val="0"/>
          <w:iCs/>
          <w:color w:val="auto"/>
          <w:sz w:val="24"/>
          <w:szCs w:val="24"/>
          <w:highlight w:val="none"/>
        </w:rPr>
      </w:pPr>
    </w:p>
    <w:p w14:paraId="30AD3556">
      <w:pPr>
        <w:keepNext w:val="0"/>
        <w:keepLines w:val="0"/>
        <w:pageBreakBefore w:val="0"/>
        <w:spacing w:line="360" w:lineRule="auto"/>
        <w:ind w:firstLine="480"/>
        <w:rPr>
          <w:rFonts w:hint="eastAsia" w:ascii="宋体" w:hAnsi="宋体" w:eastAsia="宋体" w:cs="Times New Roman"/>
          <w:bCs/>
          <w:i w:val="0"/>
          <w:iCs/>
          <w:color w:val="auto"/>
          <w:sz w:val="24"/>
          <w:szCs w:val="24"/>
          <w:highlight w:val="none"/>
        </w:rPr>
      </w:pPr>
      <w:r>
        <w:rPr>
          <w:rFonts w:hint="eastAsia" w:ascii="宋体" w:hAnsi="宋体" w:eastAsia="宋体" w:cs="Times New Roman"/>
          <w:bCs/>
          <w:i w:val="0"/>
          <w:iCs/>
          <w:color w:val="auto"/>
          <w:sz w:val="24"/>
          <w:szCs w:val="24"/>
          <w:highlight w:val="none"/>
        </w:rPr>
        <w:t xml:space="preserve">                          </w:t>
      </w:r>
    </w:p>
    <w:p w14:paraId="709BE4E7">
      <w:pPr>
        <w:keepNext w:val="0"/>
        <w:keepLines w:val="0"/>
        <w:pageBreakBefore w:val="0"/>
        <w:widowControl/>
        <w:spacing w:line="360" w:lineRule="auto"/>
        <w:ind w:firstLine="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：（单位全称）</w:t>
      </w:r>
    </w:p>
    <w:p w14:paraId="35C2F995">
      <w:pPr>
        <w:keepNext w:val="0"/>
        <w:keepLines w:val="0"/>
        <w:pageBreakBefore w:val="0"/>
        <w:widowControl/>
        <w:spacing w:line="360" w:lineRule="auto"/>
        <w:ind w:firstLine="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val="en-US" w:eastAsia="zh-CN"/>
        </w:rPr>
        <w:t>签字或</w:t>
      </w:r>
      <w:r>
        <w:rPr>
          <w:rFonts w:hint="eastAsia" w:ascii="宋体" w:hAnsi="宋体" w:eastAsia="宋体" w:cs="宋体"/>
          <w:color w:val="auto"/>
          <w:sz w:val="24"/>
          <w:szCs w:val="24"/>
          <w:highlight w:val="none"/>
          <w:lang w:val="en-US" w:eastAsia="zh-CN" w:bidi="ar"/>
        </w:rPr>
        <w:t>盖章</w:t>
      </w:r>
      <w:r>
        <w:rPr>
          <w:rFonts w:hint="eastAsia" w:ascii="宋体" w:hAnsi="宋体" w:eastAsia="宋体" w:cs="宋体"/>
          <w:color w:val="auto"/>
          <w:sz w:val="24"/>
          <w:szCs w:val="24"/>
          <w:highlight w:val="none"/>
        </w:rPr>
        <w:t>）</w:t>
      </w:r>
    </w:p>
    <w:p w14:paraId="4FC2478B">
      <w:pPr>
        <w:keepNext w:val="0"/>
        <w:keepLines w:val="0"/>
        <w:pageBreakBefore w:val="0"/>
        <w:widowControl/>
        <w:spacing w:line="360" w:lineRule="auto"/>
        <w:ind w:firstLine="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00198C9E">
      <w:pPr>
        <w:widowControl w:val="0"/>
        <w:ind w:firstLine="0"/>
        <w:jc w:val="both"/>
        <w:rPr>
          <w:rFonts w:hint="eastAsia" w:ascii="Times New Roman" w:hAnsi="Times New Roman" w:eastAsia="宋体" w:cs="Times New Roman"/>
          <w:i w:val="0"/>
          <w:iCs/>
          <w:color w:val="auto"/>
          <w:sz w:val="21"/>
          <w:szCs w:val="20"/>
          <w:highlight w:val="none"/>
          <w:lang w:val="en-US" w:eastAsia="zh-CN" w:bidi="ar-SA"/>
        </w:rPr>
      </w:pPr>
    </w:p>
    <w:p w14:paraId="068C3DCE">
      <w:pPr>
        <w:rPr>
          <w:rFonts w:hint="eastAsia" w:ascii="黑体" w:hAnsi="黑体" w:eastAsia="黑体" w:cs="Times New Roman"/>
          <w:i w:val="0"/>
          <w:iCs/>
          <w:color w:val="auto"/>
          <w:sz w:val="32"/>
          <w:szCs w:val="32"/>
          <w:highlight w:val="none"/>
          <w:u w:val="single"/>
        </w:rPr>
      </w:pPr>
      <w:r>
        <w:rPr>
          <w:rFonts w:hint="eastAsia" w:ascii="黑体" w:hAnsi="黑体" w:eastAsia="黑体" w:cs="Times New Roman"/>
          <w:i w:val="0"/>
          <w:iCs/>
          <w:color w:val="auto"/>
          <w:sz w:val="32"/>
          <w:szCs w:val="32"/>
          <w:highlight w:val="none"/>
          <w:u w:val="single"/>
        </w:rPr>
        <w:br w:type="page" w:clear="all"/>
      </w:r>
      <w:r>
        <w:rPr>
          <w:rFonts w:hint="eastAsia" w:ascii="黑体" w:hAnsi="黑体" w:eastAsia="黑体" w:cs="Times New Roman"/>
          <w:i w:val="0"/>
          <w:iCs/>
          <w:color w:val="auto"/>
          <w:sz w:val="30"/>
          <w:szCs w:val="30"/>
          <w:highlight w:val="none"/>
          <w:u w:val="single"/>
        </w:rPr>
        <w:t>五、参加政府采购活动前 3 年内在经营活动中没有重大违法记录的书面声明</w:t>
      </w:r>
    </w:p>
    <w:p w14:paraId="4507B928">
      <w:pPr>
        <w:keepNext w:val="0"/>
        <w:keepLines w:val="0"/>
        <w:pageBreakBefore w:val="0"/>
        <w:widowControl w:val="0"/>
        <w:spacing w:line="360" w:lineRule="auto"/>
        <w:rPr>
          <w:rFonts w:hint="eastAsia" w:ascii="宋体" w:hAnsi="宋体" w:eastAsia="宋体" w:cs="Times New Roman"/>
          <w:b/>
          <w:bCs/>
          <w:i w:val="0"/>
          <w:iCs/>
          <w:color w:val="auto"/>
          <w:sz w:val="44"/>
          <w:szCs w:val="44"/>
          <w:highlight w:val="none"/>
        </w:rPr>
      </w:pPr>
      <w:r>
        <w:rPr>
          <w:rFonts w:hint="eastAsia" w:ascii="宋体" w:hAnsi="宋体" w:eastAsia="宋体" w:cs="Times New Roman"/>
          <w:b/>
          <w:bCs/>
          <w:i w:val="0"/>
          <w:iCs/>
          <w:color w:val="auto"/>
          <w:sz w:val="44"/>
          <w:szCs w:val="44"/>
          <w:highlight w:val="none"/>
        </w:rPr>
        <w:t xml:space="preserve">                 声  明</w:t>
      </w:r>
    </w:p>
    <w:p w14:paraId="1D1FCB20">
      <w:pPr>
        <w:keepNext w:val="0"/>
        <w:keepLines w:val="0"/>
        <w:pageBreakBefore w:val="0"/>
        <w:widowControl w:val="0"/>
        <w:spacing w:line="360" w:lineRule="auto"/>
        <w:rPr>
          <w:rFonts w:hint="eastAsia" w:ascii="宋体" w:hAnsi="宋体" w:eastAsia="宋体" w:cs="Times New Roman"/>
          <w:bCs/>
          <w:i w:val="0"/>
          <w:iCs/>
          <w:color w:val="auto"/>
          <w:sz w:val="24"/>
          <w:highlight w:val="none"/>
        </w:rPr>
      </w:pPr>
      <w:r>
        <w:rPr>
          <w:rFonts w:hint="eastAsia" w:ascii="宋体" w:hAnsi="宋体" w:eastAsia="宋体" w:cs="Times New Roman"/>
          <w:b/>
          <w:bCs/>
          <w:i w:val="0"/>
          <w:iCs/>
          <w:color w:val="auto"/>
          <w:sz w:val="24"/>
          <w:highlight w:val="none"/>
        </w:rPr>
        <w:t xml:space="preserve">    </w:t>
      </w:r>
      <w:r>
        <w:rPr>
          <w:rFonts w:hint="eastAsia" w:ascii="宋体" w:hAnsi="宋体" w:eastAsia="宋体" w:cs="Times New Roman"/>
          <w:bCs/>
          <w:i w:val="0"/>
          <w:iCs/>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13A2A889">
      <w:pPr>
        <w:rPr>
          <w:rFonts w:hint="eastAsia" w:ascii="黑体" w:hAnsi="黑体" w:eastAsia="黑体" w:cs="Times New Roman"/>
          <w:i w:val="0"/>
          <w:iCs/>
          <w:color w:val="auto"/>
          <w:sz w:val="24"/>
          <w:szCs w:val="24"/>
          <w:highlight w:val="none"/>
          <w:u w:val="single"/>
        </w:rPr>
      </w:pPr>
    </w:p>
    <w:p w14:paraId="5164BE3D">
      <w:pPr>
        <w:widowControl/>
        <w:spacing w:line="360" w:lineRule="auto"/>
        <w:ind w:firstLine="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供应商</w:t>
      </w:r>
      <w:r>
        <w:rPr>
          <w:rFonts w:hint="eastAsia" w:ascii="宋体" w:hAnsi="宋体" w:eastAsia="宋体" w:cs="宋体"/>
          <w:color w:val="auto"/>
          <w:sz w:val="24"/>
          <w:szCs w:val="24"/>
          <w:highlight w:val="none"/>
        </w:rPr>
        <w:t>：（单位全称）</w:t>
      </w:r>
    </w:p>
    <w:p w14:paraId="5CCF9166">
      <w:pPr>
        <w:widowControl/>
        <w:spacing w:line="360" w:lineRule="auto"/>
        <w:ind w:firstLine="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lang w:val="en-US" w:eastAsia="zh-CN"/>
        </w:rPr>
        <w:t>签字或盖章</w:t>
      </w:r>
      <w:r>
        <w:rPr>
          <w:rFonts w:hint="eastAsia" w:ascii="宋体" w:hAnsi="宋体" w:eastAsia="宋体" w:cs="宋体"/>
          <w:color w:val="auto"/>
          <w:sz w:val="24"/>
          <w:szCs w:val="24"/>
          <w:highlight w:val="none"/>
        </w:rPr>
        <w:t>）</w:t>
      </w:r>
    </w:p>
    <w:p w14:paraId="798FC6B8">
      <w:pPr>
        <w:widowControl/>
        <w:spacing w:line="360" w:lineRule="auto"/>
        <w:ind w:firstLine="4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74779C08">
      <w:pPr>
        <w:rPr>
          <w:rFonts w:hint="eastAsia" w:ascii="黑体" w:hAnsi="黑体" w:eastAsia="黑体" w:cs="Times New Roman"/>
          <w:i w:val="0"/>
          <w:iCs/>
          <w:color w:val="auto"/>
          <w:sz w:val="30"/>
          <w:szCs w:val="30"/>
          <w:highlight w:val="none"/>
          <w:u w:val="single"/>
        </w:rPr>
      </w:pPr>
      <w:r>
        <w:rPr>
          <w:rFonts w:hint="eastAsia" w:ascii="黑体" w:hAnsi="黑体" w:eastAsia="黑体" w:cs="Times New Roman"/>
          <w:i w:val="0"/>
          <w:iCs/>
          <w:color w:val="auto"/>
          <w:sz w:val="30"/>
          <w:szCs w:val="30"/>
          <w:highlight w:val="none"/>
          <w:u w:val="single"/>
        </w:rPr>
        <w:br w:type="page" w:clear="all"/>
      </w:r>
      <w:r>
        <w:rPr>
          <w:rFonts w:hint="eastAsia" w:ascii="黑体" w:hAnsi="黑体" w:eastAsia="黑体" w:cs="Times New Roman"/>
          <w:i w:val="0"/>
          <w:iCs/>
          <w:color w:val="auto"/>
          <w:sz w:val="30"/>
          <w:szCs w:val="30"/>
          <w:highlight w:val="none"/>
          <w:u w:val="single"/>
        </w:rPr>
        <w:t>六、特定资格要求的证明文件</w:t>
      </w:r>
    </w:p>
    <w:p w14:paraId="768D7E2E">
      <w:pPr>
        <w:spacing w:line="460" w:lineRule="exact"/>
        <w:rPr>
          <w:rFonts w:hint="eastAsia" w:ascii="宋体" w:hAnsi="宋体" w:eastAsia="宋体" w:cs="Times New Roman"/>
          <w:bCs/>
          <w:i w:val="0"/>
          <w:iCs/>
          <w:color w:val="auto"/>
          <w:sz w:val="24"/>
          <w:highlight w:val="none"/>
        </w:rPr>
      </w:pPr>
      <w:r>
        <w:rPr>
          <w:rFonts w:hint="eastAsia" w:ascii="宋体" w:hAnsi="宋体" w:eastAsia="宋体" w:cs="Times New Roman"/>
          <w:i w:val="0"/>
          <w:iCs/>
          <w:color w:val="auto"/>
          <w:sz w:val="24"/>
          <w:highlight w:val="none"/>
        </w:rPr>
        <w:t xml:space="preserve">    如果本项目申请人的特定资格要求中要求提供的，必须提供。</w:t>
      </w:r>
    </w:p>
    <w:p w14:paraId="0571A7F1">
      <w:pPr>
        <w:spacing w:line="460" w:lineRule="exact"/>
        <w:rPr>
          <w:rFonts w:hint="eastAsia" w:ascii="宋体" w:hAnsi="宋体" w:eastAsia="宋体" w:cs="Times New Roman"/>
          <w:bCs/>
          <w:color w:val="auto"/>
          <w:sz w:val="24"/>
          <w:szCs w:val="21"/>
          <w:highlight w:val="none"/>
        </w:rPr>
      </w:pPr>
    </w:p>
    <w:p w14:paraId="02BE4290">
      <w:pPr>
        <w:spacing w:line="460" w:lineRule="exact"/>
        <w:jc w:val="center"/>
        <w:rPr>
          <w:rFonts w:hint="eastAsia" w:ascii="黑体" w:hAnsi="黑体" w:eastAsia="黑体" w:cs="Times New Roman"/>
          <w:i w:val="0"/>
          <w:iCs/>
          <w:color w:val="auto"/>
          <w:sz w:val="32"/>
          <w:szCs w:val="32"/>
          <w:highlight w:val="none"/>
          <w:u w:val="single"/>
        </w:rPr>
      </w:pPr>
      <w:r>
        <w:rPr>
          <w:rFonts w:hint="eastAsia" w:ascii="宋体" w:hAnsi="宋体" w:eastAsia="宋体" w:cs="Times New Roman"/>
          <w:bCs/>
          <w:color w:val="auto"/>
          <w:sz w:val="24"/>
          <w:szCs w:val="21"/>
          <w:highlight w:val="none"/>
        </w:rPr>
        <w:br w:type="page" w:clear="all"/>
      </w:r>
      <w:r>
        <w:rPr>
          <w:rFonts w:hint="eastAsia" w:ascii="黑体" w:hAnsi="黑体" w:eastAsia="黑体" w:cs="Times New Roman"/>
          <w:i w:val="0"/>
          <w:iCs/>
          <w:color w:val="auto"/>
          <w:sz w:val="32"/>
          <w:szCs w:val="32"/>
          <w:highlight w:val="none"/>
          <w:u w:val="single"/>
        </w:rPr>
        <w:t>七、法人授权书</w:t>
      </w:r>
    </w:p>
    <w:p w14:paraId="5BB0EBD2">
      <w:pPr>
        <w:keepNext w:val="0"/>
        <w:keepLines w:val="0"/>
        <w:pageBreakBefore w:val="0"/>
        <w:widowControl w:val="0"/>
        <w:tabs>
          <w:tab w:val="left" w:pos="360"/>
        </w:tabs>
        <w:spacing w:line="360" w:lineRule="auto"/>
        <w:rPr>
          <w:rFonts w:hint="eastAsia" w:ascii="Times New Roman" w:hAnsi="Times New Roman" w:eastAsia="宋体" w:cs="Times New Roman"/>
          <w:color w:val="auto"/>
          <w:sz w:val="24"/>
          <w:szCs w:val="24"/>
          <w:highlight w:val="none"/>
        </w:rPr>
      </w:pPr>
    </w:p>
    <w:p w14:paraId="2FEEE6A0">
      <w:pPr>
        <w:keepNext w:val="0"/>
        <w:keepLines w:val="0"/>
        <w:pageBreakBefore w:val="0"/>
        <w:widowControl w:val="0"/>
        <w:tabs>
          <w:tab w:val="left" w:pos="360"/>
        </w:tabs>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本授权书声明：____________（供应商名称）授权________________（被授权人的姓名）为我方就JSZC-</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号项目采购活动的合法代理人，以本单位名义全权处理一切与该项目采购有关的事务。</w:t>
      </w:r>
    </w:p>
    <w:p w14:paraId="11F81986">
      <w:pPr>
        <w:keepNext w:val="0"/>
        <w:keepLines w:val="0"/>
        <w:pageBreakBefore w:val="0"/>
        <w:widowControl w:val="0"/>
        <w:tabs>
          <w:tab w:val="left" w:pos="360"/>
        </w:tabs>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本授权书于______年____月____日起生效，特此声明。</w:t>
      </w:r>
    </w:p>
    <w:p w14:paraId="4B8C887E">
      <w:pPr>
        <w:keepNext w:val="0"/>
        <w:keepLines w:val="0"/>
        <w:pageBreakBefore w:val="0"/>
        <w:widowControl w:val="0"/>
        <w:tabs>
          <w:tab w:val="left" w:pos="360"/>
        </w:tabs>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被授权人身份证号码：</w:t>
      </w:r>
      <w:r>
        <w:rPr>
          <w:rFonts w:hint="eastAsia" w:ascii="Times New Roman" w:hAnsi="Times New Roman" w:eastAsia="宋体" w:cs="Times New Roman"/>
          <w:color w:val="auto"/>
          <w:sz w:val="24"/>
          <w:szCs w:val="24"/>
          <w:highlight w:val="none"/>
          <w:u w:val="single"/>
        </w:rPr>
        <w:t xml:space="preserve">                              </w:t>
      </w:r>
    </w:p>
    <w:p w14:paraId="1BF8B910">
      <w:pPr>
        <w:keepNext w:val="0"/>
        <w:keepLines w:val="0"/>
        <w:pageBreakBefore w:val="0"/>
        <w:widowControl w:val="0"/>
        <w:tabs>
          <w:tab w:val="left" w:pos="360"/>
        </w:tabs>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被授权人联系电话：（手机）</w:t>
      </w:r>
      <w:r>
        <w:rPr>
          <w:rFonts w:hint="eastAsia" w:ascii="Times New Roman" w:hAnsi="Times New Roman" w:eastAsia="宋体" w:cs="Times New Roman"/>
          <w:color w:val="auto"/>
          <w:sz w:val="24"/>
          <w:szCs w:val="24"/>
          <w:highlight w:val="none"/>
          <w:u w:val="single"/>
        </w:rPr>
        <w:t xml:space="preserve">                          </w:t>
      </w:r>
    </w:p>
    <w:p w14:paraId="15450D23">
      <w:pPr>
        <w:keepNext w:val="0"/>
        <w:keepLines w:val="0"/>
        <w:pageBreakBefore w:val="0"/>
        <w:widowControl w:val="0"/>
        <w:tabs>
          <w:tab w:val="left" w:pos="360"/>
        </w:tabs>
        <w:spacing w:line="360" w:lineRule="auto"/>
        <w:ind w:firstLine="120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授权单位名称：</w:t>
      </w:r>
      <w:r>
        <w:rPr>
          <w:rFonts w:hint="eastAsia" w:ascii="Times New Roman" w:hAnsi="Times New Roman" w:eastAsia="宋体" w:cs="Times New Roman"/>
          <w:color w:val="auto"/>
          <w:sz w:val="24"/>
          <w:szCs w:val="24"/>
          <w:highlight w:val="none"/>
          <w:u w:val="single"/>
        </w:rPr>
        <w:t>（加盖CA电子公章）</w:t>
      </w:r>
    </w:p>
    <w:p w14:paraId="57160A1A">
      <w:pPr>
        <w:keepNext w:val="0"/>
        <w:keepLines w:val="0"/>
        <w:pageBreakBefore w:val="0"/>
        <w:widowControl w:val="0"/>
        <w:tabs>
          <w:tab w:val="left" w:pos="360"/>
        </w:tabs>
        <w:spacing w:line="360" w:lineRule="auto"/>
        <w:ind w:firstLine="480"/>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单位地址：</w:t>
      </w:r>
      <w:r>
        <w:rPr>
          <w:rFonts w:hint="eastAsia" w:ascii="Times New Roman" w:hAnsi="Times New Roman" w:eastAsia="宋体" w:cs="Times New Roman"/>
          <w:color w:val="auto"/>
          <w:sz w:val="24"/>
          <w:szCs w:val="24"/>
          <w:highlight w:val="none"/>
          <w:u w:val="single"/>
        </w:rPr>
        <w:t xml:space="preserve">                                         </w:t>
      </w:r>
    </w:p>
    <w:p w14:paraId="73235A83">
      <w:pPr>
        <w:keepNext w:val="0"/>
        <w:keepLines w:val="0"/>
        <w:pageBreakBefore w:val="0"/>
        <w:widowControl w:val="0"/>
        <w:tabs>
          <w:tab w:val="left" w:pos="360"/>
        </w:tabs>
        <w:spacing w:line="360" w:lineRule="auto"/>
        <w:ind w:firstLine="480"/>
        <w:rPr>
          <w:rFonts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      日期：</w:t>
      </w:r>
      <w:bookmarkStart w:id="51" w:name="_Hlt26955070"/>
      <w:bookmarkEnd w:id="51"/>
      <w:bookmarkStart w:id="52" w:name="_格式3__银行出具的资信证明"/>
      <w:bookmarkEnd w:id="52"/>
      <w:bookmarkStart w:id="53" w:name="_Hlt26671380"/>
      <w:bookmarkEnd w:id="53"/>
      <w:r>
        <w:rPr>
          <w:rFonts w:hint="eastAsia" w:ascii="Times New Roman" w:hAnsi="Times New Roman" w:eastAsia="宋体" w:cs="Times New Roman"/>
          <w:color w:val="auto"/>
          <w:sz w:val="24"/>
          <w:szCs w:val="24"/>
          <w:highlight w:val="none"/>
          <w:u w:val="single"/>
        </w:rPr>
        <w:t xml:space="preserve">                                         </w:t>
      </w:r>
    </w:p>
    <w:p w14:paraId="1F5875F7">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br w:type="page" w:clear="all"/>
      </w:r>
    </w:p>
    <w:p w14:paraId="49B27615">
      <w:pPr>
        <w:keepNext/>
        <w:keepLines/>
        <w:pageBreakBefore w:val="0"/>
        <w:widowControl w:val="0"/>
        <w:spacing w:line="416" w:lineRule="auto"/>
        <w:jc w:val="center"/>
        <w:outlineLvl w:val="1"/>
        <w:rPr>
          <w:rFonts w:ascii="黑体" w:hAnsi="黑体" w:eastAsia="黑体" w:cs="Times New Roman"/>
          <w:b/>
          <w:i/>
          <w:color w:val="auto"/>
          <w:sz w:val="32"/>
          <w:szCs w:val="32"/>
          <w:highlight w:val="none"/>
          <w:u w:val="single"/>
        </w:rPr>
      </w:pPr>
      <w:r>
        <w:rPr>
          <w:rFonts w:hint="eastAsia" w:ascii="黑体" w:hAnsi="黑体" w:eastAsia="黑体" w:cs="Arial"/>
          <w:b/>
          <w:i w:val="0"/>
          <w:iCs/>
          <w:color w:val="auto"/>
          <w:sz w:val="32"/>
          <w:szCs w:val="32"/>
          <w:highlight w:val="none"/>
          <w:u w:val="single"/>
        </w:rPr>
        <w:t>八、</w:t>
      </w:r>
      <w:r>
        <w:rPr>
          <w:rFonts w:hint="eastAsia" w:ascii="黑体" w:hAnsi="黑体" w:eastAsia="黑体" w:cs="Times New Roman"/>
          <w:b/>
          <w:i w:val="0"/>
          <w:iCs/>
          <w:color w:val="auto"/>
          <w:sz w:val="32"/>
          <w:szCs w:val="32"/>
          <w:highlight w:val="none"/>
          <w:u w:val="single"/>
        </w:rPr>
        <w:t>磋商响应函</w:t>
      </w:r>
    </w:p>
    <w:p w14:paraId="5BE2BCDE">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u w:val="single"/>
        </w:rPr>
      </w:pPr>
      <w:r>
        <w:rPr>
          <w:rFonts w:hint="eastAsia" w:ascii="宋体" w:hAnsi="宋体" w:eastAsia="宋体" w:cs="Times New Roman"/>
          <w:color w:val="auto"/>
          <w:sz w:val="24"/>
          <w:szCs w:val="21"/>
          <w:highlight w:val="none"/>
        </w:rPr>
        <w:t>致：</w:t>
      </w:r>
      <w:r>
        <w:rPr>
          <w:rFonts w:hint="eastAsia" w:ascii="宋体" w:hAnsi="宋体" w:eastAsia="宋体" w:cs="Times New Roman"/>
          <w:color w:val="auto"/>
          <w:sz w:val="24"/>
          <w:szCs w:val="21"/>
          <w:highlight w:val="none"/>
          <w:u w:val="single"/>
        </w:rPr>
        <w:t>　           　</w:t>
      </w:r>
    </w:p>
    <w:p w14:paraId="1F3F553F">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(一)根据已收到的采购编号为</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工程的磋商文件(包括补充通知)，遵照《中华人民共和国政府采购法》及相关法律的规定，我单位经考察现场和研究上述工程磋商文件后，我方愿以人民币</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元(大写)</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的总价，按磋商文件的要求承包本次采购范围内的全部工程，并承担相关的责任。</w:t>
      </w:r>
    </w:p>
    <w:p w14:paraId="4387FACD">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p>
    <w:p w14:paraId="29B4D738">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(三)我单位保证在收到贵单位发出的书面开工令后立即开工，并在</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日历天内竣工。</w:t>
      </w:r>
    </w:p>
    <w:p w14:paraId="0D4D983D">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(四)我单位保证本工程质量达到</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w:t>
      </w:r>
    </w:p>
    <w:p w14:paraId="3AE77450">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(五)我单位保证在成交后派出项目负责人</w:t>
      </w:r>
      <w:r>
        <w:rPr>
          <w:rFonts w:hint="eastAsia" w:ascii="宋体" w:hAnsi="宋体" w:eastAsia="宋体" w:cs="Times New Roman"/>
          <w:color w:val="auto"/>
          <w:sz w:val="24"/>
          <w:szCs w:val="21"/>
          <w:highlight w:val="none"/>
          <w:u w:val="single"/>
        </w:rPr>
        <w:t xml:space="preserve">   (姓名)   </w:t>
      </w:r>
      <w:r>
        <w:rPr>
          <w:rFonts w:hint="eastAsia" w:ascii="宋体" w:hAnsi="宋体" w:eastAsia="宋体" w:cs="Times New Roman"/>
          <w:color w:val="auto"/>
          <w:sz w:val="24"/>
          <w:szCs w:val="21"/>
          <w:highlight w:val="none"/>
        </w:rPr>
        <w:t>同志(身份证号：</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)全面负责本工程的施工。</w:t>
      </w:r>
    </w:p>
    <w:p w14:paraId="3DC74BCE">
      <w:pPr>
        <w:keepNext w:val="0"/>
        <w:keepLines w:val="0"/>
        <w:pageBreakBefore w:val="0"/>
        <w:widowControl w:val="0"/>
        <w:spacing w:line="5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(六)贵单位所发出的磋商文件、成交通知书和本响应文件将构成约束我们双方的合同。</w:t>
      </w:r>
    </w:p>
    <w:p w14:paraId="29123F80">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u w:val="single"/>
        </w:rPr>
      </w:pPr>
      <w:r>
        <w:rPr>
          <w:rFonts w:hint="eastAsia" w:ascii="宋体" w:hAnsi="宋体" w:eastAsia="宋体" w:cs="Times New Roman"/>
          <w:color w:val="auto"/>
          <w:sz w:val="24"/>
          <w:szCs w:val="21"/>
          <w:highlight w:val="none"/>
        </w:rPr>
        <w:t>磋商供应商：</w:t>
      </w:r>
      <w:r>
        <w:rPr>
          <w:rFonts w:hint="eastAsia" w:ascii="宋体" w:hAnsi="宋体" w:eastAsia="宋体" w:cs="Times New Roman"/>
          <w:color w:val="auto"/>
          <w:sz w:val="24"/>
          <w:szCs w:val="21"/>
          <w:highlight w:val="none"/>
          <w:u w:val="single"/>
        </w:rPr>
        <w:t>(签章)</w:t>
      </w:r>
    </w:p>
    <w:p w14:paraId="4E6CB441">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单位地址：</w:t>
      </w:r>
    </w:p>
    <w:p w14:paraId="6928E7EE">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邮政编码：</w:t>
      </w:r>
    </w:p>
    <w:p w14:paraId="49FB20AF">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法定代表人或委托代理人(签字或盖章)：</w:t>
      </w:r>
    </w:p>
    <w:p w14:paraId="19F72C42">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电话：</w:t>
      </w:r>
    </w:p>
    <w:p w14:paraId="1863D733">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传真：</w:t>
      </w:r>
    </w:p>
    <w:p w14:paraId="738EAF29">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开户银行名称：</w:t>
      </w:r>
    </w:p>
    <w:p w14:paraId="54B68364">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银行帐号：</w:t>
      </w:r>
    </w:p>
    <w:p w14:paraId="28BBDCA5">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开户行地址：                   </w:t>
      </w:r>
    </w:p>
    <w:p w14:paraId="077C8AFB">
      <w:pPr>
        <w:keepNext w:val="0"/>
        <w:keepLines w:val="0"/>
        <w:pageBreakBefore w:val="0"/>
        <w:widowControl w:val="0"/>
        <w:spacing w:line="440" w:lineRule="exact"/>
        <w:ind w:left="0"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日期：  年    月    日</w:t>
      </w:r>
    </w:p>
    <w:p w14:paraId="48EB7DC0">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p>
    <w:p w14:paraId="022F214B">
      <w:pPr>
        <w:numPr>
          <w:ilvl w:val="0"/>
          <w:numId w:val="3"/>
        </w:numPr>
        <w:spacing w:line="560" w:lineRule="exact"/>
        <w:ind w:firstLine="321"/>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中小企业声明函</w:t>
      </w:r>
    </w:p>
    <w:p w14:paraId="224753CF">
      <w:pPr>
        <w:widowControl w:val="0"/>
        <w:numPr>
          <w:ilvl w:val="0"/>
          <w:numId w:val="0"/>
        </w:numPr>
        <w:spacing w:after="0" w:line="360" w:lineRule="auto"/>
        <w:ind w:left="420" w:firstLine="420"/>
        <w:jc w:val="both"/>
        <w:rPr>
          <w:rFonts w:hint="eastAsia" w:ascii="宋体" w:hAnsi="宋体" w:eastAsia="宋体" w:cs="Times New Roman"/>
          <w:color w:val="auto"/>
          <w:sz w:val="21"/>
          <w:szCs w:val="20"/>
          <w:highlight w:val="none"/>
          <w:lang w:val="en-US" w:eastAsia="zh-CN" w:bidi="ar-SA"/>
        </w:rPr>
      </w:pPr>
    </w:p>
    <w:p w14:paraId="0A915A2A">
      <w:pPr>
        <w:keepNext w:val="0"/>
        <w:keepLines w:val="0"/>
        <w:pageBreakBefore w:val="0"/>
        <w:widowControl w:val="0"/>
        <w:spacing w:line="360" w:lineRule="auto"/>
        <w:ind w:firstLine="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本公司郑重声明，根据《政府采购促进中小企业发展管理办法》(财库[2020]46号)的规定，本公司参加</w:t>
      </w:r>
      <w:r>
        <w:rPr>
          <w:rFonts w:hint="eastAsia" w:ascii="宋体" w:hAnsi="宋体" w:eastAsia="宋体" w:cs="Times New Roman"/>
          <w:color w:val="auto"/>
          <w:sz w:val="24"/>
          <w:szCs w:val="24"/>
          <w:highlight w:val="none"/>
          <w:u w:val="single"/>
        </w:rPr>
        <w:t>（单位名称）</w:t>
      </w:r>
      <w:r>
        <w:rPr>
          <w:rFonts w:hint="eastAsia" w:ascii="宋体" w:hAnsi="宋体" w:eastAsia="宋体" w:cs="Times New Roman"/>
          <w:color w:val="auto"/>
          <w:sz w:val="24"/>
          <w:szCs w:val="24"/>
          <w:highlight w:val="none"/>
        </w:rPr>
        <w:t>的</w:t>
      </w:r>
      <w:r>
        <w:rPr>
          <w:rFonts w:hint="eastAsia" w:ascii="宋体" w:hAnsi="宋体" w:eastAsia="宋体" w:cs="Times New Roman"/>
          <w:color w:val="auto"/>
          <w:sz w:val="24"/>
          <w:szCs w:val="24"/>
          <w:highlight w:val="none"/>
          <w:u w:val="single"/>
        </w:rPr>
        <w:t>（项目名称）</w:t>
      </w:r>
      <w:r>
        <w:rPr>
          <w:rFonts w:hint="eastAsia" w:ascii="宋体" w:hAnsi="宋体" w:eastAsia="宋体" w:cs="Times New Roman"/>
          <w:color w:val="auto"/>
          <w:sz w:val="24"/>
          <w:szCs w:val="24"/>
          <w:highlight w:val="none"/>
        </w:rPr>
        <w:t>采购活动，</w:t>
      </w:r>
      <w:r>
        <w:rPr>
          <w:rFonts w:hint="eastAsia" w:ascii="宋体" w:hAnsi="宋体" w:eastAsia="宋体" w:cs="Times New Roman"/>
          <w:color w:val="auto"/>
          <w:sz w:val="24"/>
          <w:szCs w:val="24"/>
          <w:highlight w:val="none"/>
          <w:lang w:eastAsia="zh-CN"/>
        </w:rPr>
        <w:t>工程的施工单位</w:t>
      </w:r>
      <w:r>
        <w:rPr>
          <w:rFonts w:hint="eastAsia" w:ascii="宋体" w:hAnsi="宋体" w:eastAsia="宋体" w:cs="Times New Roman"/>
          <w:color w:val="auto"/>
          <w:sz w:val="24"/>
          <w:szCs w:val="24"/>
          <w:highlight w:val="none"/>
        </w:rPr>
        <w:t>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61FB3AC8">
      <w:pPr>
        <w:keepNext w:val="0"/>
        <w:keepLines w:val="0"/>
        <w:pageBreakBefore w:val="0"/>
        <w:widowControl w:val="0"/>
        <w:spacing w:line="360" w:lineRule="auto"/>
        <w:ind w:firstLine="360"/>
        <w:rPr>
          <w:rFonts w:hint="eastAsia"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1.</w:t>
      </w:r>
      <w:r>
        <w:rPr>
          <w:rFonts w:hint="eastAsia" w:ascii="宋体" w:hAnsi="宋体" w:eastAsia="宋体" w:cs="Times New Roman"/>
          <w:color w:val="auto"/>
          <w:sz w:val="24"/>
          <w:szCs w:val="24"/>
          <w:highlight w:val="none"/>
          <w:u w:val="single"/>
        </w:rPr>
        <w:t>（标的名称）</w:t>
      </w:r>
      <w:r>
        <w:rPr>
          <w:rFonts w:hint="eastAsia" w:ascii="宋体" w:hAnsi="宋体" w:eastAsia="宋体" w:cs="Times New Roman"/>
          <w:i/>
          <w:color w:val="auto"/>
          <w:sz w:val="24"/>
          <w:szCs w:val="24"/>
          <w:highlight w:val="none"/>
        </w:rPr>
        <w:t>，</w:t>
      </w:r>
      <w:r>
        <w:rPr>
          <w:rFonts w:hint="eastAsia" w:ascii="宋体" w:hAnsi="宋体" w:eastAsia="宋体" w:cs="Times New Roman"/>
          <w:color w:val="auto"/>
          <w:sz w:val="24"/>
          <w:szCs w:val="24"/>
          <w:highlight w:val="none"/>
        </w:rPr>
        <w:t>属于</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行业；承接企业为</w:t>
      </w:r>
      <w:r>
        <w:rPr>
          <w:rFonts w:hint="eastAsia" w:ascii="宋体" w:hAnsi="宋体" w:eastAsia="宋体" w:cs="Times New Roman"/>
          <w:color w:val="auto"/>
          <w:sz w:val="24"/>
          <w:szCs w:val="24"/>
          <w:highlight w:val="none"/>
          <w:u w:val="single"/>
        </w:rPr>
        <w:t>（企业名称）</w:t>
      </w:r>
      <w:r>
        <w:rPr>
          <w:rFonts w:hint="eastAsia" w:ascii="宋体" w:hAnsi="宋体" w:eastAsia="宋体" w:cs="Times New Roman"/>
          <w:color w:val="auto"/>
          <w:sz w:val="24"/>
          <w:szCs w:val="24"/>
          <w:highlight w:val="none"/>
        </w:rPr>
        <w:t>，从业人员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万元</w:t>
      </w:r>
      <w:r>
        <w:rPr>
          <w:rFonts w:hint="eastAsia" w:ascii="宋体" w:hAnsi="宋体" w:eastAsia="宋体" w:cs="Times New Roman"/>
          <w:color w:val="auto"/>
          <w:sz w:val="24"/>
          <w:szCs w:val="24"/>
          <w:highlight w:val="none"/>
          <w:vertAlign w:val="superscript"/>
        </w:rPr>
        <w:t>1</w:t>
      </w:r>
      <w:r>
        <w:rPr>
          <w:rFonts w:hint="eastAsia" w:ascii="宋体" w:hAnsi="宋体" w:eastAsia="宋体" w:cs="Times New Roman"/>
          <w:color w:val="auto"/>
          <w:sz w:val="24"/>
          <w:szCs w:val="24"/>
          <w:highlight w:val="none"/>
        </w:rPr>
        <w:t>，属于</w:t>
      </w:r>
      <w:r>
        <w:rPr>
          <w:rFonts w:hint="eastAsia" w:ascii="宋体" w:hAnsi="宋体" w:eastAsia="宋体" w:cs="Times New Roman"/>
          <w:color w:val="auto"/>
          <w:sz w:val="24"/>
          <w:szCs w:val="24"/>
          <w:highlight w:val="none"/>
          <w:u w:val="single"/>
        </w:rPr>
        <w:t>（小型企业、微型企业）；</w:t>
      </w:r>
    </w:p>
    <w:p w14:paraId="305A9560">
      <w:pPr>
        <w:spacing w:line="560" w:lineRule="exact"/>
        <w:ind w:firstLine="36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w:t>
      </w:r>
    </w:p>
    <w:p w14:paraId="73A98B05">
      <w:pPr>
        <w:spacing w:line="560" w:lineRule="exact"/>
        <w:ind w:firstLine="36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以上企业，不属于大企业的分支机构，不存在控股股东为大企业的情形，也不存在与大企业的负责人为同一人的情形。</w:t>
      </w:r>
    </w:p>
    <w:p w14:paraId="77E8BA01">
      <w:pPr>
        <w:spacing w:line="560" w:lineRule="exact"/>
        <w:ind w:firstLine="36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本企业对上述声明内容的真实性负责。如有虚假，将依法承担相应责任</w:t>
      </w:r>
      <w:r>
        <w:rPr>
          <w:rFonts w:hint="eastAsia" w:ascii="宋体" w:hAnsi="宋体" w:eastAsia="宋体" w:cs="Times New Roman"/>
          <w:color w:val="auto"/>
          <w:sz w:val="24"/>
          <w:szCs w:val="24"/>
          <w:highlight w:val="none"/>
          <w:lang w:eastAsia="zh-CN"/>
        </w:rPr>
        <w:t>。</w:t>
      </w:r>
    </w:p>
    <w:p w14:paraId="2A7C499C">
      <w:pPr>
        <w:spacing w:line="560" w:lineRule="exact"/>
        <w:ind w:right="720"/>
        <w:rPr>
          <w:rFonts w:hint="eastAsia" w:ascii="宋体" w:hAnsi="宋体" w:eastAsia="宋体" w:cs="Times New Roman"/>
          <w:color w:val="auto"/>
          <w:sz w:val="24"/>
          <w:szCs w:val="24"/>
          <w:highlight w:val="none"/>
        </w:rPr>
      </w:pPr>
    </w:p>
    <w:p w14:paraId="383A94F8">
      <w:pPr>
        <w:spacing w:line="560" w:lineRule="exact"/>
        <w:ind w:right="180" w:firstLine="360"/>
        <w:jc w:val="righ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企业名称（加盖CA电子公章）：</w:t>
      </w:r>
    </w:p>
    <w:p w14:paraId="3BDF744B">
      <w:pPr>
        <w:spacing w:line="560" w:lineRule="exact"/>
        <w:ind w:right="480" w:firstLine="540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日  期：</w:t>
      </w:r>
    </w:p>
    <w:p w14:paraId="242A75A2">
      <w:pPr>
        <w:spacing w:line="560" w:lineRule="exact"/>
        <w:ind w:firstLine="360"/>
        <w:rPr>
          <w:rFonts w:hint="eastAsia" w:ascii="华文新魏" w:hAnsi="宋体" w:eastAsia="华文新魏" w:cs="Times New Roman"/>
          <w:color w:val="auto"/>
          <w:sz w:val="36"/>
          <w:szCs w:val="36"/>
          <w:highlight w:val="none"/>
        </w:rPr>
      </w:pPr>
    </w:p>
    <w:p w14:paraId="5DFFC6C7">
      <w:pPr>
        <w:spacing w:line="56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备注1：从业人员、营业收入、资产总额填报上一年度数据，无上一年度数据的新成立企业可不填报。</w:t>
      </w:r>
    </w:p>
    <w:p w14:paraId="14819F5A">
      <w:pPr>
        <w:spacing w:line="56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备注2：供应商如不提供此声明函，价格将不做相应扣除。</w:t>
      </w:r>
    </w:p>
    <w:p w14:paraId="7DC19AA4">
      <w:pPr>
        <w:spacing w:line="460" w:lineRule="exact"/>
        <w:jc w:val="center"/>
        <w:rPr>
          <w:rFonts w:hint="eastAsia" w:ascii="黑体" w:hAnsi="黑体" w:eastAsia="黑体" w:cs="Times New Roman"/>
          <w:b/>
          <w:color w:val="auto"/>
          <w:sz w:val="32"/>
          <w:szCs w:val="32"/>
          <w:highlight w:val="none"/>
        </w:rPr>
      </w:pPr>
    </w:p>
    <w:p w14:paraId="51A67A87">
      <w:pPr>
        <w:spacing w:line="460" w:lineRule="exact"/>
        <w:jc w:val="center"/>
        <w:rPr>
          <w:rFonts w:hint="eastAsia" w:ascii="黑体" w:hAnsi="黑体" w:eastAsia="黑体" w:cs="Times New Roman"/>
          <w:b/>
          <w:color w:val="auto"/>
          <w:sz w:val="32"/>
          <w:szCs w:val="32"/>
          <w:highlight w:val="none"/>
        </w:rPr>
      </w:pPr>
    </w:p>
    <w:p w14:paraId="0E60B3A9">
      <w:pPr>
        <w:spacing w:line="460" w:lineRule="exact"/>
        <w:rPr>
          <w:rFonts w:hint="eastAsia" w:ascii="黑体" w:hAnsi="黑体" w:eastAsia="黑体" w:cs="Times New Roman"/>
          <w:b/>
          <w:color w:val="auto"/>
          <w:sz w:val="32"/>
          <w:szCs w:val="32"/>
          <w:highlight w:val="none"/>
        </w:rPr>
      </w:pPr>
    </w:p>
    <w:p w14:paraId="3618611A">
      <w:pPr>
        <w:numPr>
          <w:ilvl w:val="0"/>
          <w:numId w:val="3"/>
        </w:numPr>
        <w:spacing w:line="460" w:lineRule="exact"/>
        <w:ind w:left="0" w:firstLine="321"/>
        <w:jc w:val="center"/>
        <w:rPr>
          <w:rFonts w:hint="eastAsia" w:ascii="黑体" w:hAnsi="黑体" w:eastAsia="黑体" w:cs="Times New Roman"/>
          <w:b/>
          <w:color w:val="auto"/>
          <w:sz w:val="32"/>
          <w:szCs w:val="32"/>
          <w:highlight w:val="none"/>
        </w:rPr>
      </w:pPr>
      <w:r>
        <w:rPr>
          <w:rFonts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残疾人福利性单位声明函</w:t>
      </w:r>
    </w:p>
    <w:p w14:paraId="5DBD3EAB">
      <w:pPr>
        <w:widowControl w:val="0"/>
        <w:numPr>
          <w:ilvl w:val="0"/>
          <w:numId w:val="0"/>
        </w:numPr>
        <w:spacing w:after="0" w:line="360" w:lineRule="auto"/>
        <w:ind w:left="210" w:firstLine="420"/>
        <w:jc w:val="both"/>
        <w:rPr>
          <w:rFonts w:hint="eastAsia" w:ascii="宋体" w:hAnsi="宋体" w:eastAsia="宋体" w:cs="Times New Roman"/>
          <w:color w:val="auto"/>
          <w:sz w:val="21"/>
          <w:szCs w:val="20"/>
          <w:highlight w:val="none"/>
          <w:lang w:val="en-US" w:eastAsia="zh-CN" w:bidi="ar-SA"/>
        </w:rPr>
      </w:pPr>
    </w:p>
    <w:p w14:paraId="09FF7110">
      <w:pPr>
        <w:spacing w:line="588" w:lineRule="exact"/>
        <w:ind w:firstLine="480"/>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Times New Roman"/>
          <w:color w:val="auto"/>
          <w:sz w:val="24"/>
          <w:szCs w:val="21"/>
          <w:highlight w:val="none"/>
          <w:lang w:eastAsia="zh-CN"/>
        </w:rPr>
        <w:t>磋商文件</w:t>
      </w:r>
      <w:r>
        <w:rPr>
          <w:rFonts w:hint="eastAsia" w:ascii="宋体" w:hAnsi="宋体" w:eastAsia="宋体" w:cs="Times New Roman"/>
          <w:color w:val="auto"/>
          <w:sz w:val="24"/>
          <w:szCs w:val="21"/>
          <w:highlight w:val="none"/>
        </w:rPr>
        <w:t>编号为______的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项目采购活动</w:t>
      </w:r>
      <w:r>
        <w:rPr>
          <w:rFonts w:hint="eastAsia" w:ascii="宋体" w:hAnsi="宋体" w:eastAsia="宋体" w:cs="Times New Roman"/>
          <w:color w:val="auto"/>
          <w:sz w:val="24"/>
          <w:szCs w:val="21"/>
          <w:highlight w:val="none"/>
          <w:lang w:eastAsia="zh-CN"/>
        </w:rPr>
        <w:t>由</w:t>
      </w:r>
      <w:r>
        <w:rPr>
          <w:rFonts w:hint="eastAsia" w:ascii="宋体" w:hAnsi="宋体" w:eastAsia="宋体" w:cs="Times New Roman"/>
          <w:color w:val="auto"/>
          <w:sz w:val="24"/>
          <w:szCs w:val="21"/>
          <w:highlight w:val="none"/>
        </w:rPr>
        <w:t>本单位</w:t>
      </w:r>
      <w:r>
        <w:rPr>
          <w:rFonts w:hint="eastAsia" w:ascii="宋体" w:hAnsi="宋体" w:eastAsia="宋体" w:cs="Times New Roman"/>
          <w:color w:val="auto"/>
          <w:sz w:val="24"/>
          <w:szCs w:val="21"/>
          <w:highlight w:val="none"/>
          <w:lang w:eastAsia="zh-CN"/>
        </w:rPr>
        <w:t>承建</w:t>
      </w:r>
      <w:r>
        <w:rPr>
          <w:rFonts w:hint="eastAsia" w:ascii="宋体" w:hAnsi="宋体" w:eastAsia="宋体" w:cs="Times New Roman"/>
          <w:color w:val="auto"/>
          <w:sz w:val="24"/>
          <w:szCs w:val="21"/>
          <w:highlight w:val="none"/>
        </w:rPr>
        <w:t>。</w:t>
      </w:r>
    </w:p>
    <w:p w14:paraId="2FBE7303">
      <w:pPr>
        <w:spacing w:line="588" w:lineRule="exact"/>
        <w:ind w:firstLine="480"/>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本单位对上述声明的真实性负责。如有虚假，将依法承担相应责任。</w:t>
      </w:r>
    </w:p>
    <w:p w14:paraId="7A5AB484">
      <w:pPr>
        <w:spacing w:line="588" w:lineRule="exact"/>
        <w:ind w:firstLine="480"/>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w:t>
      </w:r>
    </w:p>
    <w:p w14:paraId="62423CC2">
      <w:pPr>
        <w:spacing w:line="588" w:lineRule="exact"/>
        <w:ind w:firstLine="480"/>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（备注：1、供应商如不提供此声明函，价格将不做相应扣除。2、成交供应商为残疾人福利单位的，此声明函将随成交结果同时公告，接受社会监督</w:t>
      </w:r>
      <w:r>
        <w:rPr>
          <w:rFonts w:hint="eastAsia" w:ascii="宋体" w:hAnsi="宋体" w:eastAsia="宋体" w:cs="Times New Roman"/>
          <w:color w:val="auto"/>
          <w:sz w:val="24"/>
          <w:szCs w:val="21"/>
          <w:highlight w:val="none"/>
          <w:lang w:eastAsia="zh-CN"/>
        </w:rPr>
        <w:t>。</w:t>
      </w:r>
      <w:r>
        <w:rPr>
          <w:rFonts w:hint="eastAsia" w:ascii="宋体" w:hAnsi="宋体" w:eastAsia="宋体" w:cs="Times New Roman"/>
          <w:color w:val="auto"/>
          <w:sz w:val="24"/>
          <w:szCs w:val="21"/>
          <w:highlight w:val="none"/>
        </w:rPr>
        <w:t>）</w:t>
      </w:r>
    </w:p>
    <w:p w14:paraId="2641A038">
      <w:pPr>
        <w:spacing w:line="588" w:lineRule="exact"/>
        <w:ind w:firstLine="624"/>
        <w:rPr>
          <w:rFonts w:ascii="仿宋_GB2312" w:hAnsi="Times New Roman" w:eastAsia="仿宋_GB2312" w:cs="Times New Roman"/>
          <w:color w:val="auto"/>
          <w:spacing w:val="6"/>
          <w:sz w:val="30"/>
          <w:szCs w:val="30"/>
          <w:highlight w:val="none"/>
        </w:rPr>
      </w:pPr>
    </w:p>
    <w:p w14:paraId="080FDCBD">
      <w:pPr>
        <w:tabs>
          <w:tab w:val="left" w:pos="4860"/>
        </w:tabs>
        <w:spacing w:line="588" w:lineRule="exact"/>
        <w:ind w:right="1560" w:firstLine="624"/>
        <w:jc w:val="center"/>
        <w:rPr>
          <w:rFonts w:ascii="宋体" w:hAnsi="宋体" w:eastAsia="宋体" w:cs="Times New Roman"/>
          <w:color w:val="auto"/>
          <w:sz w:val="24"/>
          <w:szCs w:val="21"/>
          <w:highlight w:val="none"/>
        </w:rPr>
      </w:pPr>
      <w:r>
        <w:rPr>
          <w:rFonts w:hint="eastAsia" w:ascii="仿宋_GB2312" w:hAnsi="Times New Roman" w:eastAsia="仿宋_GB2312" w:cs="Times New Roman"/>
          <w:color w:val="auto"/>
          <w:spacing w:val="6"/>
          <w:sz w:val="30"/>
          <w:szCs w:val="30"/>
          <w:highlight w:val="none"/>
        </w:rPr>
        <w:t xml:space="preserve">             </w:t>
      </w:r>
      <w:r>
        <w:rPr>
          <w:rFonts w:hint="eastAsia" w:ascii="宋体" w:hAnsi="宋体" w:eastAsia="宋体" w:cs="Times New Roman"/>
          <w:color w:val="auto"/>
          <w:sz w:val="24"/>
          <w:szCs w:val="21"/>
          <w:highlight w:val="none"/>
        </w:rPr>
        <w:t xml:space="preserve">          供应商全称（加盖CA电子公章）：</w:t>
      </w:r>
    </w:p>
    <w:p w14:paraId="05CD061B">
      <w:pPr>
        <w:tabs>
          <w:tab w:val="left" w:pos="4860"/>
        </w:tabs>
        <w:spacing w:line="588" w:lineRule="exact"/>
        <w:ind w:right="1560" w:firstLine="480"/>
        <w:jc w:val="center"/>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        日  期：</w:t>
      </w:r>
    </w:p>
    <w:p w14:paraId="5738E250">
      <w:pPr>
        <w:spacing w:line="560" w:lineRule="exact"/>
        <w:jc w:val="center"/>
        <w:rPr>
          <w:rFonts w:hint="eastAsia" w:ascii="黑体" w:hAnsi="黑体" w:eastAsia="黑体" w:cs="Times New Roman"/>
          <w:b/>
          <w:color w:val="auto"/>
          <w:sz w:val="32"/>
          <w:szCs w:val="32"/>
          <w:highlight w:val="none"/>
        </w:rPr>
      </w:pPr>
    </w:p>
    <w:p w14:paraId="4BCD5AD3">
      <w:pPr>
        <w:spacing w:line="560" w:lineRule="exact"/>
        <w:jc w:val="center"/>
        <w:rPr>
          <w:rFonts w:hint="eastAsia" w:ascii="黑体" w:hAnsi="黑体" w:eastAsia="黑体" w:cs="Times New Roman"/>
          <w:b/>
          <w:color w:val="auto"/>
          <w:sz w:val="32"/>
          <w:szCs w:val="32"/>
          <w:highlight w:val="none"/>
        </w:rPr>
      </w:pPr>
    </w:p>
    <w:p w14:paraId="67EDF94B">
      <w:pPr>
        <w:spacing w:line="560" w:lineRule="exact"/>
        <w:jc w:val="center"/>
        <w:rPr>
          <w:rFonts w:hint="eastAsia" w:ascii="黑体" w:hAnsi="黑体" w:eastAsia="黑体" w:cs="Times New Roman"/>
          <w:b/>
          <w:color w:val="auto"/>
          <w:sz w:val="32"/>
          <w:szCs w:val="32"/>
          <w:highlight w:val="none"/>
        </w:rPr>
      </w:pPr>
    </w:p>
    <w:p w14:paraId="6DFF7924">
      <w:pPr>
        <w:spacing w:line="560" w:lineRule="exact"/>
        <w:jc w:val="center"/>
        <w:rPr>
          <w:rFonts w:hint="eastAsia" w:ascii="黑体" w:hAnsi="黑体" w:eastAsia="黑体" w:cs="Times New Roman"/>
          <w:b/>
          <w:color w:val="auto"/>
          <w:sz w:val="32"/>
          <w:szCs w:val="32"/>
          <w:highlight w:val="none"/>
        </w:rPr>
      </w:pPr>
    </w:p>
    <w:p w14:paraId="227191E6">
      <w:pPr>
        <w:spacing w:line="560" w:lineRule="exact"/>
        <w:jc w:val="center"/>
        <w:rPr>
          <w:rFonts w:hint="eastAsia" w:ascii="黑体" w:hAnsi="黑体" w:eastAsia="黑体" w:cs="Times New Roman"/>
          <w:b/>
          <w:color w:val="auto"/>
          <w:sz w:val="32"/>
          <w:szCs w:val="32"/>
          <w:highlight w:val="none"/>
        </w:rPr>
      </w:pPr>
    </w:p>
    <w:p w14:paraId="3DE91B9E">
      <w:pPr>
        <w:spacing w:line="560" w:lineRule="exact"/>
        <w:jc w:val="center"/>
        <w:rPr>
          <w:rFonts w:hint="eastAsia" w:ascii="黑体" w:hAnsi="黑体" w:eastAsia="黑体" w:cs="Times New Roman"/>
          <w:b/>
          <w:color w:val="auto"/>
          <w:sz w:val="32"/>
          <w:szCs w:val="32"/>
          <w:highlight w:val="none"/>
        </w:rPr>
      </w:pPr>
    </w:p>
    <w:p w14:paraId="0450CDDF">
      <w:pPr>
        <w:spacing w:line="560" w:lineRule="exact"/>
        <w:jc w:val="center"/>
        <w:rPr>
          <w:rFonts w:hint="eastAsia" w:ascii="黑体" w:hAnsi="黑体" w:eastAsia="黑体" w:cs="Times New Roman"/>
          <w:b/>
          <w:color w:val="auto"/>
          <w:sz w:val="32"/>
          <w:szCs w:val="32"/>
          <w:highlight w:val="none"/>
        </w:rPr>
      </w:pPr>
    </w:p>
    <w:p w14:paraId="604961C9">
      <w:pPr>
        <w:spacing w:line="560" w:lineRule="exact"/>
        <w:jc w:val="center"/>
        <w:rPr>
          <w:rFonts w:hint="eastAsia" w:ascii="黑体" w:hAnsi="黑体" w:eastAsia="黑体" w:cs="Times New Roman"/>
          <w:b/>
          <w:color w:val="auto"/>
          <w:sz w:val="32"/>
          <w:szCs w:val="32"/>
          <w:highlight w:val="none"/>
        </w:rPr>
      </w:pPr>
    </w:p>
    <w:p w14:paraId="799FC33D">
      <w:pPr>
        <w:spacing w:line="560" w:lineRule="exact"/>
        <w:jc w:val="center"/>
        <w:rPr>
          <w:rFonts w:hint="eastAsia" w:ascii="黑体" w:hAnsi="黑体" w:eastAsia="黑体" w:cs="Times New Roman"/>
          <w:b/>
          <w:color w:val="auto"/>
          <w:sz w:val="32"/>
          <w:szCs w:val="32"/>
          <w:highlight w:val="none"/>
        </w:rPr>
      </w:pPr>
    </w:p>
    <w:p w14:paraId="239A2F60">
      <w:pPr>
        <w:spacing w:line="560" w:lineRule="exact"/>
        <w:jc w:val="center"/>
        <w:rPr>
          <w:rFonts w:hint="eastAsia" w:ascii="黑体" w:hAnsi="黑体" w:eastAsia="黑体" w:cs="Times New Roman"/>
          <w:b/>
          <w:color w:val="auto"/>
          <w:sz w:val="32"/>
          <w:szCs w:val="32"/>
          <w:highlight w:val="none"/>
        </w:rPr>
      </w:pPr>
    </w:p>
    <w:p w14:paraId="0A4A5320">
      <w:pPr>
        <w:spacing w:line="560" w:lineRule="exact"/>
        <w:jc w:val="center"/>
        <w:rPr>
          <w:rFonts w:hint="eastAsia" w:ascii="黑体" w:hAnsi="黑体" w:eastAsia="黑体" w:cs="Times New Roman"/>
          <w:b/>
          <w:color w:val="auto"/>
          <w:sz w:val="32"/>
          <w:szCs w:val="32"/>
          <w:highlight w:val="none"/>
        </w:rPr>
      </w:pPr>
    </w:p>
    <w:p w14:paraId="3B66E5E9">
      <w:pPr>
        <w:spacing w:line="460" w:lineRule="exact"/>
        <w:rPr>
          <w:rFonts w:hint="eastAsia" w:ascii="黑体" w:hAnsi="黑体" w:eastAsia="黑体" w:cs="Times New Roman"/>
          <w:b/>
          <w:color w:val="auto"/>
          <w:sz w:val="32"/>
          <w:szCs w:val="32"/>
          <w:highlight w:val="none"/>
        </w:rPr>
      </w:pPr>
    </w:p>
    <w:p w14:paraId="0879F522">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p>
    <w:p w14:paraId="0222BD89">
      <w:pPr>
        <w:numPr>
          <w:ilvl w:val="0"/>
          <w:numId w:val="3"/>
        </w:numPr>
        <w:spacing w:line="460" w:lineRule="exact"/>
        <w:ind w:left="0" w:firstLine="321"/>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t>磋商响应报价表</w:t>
      </w:r>
    </w:p>
    <w:p w14:paraId="321C56E6">
      <w:pPr>
        <w:widowControl w:val="0"/>
        <w:numPr>
          <w:ilvl w:val="0"/>
          <w:numId w:val="0"/>
        </w:numPr>
        <w:spacing w:after="0" w:line="360" w:lineRule="auto"/>
        <w:ind w:left="210" w:firstLine="420"/>
        <w:jc w:val="both"/>
        <w:rPr>
          <w:rFonts w:hint="eastAsia" w:ascii="宋体" w:hAnsi="宋体" w:eastAsia="宋体" w:cs="Times New Roman"/>
          <w:color w:val="auto"/>
          <w:sz w:val="21"/>
          <w:szCs w:val="20"/>
          <w:highlight w:val="none"/>
          <w:lang w:val="en-US" w:eastAsia="zh-CN" w:bidi="ar-SA"/>
        </w:rPr>
      </w:pP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9"/>
        <w:gridCol w:w="7600"/>
      </w:tblGrid>
      <w:tr w14:paraId="279D3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1539" w:type="dxa"/>
            <w:noWrap w:val="0"/>
            <w:vAlign w:val="center"/>
          </w:tcPr>
          <w:p w14:paraId="18D7AF02">
            <w:pPr>
              <w:widowControl w:val="0"/>
              <w:spacing w:line="400" w:lineRule="exact"/>
              <w:ind w:left="0" w:firstLine="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   目</w:t>
            </w:r>
          </w:p>
        </w:tc>
        <w:tc>
          <w:tcPr>
            <w:tcW w:w="7600" w:type="dxa"/>
            <w:noWrap w:val="0"/>
            <w:vAlign w:val="center"/>
          </w:tcPr>
          <w:p w14:paraId="45D2ECCC">
            <w:pPr>
              <w:widowControl w:val="0"/>
              <w:spacing w:line="400" w:lineRule="exact"/>
              <w:ind w:left="0" w:firstLine="12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项目名称：</w:t>
            </w:r>
          </w:p>
          <w:p w14:paraId="6D15B247">
            <w:pPr>
              <w:widowControl w:val="0"/>
              <w:spacing w:line="400" w:lineRule="exact"/>
              <w:ind w:left="0" w:firstLine="12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项目编号：</w:t>
            </w:r>
          </w:p>
        </w:tc>
      </w:tr>
      <w:tr w14:paraId="37967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74" w:hRule="atLeast"/>
          <w:jc w:val="center"/>
        </w:trPr>
        <w:tc>
          <w:tcPr>
            <w:tcW w:w="1539" w:type="dxa"/>
            <w:noWrap w:val="0"/>
            <w:vAlign w:val="center"/>
          </w:tcPr>
          <w:p w14:paraId="2E5E13CB">
            <w:pPr>
              <w:widowControl w:val="0"/>
              <w:spacing w:line="400" w:lineRule="exact"/>
              <w:ind w:lef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响应</w:t>
            </w:r>
          </w:p>
          <w:p w14:paraId="75CF44A9">
            <w:pPr>
              <w:widowControl w:val="0"/>
              <w:spacing w:line="400" w:lineRule="exact"/>
              <w:ind w:lef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报价</w:t>
            </w:r>
          </w:p>
        </w:tc>
        <w:tc>
          <w:tcPr>
            <w:tcW w:w="7600" w:type="dxa"/>
            <w:noWrap w:val="0"/>
            <w:vAlign w:val="center"/>
          </w:tcPr>
          <w:p w14:paraId="6FD60F16">
            <w:pPr>
              <w:widowControl w:val="0"/>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人民币（大写）：</w:t>
            </w:r>
          </w:p>
          <w:p w14:paraId="1B88D89E">
            <w:pPr>
              <w:widowControl w:val="0"/>
              <w:spacing w:line="560" w:lineRule="exact"/>
              <w:ind w:firstLine="72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（小写）：</w:t>
            </w:r>
          </w:p>
        </w:tc>
      </w:tr>
      <w:tr w14:paraId="0CA03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1" w:hRule="atLeast"/>
          <w:jc w:val="center"/>
        </w:trPr>
        <w:tc>
          <w:tcPr>
            <w:tcW w:w="1539" w:type="dxa"/>
            <w:noWrap w:val="0"/>
            <w:vAlign w:val="center"/>
          </w:tcPr>
          <w:p w14:paraId="43261DD3">
            <w:pPr>
              <w:widowControl w:val="0"/>
              <w:spacing w:line="400" w:lineRule="exact"/>
              <w:ind w:left="0" w:firstLine="480"/>
              <w:jc w:val="both"/>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工期</w:t>
            </w:r>
          </w:p>
        </w:tc>
        <w:tc>
          <w:tcPr>
            <w:tcW w:w="7600" w:type="dxa"/>
            <w:noWrap w:val="0"/>
            <w:vAlign w:val="center"/>
          </w:tcPr>
          <w:p w14:paraId="5F1A05B0">
            <w:pPr>
              <w:widowControl w:val="0"/>
              <w:spacing w:line="400" w:lineRule="exact"/>
              <w:ind w:left="359" w:firstLine="480"/>
              <w:jc w:val="both"/>
              <w:rPr>
                <w:rFonts w:hint="eastAsia" w:ascii="宋体" w:hAnsi="宋体" w:eastAsia="宋体" w:cs="宋体"/>
                <w:bCs/>
                <w:color w:val="auto"/>
                <w:sz w:val="24"/>
                <w:szCs w:val="24"/>
                <w:highlight w:val="none"/>
                <w:lang w:val="en-US" w:eastAsia="zh-CN" w:bidi="ar-SA"/>
              </w:rPr>
            </w:pPr>
          </w:p>
        </w:tc>
      </w:tr>
      <w:tr w14:paraId="64AC5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1" w:hRule="atLeast"/>
          <w:jc w:val="center"/>
        </w:trPr>
        <w:tc>
          <w:tcPr>
            <w:tcW w:w="9139" w:type="dxa"/>
            <w:gridSpan w:val="2"/>
            <w:noWrap w:val="0"/>
            <w:vAlign w:val="center"/>
          </w:tcPr>
          <w:p w14:paraId="39D4F34D">
            <w:pPr>
              <w:widowControl w:val="0"/>
              <w:spacing w:line="400" w:lineRule="exact"/>
              <w:ind w:left="359"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质量标准：</w:t>
            </w:r>
          </w:p>
          <w:p w14:paraId="45266C58">
            <w:pPr>
              <w:widowControl w:val="0"/>
              <w:spacing w:line="400" w:lineRule="exact"/>
              <w:ind w:left="359"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项目负责人：</w:t>
            </w:r>
          </w:p>
          <w:p w14:paraId="00D2E8EE">
            <w:pPr>
              <w:widowControl w:val="0"/>
              <w:spacing w:line="400" w:lineRule="exact"/>
              <w:ind w:left="359"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投标资质：      </w:t>
            </w:r>
          </w:p>
        </w:tc>
      </w:tr>
    </w:tbl>
    <w:p w14:paraId="50944FA6">
      <w:pPr>
        <w:rPr>
          <w:rFonts w:hint="eastAsia" w:ascii="Times New Roman" w:hAnsi="Times New Roman" w:eastAsia="宋体" w:cs="Times New Roman"/>
          <w:color w:val="auto"/>
          <w:szCs w:val="21"/>
          <w:highlight w:val="none"/>
        </w:rPr>
      </w:pPr>
    </w:p>
    <w:p w14:paraId="5926F678">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w:t>
      </w:r>
      <w:r>
        <w:rPr>
          <w:rFonts w:hint="eastAsia" w:ascii="宋体" w:hAnsi="宋体" w:eastAsia="宋体" w:cs="宋体"/>
          <w:color w:val="auto"/>
          <w:sz w:val="24"/>
          <w:szCs w:val="24"/>
          <w:highlight w:val="none"/>
          <w:lang w:eastAsia="zh-CN"/>
        </w:rPr>
        <w:t>供应商（公章）</w:t>
      </w:r>
      <w:r>
        <w:rPr>
          <w:rFonts w:hint="eastAsia" w:ascii="宋体" w:hAnsi="宋体" w:eastAsia="宋体" w:cs="宋体"/>
          <w:color w:val="auto"/>
          <w:sz w:val="24"/>
          <w:szCs w:val="24"/>
          <w:highlight w:val="none"/>
        </w:rPr>
        <w:t xml:space="preserve">：                  </w:t>
      </w:r>
    </w:p>
    <w:p w14:paraId="6622E870">
      <w:pPr>
        <w:spacing w:line="360" w:lineRule="auto"/>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lang w:eastAsia="zh-CN"/>
        </w:rPr>
        <w:t>或</w:t>
      </w: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lang w:eastAsia="zh-CN"/>
        </w:rPr>
        <w:t>人（</w:t>
      </w:r>
      <w:r>
        <w:rPr>
          <w:rFonts w:hint="eastAsia" w:ascii="宋体" w:hAnsi="宋体" w:eastAsia="宋体" w:cs="宋体"/>
          <w:color w:val="auto"/>
          <w:sz w:val="24"/>
          <w:szCs w:val="24"/>
          <w:highlight w:val="none"/>
        </w:rPr>
        <w:t>签名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09B796B9">
      <w:pPr>
        <w:jc w:val="center"/>
        <w:rPr>
          <w:rFonts w:hint="eastAsia" w:ascii="黑体" w:hAnsi="黑体" w:eastAsia="黑体" w:cs="Times New Roman"/>
          <w:b/>
          <w:color w:val="auto"/>
          <w:sz w:val="32"/>
          <w:szCs w:val="32"/>
          <w:highlight w:val="none"/>
        </w:rPr>
      </w:pPr>
    </w:p>
    <w:p w14:paraId="3D4C8EC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注:①磋商报价应包括磋商文件所确定的采购范围的全部内容，但该</w:t>
      </w:r>
      <w:r>
        <w:rPr>
          <w:rFonts w:hint="eastAsia" w:ascii="宋体" w:hAnsi="宋体" w:eastAsia="宋体" w:cs="宋体"/>
          <w:b/>
          <w:bCs/>
          <w:color w:val="auto"/>
          <w:sz w:val="24"/>
          <w:szCs w:val="24"/>
          <w:highlight w:val="none"/>
        </w:rPr>
        <w:t>表报价非本次磋商的最后报价</w:t>
      </w:r>
      <w:r>
        <w:rPr>
          <w:rFonts w:hint="eastAsia" w:ascii="宋体" w:hAnsi="宋体" w:eastAsia="宋体" w:cs="宋体"/>
          <w:color w:val="auto"/>
          <w:sz w:val="24"/>
          <w:szCs w:val="24"/>
          <w:highlight w:val="none"/>
        </w:rPr>
        <w:t>。</w:t>
      </w:r>
    </w:p>
    <w:p w14:paraId="096362A1">
      <w:p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十二、</w:t>
      </w:r>
      <w:r>
        <w:rPr>
          <w:rFonts w:hint="eastAsia" w:ascii="黑体" w:hAnsi="黑体" w:eastAsia="黑体" w:cs="Times New Roman"/>
          <w:b/>
          <w:color w:val="auto"/>
          <w:sz w:val="32"/>
          <w:szCs w:val="32"/>
          <w:highlight w:val="none"/>
          <w:lang w:eastAsia="zh-CN"/>
        </w:rPr>
        <w:t>已标价的工程量清单</w:t>
      </w:r>
    </w:p>
    <w:p w14:paraId="121901A9">
      <w:pP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br w:type="page" w:clear="all"/>
      </w:r>
    </w:p>
    <w:p w14:paraId="476FEF36">
      <w:pPr>
        <w:jc w:val="center"/>
        <w:rPr>
          <w:rFonts w:hint="eastAsia" w:ascii="宋体" w:hAnsi="宋体" w:eastAsia="宋体" w:cs="宋体"/>
          <w:b/>
          <w:color w:val="auto"/>
          <w:sz w:val="30"/>
          <w:szCs w:val="30"/>
          <w:highlight w:val="none"/>
        </w:rPr>
      </w:pPr>
      <w:r>
        <w:rPr>
          <w:rFonts w:hint="eastAsia" w:ascii="黑体" w:hAnsi="黑体" w:eastAsia="黑体" w:cs="Times New Roman"/>
          <w:b/>
          <w:color w:val="auto"/>
          <w:sz w:val="32"/>
          <w:szCs w:val="32"/>
          <w:highlight w:val="none"/>
          <w:lang w:eastAsia="zh-CN"/>
        </w:rPr>
        <w:t>十三、</w:t>
      </w:r>
      <w:r>
        <w:rPr>
          <w:rFonts w:hint="eastAsia" w:ascii="宋体" w:hAnsi="宋体" w:eastAsia="宋体" w:cs="宋体"/>
          <w:b/>
          <w:color w:val="auto"/>
          <w:sz w:val="30"/>
          <w:szCs w:val="30"/>
          <w:highlight w:val="none"/>
          <w:u w:val="single"/>
        </w:rPr>
        <w:t>技术文件</w:t>
      </w:r>
    </w:p>
    <w:p w14:paraId="5406A196">
      <w:pPr>
        <w:numPr>
          <w:ilvl w:val="0"/>
          <w:numId w:val="0"/>
        </w:num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技术方案</w:t>
      </w:r>
    </w:p>
    <w:p w14:paraId="79017979">
      <w:pPr>
        <w:spacing w:line="460" w:lineRule="exact"/>
        <w:jc w:val="center"/>
        <w:rPr>
          <w:rFonts w:hint="eastAsia" w:ascii="宋体" w:hAnsi="宋体" w:eastAsia="宋体" w:cs="Times New Roman"/>
          <w:bCs/>
          <w:color w:val="auto"/>
          <w:sz w:val="24"/>
          <w:szCs w:val="21"/>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eastAsia="zh-CN"/>
        </w:rPr>
        <w:t>供应商</w:t>
      </w:r>
      <w:r>
        <w:rPr>
          <w:rFonts w:hint="eastAsia" w:ascii="宋体" w:hAnsi="宋体" w:eastAsia="宋体" w:cs="宋体"/>
          <w:b/>
          <w:color w:val="auto"/>
          <w:sz w:val="24"/>
          <w:szCs w:val="24"/>
          <w:highlight w:val="none"/>
        </w:rPr>
        <w:t>按“项目需求”等内容要求自行填写，格式自定）</w:t>
      </w:r>
    </w:p>
    <w:p w14:paraId="38C3E854">
      <w:pPr>
        <w:rPr>
          <w:rFonts w:ascii="宋体" w:hAnsi="宋体" w:eastAsia="宋体" w:cs="Times New Roman"/>
          <w:color w:val="auto"/>
          <w:sz w:val="24"/>
          <w:szCs w:val="24"/>
          <w:highlight w:val="none"/>
        </w:rPr>
      </w:pPr>
    </w:p>
    <w:p w14:paraId="36B8E43B">
      <w:pPr>
        <w:rPr>
          <w:rFonts w:hint="eastAsia" w:ascii="宋体" w:hAnsi="宋体" w:eastAsia="宋体" w:cs="Times New Roman"/>
          <w:color w:val="auto"/>
          <w:sz w:val="24"/>
          <w:szCs w:val="24"/>
          <w:highlight w:val="none"/>
        </w:rPr>
      </w:pPr>
    </w:p>
    <w:p w14:paraId="609F6030">
      <w:pPr>
        <w:rPr>
          <w:rFonts w:hint="eastAsia" w:ascii="宋体" w:hAnsi="宋体" w:eastAsia="宋体" w:cs="Times New Roman"/>
          <w:color w:val="auto"/>
          <w:sz w:val="24"/>
          <w:szCs w:val="24"/>
          <w:highlight w:val="none"/>
        </w:rPr>
      </w:pPr>
    </w:p>
    <w:p w14:paraId="08CF6B3F">
      <w:pPr>
        <w:rPr>
          <w:rFonts w:hint="eastAsia" w:ascii="宋体" w:hAnsi="宋体" w:eastAsia="宋体" w:cs="Times New Roman"/>
          <w:color w:val="auto"/>
          <w:sz w:val="24"/>
          <w:szCs w:val="24"/>
          <w:highlight w:val="none"/>
        </w:rPr>
      </w:pPr>
    </w:p>
    <w:p w14:paraId="39B3D6E4">
      <w:pPr>
        <w:jc w:val="cente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r>
        <w:rPr>
          <w:rFonts w:hint="eastAsia" w:ascii="黑体" w:hAnsi="黑体" w:eastAsia="黑体" w:cs="Times New Roman"/>
          <w:b/>
          <w:color w:val="auto"/>
          <w:sz w:val="32"/>
          <w:szCs w:val="32"/>
          <w:highlight w:val="none"/>
        </w:rPr>
        <w:t>十</w:t>
      </w:r>
      <w:r>
        <w:rPr>
          <w:rFonts w:hint="eastAsia" w:ascii="黑体" w:hAnsi="黑体" w:eastAsia="黑体" w:cs="Times New Roman"/>
          <w:b/>
          <w:color w:val="auto"/>
          <w:sz w:val="32"/>
          <w:szCs w:val="32"/>
          <w:highlight w:val="none"/>
          <w:lang w:eastAsia="zh-CN"/>
        </w:rPr>
        <w:t>四</w:t>
      </w:r>
      <w:r>
        <w:rPr>
          <w:rFonts w:hint="eastAsia" w:ascii="黑体" w:hAnsi="黑体" w:eastAsia="黑体" w:cs="Times New Roman"/>
          <w:b/>
          <w:color w:val="auto"/>
          <w:sz w:val="32"/>
          <w:szCs w:val="32"/>
          <w:highlight w:val="none"/>
        </w:rPr>
        <w:t>、商务要求响应及偏离表</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3092"/>
        <w:gridCol w:w="2908"/>
        <w:gridCol w:w="1252"/>
        <w:gridCol w:w="1173"/>
      </w:tblGrid>
      <w:tr w14:paraId="3907F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44" w:type="dxa"/>
            <w:noWrap w:val="0"/>
            <w:vAlign w:val="center"/>
          </w:tcPr>
          <w:p w14:paraId="1496C62A">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bookmarkStart w:id="54" w:name="_Hlt26955056"/>
            <w:bookmarkEnd w:id="54"/>
            <w:bookmarkStart w:id="55" w:name="_Hlt24879081"/>
            <w:bookmarkEnd w:id="55"/>
            <w:bookmarkStart w:id="56" w:name="_Hlt26609391"/>
            <w:bookmarkEnd w:id="56"/>
            <w:bookmarkStart w:id="57" w:name="_Hlt26955064"/>
            <w:bookmarkEnd w:id="57"/>
            <w:bookmarkStart w:id="58" w:name="_Hlt26671372"/>
            <w:bookmarkEnd w:id="58"/>
            <w:bookmarkStart w:id="59" w:name="_Hlt26580838"/>
            <w:bookmarkEnd w:id="59"/>
            <w:bookmarkStart w:id="60" w:name="_Hlt26671343"/>
            <w:bookmarkEnd w:id="60"/>
            <w:bookmarkStart w:id="61" w:name="_Hlt26782999"/>
            <w:bookmarkEnd w:id="61"/>
            <w:r>
              <w:rPr>
                <w:rFonts w:hint="eastAsia" w:ascii="宋体" w:hAnsi="宋体" w:eastAsia="宋体" w:cs="Times New Roman"/>
                <w:color w:val="auto"/>
                <w:sz w:val="24"/>
                <w:szCs w:val="24"/>
                <w:highlight w:val="none"/>
              </w:rPr>
              <w:t>序号</w:t>
            </w:r>
          </w:p>
        </w:tc>
        <w:tc>
          <w:tcPr>
            <w:tcW w:w="3092" w:type="dxa"/>
            <w:noWrap w:val="0"/>
            <w:vAlign w:val="center"/>
          </w:tcPr>
          <w:p w14:paraId="1F6DD14C">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磋商文件要求</w:t>
            </w:r>
          </w:p>
        </w:tc>
        <w:tc>
          <w:tcPr>
            <w:tcW w:w="2908" w:type="dxa"/>
            <w:noWrap w:val="0"/>
            <w:vAlign w:val="center"/>
          </w:tcPr>
          <w:p w14:paraId="1B81609C">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响应情况</w:t>
            </w:r>
          </w:p>
        </w:tc>
        <w:tc>
          <w:tcPr>
            <w:tcW w:w="1252" w:type="dxa"/>
            <w:noWrap w:val="0"/>
            <w:vAlign w:val="center"/>
          </w:tcPr>
          <w:p w14:paraId="748ED0A7">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超出、符合或偏离</w:t>
            </w:r>
          </w:p>
        </w:tc>
        <w:tc>
          <w:tcPr>
            <w:tcW w:w="1173" w:type="dxa"/>
            <w:noWrap w:val="0"/>
            <w:vAlign w:val="center"/>
          </w:tcPr>
          <w:p w14:paraId="42F79B18">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证明</w:t>
            </w:r>
          </w:p>
          <w:p w14:paraId="11D4AC47">
            <w:pPr>
              <w:keepNext w:val="0"/>
              <w:keepLines w:val="0"/>
              <w:pageBreakBefore w:val="0"/>
              <w:widowControl w:val="0"/>
              <w:spacing w:line="440" w:lineRule="exac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材料</w:t>
            </w:r>
          </w:p>
        </w:tc>
      </w:tr>
      <w:tr w14:paraId="5C228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3E05C15E">
            <w:pPr>
              <w:jc w:val="center"/>
              <w:rPr>
                <w:rFonts w:hint="eastAsia" w:ascii="宋体" w:hAnsi="宋体" w:eastAsia="宋体" w:cs="Times New Roman"/>
                <w:color w:val="auto"/>
                <w:sz w:val="24"/>
                <w:szCs w:val="24"/>
                <w:highlight w:val="none"/>
              </w:rPr>
            </w:pPr>
          </w:p>
        </w:tc>
        <w:tc>
          <w:tcPr>
            <w:tcW w:w="3092" w:type="dxa"/>
            <w:noWrap w:val="0"/>
            <w:vAlign w:val="top"/>
          </w:tcPr>
          <w:p w14:paraId="0B512948">
            <w:pPr>
              <w:jc w:val="center"/>
              <w:rPr>
                <w:rFonts w:hint="eastAsia" w:ascii="宋体" w:hAnsi="宋体" w:eastAsia="宋体" w:cs="Times New Roman"/>
                <w:color w:val="auto"/>
                <w:sz w:val="24"/>
                <w:szCs w:val="24"/>
                <w:highlight w:val="none"/>
              </w:rPr>
            </w:pPr>
          </w:p>
        </w:tc>
        <w:tc>
          <w:tcPr>
            <w:tcW w:w="2908" w:type="dxa"/>
            <w:noWrap w:val="0"/>
            <w:vAlign w:val="top"/>
          </w:tcPr>
          <w:p w14:paraId="5621634E">
            <w:pPr>
              <w:jc w:val="center"/>
              <w:rPr>
                <w:rFonts w:hint="eastAsia" w:ascii="宋体" w:hAnsi="宋体" w:eastAsia="宋体" w:cs="Times New Roman"/>
                <w:color w:val="auto"/>
                <w:sz w:val="24"/>
                <w:szCs w:val="24"/>
                <w:highlight w:val="none"/>
              </w:rPr>
            </w:pPr>
          </w:p>
        </w:tc>
        <w:tc>
          <w:tcPr>
            <w:tcW w:w="1252" w:type="dxa"/>
            <w:noWrap w:val="0"/>
            <w:vAlign w:val="top"/>
          </w:tcPr>
          <w:p w14:paraId="15EDEBAF">
            <w:pPr>
              <w:jc w:val="center"/>
              <w:rPr>
                <w:rFonts w:hint="eastAsia" w:ascii="宋体" w:hAnsi="宋体" w:eastAsia="宋体" w:cs="Times New Roman"/>
                <w:color w:val="auto"/>
                <w:sz w:val="24"/>
                <w:szCs w:val="24"/>
                <w:highlight w:val="none"/>
              </w:rPr>
            </w:pPr>
          </w:p>
        </w:tc>
        <w:tc>
          <w:tcPr>
            <w:tcW w:w="1173" w:type="dxa"/>
            <w:noWrap w:val="0"/>
            <w:vAlign w:val="top"/>
          </w:tcPr>
          <w:p w14:paraId="27E80F2E">
            <w:pPr>
              <w:jc w:val="center"/>
              <w:rPr>
                <w:rFonts w:hint="eastAsia" w:ascii="宋体" w:hAnsi="宋体" w:eastAsia="宋体" w:cs="Times New Roman"/>
                <w:color w:val="auto"/>
                <w:sz w:val="24"/>
                <w:szCs w:val="24"/>
                <w:highlight w:val="none"/>
              </w:rPr>
            </w:pPr>
          </w:p>
        </w:tc>
      </w:tr>
      <w:tr w14:paraId="71C70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3A62BAE3">
            <w:pPr>
              <w:jc w:val="center"/>
              <w:rPr>
                <w:rFonts w:hint="eastAsia" w:ascii="宋体" w:hAnsi="宋体" w:eastAsia="宋体" w:cs="Times New Roman"/>
                <w:color w:val="auto"/>
                <w:sz w:val="24"/>
                <w:szCs w:val="24"/>
                <w:highlight w:val="none"/>
              </w:rPr>
            </w:pPr>
          </w:p>
        </w:tc>
        <w:tc>
          <w:tcPr>
            <w:tcW w:w="3092" w:type="dxa"/>
            <w:noWrap w:val="0"/>
            <w:vAlign w:val="top"/>
          </w:tcPr>
          <w:p w14:paraId="0585C519">
            <w:pPr>
              <w:jc w:val="center"/>
              <w:rPr>
                <w:rFonts w:hint="eastAsia" w:ascii="宋体" w:hAnsi="宋体" w:eastAsia="宋体" w:cs="Times New Roman"/>
                <w:color w:val="auto"/>
                <w:sz w:val="24"/>
                <w:szCs w:val="24"/>
                <w:highlight w:val="none"/>
              </w:rPr>
            </w:pPr>
          </w:p>
        </w:tc>
        <w:tc>
          <w:tcPr>
            <w:tcW w:w="2908" w:type="dxa"/>
            <w:noWrap w:val="0"/>
            <w:vAlign w:val="top"/>
          </w:tcPr>
          <w:p w14:paraId="334EDB44">
            <w:pPr>
              <w:jc w:val="center"/>
              <w:rPr>
                <w:rFonts w:hint="eastAsia" w:ascii="宋体" w:hAnsi="宋体" w:eastAsia="宋体" w:cs="Times New Roman"/>
                <w:color w:val="auto"/>
                <w:sz w:val="24"/>
                <w:szCs w:val="24"/>
                <w:highlight w:val="none"/>
              </w:rPr>
            </w:pPr>
          </w:p>
        </w:tc>
        <w:tc>
          <w:tcPr>
            <w:tcW w:w="1252" w:type="dxa"/>
            <w:noWrap w:val="0"/>
            <w:vAlign w:val="top"/>
          </w:tcPr>
          <w:p w14:paraId="30ADCA91">
            <w:pPr>
              <w:jc w:val="center"/>
              <w:rPr>
                <w:rFonts w:hint="eastAsia" w:ascii="宋体" w:hAnsi="宋体" w:eastAsia="宋体" w:cs="Times New Roman"/>
                <w:color w:val="auto"/>
                <w:sz w:val="24"/>
                <w:szCs w:val="24"/>
                <w:highlight w:val="none"/>
              </w:rPr>
            </w:pPr>
          </w:p>
        </w:tc>
        <w:tc>
          <w:tcPr>
            <w:tcW w:w="1173" w:type="dxa"/>
            <w:noWrap w:val="0"/>
            <w:vAlign w:val="top"/>
          </w:tcPr>
          <w:p w14:paraId="3EC5F750">
            <w:pPr>
              <w:jc w:val="center"/>
              <w:rPr>
                <w:rFonts w:hint="eastAsia" w:ascii="宋体" w:hAnsi="宋体" w:eastAsia="宋体" w:cs="Times New Roman"/>
                <w:color w:val="auto"/>
                <w:sz w:val="24"/>
                <w:szCs w:val="24"/>
                <w:highlight w:val="none"/>
              </w:rPr>
            </w:pPr>
          </w:p>
        </w:tc>
      </w:tr>
      <w:tr w14:paraId="71F33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22509BC4">
            <w:pPr>
              <w:jc w:val="center"/>
              <w:rPr>
                <w:rFonts w:hint="eastAsia" w:ascii="宋体" w:hAnsi="宋体" w:eastAsia="宋体" w:cs="Times New Roman"/>
                <w:color w:val="auto"/>
                <w:sz w:val="24"/>
                <w:szCs w:val="24"/>
                <w:highlight w:val="none"/>
              </w:rPr>
            </w:pPr>
          </w:p>
        </w:tc>
        <w:tc>
          <w:tcPr>
            <w:tcW w:w="3092" w:type="dxa"/>
            <w:noWrap w:val="0"/>
            <w:vAlign w:val="top"/>
          </w:tcPr>
          <w:p w14:paraId="46C07AFA">
            <w:pPr>
              <w:jc w:val="center"/>
              <w:rPr>
                <w:rFonts w:hint="eastAsia" w:ascii="宋体" w:hAnsi="宋体" w:eastAsia="宋体" w:cs="Times New Roman"/>
                <w:color w:val="auto"/>
                <w:sz w:val="24"/>
                <w:szCs w:val="24"/>
                <w:highlight w:val="none"/>
              </w:rPr>
            </w:pPr>
          </w:p>
        </w:tc>
        <w:tc>
          <w:tcPr>
            <w:tcW w:w="2908" w:type="dxa"/>
            <w:noWrap w:val="0"/>
            <w:vAlign w:val="top"/>
          </w:tcPr>
          <w:p w14:paraId="2053F2F1">
            <w:pPr>
              <w:jc w:val="center"/>
              <w:rPr>
                <w:rFonts w:hint="eastAsia" w:ascii="宋体" w:hAnsi="宋体" w:eastAsia="宋体" w:cs="Times New Roman"/>
                <w:color w:val="auto"/>
                <w:sz w:val="24"/>
                <w:szCs w:val="24"/>
                <w:highlight w:val="none"/>
              </w:rPr>
            </w:pPr>
          </w:p>
        </w:tc>
        <w:tc>
          <w:tcPr>
            <w:tcW w:w="1252" w:type="dxa"/>
            <w:noWrap w:val="0"/>
            <w:vAlign w:val="top"/>
          </w:tcPr>
          <w:p w14:paraId="025AF474">
            <w:pPr>
              <w:jc w:val="center"/>
              <w:rPr>
                <w:rFonts w:hint="eastAsia" w:ascii="宋体" w:hAnsi="宋体" w:eastAsia="宋体" w:cs="Times New Roman"/>
                <w:color w:val="auto"/>
                <w:sz w:val="24"/>
                <w:szCs w:val="24"/>
                <w:highlight w:val="none"/>
              </w:rPr>
            </w:pPr>
          </w:p>
        </w:tc>
        <w:tc>
          <w:tcPr>
            <w:tcW w:w="1173" w:type="dxa"/>
            <w:noWrap w:val="0"/>
            <w:vAlign w:val="top"/>
          </w:tcPr>
          <w:p w14:paraId="6DFDC724">
            <w:pPr>
              <w:jc w:val="center"/>
              <w:rPr>
                <w:rFonts w:hint="eastAsia" w:ascii="宋体" w:hAnsi="宋体" w:eastAsia="宋体" w:cs="Times New Roman"/>
                <w:color w:val="auto"/>
                <w:sz w:val="24"/>
                <w:szCs w:val="24"/>
                <w:highlight w:val="none"/>
              </w:rPr>
            </w:pPr>
          </w:p>
        </w:tc>
      </w:tr>
      <w:tr w14:paraId="65BDF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562F63EA">
            <w:pPr>
              <w:jc w:val="center"/>
              <w:rPr>
                <w:rFonts w:hint="eastAsia" w:ascii="宋体" w:hAnsi="宋体" w:eastAsia="宋体" w:cs="Times New Roman"/>
                <w:color w:val="auto"/>
                <w:sz w:val="24"/>
                <w:szCs w:val="24"/>
                <w:highlight w:val="none"/>
              </w:rPr>
            </w:pPr>
          </w:p>
        </w:tc>
        <w:tc>
          <w:tcPr>
            <w:tcW w:w="3092" w:type="dxa"/>
            <w:noWrap w:val="0"/>
            <w:vAlign w:val="top"/>
          </w:tcPr>
          <w:p w14:paraId="18C8A238">
            <w:pPr>
              <w:jc w:val="center"/>
              <w:rPr>
                <w:rFonts w:hint="eastAsia" w:ascii="宋体" w:hAnsi="宋体" w:eastAsia="宋体" w:cs="Times New Roman"/>
                <w:color w:val="auto"/>
                <w:sz w:val="24"/>
                <w:szCs w:val="24"/>
                <w:highlight w:val="none"/>
              </w:rPr>
            </w:pPr>
          </w:p>
        </w:tc>
        <w:tc>
          <w:tcPr>
            <w:tcW w:w="2908" w:type="dxa"/>
            <w:noWrap w:val="0"/>
            <w:vAlign w:val="top"/>
          </w:tcPr>
          <w:p w14:paraId="010372FC">
            <w:pPr>
              <w:jc w:val="center"/>
              <w:rPr>
                <w:rFonts w:hint="eastAsia" w:ascii="宋体" w:hAnsi="宋体" w:eastAsia="宋体" w:cs="Times New Roman"/>
                <w:color w:val="auto"/>
                <w:sz w:val="24"/>
                <w:szCs w:val="24"/>
                <w:highlight w:val="none"/>
              </w:rPr>
            </w:pPr>
          </w:p>
        </w:tc>
        <w:tc>
          <w:tcPr>
            <w:tcW w:w="1252" w:type="dxa"/>
            <w:noWrap w:val="0"/>
            <w:vAlign w:val="top"/>
          </w:tcPr>
          <w:p w14:paraId="68F62A52">
            <w:pPr>
              <w:jc w:val="center"/>
              <w:rPr>
                <w:rFonts w:hint="eastAsia" w:ascii="宋体" w:hAnsi="宋体" w:eastAsia="宋体" w:cs="Times New Roman"/>
                <w:color w:val="auto"/>
                <w:sz w:val="24"/>
                <w:szCs w:val="24"/>
                <w:highlight w:val="none"/>
              </w:rPr>
            </w:pPr>
          </w:p>
        </w:tc>
        <w:tc>
          <w:tcPr>
            <w:tcW w:w="1173" w:type="dxa"/>
            <w:noWrap w:val="0"/>
            <w:vAlign w:val="top"/>
          </w:tcPr>
          <w:p w14:paraId="3DCF3B17">
            <w:pPr>
              <w:jc w:val="center"/>
              <w:rPr>
                <w:rFonts w:hint="eastAsia" w:ascii="宋体" w:hAnsi="宋体" w:eastAsia="宋体" w:cs="Times New Roman"/>
                <w:color w:val="auto"/>
                <w:sz w:val="24"/>
                <w:szCs w:val="24"/>
                <w:highlight w:val="none"/>
              </w:rPr>
            </w:pPr>
          </w:p>
        </w:tc>
      </w:tr>
      <w:tr w14:paraId="4A0FE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7CEC30D0">
            <w:pPr>
              <w:jc w:val="center"/>
              <w:rPr>
                <w:rFonts w:hint="eastAsia" w:ascii="宋体" w:hAnsi="宋体" w:eastAsia="宋体" w:cs="Times New Roman"/>
                <w:color w:val="auto"/>
                <w:sz w:val="24"/>
                <w:szCs w:val="24"/>
                <w:highlight w:val="none"/>
              </w:rPr>
            </w:pPr>
          </w:p>
        </w:tc>
        <w:tc>
          <w:tcPr>
            <w:tcW w:w="3092" w:type="dxa"/>
            <w:noWrap w:val="0"/>
            <w:vAlign w:val="top"/>
          </w:tcPr>
          <w:p w14:paraId="14FD7222">
            <w:pPr>
              <w:jc w:val="center"/>
              <w:rPr>
                <w:rFonts w:hint="eastAsia" w:ascii="宋体" w:hAnsi="宋体" w:eastAsia="宋体" w:cs="Times New Roman"/>
                <w:color w:val="auto"/>
                <w:sz w:val="24"/>
                <w:szCs w:val="24"/>
                <w:highlight w:val="none"/>
              </w:rPr>
            </w:pPr>
          </w:p>
        </w:tc>
        <w:tc>
          <w:tcPr>
            <w:tcW w:w="2908" w:type="dxa"/>
            <w:noWrap w:val="0"/>
            <w:vAlign w:val="top"/>
          </w:tcPr>
          <w:p w14:paraId="6211B59E">
            <w:pPr>
              <w:jc w:val="center"/>
              <w:rPr>
                <w:rFonts w:hint="eastAsia" w:ascii="宋体" w:hAnsi="宋体" w:eastAsia="宋体" w:cs="Times New Roman"/>
                <w:color w:val="auto"/>
                <w:sz w:val="24"/>
                <w:szCs w:val="24"/>
                <w:highlight w:val="none"/>
              </w:rPr>
            </w:pPr>
          </w:p>
        </w:tc>
        <w:tc>
          <w:tcPr>
            <w:tcW w:w="1252" w:type="dxa"/>
            <w:noWrap w:val="0"/>
            <w:vAlign w:val="top"/>
          </w:tcPr>
          <w:p w14:paraId="159C00DF">
            <w:pPr>
              <w:jc w:val="center"/>
              <w:rPr>
                <w:rFonts w:hint="eastAsia" w:ascii="宋体" w:hAnsi="宋体" w:eastAsia="宋体" w:cs="Times New Roman"/>
                <w:color w:val="auto"/>
                <w:sz w:val="24"/>
                <w:szCs w:val="24"/>
                <w:highlight w:val="none"/>
              </w:rPr>
            </w:pPr>
          </w:p>
        </w:tc>
        <w:tc>
          <w:tcPr>
            <w:tcW w:w="1173" w:type="dxa"/>
            <w:noWrap w:val="0"/>
            <w:vAlign w:val="top"/>
          </w:tcPr>
          <w:p w14:paraId="22A6D9A7">
            <w:pPr>
              <w:jc w:val="center"/>
              <w:rPr>
                <w:rFonts w:hint="eastAsia" w:ascii="宋体" w:hAnsi="宋体" w:eastAsia="宋体" w:cs="Times New Roman"/>
                <w:color w:val="auto"/>
                <w:sz w:val="24"/>
                <w:szCs w:val="24"/>
                <w:highlight w:val="none"/>
              </w:rPr>
            </w:pPr>
          </w:p>
        </w:tc>
      </w:tr>
      <w:tr w14:paraId="64AC0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5911D448">
            <w:pPr>
              <w:jc w:val="center"/>
              <w:rPr>
                <w:rFonts w:hint="eastAsia" w:ascii="宋体" w:hAnsi="宋体" w:eastAsia="宋体" w:cs="Times New Roman"/>
                <w:color w:val="auto"/>
                <w:sz w:val="24"/>
                <w:szCs w:val="24"/>
                <w:highlight w:val="none"/>
              </w:rPr>
            </w:pPr>
          </w:p>
        </w:tc>
        <w:tc>
          <w:tcPr>
            <w:tcW w:w="3092" w:type="dxa"/>
            <w:noWrap w:val="0"/>
            <w:vAlign w:val="top"/>
          </w:tcPr>
          <w:p w14:paraId="363D3C48">
            <w:pPr>
              <w:jc w:val="center"/>
              <w:rPr>
                <w:rFonts w:hint="eastAsia" w:ascii="宋体" w:hAnsi="宋体" w:eastAsia="宋体" w:cs="Times New Roman"/>
                <w:color w:val="auto"/>
                <w:sz w:val="24"/>
                <w:szCs w:val="24"/>
                <w:highlight w:val="none"/>
              </w:rPr>
            </w:pPr>
          </w:p>
        </w:tc>
        <w:tc>
          <w:tcPr>
            <w:tcW w:w="2908" w:type="dxa"/>
            <w:noWrap w:val="0"/>
            <w:vAlign w:val="top"/>
          </w:tcPr>
          <w:p w14:paraId="571368F5">
            <w:pPr>
              <w:jc w:val="center"/>
              <w:rPr>
                <w:rFonts w:hint="eastAsia" w:ascii="宋体" w:hAnsi="宋体" w:eastAsia="宋体" w:cs="Times New Roman"/>
                <w:color w:val="auto"/>
                <w:sz w:val="24"/>
                <w:szCs w:val="24"/>
                <w:highlight w:val="none"/>
              </w:rPr>
            </w:pPr>
          </w:p>
        </w:tc>
        <w:tc>
          <w:tcPr>
            <w:tcW w:w="1252" w:type="dxa"/>
            <w:noWrap w:val="0"/>
            <w:vAlign w:val="top"/>
          </w:tcPr>
          <w:p w14:paraId="7B8C4A29">
            <w:pPr>
              <w:jc w:val="center"/>
              <w:rPr>
                <w:rFonts w:hint="eastAsia" w:ascii="宋体" w:hAnsi="宋体" w:eastAsia="宋体" w:cs="Times New Roman"/>
                <w:color w:val="auto"/>
                <w:sz w:val="24"/>
                <w:szCs w:val="24"/>
                <w:highlight w:val="none"/>
              </w:rPr>
            </w:pPr>
          </w:p>
        </w:tc>
        <w:tc>
          <w:tcPr>
            <w:tcW w:w="1173" w:type="dxa"/>
            <w:noWrap w:val="0"/>
            <w:vAlign w:val="top"/>
          </w:tcPr>
          <w:p w14:paraId="1669B1C7">
            <w:pPr>
              <w:jc w:val="center"/>
              <w:rPr>
                <w:rFonts w:hint="eastAsia" w:ascii="宋体" w:hAnsi="宋体" w:eastAsia="宋体" w:cs="Times New Roman"/>
                <w:color w:val="auto"/>
                <w:sz w:val="24"/>
                <w:szCs w:val="24"/>
                <w:highlight w:val="none"/>
              </w:rPr>
            </w:pPr>
          </w:p>
        </w:tc>
      </w:tr>
      <w:tr w14:paraId="4F9F1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029B9A63">
            <w:pPr>
              <w:jc w:val="center"/>
              <w:rPr>
                <w:rFonts w:hint="eastAsia" w:ascii="宋体" w:hAnsi="宋体" w:eastAsia="宋体" w:cs="Times New Roman"/>
                <w:color w:val="auto"/>
                <w:sz w:val="24"/>
                <w:szCs w:val="24"/>
                <w:highlight w:val="none"/>
              </w:rPr>
            </w:pPr>
          </w:p>
        </w:tc>
        <w:tc>
          <w:tcPr>
            <w:tcW w:w="3092" w:type="dxa"/>
            <w:noWrap w:val="0"/>
            <w:vAlign w:val="top"/>
          </w:tcPr>
          <w:p w14:paraId="078489A4">
            <w:pPr>
              <w:jc w:val="center"/>
              <w:rPr>
                <w:rFonts w:hint="eastAsia" w:ascii="宋体" w:hAnsi="宋体" w:eastAsia="宋体" w:cs="Times New Roman"/>
                <w:color w:val="auto"/>
                <w:sz w:val="24"/>
                <w:szCs w:val="24"/>
                <w:highlight w:val="none"/>
              </w:rPr>
            </w:pPr>
          </w:p>
        </w:tc>
        <w:tc>
          <w:tcPr>
            <w:tcW w:w="2908" w:type="dxa"/>
            <w:noWrap w:val="0"/>
            <w:vAlign w:val="top"/>
          </w:tcPr>
          <w:p w14:paraId="00CC8618">
            <w:pPr>
              <w:jc w:val="center"/>
              <w:rPr>
                <w:rFonts w:hint="eastAsia" w:ascii="宋体" w:hAnsi="宋体" w:eastAsia="宋体" w:cs="Times New Roman"/>
                <w:color w:val="auto"/>
                <w:sz w:val="24"/>
                <w:szCs w:val="24"/>
                <w:highlight w:val="none"/>
              </w:rPr>
            </w:pPr>
          </w:p>
        </w:tc>
        <w:tc>
          <w:tcPr>
            <w:tcW w:w="1252" w:type="dxa"/>
            <w:noWrap w:val="0"/>
            <w:vAlign w:val="top"/>
          </w:tcPr>
          <w:p w14:paraId="259577F1">
            <w:pPr>
              <w:jc w:val="center"/>
              <w:rPr>
                <w:rFonts w:hint="eastAsia" w:ascii="宋体" w:hAnsi="宋体" w:eastAsia="宋体" w:cs="Times New Roman"/>
                <w:color w:val="auto"/>
                <w:sz w:val="24"/>
                <w:szCs w:val="24"/>
                <w:highlight w:val="none"/>
              </w:rPr>
            </w:pPr>
          </w:p>
        </w:tc>
        <w:tc>
          <w:tcPr>
            <w:tcW w:w="1173" w:type="dxa"/>
            <w:noWrap w:val="0"/>
            <w:vAlign w:val="top"/>
          </w:tcPr>
          <w:p w14:paraId="222A25CD">
            <w:pPr>
              <w:jc w:val="center"/>
              <w:rPr>
                <w:rFonts w:hint="eastAsia" w:ascii="宋体" w:hAnsi="宋体" w:eastAsia="宋体" w:cs="Times New Roman"/>
                <w:color w:val="auto"/>
                <w:sz w:val="24"/>
                <w:szCs w:val="24"/>
                <w:highlight w:val="none"/>
              </w:rPr>
            </w:pPr>
          </w:p>
        </w:tc>
      </w:tr>
      <w:tr w14:paraId="45779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4" w:type="dxa"/>
            <w:noWrap w:val="0"/>
            <w:vAlign w:val="top"/>
          </w:tcPr>
          <w:p w14:paraId="01F05E00">
            <w:pPr>
              <w:jc w:val="center"/>
              <w:rPr>
                <w:rFonts w:hint="eastAsia" w:ascii="宋体" w:hAnsi="宋体" w:eastAsia="宋体" w:cs="Times New Roman"/>
                <w:color w:val="auto"/>
                <w:sz w:val="24"/>
                <w:szCs w:val="24"/>
                <w:highlight w:val="none"/>
              </w:rPr>
            </w:pPr>
          </w:p>
        </w:tc>
        <w:tc>
          <w:tcPr>
            <w:tcW w:w="3092" w:type="dxa"/>
            <w:noWrap w:val="0"/>
            <w:vAlign w:val="top"/>
          </w:tcPr>
          <w:p w14:paraId="2E595BFA">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2908" w:type="dxa"/>
            <w:noWrap w:val="0"/>
            <w:vAlign w:val="top"/>
          </w:tcPr>
          <w:p w14:paraId="73B71950">
            <w:pPr>
              <w:jc w:val="center"/>
              <w:rPr>
                <w:rFonts w:hint="eastAsia" w:ascii="宋体" w:hAnsi="宋体" w:eastAsia="宋体" w:cs="Times New Roman"/>
                <w:color w:val="auto"/>
                <w:sz w:val="24"/>
                <w:szCs w:val="24"/>
                <w:highlight w:val="none"/>
              </w:rPr>
            </w:pPr>
          </w:p>
        </w:tc>
        <w:tc>
          <w:tcPr>
            <w:tcW w:w="1252" w:type="dxa"/>
            <w:noWrap w:val="0"/>
            <w:vAlign w:val="top"/>
          </w:tcPr>
          <w:p w14:paraId="5AE16BF7">
            <w:pPr>
              <w:jc w:val="center"/>
              <w:rPr>
                <w:rFonts w:hint="eastAsia" w:ascii="宋体" w:hAnsi="宋体" w:eastAsia="宋体" w:cs="Times New Roman"/>
                <w:color w:val="auto"/>
                <w:sz w:val="24"/>
                <w:szCs w:val="24"/>
                <w:highlight w:val="none"/>
              </w:rPr>
            </w:pPr>
          </w:p>
        </w:tc>
        <w:tc>
          <w:tcPr>
            <w:tcW w:w="1173" w:type="dxa"/>
            <w:noWrap w:val="0"/>
            <w:vAlign w:val="top"/>
          </w:tcPr>
          <w:p w14:paraId="25898E7A">
            <w:pPr>
              <w:jc w:val="center"/>
              <w:rPr>
                <w:rFonts w:hint="eastAsia" w:ascii="宋体" w:hAnsi="宋体" w:eastAsia="宋体" w:cs="Times New Roman"/>
                <w:color w:val="auto"/>
                <w:sz w:val="24"/>
                <w:szCs w:val="24"/>
                <w:highlight w:val="none"/>
              </w:rPr>
            </w:pPr>
          </w:p>
        </w:tc>
      </w:tr>
    </w:tbl>
    <w:p w14:paraId="741AA3DE">
      <w:pP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注： 行数不够，可自行添加。</w:t>
      </w:r>
    </w:p>
    <w:p w14:paraId="60CBE8E2">
      <w:pPr>
        <w:spacing w:line="480" w:lineRule="auto"/>
        <w:rPr>
          <w:rFonts w:hint="eastAsia" w:ascii="宋体" w:hAnsi="宋体" w:eastAsia="宋体" w:cs="Times New Roman"/>
          <w:color w:val="auto"/>
          <w:sz w:val="24"/>
          <w:szCs w:val="21"/>
          <w:highlight w:val="none"/>
        </w:rPr>
      </w:pPr>
    </w:p>
    <w:p w14:paraId="5D384BB4">
      <w:pPr>
        <w:spacing w:line="480" w:lineRule="auto"/>
        <w:rPr>
          <w:rFonts w:hint="eastAsia" w:ascii="仿宋_GB2312" w:hAnsi="Arial" w:eastAsia="宋体" w:cs="Times New Roman"/>
          <w:color w:val="auto"/>
          <w:sz w:val="30"/>
          <w:szCs w:val="21"/>
          <w:highlight w:val="none"/>
        </w:rPr>
      </w:pPr>
    </w:p>
    <w:p w14:paraId="34AE59AA">
      <w:pPr>
        <w:rPr>
          <w:rFonts w:hint="eastAsia" w:ascii="宋体" w:hAnsi="宋体" w:eastAsia="宋体" w:cs="Times New Roman"/>
          <w:color w:val="auto"/>
          <w:sz w:val="24"/>
          <w:szCs w:val="21"/>
          <w:highlight w:val="none"/>
        </w:rPr>
      </w:pPr>
      <w:bookmarkStart w:id="62" w:name="_Toc462564146"/>
      <w:bookmarkEnd w:id="62"/>
      <w:bookmarkStart w:id="63" w:name="_Hlt26671374"/>
      <w:bookmarkEnd w:id="63"/>
      <w:bookmarkStart w:id="64" w:name="_Hlt26609389"/>
      <w:bookmarkEnd w:id="64"/>
      <w:bookmarkStart w:id="65" w:name="_Hlt26955066"/>
      <w:bookmarkEnd w:id="65"/>
    </w:p>
    <w:p w14:paraId="592950A4">
      <w:pPr>
        <w:jc w:val="center"/>
        <w:rPr>
          <w:rFonts w:hint="eastAsia" w:ascii="黑体" w:hAnsi="黑体" w:eastAsia="黑体" w:cs="Times New Roman"/>
          <w:b/>
          <w:color w:val="auto"/>
          <w:sz w:val="32"/>
          <w:szCs w:val="32"/>
          <w:highlight w:val="none"/>
        </w:rPr>
      </w:pPr>
      <w:bookmarkStart w:id="66" w:name="_格式2__法定代表人授权书"/>
      <w:bookmarkEnd w:id="66"/>
    </w:p>
    <w:p w14:paraId="4C49DB77">
      <w:pPr>
        <w:jc w:val="center"/>
        <w:rPr>
          <w:rFonts w:hint="eastAsia" w:ascii="黑体" w:hAnsi="黑体" w:eastAsia="黑体" w:cs="Times New Roman"/>
          <w:b/>
          <w:color w:val="auto"/>
          <w:sz w:val="32"/>
          <w:szCs w:val="32"/>
          <w:highlight w:val="none"/>
        </w:rPr>
      </w:pPr>
    </w:p>
    <w:p w14:paraId="7CA321F5">
      <w:pPr>
        <w:jc w:val="center"/>
        <w:rPr>
          <w:rFonts w:hint="eastAsia" w:ascii="黑体" w:hAnsi="黑体" w:eastAsia="黑体" w:cs="Times New Roman"/>
          <w:b/>
          <w:color w:val="auto"/>
          <w:sz w:val="32"/>
          <w:szCs w:val="32"/>
          <w:highlight w:val="none"/>
        </w:rPr>
      </w:pPr>
    </w:p>
    <w:p w14:paraId="0F311D71">
      <w:pPr>
        <w:jc w:val="center"/>
        <w:rPr>
          <w:rFonts w:hint="eastAsia" w:ascii="黑体" w:hAnsi="黑体" w:eastAsia="黑体" w:cs="Times New Roman"/>
          <w:b/>
          <w:color w:val="auto"/>
          <w:sz w:val="32"/>
          <w:szCs w:val="32"/>
          <w:highlight w:val="none"/>
        </w:rPr>
      </w:pPr>
    </w:p>
    <w:p w14:paraId="118BAD16">
      <w:pPr>
        <w:jc w:val="center"/>
        <w:rPr>
          <w:rFonts w:hint="eastAsia" w:ascii="黑体" w:hAnsi="黑体" w:eastAsia="黑体" w:cs="Times New Roman"/>
          <w:b/>
          <w:color w:val="auto"/>
          <w:sz w:val="32"/>
          <w:szCs w:val="32"/>
          <w:highlight w:val="none"/>
        </w:rPr>
      </w:pPr>
    </w:p>
    <w:p w14:paraId="64DE8038">
      <w:pPr>
        <w:jc w:val="center"/>
        <w:rPr>
          <w:rFonts w:hint="eastAsia" w:ascii="黑体" w:hAnsi="黑体" w:eastAsia="黑体" w:cs="Times New Roman"/>
          <w:b/>
          <w:color w:val="auto"/>
          <w:sz w:val="32"/>
          <w:szCs w:val="32"/>
          <w:highlight w:val="none"/>
        </w:rPr>
      </w:pPr>
    </w:p>
    <w:p w14:paraId="5FAFDB50">
      <w:pPr>
        <w:jc w:val="center"/>
        <w:rPr>
          <w:rFonts w:hint="eastAsia" w:ascii="黑体" w:hAnsi="黑体" w:eastAsia="黑体" w:cs="Times New Roman"/>
          <w:b/>
          <w:color w:val="auto"/>
          <w:sz w:val="32"/>
          <w:szCs w:val="32"/>
          <w:highlight w:val="none"/>
        </w:rPr>
      </w:pPr>
    </w:p>
    <w:p w14:paraId="4FE9362A">
      <w:pPr>
        <w:rPr>
          <w:rFonts w:hint="eastAsia" w:ascii="黑体" w:hAnsi="黑体" w:eastAsia="黑体" w:cs="Times New Roman"/>
          <w:b/>
          <w:color w:val="auto"/>
          <w:sz w:val="32"/>
          <w:szCs w:val="32"/>
          <w:highlight w:val="none"/>
        </w:rPr>
      </w:pPr>
      <w:r>
        <w:rPr>
          <w:rFonts w:hint="eastAsia" w:ascii="黑体" w:hAnsi="黑体" w:eastAsia="黑体" w:cs="Times New Roman"/>
          <w:b/>
          <w:color w:val="auto"/>
          <w:sz w:val="32"/>
          <w:szCs w:val="32"/>
          <w:highlight w:val="none"/>
        </w:rPr>
        <w:br w:type="page" w:clear="all"/>
      </w:r>
    </w:p>
    <w:p w14:paraId="2EBA424C">
      <w:pPr>
        <w:widowControl w:val="0"/>
        <w:spacing w:after="0" w:line="360" w:lineRule="auto"/>
        <w:ind w:left="0" w:firstLine="420"/>
        <w:jc w:val="both"/>
        <w:rPr>
          <w:rFonts w:hint="eastAsia" w:ascii="宋体" w:hAnsi="宋体" w:eastAsia="宋体" w:cs="Times New Roman"/>
          <w:color w:val="auto"/>
          <w:sz w:val="21"/>
          <w:szCs w:val="20"/>
          <w:highlight w:val="none"/>
          <w:lang w:val="en-US" w:eastAsia="zh-CN" w:bidi="ar-SA"/>
        </w:rPr>
      </w:pPr>
    </w:p>
    <w:p w14:paraId="57DF6ABF">
      <w:p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t>十五、企业类似业绩一览表</w:t>
      </w:r>
    </w:p>
    <w:tbl>
      <w:tblPr>
        <w:tblStyle w:val="37"/>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2280"/>
        <w:gridCol w:w="1350"/>
        <w:gridCol w:w="1440"/>
        <w:gridCol w:w="1959"/>
        <w:gridCol w:w="1260"/>
      </w:tblGrid>
      <w:tr w14:paraId="63ED9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781" w:type="dxa"/>
            <w:noWrap w:val="0"/>
            <w:vAlign w:val="center"/>
          </w:tcPr>
          <w:p w14:paraId="160E9195">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序号</w:t>
            </w:r>
          </w:p>
        </w:tc>
        <w:tc>
          <w:tcPr>
            <w:tcW w:w="2280" w:type="dxa"/>
            <w:noWrap w:val="0"/>
            <w:vAlign w:val="center"/>
          </w:tcPr>
          <w:p w14:paraId="00CB8846">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项目名称</w:t>
            </w:r>
          </w:p>
        </w:tc>
        <w:tc>
          <w:tcPr>
            <w:tcW w:w="1350" w:type="dxa"/>
            <w:noWrap w:val="0"/>
            <w:vAlign w:val="center"/>
          </w:tcPr>
          <w:p w14:paraId="1AB09C42">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项目金额</w:t>
            </w:r>
          </w:p>
        </w:tc>
        <w:tc>
          <w:tcPr>
            <w:tcW w:w="1440" w:type="dxa"/>
            <w:noWrap w:val="0"/>
            <w:vAlign w:val="center"/>
          </w:tcPr>
          <w:p w14:paraId="7F09716B">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招标单位</w:t>
            </w:r>
          </w:p>
        </w:tc>
        <w:tc>
          <w:tcPr>
            <w:tcW w:w="1959" w:type="dxa"/>
            <w:noWrap w:val="0"/>
            <w:vAlign w:val="center"/>
          </w:tcPr>
          <w:p w14:paraId="187EC237">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合同/证明材料</w:t>
            </w:r>
          </w:p>
        </w:tc>
        <w:tc>
          <w:tcPr>
            <w:tcW w:w="1260" w:type="dxa"/>
            <w:noWrap w:val="0"/>
            <w:vAlign w:val="center"/>
          </w:tcPr>
          <w:p w14:paraId="72107955">
            <w:pPr>
              <w:widowControl w:val="0"/>
              <w:jc w:val="center"/>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项目时间</w:t>
            </w:r>
          </w:p>
        </w:tc>
      </w:tr>
      <w:tr w14:paraId="0872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81" w:type="dxa"/>
            <w:noWrap w:val="0"/>
            <w:vAlign w:val="center"/>
          </w:tcPr>
          <w:p w14:paraId="09DFC040">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2280" w:type="dxa"/>
            <w:noWrap w:val="0"/>
            <w:vAlign w:val="center"/>
          </w:tcPr>
          <w:p w14:paraId="561B17AF">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1D78A243">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2FB714D4">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3C94C070">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25AC83F0">
            <w:pPr>
              <w:widowControl w:val="0"/>
              <w:jc w:val="center"/>
              <w:rPr>
                <w:rFonts w:hint="eastAsia" w:ascii="宋体" w:hAnsi="宋体" w:eastAsia="宋体" w:cs="宋体"/>
                <w:color w:val="auto"/>
                <w:sz w:val="24"/>
                <w:szCs w:val="24"/>
                <w:highlight w:val="none"/>
                <w:lang w:val="en-US" w:eastAsia="zh-CN" w:bidi="ar-SA"/>
              </w:rPr>
            </w:pPr>
          </w:p>
        </w:tc>
      </w:tr>
      <w:tr w14:paraId="5C47A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81" w:type="dxa"/>
            <w:noWrap w:val="0"/>
            <w:vAlign w:val="center"/>
          </w:tcPr>
          <w:p w14:paraId="555E3AC9">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2280" w:type="dxa"/>
            <w:noWrap w:val="0"/>
            <w:vAlign w:val="center"/>
          </w:tcPr>
          <w:p w14:paraId="6DC99EAA">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39011752">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54990BC3">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220FADE0">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3FEA0558">
            <w:pPr>
              <w:widowControl w:val="0"/>
              <w:jc w:val="center"/>
              <w:rPr>
                <w:rFonts w:hint="eastAsia" w:ascii="宋体" w:hAnsi="宋体" w:eastAsia="宋体" w:cs="宋体"/>
                <w:color w:val="auto"/>
                <w:sz w:val="24"/>
                <w:szCs w:val="24"/>
                <w:highlight w:val="none"/>
                <w:lang w:val="en-US" w:eastAsia="zh-CN" w:bidi="ar-SA"/>
              </w:rPr>
            </w:pPr>
          </w:p>
        </w:tc>
      </w:tr>
      <w:tr w14:paraId="4A6F5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781" w:type="dxa"/>
            <w:noWrap w:val="0"/>
            <w:vAlign w:val="center"/>
          </w:tcPr>
          <w:p w14:paraId="46B49ECC">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2280" w:type="dxa"/>
            <w:noWrap w:val="0"/>
            <w:vAlign w:val="center"/>
          </w:tcPr>
          <w:p w14:paraId="237028D2">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5666E601">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09FF0D25">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2DA85CF2">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704FC834">
            <w:pPr>
              <w:widowControl w:val="0"/>
              <w:jc w:val="center"/>
              <w:rPr>
                <w:rFonts w:hint="eastAsia" w:ascii="宋体" w:hAnsi="宋体" w:eastAsia="宋体" w:cs="宋体"/>
                <w:color w:val="auto"/>
                <w:sz w:val="24"/>
                <w:szCs w:val="24"/>
                <w:highlight w:val="none"/>
                <w:lang w:val="en-US" w:eastAsia="zh-CN" w:bidi="ar-SA"/>
              </w:rPr>
            </w:pPr>
          </w:p>
        </w:tc>
      </w:tr>
      <w:tr w14:paraId="49392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81" w:type="dxa"/>
            <w:noWrap w:val="0"/>
            <w:vAlign w:val="center"/>
          </w:tcPr>
          <w:p w14:paraId="71F608E3">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2280" w:type="dxa"/>
            <w:noWrap w:val="0"/>
            <w:vAlign w:val="center"/>
          </w:tcPr>
          <w:p w14:paraId="417DBC6C">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67F48295">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1103029C">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301F7CDE">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666A16A1">
            <w:pPr>
              <w:widowControl w:val="0"/>
              <w:jc w:val="center"/>
              <w:rPr>
                <w:rFonts w:hint="eastAsia" w:ascii="宋体" w:hAnsi="宋体" w:eastAsia="宋体" w:cs="宋体"/>
                <w:color w:val="auto"/>
                <w:sz w:val="24"/>
                <w:szCs w:val="24"/>
                <w:highlight w:val="none"/>
                <w:lang w:val="en-US" w:eastAsia="zh-CN" w:bidi="ar-SA"/>
              </w:rPr>
            </w:pPr>
          </w:p>
        </w:tc>
      </w:tr>
      <w:tr w14:paraId="0EAB0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81" w:type="dxa"/>
            <w:noWrap w:val="0"/>
            <w:vAlign w:val="center"/>
          </w:tcPr>
          <w:p w14:paraId="570EE4C1">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2280" w:type="dxa"/>
            <w:noWrap w:val="0"/>
            <w:vAlign w:val="center"/>
          </w:tcPr>
          <w:p w14:paraId="4149B9B4">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4BB18B5A">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58CD569E">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358AC9C9">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2AF97FA6">
            <w:pPr>
              <w:widowControl w:val="0"/>
              <w:jc w:val="center"/>
              <w:rPr>
                <w:rFonts w:hint="eastAsia" w:ascii="宋体" w:hAnsi="宋体" w:eastAsia="宋体" w:cs="宋体"/>
                <w:color w:val="auto"/>
                <w:sz w:val="24"/>
                <w:szCs w:val="24"/>
                <w:highlight w:val="none"/>
                <w:lang w:val="en-US" w:eastAsia="zh-CN" w:bidi="ar-SA"/>
              </w:rPr>
            </w:pPr>
          </w:p>
        </w:tc>
      </w:tr>
      <w:tr w14:paraId="3A4F5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81" w:type="dxa"/>
            <w:noWrap w:val="0"/>
            <w:vAlign w:val="center"/>
          </w:tcPr>
          <w:p w14:paraId="4F5C2DF6">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w:t>
            </w:r>
          </w:p>
        </w:tc>
        <w:tc>
          <w:tcPr>
            <w:tcW w:w="2280" w:type="dxa"/>
            <w:noWrap w:val="0"/>
            <w:vAlign w:val="center"/>
          </w:tcPr>
          <w:p w14:paraId="546986BC">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6CF999BA">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69DFA7CD">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489A2599">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1ED438BA">
            <w:pPr>
              <w:widowControl w:val="0"/>
              <w:jc w:val="center"/>
              <w:rPr>
                <w:rFonts w:hint="eastAsia" w:ascii="宋体" w:hAnsi="宋体" w:eastAsia="宋体" w:cs="宋体"/>
                <w:color w:val="auto"/>
                <w:sz w:val="24"/>
                <w:szCs w:val="24"/>
                <w:highlight w:val="none"/>
                <w:lang w:val="en-US" w:eastAsia="zh-CN" w:bidi="ar-SA"/>
              </w:rPr>
            </w:pPr>
          </w:p>
        </w:tc>
      </w:tr>
      <w:tr w14:paraId="057DA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7B6DFA32">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w:t>
            </w:r>
          </w:p>
        </w:tc>
        <w:tc>
          <w:tcPr>
            <w:tcW w:w="2280" w:type="dxa"/>
            <w:noWrap w:val="0"/>
            <w:vAlign w:val="center"/>
          </w:tcPr>
          <w:p w14:paraId="28CCD66C">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32A89F89">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771B3763">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7C63342A">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66C7230A">
            <w:pPr>
              <w:widowControl w:val="0"/>
              <w:jc w:val="center"/>
              <w:rPr>
                <w:rFonts w:hint="eastAsia" w:ascii="宋体" w:hAnsi="宋体" w:eastAsia="宋体" w:cs="宋体"/>
                <w:color w:val="auto"/>
                <w:sz w:val="24"/>
                <w:szCs w:val="24"/>
                <w:highlight w:val="none"/>
                <w:lang w:val="en-US" w:eastAsia="zh-CN" w:bidi="ar-SA"/>
              </w:rPr>
            </w:pPr>
          </w:p>
        </w:tc>
      </w:tr>
      <w:tr w14:paraId="7FEE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30AC2086">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w:t>
            </w:r>
          </w:p>
        </w:tc>
        <w:tc>
          <w:tcPr>
            <w:tcW w:w="2280" w:type="dxa"/>
            <w:noWrap w:val="0"/>
            <w:vAlign w:val="center"/>
          </w:tcPr>
          <w:p w14:paraId="4DB9961E">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6B4CDF90">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0DADCDA8">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441ABFEC">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1142C26D">
            <w:pPr>
              <w:widowControl w:val="0"/>
              <w:jc w:val="center"/>
              <w:rPr>
                <w:rFonts w:hint="eastAsia" w:ascii="宋体" w:hAnsi="宋体" w:eastAsia="宋体" w:cs="宋体"/>
                <w:color w:val="auto"/>
                <w:sz w:val="24"/>
                <w:szCs w:val="24"/>
                <w:highlight w:val="none"/>
                <w:lang w:val="en-US" w:eastAsia="zh-CN" w:bidi="ar-SA"/>
              </w:rPr>
            </w:pPr>
          </w:p>
        </w:tc>
      </w:tr>
      <w:tr w14:paraId="1891C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33EEC16C">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w:t>
            </w:r>
          </w:p>
        </w:tc>
        <w:tc>
          <w:tcPr>
            <w:tcW w:w="2280" w:type="dxa"/>
            <w:noWrap w:val="0"/>
            <w:vAlign w:val="center"/>
          </w:tcPr>
          <w:p w14:paraId="55D4A5A7">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7D5D8E64">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4F10C04E">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733D3D96">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1FB2B188">
            <w:pPr>
              <w:widowControl w:val="0"/>
              <w:jc w:val="center"/>
              <w:rPr>
                <w:rFonts w:hint="eastAsia" w:ascii="宋体" w:hAnsi="宋体" w:eastAsia="宋体" w:cs="宋体"/>
                <w:color w:val="auto"/>
                <w:sz w:val="24"/>
                <w:szCs w:val="24"/>
                <w:highlight w:val="none"/>
                <w:lang w:val="en-US" w:eastAsia="zh-CN" w:bidi="ar-SA"/>
              </w:rPr>
            </w:pPr>
          </w:p>
        </w:tc>
      </w:tr>
      <w:tr w14:paraId="44CE1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781" w:type="dxa"/>
            <w:noWrap w:val="0"/>
            <w:vAlign w:val="center"/>
          </w:tcPr>
          <w:p w14:paraId="0DC81806">
            <w:pPr>
              <w:widowControl w:val="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w:t>
            </w:r>
          </w:p>
        </w:tc>
        <w:tc>
          <w:tcPr>
            <w:tcW w:w="2280" w:type="dxa"/>
            <w:noWrap w:val="0"/>
            <w:vAlign w:val="center"/>
          </w:tcPr>
          <w:p w14:paraId="7D597785">
            <w:pPr>
              <w:widowControl w:val="0"/>
              <w:jc w:val="center"/>
              <w:rPr>
                <w:rFonts w:hint="eastAsia" w:ascii="宋体" w:hAnsi="宋体" w:eastAsia="宋体" w:cs="宋体"/>
                <w:color w:val="auto"/>
                <w:sz w:val="24"/>
                <w:szCs w:val="24"/>
                <w:highlight w:val="none"/>
                <w:lang w:val="en-US" w:eastAsia="zh-CN" w:bidi="ar-SA"/>
              </w:rPr>
            </w:pPr>
          </w:p>
        </w:tc>
        <w:tc>
          <w:tcPr>
            <w:tcW w:w="1350" w:type="dxa"/>
            <w:noWrap w:val="0"/>
            <w:vAlign w:val="center"/>
          </w:tcPr>
          <w:p w14:paraId="37A82849">
            <w:pPr>
              <w:widowControl w:val="0"/>
              <w:jc w:val="center"/>
              <w:rPr>
                <w:rFonts w:hint="eastAsia" w:ascii="宋体" w:hAnsi="宋体" w:eastAsia="宋体" w:cs="宋体"/>
                <w:color w:val="auto"/>
                <w:sz w:val="24"/>
                <w:szCs w:val="24"/>
                <w:highlight w:val="none"/>
                <w:lang w:val="en-US" w:eastAsia="zh-CN" w:bidi="ar-SA"/>
              </w:rPr>
            </w:pPr>
          </w:p>
        </w:tc>
        <w:tc>
          <w:tcPr>
            <w:tcW w:w="1440" w:type="dxa"/>
            <w:noWrap w:val="0"/>
            <w:vAlign w:val="center"/>
          </w:tcPr>
          <w:p w14:paraId="1E9A95FF">
            <w:pPr>
              <w:widowControl w:val="0"/>
              <w:jc w:val="center"/>
              <w:rPr>
                <w:rFonts w:hint="eastAsia" w:ascii="宋体" w:hAnsi="宋体" w:eastAsia="宋体" w:cs="宋体"/>
                <w:color w:val="auto"/>
                <w:sz w:val="24"/>
                <w:szCs w:val="24"/>
                <w:highlight w:val="none"/>
                <w:lang w:val="en-US" w:eastAsia="zh-CN" w:bidi="ar-SA"/>
              </w:rPr>
            </w:pPr>
          </w:p>
        </w:tc>
        <w:tc>
          <w:tcPr>
            <w:tcW w:w="1959" w:type="dxa"/>
            <w:noWrap w:val="0"/>
            <w:vAlign w:val="center"/>
          </w:tcPr>
          <w:p w14:paraId="5A621C39">
            <w:pPr>
              <w:widowControl w:val="0"/>
              <w:jc w:val="center"/>
              <w:rPr>
                <w:rFonts w:hint="eastAsia" w:ascii="宋体" w:hAnsi="宋体" w:eastAsia="宋体" w:cs="宋体"/>
                <w:color w:val="auto"/>
                <w:sz w:val="24"/>
                <w:szCs w:val="24"/>
                <w:highlight w:val="none"/>
                <w:lang w:val="en-US" w:eastAsia="zh-CN" w:bidi="ar-SA"/>
              </w:rPr>
            </w:pPr>
          </w:p>
        </w:tc>
        <w:tc>
          <w:tcPr>
            <w:tcW w:w="1260" w:type="dxa"/>
            <w:noWrap w:val="0"/>
            <w:vAlign w:val="center"/>
          </w:tcPr>
          <w:p w14:paraId="6E8C5E23">
            <w:pPr>
              <w:widowControl w:val="0"/>
              <w:jc w:val="center"/>
              <w:rPr>
                <w:rFonts w:hint="eastAsia" w:ascii="宋体" w:hAnsi="宋体" w:eastAsia="宋体" w:cs="宋体"/>
                <w:color w:val="auto"/>
                <w:sz w:val="24"/>
                <w:szCs w:val="24"/>
                <w:highlight w:val="none"/>
                <w:lang w:val="en-US" w:eastAsia="zh-CN" w:bidi="ar-SA"/>
              </w:rPr>
            </w:pPr>
          </w:p>
        </w:tc>
      </w:tr>
    </w:tbl>
    <w:p w14:paraId="702DB6B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4779D29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1、投标人根据评标方法与评标标准的要求提供，并附相关证明资料；</w:t>
      </w:r>
    </w:p>
    <w:p w14:paraId="0F4F1C2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2、行数不够，自行添加。</w:t>
      </w:r>
    </w:p>
    <w:p w14:paraId="44AF66D2">
      <w:pPr>
        <w:widowControl/>
        <w:numPr>
          <w:ilvl w:val="0"/>
          <w:numId w:val="0"/>
        </w:numPr>
        <w:jc w:val="center"/>
        <w:rPr>
          <w:rFonts w:hint="eastAsia" w:ascii="宋体" w:hAnsi="宋体" w:eastAsia="宋体" w:cs="宋体"/>
          <w:b/>
          <w:color w:val="auto"/>
          <w:sz w:val="30"/>
          <w:szCs w:val="30"/>
          <w:highlight w:val="none"/>
        </w:rPr>
      </w:pPr>
      <w:r>
        <w:rPr>
          <w:rFonts w:hint="eastAsia" w:ascii="宋体" w:hAnsi="宋体" w:eastAsia="宋体" w:cs="仿宋"/>
          <w:b/>
          <w:bCs/>
          <w:color w:val="auto"/>
          <w:sz w:val="32"/>
          <w:szCs w:val="32"/>
          <w:highlight w:val="none"/>
        </w:rPr>
        <w:br w:type="page" w:clear="all"/>
      </w:r>
      <w:r>
        <w:rPr>
          <w:rFonts w:hint="eastAsia" w:ascii="黑体" w:hAnsi="黑体" w:eastAsia="黑体" w:cs="Times New Roman"/>
          <w:b/>
          <w:color w:val="auto"/>
          <w:sz w:val="32"/>
          <w:szCs w:val="32"/>
          <w:highlight w:val="none"/>
          <w:lang w:eastAsia="zh-CN"/>
        </w:rPr>
        <w:t>十六、项目管理及技术人员一览表</w:t>
      </w:r>
    </w:p>
    <w:tbl>
      <w:tblPr>
        <w:tblStyle w:val="37"/>
        <w:tblpPr w:leftFromText="180" w:rightFromText="180" w:vertAnchor="text" w:horzAnchor="margin" w:tblpXSpec="center" w:tblpY="2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0"/>
        <w:gridCol w:w="2040"/>
        <w:gridCol w:w="1840"/>
        <w:gridCol w:w="945"/>
        <w:gridCol w:w="1005"/>
        <w:gridCol w:w="1165"/>
      </w:tblGrid>
      <w:tr w14:paraId="6056C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7D383A79">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p>
        </w:tc>
        <w:tc>
          <w:tcPr>
            <w:tcW w:w="2040" w:type="dxa"/>
            <w:noWrap w:val="0"/>
            <w:vAlign w:val="center"/>
          </w:tcPr>
          <w:p w14:paraId="08B99CBA">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本项目拟任职务</w:t>
            </w:r>
          </w:p>
        </w:tc>
        <w:tc>
          <w:tcPr>
            <w:tcW w:w="1840" w:type="dxa"/>
            <w:noWrap w:val="0"/>
            <w:vAlign w:val="center"/>
          </w:tcPr>
          <w:p w14:paraId="09C658F1">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945" w:type="dxa"/>
            <w:noWrap w:val="0"/>
            <w:vAlign w:val="center"/>
          </w:tcPr>
          <w:p w14:paraId="41CE05D6">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005" w:type="dxa"/>
            <w:noWrap w:val="0"/>
            <w:vAlign w:val="center"/>
          </w:tcPr>
          <w:p w14:paraId="51468AF9">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1165" w:type="dxa"/>
            <w:noWrap w:val="0"/>
            <w:vAlign w:val="center"/>
          </w:tcPr>
          <w:p w14:paraId="2299E6D1">
            <w:pPr>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357D2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1F14B82B">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10598380">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3B00A775">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36D8AF1D">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1C1CACAF">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6776F702">
            <w:pPr>
              <w:spacing w:line="560" w:lineRule="exact"/>
              <w:jc w:val="center"/>
              <w:rPr>
                <w:rFonts w:hint="eastAsia" w:ascii="宋体" w:hAnsi="宋体" w:eastAsia="宋体" w:cs="宋体"/>
                <w:color w:val="auto"/>
                <w:sz w:val="24"/>
                <w:szCs w:val="24"/>
                <w:highlight w:val="none"/>
              </w:rPr>
            </w:pPr>
          </w:p>
        </w:tc>
      </w:tr>
      <w:tr w14:paraId="5E110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5EBB3024">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3ECE48D0">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5C23FD93">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377BEB09">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11FB6D70">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4016FA73">
            <w:pPr>
              <w:spacing w:line="560" w:lineRule="exact"/>
              <w:jc w:val="center"/>
              <w:rPr>
                <w:rFonts w:hint="eastAsia" w:ascii="宋体" w:hAnsi="宋体" w:eastAsia="宋体" w:cs="宋体"/>
                <w:color w:val="auto"/>
                <w:sz w:val="24"/>
                <w:szCs w:val="24"/>
                <w:highlight w:val="none"/>
              </w:rPr>
            </w:pPr>
          </w:p>
        </w:tc>
      </w:tr>
      <w:tr w14:paraId="02D65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6AB68925">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2DEB76F9">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5360201D">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29CA6268">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232A2E1F">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03F93F9B">
            <w:pPr>
              <w:spacing w:line="560" w:lineRule="exact"/>
              <w:jc w:val="center"/>
              <w:rPr>
                <w:rFonts w:hint="eastAsia" w:ascii="宋体" w:hAnsi="宋体" w:eastAsia="宋体" w:cs="宋体"/>
                <w:color w:val="auto"/>
                <w:sz w:val="24"/>
                <w:szCs w:val="24"/>
                <w:highlight w:val="none"/>
              </w:rPr>
            </w:pPr>
          </w:p>
        </w:tc>
      </w:tr>
      <w:tr w14:paraId="105EF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7CBC031C">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748080A3">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0DB6FFE7">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65182E72">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4C12BE73">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3EA378F0">
            <w:pPr>
              <w:spacing w:line="560" w:lineRule="exact"/>
              <w:jc w:val="center"/>
              <w:rPr>
                <w:rFonts w:hint="eastAsia" w:ascii="宋体" w:hAnsi="宋体" w:eastAsia="宋体" w:cs="宋体"/>
                <w:color w:val="auto"/>
                <w:sz w:val="24"/>
                <w:szCs w:val="24"/>
                <w:highlight w:val="none"/>
              </w:rPr>
            </w:pPr>
          </w:p>
        </w:tc>
      </w:tr>
      <w:tr w14:paraId="52115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4F673842">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39C07011">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6F065929">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4D8B3E18">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36A923DA">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3167D84A">
            <w:pPr>
              <w:spacing w:line="560" w:lineRule="exact"/>
              <w:jc w:val="center"/>
              <w:rPr>
                <w:rFonts w:hint="eastAsia" w:ascii="宋体" w:hAnsi="宋体" w:eastAsia="宋体" w:cs="宋体"/>
                <w:color w:val="auto"/>
                <w:sz w:val="24"/>
                <w:szCs w:val="24"/>
                <w:highlight w:val="none"/>
              </w:rPr>
            </w:pPr>
          </w:p>
        </w:tc>
      </w:tr>
      <w:tr w14:paraId="42C89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559D44FF">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145748A7">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06BA9FCE">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691F29AA">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79C83475">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3B576160">
            <w:pPr>
              <w:spacing w:line="560" w:lineRule="exact"/>
              <w:jc w:val="center"/>
              <w:rPr>
                <w:rFonts w:hint="eastAsia" w:ascii="宋体" w:hAnsi="宋体" w:eastAsia="宋体" w:cs="宋体"/>
                <w:color w:val="auto"/>
                <w:sz w:val="24"/>
                <w:szCs w:val="24"/>
                <w:highlight w:val="none"/>
              </w:rPr>
            </w:pPr>
          </w:p>
        </w:tc>
      </w:tr>
      <w:tr w14:paraId="24C83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119ED502">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614D14B4">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26DEC404">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7A726260">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71889046">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3BD65EEC">
            <w:pPr>
              <w:spacing w:line="560" w:lineRule="exact"/>
              <w:jc w:val="center"/>
              <w:rPr>
                <w:rFonts w:hint="eastAsia" w:ascii="宋体" w:hAnsi="宋体" w:eastAsia="宋体" w:cs="宋体"/>
                <w:color w:val="auto"/>
                <w:sz w:val="24"/>
                <w:szCs w:val="24"/>
                <w:highlight w:val="none"/>
              </w:rPr>
            </w:pPr>
          </w:p>
        </w:tc>
      </w:tr>
      <w:tr w14:paraId="5BE57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28D9C70A">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7DD62DE2">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10190B4B">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5D304693">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18129318">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6115E5D2">
            <w:pPr>
              <w:spacing w:line="560" w:lineRule="exact"/>
              <w:jc w:val="center"/>
              <w:rPr>
                <w:rFonts w:hint="eastAsia" w:ascii="宋体" w:hAnsi="宋体" w:eastAsia="宋体" w:cs="宋体"/>
                <w:color w:val="auto"/>
                <w:sz w:val="24"/>
                <w:szCs w:val="24"/>
                <w:highlight w:val="none"/>
              </w:rPr>
            </w:pPr>
          </w:p>
        </w:tc>
      </w:tr>
      <w:tr w14:paraId="4C736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70" w:type="dxa"/>
            <w:noWrap w:val="0"/>
            <w:vAlign w:val="center"/>
          </w:tcPr>
          <w:p w14:paraId="3A06917A">
            <w:pPr>
              <w:spacing w:line="560" w:lineRule="exact"/>
              <w:jc w:val="center"/>
              <w:rPr>
                <w:rFonts w:hint="eastAsia" w:ascii="宋体" w:hAnsi="宋体" w:eastAsia="宋体" w:cs="宋体"/>
                <w:color w:val="auto"/>
                <w:sz w:val="24"/>
                <w:szCs w:val="24"/>
                <w:highlight w:val="none"/>
              </w:rPr>
            </w:pPr>
          </w:p>
        </w:tc>
        <w:tc>
          <w:tcPr>
            <w:tcW w:w="2040" w:type="dxa"/>
            <w:noWrap w:val="0"/>
            <w:vAlign w:val="center"/>
          </w:tcPr>
          <w:p w14:paraId="203922B8">
            <w:pPr>
              <w:spacing w:line="560" w:lineRule="exact"/>
              <w:jc w:val="center"/>
              <w:rPr>
                <w:rFonts w:hint="eastAsia" w:ascii="宋体" w:hAnsi="宋体" w:eastAsia="宋体" w:cs="宋体"/>
                <w:color w:val="auto"/>
                <w:sz w:val="24"/>
                <w:szCs w:val="24"/>
                <w:highlight w:val="none"/>
              </w:rPr>
            </w:pPr>
          </w:p>
        </w:tc>
        <w:tc>
          <w:tcPr>
            <w:tcW w:w="1840" w:type="dxa"/>
            <w:noWrap w:val="0"/>
            <w:vAlign w:val="center"/>
          </w:tcPr>
          <w:p w14:paraId="7A15C735">
            <w:pPr>
              <w:spacing w:line="560" w:lineRule="exact"/>
              <w:jc w:val="center"/>
              <w:rPr>
                <w:rFonts w:hint="eastAsia" w:ascii="宋体" w:hAnsi="宋体" w:eastAsia="宋体" w:cs="宋体"/>
                <w:color w:val="auto"/>
                <w:sz w:val="24"/>
                <w:szCs w:val="24"/>
                <w:highlight w:val="none"/>
              </w:rPr>
            </w:pPr>
          </w:p>
        </w:tc>
        <w:tc>
          <w:tcPr>
            <w:tcW w:w="945" w:type="dxa"/>
            <w:noWrap w:val="0"/>
            <w:vAlign w:val="center"/>
          </w:tcPr>
          <w:p w14:paraId="4699152F">
            <w:pPr>
              <w:spacing w:line="560" w:lineRule="exact"/>
              <w:jc w:val="center"/>
              <w:rPr>
                <w:rFonts w:hint="eastAsia" w:ascii="宋体" w:hAnsi="宋体" w:eastAsia="宋体" w:cs="宋体"/>
                <w:color w:val="auto"/>
                <w:sz w:val="24"/>
                <w:szCs w:val="24"/>
                <w:highlight w:val="none"/>
              </w:rPr>
            </w:pPr>
          </w:p>
        </w:tc>
        <w:tc>
          <w:tcPr>
            <w:tcW w:w="1005" w:type="dxa"/>
            <w:noWrap w:val="0"/>
            <w:vAlign w:val="center"/>
          </w:tcPr>
          <w:p w14:paraId="5F2FB017">
            <w:pPr>
              <w:spacing w:line="560" w:lineRule="exact"/>
              <w:jc w:val="center"/>
              <w:rPr>
                <w:rFonts w:hint="eastAsia" w:ascii="宋体" w:hAnsi="宋体" w:eastAsia="宋体" w:cs="宋体"/>
                <w:color w:val="auto"/>
                <w:sz w:val="24"/>
                <w:szCs w:val="24"/>
                <w:highlight w:val="none"/>
              </w:rPr>
            </w:pPr>
          </w:p>
        </w:tc>
        <w:tc>
          <w:tcPr>
            <w:tcW w:w="1165" w:type="dxa"/>
            <w:noWrap w:val="0"/>
            <w:vAlign w:val="center"/>
          </w:tcPr>
          <w:p w14:paraId="634A1589">
            <w:pPr>
              <w:spacing w:line="560" w:lineRule="exact"/>
              <w:jc w:val="center"/>
              <w:rPr>
                <w:rFonts w:hint="eastAsia" w:ascii="宋体" w:hAnsi="宋体" w:eastAsia="宋体" w:cs="宋体"/>
                <w:color w:val="auto"/>
                <w:sz w:val="24"/>
                <w:szCs w:val="24"/>
                <w:highlight w:val="none"/>
              </w:rPr>
            </w:pPr>
          </w:p>
        </w:tc>
      </w:tr>
    </w:tbl>
    <w:p w14:paraId="1E214A10">
      <w:pPr>
        <w:spacing w:line="40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注：如</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成交，本项目团队人员必须按本表承诺人员参与实际操作，不得随意更换；</w:t>
      </w:r>
    </w:p>
    <w:p w14:paraId="0A7C3764">
      <w:pPr>
        <w:jc w:val="center"/>
        <w:rPr>
          <w:rFonts w:hint="eastAsia" w:ascii="黑体" w:hAnsi="黑体" w:eastAsia="黑体" w:cs="Times New Roman"/>
          <w:b/>
          <w:color w:val="auto"/>
          <w:sz w:val="32"/>
          <w:szCs w:val="32"/>
          <w:highlight w:val="none"/>
          <w:lang w:eastAsia="zh-CN"/>
        </w:rPr>
      </w:pPr>
      <w:r>
        <w:rPr>
          <w:rFonts w:hint="eastAsia" w:ascii="宋体" w:hAnsi="宋体" w:eastAsia="宋体" w:cs="仿宋"/>
          <w:b/>
          <w:bCs/>
          <w:color w:val="auto"/>
          <w:sz w:val="32"/>
          <w:szCs w:val="32"/>
          <w:highlight w:val="none"/>
        </w:rPr>
        <w:br w:type="page" w:clear="all"/>
      </w:r>
      <w:r>
        <w:rPr>
          <w:rFonts w:hint="eastAsia" w:ascii="黑体" w:hAnsi="黑体" w:eastAsia="黑体" w:cs="Times New Roman"/>
          <w:b/>
          <w:color w:val="auto"/>
          <w:sz w:val="32"/>
          <w:szCs w:val="32"/>
          <w:highlight w:val="none"/>
          <w:lang w:eastAsia="zh-CN"/>
        </w:rPr>
        <w:t>十七、供应商认为需要提供的其他材料</w:t>
      </w:r>
    </w:p>
    <w:p w14:paraId="7B2F60A5">
      <w:pP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eastAsia="zh-CN"/>
        </w:rPr>
        <w:br w:type="page" w:clear="all"/>
      </w:r>
    </w:p>
    <w:p w14:paraId="5536B721">
      <w:pPr>
        <w:numPr>
          <w:ilvl w:val="0"/>
          <w:numId w:val="0"/>
        </w:numPr>
        <w:jc w:val="center"/>
        <w:rPr>
          <w:rFonts w:hint="eastAsia" w:ascii="黑体" w:hAnsi="黑体" w:eastAsia="黑体" w:cs="Times New Roman"/>
          <w:b/>
          <w:color w:val="auto"/>
          <w:sz w:val="32"/>
          <w:szCs w:val="32"/>
          <w:highlight w:val="none"/>
          <w:lang w:eastAsia="zh-CN"/>
        </w:rPr>
      </w:pPr>
      <w:r>
        <w:rPr>
          <w:rFonts w:hint="eastAsia" w:ascii="黑体" w:hAnsi="黑体" w:eastAsia="黑体" w:cs="Times New Roman"/>
          <w:b/>
          <w:color w:val="auto"/>
          <w:sz w:val="32"/>
          <w:szCs w:val="32"/>
          <w:highlight w:val="none"/>
          <w:lang w:val="en-US" w:eastAsia="zh-CN" w:bidi="ar-SA"/>
        </w:rPr>
        <w:t>十八、</w:t>
      </w:r>
      <w:r>
        <w:rPr>
          <w:rFonts w:hint="eastAsia" w:ascii="黑体" w:hAnsi="黑体" w:eastAsia="黑体" w:cs="Times New Roman"/>
          <w:b/>
          <w:color w:val="auto"/>
          <w:sz w:val="32"/>
          <w:szCs w:val="32"/>
          <w:highlight w:val="none"/>
          <w:lang w:eastAsia="zh-CN"/>
        </w:rPr>
        <w:t>供应商承诺书</w:t>
      </w:r>
    </w:p>
    <w:p w14:paraId="7E12163E">
      <w:pPr>
        <w:keepNext w:val="0"/>
        <w:keepLines w:val="0"/>
        <w:pageBreakBefore w:val="0"/>
        <w:widowControl/>
        <w:spacing w:line="360" w:lineRule="auto"/>
        <w:jc w:val="left"/>
        <w:rPr>
          <w:rFonts w:hint="eastAsia" w:ascii="宋体" w:hAnsi="宋体" w:eastAsia="宋体" w:cs="宋体"/>
          <w:color w:val="auto"/>
          <w:sz w:val="24"/>
          <w:szCs w:val="22"/>
          <w:highlight w:val="none"/>
          <w:lang w:bidi="ar"/>
        </w:rPr>
      </w:pPr>
    </w:p>
    <w:p w14:paraId="6E363ED9">
      <w:pPr>
        <w:keepNext w:val="0"/>
        <w:keepLines w:val="0"/>
        <w:pageBreakBefore w:val="0"/>
        <w:widowControl/>
        <w:spacing w:line="360" w:lineRule="auto"/>
        <w:jc w:val="left"/>
        <w:rPr>
          <w:rFonts w:hint="eastAsia" w:ascii="宋体" w:hAnsi="宋体" w:eastAsia="宋体" w:cs="宋体"/>
          <w:color w:val="auto"/>
          <w:sz w:val="24"/>
          <w:szCs w:val="22"/>
          <w:highlight w:val="none"/>
          <w:lang w:bidi="ar"/>
        </w:rPr>
      </w:pPr>
      <w:r>
        <w:rPr>
          <w:rFonts w:hint="eastAsia" w:ascii="宋体" w:hAnsi="宋体" w:eastAsia="宋体" w:cs="宋体"/>
          <w:color w:val="auto"/>
          <w:sz w:val="24"/>
          <w:szCs w:val="22"/>
          <w:highlight w:val="none"/>
          <w:lang w:bidi="ar"/>
        </w:rPr>
        <w:t xml:space="preserve">致：   </w:t>
      </w:r>
    </w:p>
    <w:p w14:paraId="45BF4445">
      <w:pPr>
        <w:keepNext w:val="0"/>
        <w:keepLines w:val="0"/>
        <w:pageBreakBefore w:val="0"/>
        <w:widowControl/>
        <w:spacing w:line="360" w:lineRule="auto"/>
        <w:ind w:firstLine="482"/>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bidi="ar"/>
        </w:rPr>
        <w:t>我公司参与贵单位</w:t>
      </w:r>
      <w:r>
        <w:rPr>
          <w:rFonts w:hint="eastAsia" w:ascii="宋体" w:hAnsi="宋体" w:eastAsia="宋体" w:cs="宋体"/>
          <w:color w:val="auto"/>
          <w:sz w:val="24"/>
          <w:szCs w:val="22"/>
          <w:highlight w:val="none"/>
          <w:u w:val="single"/>
          <w:lang w:bidi="ar"/>
        </w:rPr>
        <w:t xml:space="preserve">               </w:t>
      </w:r>
      <w:r>
        <w:rPr>
          <w:rFonts w:hint="eastAsia" w:ascii="宋体" w:hAnsi="宋体" w:eastAsia="宋体" w:cs="宋体"/>
          <w:color w:val="auto"/>
          <w:sz w:val="24"/>
          <w:szCs w:val="22"/>
          <w:highlight w:val="none"/>
          <w:lang w:bidi="ar"/>
        </w:rPr>
        <w:t xml:space="preserve">工程项目的磋商，我单位郑重承诺： </w:t>
      </w:r>
    </w:p>
    <w:p w14:paraId="1ABDF6F8">
      <w:pPr>
        <w:keepNext w:val="0"/>
        <w:keepLines w:val="0"/>
        <w:pageBreakBefore w:val="0"/>
        <w:spacing w:line="360" w:lineRule="auto"/>
        <w:ind w:firstLine="482"/>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1、对所报项目负责人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同志无在建工程；</w:t>
      </w:r>
    </w:p>
    <w:p w14:paraId="2A5BB792">
      <w:pPr>
        <w:keepNext w:val="0"/>
        <w:keepLines w:val="0"/>
        <w:pageBreakBefore w:val="0"/>
        <w:spacing w:line="360" w:lineRule="auto"/>
        <w:ind w:firstLine="482"/>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2、所报项目负责人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同志及本单位未被建设行政主管部门限制在招标项目所在地投标；</w:t>
      </w:r>
    </w:p>
    <w:p w14:paraId="3C61BDAE">
      <w:pPr>
        <w:keepNext w:val="0"/>
        <w:keepLines w:val="0"/>
        <w:pageBreakBefore w:val="0"/>
        <w:spacing w:line="360" w:lineRule="auto"/>
        <w:ind w:firstLine="482"/>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3、我公司（超过3年）、法定代表人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同志（超过5年）及项目负责人</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同志（超过5年）自投标截止之日起往前推算，在规定期间无行贿犯罪记录</w:t>
      </w:r>
      <w:r>
        <w:rPr>
          <w:rFonts w:hint="eastAsia" w:ascii="宋体" w:hAnsi="宋体" w:eastAsia="宋体" w:cs="宋体"/>
          <w:color w:val="auto"/>
          <w:sz w:val="24"/>
          <w:szCs w:val="22"/>
          <w:highlight w:val="none"/>
        </w:rPr>
        <w:t>；</w:t>
      </w:r>
    </w:p>
    <w:p w14:paraId="4AF712A2">
      <w:pPr>
        <w:keepNext w:val="0"/>
        <w:keepLines w:val="0"/>
        <w:pageBreakBefore w:val="0"/>
        <w:spacing w:line="360" w:lineRule="auto"/>
        <w:ind w:firstLine="482"/>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4</w:t>
      </w:r>
      <w:r>
        <w:rPr>
          <w:rFonts w:hint="eastAsia" w:ascii="宋体" w:hAnsi="宋体" w:eastAsia="宋体" w:cs="宋体"/>
          <w:color w:val="auto"/>
          <w:sz w:val="24"/>
          <w:szCs w:val="22"/>
          <w:highlight w:val="none"/>
        </w:rPr>
        <w:t>、我单位不存在借牌挂靠行为，不出借挂靠资质。</w:t>
      </w:r>
    </w:p>
    <w:p w14:paraId="782C99C4">
      <w:pPr>
        <w:keepNext w:val="0"/>
        <w:keepLines w:val="0"/>
        <w:pageBreakBefore w:val="0"/>
        <w:spacing w:line="360" w:lineRule="auto"/>
        <w:ind w:firstLine="482"/>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5、我单位</w:t>
      </w:r>
      <w:r>
        <w:rPr>
          <w:rFonts w:hint="eastAsia" w:ascii="宋体" w:hAnsi="宋体" w:eastAsia="宋体" w:cs="宋体"/>
          <w:color w:val="auto"/>
          <w:sz w:val="24"/>
          <w:szCs w:val="22"/>
          <w:highlight w:val="none"/>
        </w:rPr>
        <w:t>未在“信用中国”和“中国政府采购网”被列为失信被执行人。</w:t>
      </w:r>
    </w:p>
    <w:p w14:paraId="3D040090">
      <w:pPr>
        <w:keepNext w:val="0"/>
        <w:keepLines w:val="0"/>
        <w:pageBreakBefore w:val="0"/>
        <w:spacing w:line="360" w:lineRule="auto"/>
        <w:ind w:firstLine="482"/>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6</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22"/>
          <w:highlight w:val="none"/>
          <w:lang w:eastAsia="zh-CN"/>
        </w:rPr>
        <w:t>我</w:t>
      </w:r>
      <w:r>
        <w:rPr>
          <w:rFonts w:hint="eastAsia" w:ascii="宋体" w:hAnsi="宋体" w:eastAsia="宋体" w:cs="宋体"/>
          <w:color w:val="auto"/>
          <w:sz w:val="24"/>
          <w:szCs w:val="22"/>
          <w:highlight w:val="none"/>
          <w:lang w:val="en-US" w:eastAsia="zh-CN"/>
        </w:rPr>
        <w:t>单位</w:t>
      </w:r>
      <w:r>
        <w:rPr>
          <w:rFonts w:hint="eastAsia" w:ascii="宋体" w:hAnsi="宋体" w:eastAsia="宋体" w:cs="宋体"/>
          <w:color w:val="auto"/>
          <w:sz w:val="24"/>
          <w:szCs w:val="22"/>
          <w:highlight w:val="none"/>
        </w:rPr>
        <w:t>磋商全过程（含异议、投诉环节）出示的证明文件资料均是真实、有效的。</w:t>
      </w:r>
    </w:p>
    <w:p w14:paraId="4F7B9814">
      <w:pPr>
        <w:keepNext w:val="0"/>
        <w:keepLines w:val="0"/>
        <w:pageBreakBefore w:val="0"/>
        <w:widowControl/>
        <w:spacing w:line="360" w:lineRule="auto"/>
        <w:ind w:firstLine="482"/>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综上，</w:t>
      </w:r>
      <w:r>
        <w:rPr>
          <w:rFonts w:hint="eastAsia" w:ascii="宋体" w:hAnsi="宋体" w:eastAsia="宋体" w:cs="宋体"/>
          <w:color w:val="auto"/>
          <w:sz w:val="24"/>
          <w:szCs w:val="22"/>
          <w:highlight w:val="none"/>
          <w:lang w:bidi="ar"/>
        </w:rPr>
        <w:t>我单位承诺如有虚假，愿意无条件接受被取消磋商或成交资格、履约保证金不予退还、合同解除及清除出场，一切损失由我单位自行承担，同时愿意接受相关处罚，特此承诺！</w:t>
      </w:r>
    </w:p>
    <w:p w14:paraId="038E2033">
      <w:pPr>
        <w:keepNext w:val="0"/>
        <w:keepLines w:val="0"/>
        <w:pageBreakBefore w:val="0"/>
        <w:widowControl/>
        <w:spacing w:line="360" w:lineRule="auto"/>
        <w:ind w:firstLine="482"/>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bidi="ar"/>
        </w:rPr>
        <w:t>磋商供应商：</w:t>
      </w:r>
      <w:r>
        <w:rPr>
          <w:rFonts w:hint="eastAsia" w:ascii="宋体" w:hAnsi="宋体" w:eastAsia="宋体" w:cs="宋体"/>
          <w:color w:val="auto"/>
          <w:sz w:val="24"/>
          <w:szCs w:val="22"/>
          <w:highlight w:val="none"/>
          <w:u w:val="single"/>
          <w:lang w:bidi="ar"/>
        </w:rPr>
        <w:t xml:space="preserve">                 </w:t>
      </w:r>
      <w:r>
        <w:rPr>
          <w:rFonts w:hint="eastAsia" w:ascii="宋体" w:hAnsi="宋体" w:eastAsia="宋体" w:cs="宋体"/>
          <w:color w:val="auto"/>
          <w:sz w:val="24"/>
          <w:szCs w:val="22"/>
          <w:highlight w:val="none"/>
          <w:lang w:bidi="ar"/>
        </w:rPr>
        <w:t xml:space="preserve">  </w:t>
      </w:r>
      <w:r>
        <w:rPr>
          <w:rFonts w:hint="eastAsia" w:ascii="宋体" w:hAnsi="宋体" w:eastAsia="宋体" w:cs="宋体"/>
          <w:color w:val="auto"/>
          <w:sz w:val="24"/>
          <w:szCs w:val="22"/>
          <w:highlight w:val="none"/>
          <w:lang w:eastAsia="zh-CN" w:bidi="ar"/>
        </w:rPr>
        <w:t>（</w:t>
      </w:r>
      <w:r>
        <w:rPr>
          <w:rFonts w:hint="eastAsia" w:ascii="宋体" w:hAnsi="宋体" w:eastAsia="宋体" w:cs="宋体"/>
          <w:color w:val="auto"/>
          <w:sz w:val="24"/>
          <w:szCs w:val="22"/>
          <w:highlight w:val="none"/>
          <w:lang w:bidi="ar"/>
        </w:rPr>
        <w:t>盖章</w:t>
      </w:r>
      <w:r>
        <w:rPr>
          <w:rFonts w:hint="eastAsia" w:ascii="宋体" w:hAnsi="宋体" w:eastAsia="宋体" w:cs="宋体"/>
          <w:color w:val="auto"/>
          <w:sz w:val="24"/>
          <w:szCs w:val="22"/>
          <w:highlight w:val="none"/>
          <w:lang w:eastAsia="zh-CN" w:bidi="ar"/>
        </w:rPr>
        <w:t>）</w:t>
      </w:r>
      <w:r>
        <w:rPr>
          <w:rFonts w:hint="eastAsia" w:ascii="宋体" w:hAnsi="宋体" w:eastAsia="宋体" w:cs="宋体"/>
          <w:color w:val="auto"/>
          <w:sz w:val="24"/>
          <w:szCs w:val="22"/>
          <w:highlight w:val="none"/>
          <w:lang w:bidi="ar"/>
        </w:rPr>
        <w:t xml:space="preserve"> </w:t>
      </w:r>
    </w:p>
    <w:p w14:paraId="15E15D68">
      <w:pPr>
        <w:keepNext w:val="0"/>
        <w:keepLines w:val="0"/>
        <w:pageBreakBefore w:val="0"/>
        <w:widowControl/>
        <w:spacing w:line="360" w:lineRule="auto"/>
        <w:ind w:firstLine="482"/>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bidi="ar"/>
        </w:rPr>
        <w:t>法定代表人：</w:t>
      </w:r>
      <w:r>
        <w:rPr>
          <w:rFonts w:hint="eastAsia" w:ascii="宋体" w:hAnsi="宋体" w:eastAsia="宋体" w:cs="宋体"/>
          <w:color w:val="auto"/>
          <w:sz w:val="24"/>
          <w:szCs w:val="22"/>
          <w:highlight w:val="none"/>
          <w:u w:val="single"/>
          <w:lang w:bidi="ar"/>
        </w:rPr>
        <w:t xml:space="preserve">                 </w:t>
      </w:r>
      <w:r>
        <w:rPr>
          <w:rFonts w:hint="eastAsia" w:ascii="宋体" w:hAnsi="宋体" w:eastAsia="宋体" w:cs="宋体"/>
          <w:color w:val="auto"/>
          <w:sz w:val="24"/>
          <w:szCs w:val="22"/>
          <w:highlight w:val="none"/>
          <w:lang w:bidi="ar"/>
        </w:rPr>
        <w:t xml:space="preserve">  </w:t>
      </w:r>
      <w:r>
        <w:rPr>
          <w:rFonts w:hint="eastAsia" w:ascii="宋体" w:hAnsi="宋体" w:eastAsia="宋体" w:cs="宋体"/>
          <w:color w:val="auto"/>
          <w:sz w:val="24"/>
          <w:szCs w:val="22"/>
          <w:highlight w:val="none"/>
          <w:lang w:eastAsia="zh-CN" w:bidi="ar"/>
        </w:rPr>
        <w:t>（</w:t>
      </w:r>
      <w:r>
        <w:rPr>
          <w:rFonts w:hint="eastAsia" w:ascii="宋体" w:hAnsi="宋体" w:eastAsia="宋体" w:cs="宋体"/>
          <w:color w:val="auto"/>
          <w:sz w:val="24"/>
          <w:szCs w:val="22"/>
          <w:highlight w:val="none"/>
          <w:lang w:bidi="ar"/>
        </w:rPr>
        <w:t>签字或盖章</w:t>
      </w:r>
      <w:r>
        <w:rPr>
          <w:rFonts w:hint="eastAsia" w:ascii="宋体" w:hAnsi="宋体" w:eastAsia="宋体" w:cs="宋体"/>
          <w:color w:val="auto"/>
          <w:sz w:val="24"/>
          <w:szCs w:val="22"/>
          <w:highlight w:val="none"/>
          <w:lang w:eastAsia="zh-CN" w:bidi="ar"/>
        </w:rPr>
        <w:t>）</w:t>
      </w:r>
      <w:r>
        <w:rPr>
          <w:rFonts w:hint="eastAsia" w:ascii="宋体" w:hAnsi="宋体" w:eastAsia="宋体" w:cs="宋体"/>
          <w:color w:val="auto"/>
          <w:sz w:val="24"/>
          <w:szCs w:val="22"/>
          <w:highlight w:val="none"/>
          <w:lang w:bidi="ar"/>
        </w:rPr>
        <w:t xml:space="preserve"> </w:t>
      </w:r>
    </w:p>
    <w:p w14:paraId="3C95F4DE">
      <w:pPr>
        <w:keepNext w:val="0"/>
        <w:keepLines w:val="0"/>
        <w:pageBreakBefore w:val="0"/>
        <w:widowControl/>
        <w:spacing w:line="360" w:lineRule="auto"/>
        <w:ind w:firstLine="482"/>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bidi="ar"/>
        </w:rPr>
        <w:t>项目负责人：</w:t>
      </w:r>
      <w:r>
        <w:rPr>
          <w:rFonts w:hint="eastAsia" w:ascii="宋体" w:hAnsi="宋体" w:eastAsia="宋体" w:cs="宋体"/>
          <w:color w:val="auto"/>
          <w:sz w:val="24"/>
          <w:szCs w:val="22"/>
          <w:highlight w:val="none"/>
          <w:u w:val="single"/>
          <w:lang w:bidi="ar"/>
        </w:rPr>
        <w:t xml:space="preserve">                 </w:t>
      </w:r>
      <w:r>
        <w:rPr>
          <w:rFonts w:hint="eastAsia" w:ascii="宋体" w:hAnsi="宋体" w:eastAsia="宋体" w:cs="宋体"/>
          <w:color w:val="auto"/>
          <w:sz w:val="24"/>
          <w:szCs w:val="22"/>
          <w:highlight w:val="none"/>
          <w:lang w:bidi="ar"/>
        </w:rPr>
        <w:t xml:space="preserve">  </w:t>
      </w:r>
      <w:r>
        <w:rPr>
          <w:rFonts w:hint="eastAsia" w:ascii="宋体" w:hAnsi="宋体" w:eastAsia="宋体" w:cs="宋体"/>
          <w:color w:val="auto"/>
          <w:sz w:val="24"/>
          <w:szCs w:val="22"/>
          <w:highlight w:val="none"/>
          <w:lang w:eastAsia="zh-CN" w:bidi="ar"/>
        </w:rPr>
        <w:t>（</w:t>
      </w:r>
      <w:r>
        <w:rPr>
          <w:rFonts w:hint="eastAsia" w:ascii="宋体" w:hAnsi="宋体" w:eastAsia="宋体" w:cs="宋体"/>
          <w:color w:val="auto"/>
          <w:sz w:val="24"/>
          <w:szCs w:val="22"/>
          <w:highlight w:val="none"/>
          <w:lang w:bidi="ar"/>
        </w:rPr>
        <w:t>签字</w:t>
      </w:r>
      <w:r>
        <w:rPr>
          <w:rFonts w:hint="eastAsia" w:ascii="宋体" w:hAnsi="宋体" w:eastAsia="宋体" w:cs="宋体"/>
          <w:color w:val="auto"/>
          <w:sz w:val="24"/>
          <w:szCs w:val="22"/>
          <w:highlight w:val="none"/>
          <w:lang w:eastAsia="zh-CN" w:bidi="ar"/>
        </w:rPr>
        <w:t>）</w:t>
      </w:r>
      <w:r>
        <w:rPr>
          <w:rFonts w:hint="eastAsia" w:ascii="宋体" w:hAnsi="宋体" w:eastAsia="宋体" w:cs="宋体"/>
          <w:color w:val="auto"/>
          <w:sz w:val="24"/>
          <w:szCs w:val="22"/>
          <w:highlight w:val="none"/>
          <w:lang w:bidi="ar"/>
        </w:rPr>
        <w:t xml:space="preserve"> </w:t>
      </w:r>
    </w:p>
    <w:p w14:paraId="238D6B12">
      <w:pPr>
        <w:keepNext w:val="0"/>
        <w:keepLines w:val="0"/>
        <w:pageBreakBefore w:val="0"/>
        <w:widowControl/>
        <w:spacing w:line="360" w:lineRule="auto"/>
        <w:ind w:firstLine="482"/>
        <w:jc w:val="left"/>
        <w:rPr>
          <w:rFonts w:hint="eastAsia" w:ascii="宋体" w:hAnsi="宋体" w:eastAsia="宋体" w:cs="宋体"/>
          <w:color w:val="auto"/>
          <w:sz w:val="24"/>
          <w:szCs w:val="22"/>
          <w:highlight w:val="none"/>
          <w:lang w:bidi="ar"/>
        </w:rPr>
      </w:pPr>
      <w:r>
        <w:rPr>
          <w:rFonts w:hint="eastAsia" w:ascii="宋体" w:hAnsi="宋体" w:eastAsia="宋体" w:cs="宋体"/>
          <w:color w:val="auto"/>
          <w:sz w:val="24"/>
          <w:szCs w:val="22"/>
          <w:highlight w:val="none"/>
          <w:lang w:bidi="ar"/>
        </w:rPr>
        <w:t>项目负责人证书编号：</w:t>
      </w:r>
      <w:r>
        <w:rPr>
          <w:rFonts w:hint="eastAsia" w:ascii="宋体" w:hAnsi="宋体" w:eastAsia="宋体" w:cs="宋体"/>
          <w:color w:val="auto"/>
          <w:sz w:val="24"/>
          <w:szCs w:val="22"/>
          <w:highlight w:val="none"/>
          <w:u w:val="single"/>
          <w:lang w:bidi="ar"/>
        </w:rPr>
        <w:t xml:space="preserve">                 </w:t>
      </w:r>
      <w:r>
        <w:rPr>
          <w:rFonts w:hint="eastAsia" w:ascii="宋体" w:hAnsi="宋体" w:eastAsia="宋体" w:cs="宋体"/>
          <w:color w:val="auto"/>
          <w:sz w:val="24"/>
          <w:szCs w:val="22"/>
          <w:highlight w:val="none"/>
          <w:lang w:bidi="ar"/>
        </w:rPr>
        <w:t xml:space="preserve"> </w:t>
      </w:r>
    </w:p>
    <w:p w14:paraId="075F00FD">
      <w:pPr>
        <w:pStyle w:val="209"/>
        <w:spacing w:line="360" w:lineRule="auto"/>
        <w:ind w:firstLine="480"/>
        <w:rPr>
          <w:rFonts w:hint="eastAsia" w:ascii="宋体" w:hAnsi="宋体" w:eastAsia="宋体" w:cs="宋体"/>
          <w:color w:val="auto"/>
          <w:sz w:val="24"/>
          <w:highlight w:val="none"/>
          <w:lang w:bidi="ar"/>
        </w:rPr>
      </w:pPr>
      <w:r>
        <w:rPr>
          <w:rFonts w:hint="eastAsia" w:ascii="宋体" w:hAnsi="宋体" w:eastAsia="宋体" w:cs="宋体"/>
          <w:color w:val="auto"/>
          <w:sz w:val="24"/>
          <w:szCs w:val="22"/>
          <w:highlight w:val="none"/>
          <w:lang w:bidi="ar"/>
        </w:rPr>
        <w:t>日期：</w:t>
      </w:r>
      <w:r>
        <w:rPr>
          <w:rFonts w:hint="eastAsia" w:ascii="宋体" w:hAnsi="宋体" w:eastAsia="宋体" w:cs="宋体"/>
          <w:color w:val="auto"/>
          <w:sz w:val="24"/>
          <w:szCs w:val="22"/>
          <w:highlight w:val="none"/>
          <w:u w:val="single"/>
          <w:lang w:bidi="ar"/>
        </w:rPr>
        <w:t xml:space="preserve">       </w:t>
      </w:r>
      <w:r>
        <w:rPr>
          <w:rFonts w:hint="eastAsia" w:ascii="宋体" w:hAnsi="宋体" w:eastAsia="宋体" w:cs="宋体"/>
          <w:color w:val="auto"/>
          <w:sz w:val="24"/>
          <w:szCs w:val="22"/>
          <w:highlight w:val="none"/>
          <w:lang w:bidi="ar"/>
        </w:rPr>
        <w:t>年</w:t>
      </w:r>
      <w:r>
        <w:rPr>
          <w:rFonts w:hint="eastAsia" w:ascii="宋体" w:hAnsi="宋体" w:eastAsia="宋体" w:cs="宋体"/>
          <w:color w:val="auto"/>
          <w:sz w:val="24"/>
          <w:szCs w:val="22"/>
          <w:highlight w:val="none"/>
          <w:u w:val="single"/>
          <w:lang w:bidi="ar"/>
        </w:rPr>
        <w:t xml:space="preserve">        </w:t>
      </w:r>
      <w:r>
        <w:rPr>
          <w:rFonts w:hint="eastAsia" w:ascii="宋体" w:hAnsi="宋体" w:eastAsia="宋体" w:cs="宋体"/>
          <w:color w:val="auto"/>
          <w:sz w:val="24"/>
          <w:szCs w:val="22"/>
          <w:highlight w:val="none"/>
          <w:lang w:bidi="ar"/>
        </w:rPr>
        <w:t>月</w:t>
      </w:r>
      <w:r>
        <w:rPr>
          <w:rFonts w:hint="eastAsia" w:ascii="宋体" w:hAnsi="宋体" w:eastAsia="宋体" w:cs="宋体"/>
          <w:color w:val="auto"/>
          <w:sz w:val="24"/>
          <w:szCs w:val="22"/>
          <w:highlight w:val="none"/>
          <w:u w:val="single"/>
          <w:lang w:bidi="ar"/>
        </w:rPr>
        <w:t xml:space="preserve">      </w:t>
      </w:r>
      <w:r>
        <w:rPr>
          <w:rFonts w:hint="eastAsia" w:ascii="宋体" w:hAnsi="宋体" w:eastAsia="宋体" w:cs="宋体"/>
          <w:color w:val="auto"/>
          <w:sz w:val="24"/>
          <w:szCs w:val="22"/>
          <w:highlight w:val="none"/>
          <w:lang w:bidi="ar"/>
        </w:rPr>
        <w:t>日</w:t>
      </w:r>
      <w:r>
        <w:rPr>
          <w:rFonts w:hint="eastAsia" w:ascii="宋体" w:hAnsi="宋体" w:eastAsia="宋体" w:cs="仿宋"/>
          <w:b/>
          <w:bCs/>
          <w:color w:val="auto"/>
          <w:sz w:val="32"/>
          <w:szCs w:val="32"/>
          <w:highlight w:val="none"/>
        </w:rPr>
        <w:br w:type="page" w:clear="all"/>
      </w:r>
    </w:p>
    <w:p w14:paraId="3258D7CB">
      <w:pPr>
        <w:pStyle w:val="2"/>
        <w:keepNext/>
        <w:keepLines/>
        <w:pageBreakBefore w:val="0"/>
        <w:widowControl w:val="0"/>
        <w:numPr>
          <w:ilvl w:val="0"/>
          <w:numId w:val="0"/>
        </w:numPr>
        <w:pBdr>
          <w:top w:val="none" w:color="000000" w:sz="0" w:space="0"/>
          <w:left w:val="none" w:color="000000" w:sz="0" w:space="0"/>
          <w:bottom w:val="none" w:color="000000" w:sz="0" w:space="0"/>
          <w:right w:val="none" w:color="000000" w:sz="0" w:space="0"/>
        </w:pBdr>
        <w:spacing w:before="0" w:after="0" w:line="360" w:lineRule="auto"/>
        <w:jc w:val="center"/>
        <w:outlineLvl w:val="0"/>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第七章 </w:t>
      </w:r>
      <w:r>
        <w:rPr>
          <w:rFonts w:hint="eastAsia" w:ascii="宋体" w:hAnsi="宋体" w:eastAsia="宋体" w:cs="宋体"/>
          <w:b/>
          <w:color w:val="auto"/>
          <w:sz w:val="32"/>
          <w:highlight w:val="none"/>
          <w:lang w:val="en-US" w:eastAsia="zh-CN"/>
        </w:rPr>
        <w:t xml:space="preserve"> </w:t>
      </w:r>
      <w:r>
        <w:rPr>
          <w:rFonts w:hint="eastAsia" w:ascii="宋体" w:hAnsi="宋体" w:eastAsia="宋体" w:cs="宋体"/>
          <w:b/>
          <w:color w:val="auto"/>
          <w:sz w:val="32"/>
          <w:highlight w:val="none"/>
        </w:rPr>
        <w:t>评审方法和评审标准</w:t>
      </w:r>
    </w:p>
    <w:p w14:paraId="2B5633AE">
      <w:pPr>
        <w:keepNext w:val="0"/>
        <w:keepLines w:val="0"/>
        <w:pageBreakBefore w:val="0"/>
        <w:widowControl w:val="0"/>
        <w:spacing w:line="360" w:lineRule="auto"/>
        <w:ind w:firstLine="482"/>
        <w:jc w:val="left"/>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一、</w:t>
      </w:r>
      <w:r>
        <w:rPr>
          <w:rFonts w:ascii="宋体" w:hAnsi="宋体" w:eastAsia="宋体" w:cs="Times New Roman"/>
          <w:b/>
          <w:color w:val="auto"/>
          <w:sz w:val="24"/>
          <w:szCs w:val="24"/>
          <w:highlight w:val="none"/>
          <w:lang w:val="en-US" w:eastAsia="zh-CN" w:bidi="ar-SA"/>
        </w:rPr>
        <w:t>磋商小组：</w:t>
      </w:r>
    </w:p>
    <w:p w14:paraId="1578AD5C">
      <w:pPr>
        <w:keepNext w:val="0"/>
        <w:keepLines w:val="0"/>
        <w:pageBreakBefore w:val="0"/>
        <w:widowControl w:val="0"/>
        <w:spacing w:line="360" w:lineRule="auto"/>
        <w:ind w:firstLine="480"/>
        <w:jc w:val="left"/>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本采购项目磋商小组由采购人代表和评审专家组成。</w:t>
      </w:r>
    </w:p>
    <w:p w14:paraId="4A80F849">
      <w:pPr>
        <w:keepNext w:val="0"/>
        <w:keepLines w:val="0"/>
        <w:pageBreakBefore w:val="0"/>
        <w:widowControl w:val="0"/>
        <w:spacing w:line="360" w:lineRule="auto"/>
        <w:ind w:firstLine="482"/>
        <w:jc w:val="left"/>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二</w:t>
      </w:r>
      <w:r>
        <w:rPr>
          <w:rFonts w:ascii="宋体" w:hAnsi="宋体" w:eastAsia="宋体" w:cs="Times New Roman"/>
          <w:b/>
          <w:color w:val="auto"/>
          <w:sz w:val="24"/>
          <w:szCs w:val="24"/>
          <w:highlight w:val="none"/>
          <w:lang w:val="en-US" w:eastAsia="zh-CN" w:bidi="ar-SA"/>
        </w:rPr>
        <w:t>、评审方法：</w:t>
      </w:r>
      <w:r>
        <w:rPr>
          <w:rFonts w:ascii="宋体" w:hAnsi="宋体" w:eastAsia="宋体" w:cs="Times New Roman"/>
          <w:b/>
          <w:bCs/>
          <w:color w:val="auto"/>
          <w:sz w:val="24"/>
          <w:szCs w:val="24"/>
          <w:highlight w:val="none"/>
          <w:lang w:val="en-US" w:eastAsia="zh-CN" w:bidi="ar-SA"/>
        </w:rPr>
        <w:t>综合评分法</w:t>
      </w:r>
    </w:p>
    <w:p w14:paraId="4E824987">
      <w:pPr>
        <w:keepNext w:val="0"/>
        <w:keepLines w:val="0"/>
        <w:pageBreakBefore w:val="0"/>
        <w:widowControl w:val="0"/>
        <w:spacing w:line="360" w:lineRule="auto"/>
        <w:ind w:firstLine="480"/>
        <w:jc w:val="left"/>
        <w:rPr>
          <w:rFonts w:hint="eastAsia"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经磋商确定最终采购需求和提交最后报价的供应商后，由磋商小组采用综合评分法对提交最后报价的供应商的响应文件和最后报价进行综合评分。</w:t>
      </w:r>
    </w:p>
    <w:p w14:paraId="228AFE63">
      <w:pPr>
        <w:keepNext w:val="0"/>
        <w:keepLines w:val="0"/>
        <w:pageBreakBefore w:val="0"/>
        <w:widowControl w:val="0"/>
        <w:spacing w:line="360" w:lineRule="auto"/>
        <w:ind w:firstLine="480"/>
        <w:jc w:val="left"/>
        <w:rPr>
          <w:rFonts w:hint="eastAsia"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综合评分法，是指响应文件满足磋商文件全部实质性要求且按评审因素的量化指标评审得分最高的供应商为成交候选供应商的评审方法。</w:t>
      </w:r>
    </w:p>
    <w:p w14:paraId="5637A3A2">
      <w:pPr>
        <w:keepNext w:val="0"/>
        <w:keepLines w:val="0"/>
        <w:pageBreakBefore w:val="0"/>
        <w:widowControl w:val="0"/>
        <w:spacing w:line="360" w:lineRule="auto"/>
        <w:ind w:firstLine="482"/>
        <w:jc w:val="left"/>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三、</w:t>
      </w:r>
      <w:r>
        <w:rPr>
          <w:rFonts w:ascii="宋体" w:hAnsi="宋体" w:eastAsia="宋体" w:cs="Times New Roman"/>
          <w:b/>
          <w:color w:val="auto"/>
          <w:sz w:val="24"/>
          <w:szCs w:val="24"/>
          <w:highlight w:val="none"/>
          <w:lang w:val="en-US" w:eastAsia="zh-CN" w:bidi="ar-SA"/>
        </w:rPr>
        <w:t>评审</w:t>
      </w:r>
      <w:r>
        <w:rPr>
          <w:rFonts w:ascii="宋体" w:hAnsi="宋体" w:eastAsia="宋体" w:cs="Times New Roman"/>
          <w:b/>
          <w:bCs/>
          <w:color w:val="auto"/>
          <w:sz w:val="24"/>
          <w:szCs w:val="24"/>
          <w:highlight w:val="none"/>
          <w:lang w:val="en-US" w:eastAsia="zh-CN" w:bidi="ar-SA"/>
        </w:rPr>
        <w:t>原则：</w:t>
      </w:r>
    </w:p>
    <w:p w14:paraId="521D6438">
      <w:pPr>
        <w:keepNext w:val="0"/>
        <w:keepLines w:val="0"/>
        <w:pageBreakBefore w:val="0"/>
        <w:widowControl w:val="0"/>
        <w:spacing w:line="360" w:lineRule="auto"/>
        <w:ind w:firstLine="480"/>
        <w:jc w:val="left"/>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磋商小组</w:t>
      </w:r>
      <w:r>
        <w:rPr>
          <w:rFonts w:ascii="宋体" w:hAnsi="宋体" w:eastAsia="宋体" w:cs="Times New Roman"/>
          <w:bCs/>
          <w:color w:val="auto"/>
          <w:sz w:val="24"/>
          <w:szCs w:val="24"/>
          <w:highlight w:val="none"/>
          <w:lang w:val="en-US" w:eastAsia="zh-CN" w:bidi="ar-SA"/>
        </w:rPr>
        <w:t>必须客观、公正、审慎，不带任何倾向性和启发性；不得向外界透露任何与评审有关的内容；任何单位和个人不得干扰、影响评审的正常进行；磋商小组及有关工作人员不得私下与供应商接触。</w:t>
      </w:r>
    </w:p>
    <w:p w14:paraId="2A7C69E4">
      <w:pPr>
        <w:keepNext w:val="0"/>
        <w:keepLines w:val="0"/>
        <w:pageBreakBefore w:val="0"/>
        <w:widowControl w:val="0"/>
        <w:spacing w:line="360" w:lineRule="auto"/>
        <w:ind w:firstLine="482"/>
        <w:jc w:val="left"/>
        <w:rPr>
          <w:rFonts w:hint="eastAsia" w:ascii="宋体" w:hAnsi="宋体" w:eastAsia="宋体" w:cs="Times New Roman"/>
          <w:b/>
          <w:bCs/>
          <w:color w:val="auto"/>
          <w:sz w:val="24"/>
          <w:szCs w:val="24"/>
          <w:highlight w:val="none"/>
          <w:lang w:val="en-US" w:eastAsia="zh-CN" w:bidi="ar-SA"/>
        </w:rPr>
      </w:pPr>
      <w:r>
        <w:rPr>
          <w:rFonts w:ascii="宋体" w:hAnsi="宋体" w:eastAsia="宋体" w:cs="Times New Roman"/>
          <w:b/>
          <w:bCs/>
          <w:color w:val="auto"/>
          <w:sz w:val="24"/>
          <w:szCs w:val="24"/>
          <w:highlight w:val="none"/>
          <w:lang w:val="en-US" w:eastAsia="zh-CN" w:bidi="ar-SA"/>
        </w:rPr>
        <w:t xml:space="preserve">四、评审标准： </w:t>
      </w:r>
    </w:p>
    <w:p w14:paraId="5A964033">
      <w:pPr>
        <w:keepNext w:val="0"/>
        <w:keepLines w:val="0"/>
        <w:pageBreakBefore w:val="0"/>
        <w:widowControl w:val="0"/>
        <w:spacing w:line="360" w:lineRule="auto"/>
        <w:ind w:firstLine="480"/>
        <w:jc w:val="left"/>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(一)评审时，磋商小组以磋商文件为评审依据，磋商小组各成员独立对每个有效响应的文件进行评价、打分，然后汇总每个供应商每项评分因素的得分。</w:t>
      </w:r>
    </w:p>
    <w:p w14:paraId="5DFEFE39">
      <w:pPr>
        <w:keepNext w:val="0"/>
        <w:keepLines w:val="0"/>
        <w:pageBreakBefore w:val="0"/>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Times New Roman"/>
          <w:bCs/>
          <w:color w:val="auto"/>
          <w:sz w:val="24"/>
          <w:szCs w:val="24"/>
          <w:highlight w:val="none"/>
          <w:lang w:val="en-US" w:eastAsia="zh-CN" w:bidi="ar-SA"/>
        </w:rPr>
      </w:pPr>
      <w:r>
        <w:rPr>
          <w:rFonts w:ascii="宋体" w:hAnsi="宋体" w:eastAsia="宋体" w:cs="Times New Roman"/>
          <w:bCs/>
          <w:color w:val="auto"/>
          <w:sz w:val="24"/>
          <w:szCs w:val="24"/>
          <w:highlight w:val="none"/>
          <w:lang w:val="en-US" w:eastAsia="zh-CN" w:bidi="ar-SA"/>
        </w:rPr>
        <w:t>(二)本项目评分总分为100分，按四舍五入取至小数点后两位。</w:t>
      </w:r>
    </w:p>
    <w:p w14:paraId="70747F8B">
      <w:pPr>
        <w:widowControl w:val="0"/>
        <w:spacing w:before="120" w:after="120" w:line="400" w:lineRule="exact"/>
        <w:ind w:firstLine="643"/>
        <w:jc w:val="center"/>
        <w:rPr>
          <w:rFonts w:hint="eastAsia" w:ascii="宋体" w:hAnsi="宋体" w:eastAsia="宋体" w:cs="Times New Roman"/>
          <w:b/>
          <w:bCs/>
          <w:color w:val="auto"/>
          <w:sz w:val="32"/>
          <w:szCs w:val="32"/>
          <w:highlight w:val="none"/>
          <w:lang w:val="en-US" w:eastAsia="zh-CN" w:bidi="ar-SA"/>
        </w:rPr>
      </w:pPr>
      <w:r>
        <w:rPr>
          <w:rFonts w:hint="eastAsia" w:ascii="宋体" w:hAnsi="宋体" w:eastAsia="宋体" w:cs="Times New Roman"/>
          <w:b/>
          <w:bCs/>
          <w:color w:val="auto"/>
          <w:sz w:val="32"/>
          <w:szCs w:val="32"/>
          <w:highlight w:val="none"/>
          <w:lang w:val="en-US" w:eastAsia="zh-CN" w:bidi="ar-SA"/>
        </w:rPr>
        <w:t>综合评分法</w:t>
      </w:r>
    </w:p>
    <w:p w14:paraId="683256F6">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1、价格分：</w:t>
      </w:r>
      <w:r>
        <w:rPr>
          <w:rFonts w:hint="eastAsia" w:ascii="宋体" w:hAnsi="宋体" w:eastAsia="宋体" w:cs="宋体"/>
          <w:b/>
          <w:color w:val="auto"/>
          <w:sz w:val="24"/>
          <w:highlight w:val="none"/>
          <w:lang w:val="en-US" w:eastAsia="zh-CN"/>
        </w:rPr>
        <w:t>30</w:t>
      </w:r>
      <w:r>
        <w:rPr>
          <w:rFonts w:hint="eastAsia" w:ascii="宋体" w:hAnsi="宋体" w:eastAsia="宋体" w:cs="宋体"/>
          <w:b/>
          <w:color w:val="auto"/>
          <w:sz w:val="24"/>
          <w:highlight w:val="none"/>
        </w:rPr>
        <w:t>分</w:t>
      </w:r>
    </w:p>
    <w:p w14:paraId="3F95A96C">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价格分统一采用低价优先法计算，即满足磋商文件要求且最后报价最低的供应商的价格为磋商基准价，其价格分为满分。其他供应商的价格分统一按照下列公式计算：</w:t>
      </w:r>
    </w:p>
    <w:p w14:paraId="42FEF30B">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磋商报价得分=（磋商基准价/最后磋商报价）×30分</w:t>
      </w:r>
    </w:p>
    <w:p w14:paraId="03090F6A">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项目评审过程中，不得去掉最后报价中的最高报价和最低报价。</w:t>
      </w:r>
    </w:p>
    <w:p w14:paraId="4DC0303A">
      <w:pPr>
        <w:widowControl/>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2、商务技术分：</w:t>
      </w:r>
      <w:r>
        <w:rPr>
          <w:rFonts w:hint="eastAsia" w:ascii="宋体" w:hAnsi="宋体" w:eastAsia="宋体" w:cs="宋体"/>
          <w:b/>
          <w:color w:val="auto"/>
          <w:sz w:val="24"/>
          <w:highlight w:val="none"/>
          <w:lang w:val="en-US" w:eastAsia="zh-CN"/>
        </w:rPr>
        <w:t>70</w:t>
      </w:r>
      <w:r>
        <w:rPr>
          <w:rFonts w:hint="eastAsia" w:ascii="宋体" w:hAnsi="宋体" w:eastAsia="宋体" w:cs="宋体"/>
          <w:b/>
          <w:color w:val="auto"/>
          <w:sz w:val="24"/>
          <w:highlight w:val="none"/>
        </w:rPr>
        <w:t>分</w:t>
      </w:r>
    </w:p>
    <w:tbl>
      <w:tblPr>
        <w:tblStyle w:val="37"/>
        <w:tblW w:w="97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1320"/>
        <w:gridCol w:w="1635"/>
        <w:gridCol w:w="6030"/>
      </w:tblGrid>
      <w:tr w14:paraId="23BE1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756" w:type="dxa"/>
            <w:noWrap w:val="0"/>
            <w:vAlign w:val="center"/>
          </w:tcPr>
          <w:p w14:paraId="42284454">
            <w:pPr>
              <w:keepNext w:val="0"/>
              <w:keepLines w:val="0"/>
              <w:pageBreakBefore w:val="0"/>
              <w:widowControl w:val="0"/>
              <w:spacing w:line="340" w:lineRule="exact"/>
              <w:ind w:left="0"/>
              <w:jc w:val="lef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br w:type="page" w:clear="all"/>
            </w:r>
            <w:r>
              <w:rPr>
                <w:rFonts w:hint="eastAsia" w:ascii="宋体" w:hAnsi="宋体" w:eastAsia="宋体" w:cs="宋体"/>
                <w:b/>
                <w:bCs/>
                <w:color w:val="auto"/>
                <w:sz w:val="24"/>
                <w:szCs w:val="24"/>
                <w:highlight w:val="none"/>
              </w:rPr>
              <w:t>序号</w:t>
            </w:r>
          </w:p>
        </w:tc>
        <w:tc>
          <w:tcPr>
            <w:tcW w:w="1320" w:type="dxa"/>
            <w:noWrap w:val="0"/>
            <w:vAlign w:val="center"/>
          </w:tcPr>
          <w:p w14:paraId="3A470E07">
            <w:pPr>
              <w:keepNext w:val="0"/>
              <w:keepLines w:val="0"/>
              <w:pageBreakBefore w:val="0"/>
              <w:widowControl/>
              <w:spacing w:line="340" w:lineRule="exact"/>
              <w:ind w:lef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评分项目</w:t>
            </w:r>
          </w:p>
        </w:tc>
        <w:tc>
          <w:tcPr>
            <w:tcW w:w="1635" w:type="dxa"/>
            <w:noWrap w:val="0"/>
            <w:vAlign w:val="center"/>
          </w:tcPr>
          <w:p w14:paraId="09A35921">
            <w:pPr>
              <w:keepNext w:val="0"/>
              <w:keepLines w:val="0"/>
              <w:pageBreakBefore w:val="0"/>
              <w:widowControl/>
              <w:spacing w:line="340" w:lineRule="exact"/>
              <w:ind w:lef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评审项</w:t>
            </w:r>
          </w:p>
        </w:tc>
        <w:tc>
          <w:tcPr>
            <w:tcW w:w="6030" w:type="dxa"/>
            <w:noWrap w:val="0"/>
            <w:vAlign w:val="center"/>
          </w:tcPr>
          <w:p w14:paraId="11B8B234">
            <w:pPr>
              <w:keepNext w:val="0"/>
              <w:keepLines w:val="0"/>
              <w:pageBreakBefore w:val="0"/>
              <w:widowControl/>
              <w:spacing w:line="340" w:lineRule="exact"/>
              <w:ind w:left="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评分标准</w:t>
            </w:r>
          </w:p>
        </w:tc>
      </w:tr>
      <w:tr w14:paraId="1CD47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5" w:hRule="atLeast"/>
          <w:jc w:val="center"/>
        </w:trPr>
        <w:tc>
          <w:tcPr>
            <w:tcW w:w="756" w:type="dxa"/>
            <w:vMerge w:val="restart"/>
            <w:noWrap w:val="0"/>
            <w:vAlign w:val="center"/>
          </w:tcPr>
          <w:p w14:paraId="05E8AE8B">
            <w:pPr>
              <w:keepNext w:val="0"/>
              <w:keepLines w:val="0"/>
              <w:pageBreakBefore w:val="0"/>
              <w:widowControl/>
              <w:spacing w:line="340" w:lineRule="exact"/>
              <w:ind w:lef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p>
        </w:tc>
        <w:tc>
          <w:tcPr>
            <w:tcW w:w="1320" w:type="dxa"/>
            <w:vMerge w:val="restart"/>
            <w:noWrap w:val="0"/>
            <w:vAlign w:val="center"/>
          </w:tcPr>
          <w:p w14:paraId="6ABC0DB2">
            <w:pPr>
              <w:keepNext w:val="0"/>
              <w:keepLines w:val="0"/>
              <w:pageBreakBefore w:val="0"/>
              <w:spacing w:line="340" w:lineRule="exact"/>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技术部分</w:t>
            </w:r>
          </w:p>
          <w:p w14:paraId="4BA29033">
            <w:pPr>
              <w:keepNext w:val="0"/>
              <w:keepLines w:val="0"/>
              <w:pageBreakBefore w:val="0"/>
              <w:spacing w:line="340" w:lineRule="exact"/>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w:t>
            </w:r>
          </w:p>
        </w:tc>
        <w:tc>
          <w:tcPr>
            <w:tcW w:w="1635" w:type="dxa"/>
            <w:vMerge w:val="restart"/>
            <w:noWrap w:val="0"/>
            <w:vAlign w:val="center"/>
          </w:tcPr>
          <w:p w14:paraId="0D6B4F45">
            <w:pPr>
              <w:keepNext w:val="0"/>
              <w:keepLines w:val="0"/>
              <w:pageBreakBefore w:val="0"/>
              <w:spacing w:line="340" w:lineRule="exact"/>
              <w:ind w:left="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施工组织设计（</w:t>
            </w:r>
            <w:r>
              <w:rPr>
                <w:rFonts w:hint="eastAsia" w:ascii="宋体" w:hAnsi="宋体" w:eastAsia="宋体" w:cs="宋体"/>
                <w:color w:val="auto"/>
                <w:sz w:val="24"/>
                <w:szCs w:val="24"/>
                <w:highlight w:val="none"/>
                <w:lang w:val="en-US" w:eastAsia="zh-CN"/>
              </w:rPr>
              <w:t>30分</w:t>
            </w:r>
            <w:r>
              <w:rPr>
                <w:rFonts w:hint="eastAsia" w:ascii="宋体" w:hAnsi="宋体" w:eastAsia="宋体" w:cs="宋体"/>
                <w:color w:val="auto"/>
                <w:sz w:val="24"/>
                <w:szCs w:val="24"/>
                <w:highlight w:val="none"/>
                <w:lang w:eastAsia="zh-CN"/>
              </w:rPr>
              <w:t>）</w:t>
            </w:r>
          </w:p>
        </w:tc>
        <w:tc>
          <w:tcPr>
            <w:tcW w:w="6030" w:type="dxa"/>
            <w:noWrap w:val="0"/>
            <w:vAlign w:val="center"/>
          </w:tcPr>
          <w:p w14:paraId="378750CB">
            <w:pPr>
              <w:keepNext w:val="0"/>
              <w:keepLines w:val="0"/>
              <w:pageBreakBefore w:val="0"/>
              <w:widowControl w:val="0"/>
              <w:numPr>
                <w:ilvl w:val="0"/>
                <w:numId w:val="0"/>
              </w:numPr>
              <w:spacing w:line="340" w:lineRule="exact"/>
              <w:ind w:lef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总体概述：施工组织总体设想、方案针对性。（4分）</w:t>
            </w:r>
          </w:p>
          <w:p w14:paraId="0A85CDED">
            <w:pPr>
              <w:keepNext w:val="0"/>
              <w:keepLines w:val="0"/>
              <w:pageBreakBefore w:val="0"/>
              <w:widowControl w:val="0"/>
              <w:numPr>
                <w:ilvl w:val="0"/>
                <w:numId w:val="0"/>
              </w:numPr>
              <w:spacing w:line="340" w:lineRule="exact"/>
              <w:ind w:lef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总体概述详细全面，施工组织方案针对性强，得4分；</w:t>
            </w:r>
          </w:p>
          <w:p w14:paraId="3716DE2B">
            <w:pPr>
              <w:keepNext w:val="0"/>
              <w:keepLines w:val="0"/>
              <w:pageBreakBefore w:val="0"/>
              <w:widowControl w:val="0"/>
              <w:numPr>
                <w:ilvl w:val="0"/>
                <w:numId w:val="0"/>
              </w:numPr>
              <w:spacing w:line="340" w:lineRule="exact"/>
              <w:ind w:lef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总体概述比较全面，施工方案较合理，得3分；</w:t>
            </w:r>
          </w:p>
          <w:p w14:paraId="1E8AC207">
            <w:pPr>
              <w:keepNext w:val="0"/>
              <w:keepLines w:val="0"/>
              <w:pageBreakBefore w:val="0"/>
              <w:widowControl w:val="0"/>
              <w:numPr>
                <w:ilvl w:val="0"/>
                <w:numId w:val="0"/>
              </w:numPr>
              <w:spacing w:line="340" w:lineRule="exact"/>
              <w:ind w:lef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总体概述和施工方案一般，得2分。</w:t>
            </w:r>
          </w:p>
          <w:p w14:paraId="2EB43040">
            <w:pPr>
              <w:keepNext w:val="0"/>
              <w:keepLines w:val="0"/>
              <w:pageBreakBefore w:val="0"/>
              <w:widowControl w:val="0"/>
              <w:numPr>
                <w:ilvl w:val="0"/>
                <w:numId w:val="0"/>
              </w:numPr>
              <w:spacing w:line="340" w:lineRule="exact"/>
              <w:ind w:lef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未提供不得分。</w:t>
            </w:r>
          </w:p>
        </w:tc>
      </w:tr>
      <w:tr w14:paraId="39508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56" w:type="dxa"/>
            <w:vMerge w:val="continue"/>
            <w:noWrap w:val="0"/>
            <w:vAlign w:val="center"/>
          </w:tcPr>
          <w:p w14:paraId="56D47F27">
            <w:pPr>
              <w:keepNext w:val="0"/>
              <w:keepLines w:val="0"/>
              <w:pageBreakBefore w:val="0"/>
              <w:widowControl/>
              <w:spacing w:line="340" w:lineRule="exact"/>
              <w:ind w:left="0"/>
              <w:jc w:val="center"/>
              <w:rPr>
                <w:rFonts w:hint="eastAsia" w:ascii="宋体" w:hAnsi="宋体" w:eastAsia="宋体" w:cs="宋体"/>
                <w:color w:val="auto"/>
                <w:sz w:val="24"/>
                <w:szCs w:val="24"/>
                <w:highlight w:val="none"/>
              </w:rPr>
            </w:pPr>
          </w:p>
        </w:tc>
        <w:tc>
          <w:tcPr>
            <w:tcW w:w="1320" w:type="dxa"/>
            <w:vMerge w:val="continue"/>
            <w:noWrap w:val="0"/>
            <w:vAlign w:val="center"/>
          </w:tcPr>
          <w:p w14:paraId="7597AF1A">
            <w:pPr>
              <w:keepNext w:val="0"/>
              <w:keepLines w:val="0"/>
              <w:pageBreakBefore w:val="0"/>
              <w:spacing w:line="340" w:lineRule="exact"/>
              <w:ind w:left="0"/>
              <w:jc w:val="center"/>
              <w:rPr>
                <w:rFonts w:hint="eastAsia" w:ascii="宋体" w:hAnsi="宋体" w:eastAsia="宋体" w:cs="宋体"/>
                <w:color w:val="auto"/>
                <w:sz w:val="24"/>
                <w:szCs w:val="24"/>
                <w:highlight w:val="none"/>
              </w:rPr>
            </w:pPr>
          </w:p>
        </w:tc>
        <w:tc>
          <w:tcPr>
            <w:tcW w:w="1635" w:type="dxa"/>
            <w:vMerge w:val="continue"/>
            <w:noWrap w:val="0"/>
            <w:vAlign w:val="center"/>
          </w:tcPr>
          <w:p w14:paraId="63C0DC50">
            <w:pPr>
              <w:keepNext w:val="0"/>
              <w:keepLines w:val="0"/>
              <w:pageBreakBefore w:val="0"/>
              <w:spacing w:line="340" w:lineRule="exact"/>
              <w:ind w:left="0"/>
              <w:jc w:val="center"/>
              <w:rPr>
                <w:rFonts w:hint="eastAsia" w:ascii="宋体" w:hAnsi="宋体" w:eastAsia="宋体" w:cs="宋体"/>
                <w:color w:val="auto"/>
                <w:sz w:val="24"/>
                <w:szCs w:val="24"/>
                <w:highlight w:val="none"/>
                <w:lang w:eastAsia="zh-CN"/>
              </w:rPr>
            </w:pPr>
          </w:p>
        </w:tc>
        <w:tc>
          <w:tcPr>
            <w:tcW w:w="6030" w:type="dxa"/>
            <w:noWrap w:val="0"/>
            <w:vAlign w:val="center"/>
          </w:tcPr>
          <w:p w14:paraId="73A155CF">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工场布置和临时设施设计合理（4分） </w:t>
            </w:r>
          </w:p>
          <w:p w14:paraId="2AAF2D4B">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供应商提供针对本工程的现场布置方案，包含但不限于临时设施设置等方面。</w:t>
            </w:r>
          </w:p>
          <w:p w14:paraId="63F7415C">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施工现场布置方案和临时设施设置方案具有针对性，科学、全面、合理，得4分。</w:t>
            </w:r>
          </w:p>
          <w:p w14:paraId="0EFA50D8">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施工现场布置方案较为科学、全面、合理可行的，得3分。</w:t>
            </w:r>
          </w:p>
          <w:p w14:paraId="7FAECDFD">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施工现场布置方案不全面，针对性不强，得2分。</w:t>
            </w:r>
          </w:p>
          <w:p w14:paraId="24DB491B">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未提供不得分。</w:t>
            </w:r>
          </w:p>
        </w:tc>
      </w:tr>
      <w:tr w14:paraId="2F107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56" w:type="dxa"/>
            <w:vMerge w:val="continue"/>
            <w:noWrap w:val="0"/>
            <w:vAlign w:val="center"/>
          </w:tcPr>
          <w:p w14:paraId="1DD3487D">
            <w:pPr>
              <w:keepNext w:val="0"/>
              <w:keepLines w:val="0"/>
              <w:pageBreakBefore w:val="0"/>
              <w:widowControl/>
              <w:spacing w:line="340" w:lineRule="exact"/>
              <w:ind w:left="0"/>
              <w:jc w:val="center"/>
              <w:rPr>
                <w:rFonts w:hint="eastAsia" w:ascii="宋体" w:hAnsi="宋体" w:eastAsia="宋体" w:cs="宋体"/>
                <w:color w:val="auto"/>
                <w:sz w:val="24"/>
                <w:szCs w:val="24"/>
                <w:highlight w:val="none"/>
              </w:rPr>
            </w:pPr>
          </w:p>
        </w:tc>
        <w:tc>
          <w:tcPr>
            <w:tcW w:w="1320" w:type="dxa"/>
            <w:vMerge w:val="continue"/>
            <w:noWrap w:val="0"/>
            <w:vAlign w:val="center"/>
          </w:tcPr>
          <w:p w14:paraId="35DFF362">
            <w:pPr>
              <w:keepNext w:val="0"/>
              <w:keepLines w:val="0"/>
              <w:pageBreakBefore w:val="0"/>
              <w:spacing w:line="340" w:lineRule="exact"/>
              <w:ind w:left="0"/>
              <w:jc w:val="center"/>
              <w:rPr>
                <w:rFonts w:hint="eastAsia" w:ascii="宋体" w:hAnsi="宋体" w:eastAsia="宋体" w:cs="宋体"/>
                <w:color w:val="auto"/>
                <w:sz w:val="24"/>
                <w:szCs w:val="24"/>
                <w:highlight w:val="none"/>
              </w:rPr>
            </w:pPr>
          </w:p>
        </w:tc>
        <w:tc>
          <w:tcPr>
            <w:tcW w:w="1635" w:type="dxa"/>
            <w:vMerge w:val="continue"/>
            <w:noWrap w:val="0"/>
            <w:vAlign w:val="center"/>
          </w:tcPr>
          <w:p w14:paraId="47BACCF6">
            <w:pPr>
              <w:keepNext w:val="0"/>
              <w:keepLines w:val="0"/>
              <w:pageBreakBefore w:val="0"/>
              <w:spacing w:line="340" w:lineRule="exact"/>
              <w:ind w:left="0"/>
              <w:jc w:val="center"/>
              <w:rPr>
                <w:rFonts w:hint="eastAsia" w:ascii="宋体" w:hAnsi="宋体" w:eastAsia="宋体" w:cs="宋体"/>
                <w:color w:val="auto"/>
                <w:sz w:val="24"/>
                <w:szCs w:val="24"/>
                <w:highlight w:val="none"/>
                <w:lang w:eastAsia="zh-CN"/>
              </w:rPr>
            </w:pPr>
          </w:p>
        </w:tc>
        <w:tc>
          <w:tcPr>
            <w:tcW w:w="6030" w:type="dxa"/>
            <w:noWrap w:val="0"/>
            <w:vAlign w:val="center"/>
          </w:tcPr>
          <w:p w14:paraId="1A8302A1">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劳动力、机械设备和材料投入计划（4分）</w:t>
            </w:r>
          </w:p>
          <w:p w14:paraId="51704819">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bookmarkStart w:id="67" w:name="OLE_LINK15"/>
            <w:r>
              <w:rPr>
                <w:rFonts w:hint="eastAsia" w:ascii="宋体" w:hAnsi="宋体" w:eastAsia="宋体" w:cs="宋体"/>
                <w:b w:val="0"/>
                <w:bCs w:val="0"/>
                <w:color w:val="auto"/>
                <w:sz w:val="24"/>
                <w:szCs w:val="24"/>
                <w:highlight w:val="none"/>
                <w:lang w:val="en-US" w:eastAsia="zh-CN" w:bidi="ar-SA"/>
              </w:rPr>
              <w:t>本工程各阶段的人材机投入符合工程施工的需求，计划安排合理，得4分；</w:t>
            </w:r>
          </w:p>
          <w:p w14:paraId="1FD33EDA">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本工程各阶段的人材机投入基本符合需求，计划安排较合理，得3分；</w:t>
            </w:r>
          </w:p>
          <w:p w14:paraId="12986617">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人材机投入不符合需求，计划安排不合理，得2分。</w:t>
            </w:r>
          </w:p>
          <w:p w14:paraId="509095D9">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未提供不得分。</w:t>
            </w:r>
            <w:bookmarkEnd w:id="67"/>
          </w:p>
        </w:tc>
      </w:tr>
      <w:tr w14:paraId="4F6EE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jc w:val="center"/>
        </w:trPr>
        <w:tc>
          <w:tcPr>
            <w:tcW w:w="756" w:type="dxa"/>
            <w:vMerge w:val="continue"/>
            <w:noWrap w:val="0"/>
            <w:vAlign w:val="center"/>
          </w:tcPr>
          <w:p w14:paraId="1C616A9F">
            <w:pPr>
              <w:keepNext w:val="0"/>
              <w:keepLines w:val="0"/>
              <w:pageBreakBefore w:val="0"/>
              <w:widowControl/>
              <w:spacing w:line="340" w:lineRule="exact"/>
              <w:ind w:left="0"/>
              <w:jc w:val="center"/>
              <w:rPr>
                <w:rFonts w:hint="eastAsia" w:ascii="宋体" w:hAnsi="宋体" w:eastAsia="宋体" w:cs="宋体"/>
                <w:color w:val="auto"/>
                <w:sz w:val="24"/>
                <w:szCs w:val="24"/>
                <w:highlight w:val="none"/>
              </w:rPr>
            </w:pPr>
          </w:p>
        </w:tc>
        <w:tc>
          <w:tcPr>
            <w:tcW w:w="1320" w:type="dxa"/>
            <w:vMerge w:val="continue"/>
            <w:noWrap w:val="0"/>
            <w:vAlign w:val="center"/>
          </w:tcPr>
          <w:p w14:paraId="5FC1B3AC">
            <w:pPr>
              <w:keepNext w:val="0"/>
              <w:keepLines w:val="0"/>
              <w:pageBreakBefore w:val="0"/>
              <w:spacing w:line="340" w:lineRule="exact"/>
              <w:ind w:left="0"/>
              <w:jc w:val="center"/>
              <w:rPr>
                <w:rFonts w:hint="eastAsia" w:ascii="宋体" w:hAnsi="宋体" w:eastAsia="宋体" w:cs="宋体"/>
                <w:color w:val="auto"/>
                <w:sz w:val="24"/>
                <w:szCs w:val="24"/>
                <w:highlight w:val="none"/>
              </w:rPr>
            </w:pPr>
          </w:p>
        </w:tc>
        <w:tc>
          <w:tcPr>
            <w:tcW w:w="1635" w:type="dxa"/>
            <w:vMerge w:val="continue"/>
            <w:noWrap w:val="0"/>
            <w:vAlign w:val="center"/>
          </w:tcPr>
          <w:p w14:paraId="4EFDE32C">
            <w:pPr>
              <w:keepNext w:val="0"/>
              <w:keepLines w:val="0"/>
              <w:pageBreakBefore w:val="0"/>
              <w:spacing w:line="340" w:lineRule="exact"/>
              <w:ind w:left="0"/>
              <w:jc w:val="center"/>
              <w:rPr>
                <w:rFonts w:hint="eastAsia" w:ascii="宋体" w:hAnsi="宋体" w:eastAsia="宋体" w:cs="宋体"/>
                <w:color w:val="auto"/>
                <w:sz w:val="24"/>
                <w:szCs w:val="24"/>
                <w:highlight w:val="none"/>
                <w:lang w:eastAsia="zh-CN"/>
              </w:rPr>
            </w:pPr>
          </w:p>
        </w:tc>
        <w:tc>
          <w:tcPr>
            <w:tcW w:w="6030" w:type="dxa"/>
            <w:noWrap w:val="0"/>
            <w:vAlign w:val="center"/>
          </w:tcPr>
          <w:p w14:paraId="75A0BD35">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关键施工技术、工程项目实施的重点、难点和解决方案。（5分）</w:t>
            </w:r>
          </w:p>
          <w:p w14:paraId="185F8621">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对本工程关键技术、工程实施的重点难点问题分析透彻，解决方案切实可行，得5分；</w:t>
            </w:r>
          </w:p>
          <w:p w14:paraId="68F4CA6D">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对本工程关键技术、工程实施的重点难点问题分析较清晰，解决方案较为可行，得3分；</w:t>
            </w:r>
          </w:p>
          <w:p w14:paraId="646931EB">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对本工程关键技术、工程实施的重点难点问题分析不明确，解决方案不合理，得1分。</w:t>
            </w:r>
          </w:p>
          <w:p w14:paraId="53FF9CAF">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未提供不得分。</w:t>
            </w:r>
          </w:p>
        </w:tc>
      </w:tr>
      <w:tr w14:paraId="72C85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jc w:val="center"/>
        </w:trPr>
        <w:tc>
          <w:tcPr>
            <w:tcW w:w="756" w:type="dxa"/>
            <w:vMerge w:val="continue"/>
            <w:noWrap w:val="0"/>
            <w:vAlign w:val="center"/>
          </w:tcPr>
          <w:p w14:paraId="33500359">
            <w:pPr>
              <w:keepNext w:val="0"/>
              <w:keepLines w:val="0"/>
              <w:pageBreakBefore w:val="0"/>
              <w:widowControl/>
              <w:spacing w:line="340" w:lineRule="exact"/>
              <w:ind w:left="0"/>
              <w:jc w:val="center"/>
              <w:rPr>
                <w:rFonts w:hint="eastAsia" w:ascii="宋体" w:hAnsi="宋体" w:eastAsia="宋体" w:cs="宋体"/>
                <w:color w:val="auto"/>
                <w:sz w:val="24"/>
                <w:szCs w:val="24"/>
                <w:highlight w:val="none"/>
              </w:rPr>
            </w:pPr>
          </w:p>
        </w:tc>
        <w:tc>
          <w:tcPr>
            <w:tcW w:w="1320" w:type="dxa"/>
            <w:vMerge w:val="continue"/>
            <w:noWrap w:val="0"/>
            <w:vAlign w:val="center"/>
          </w:tcPr>
          <w:p w14:paraId="618673D3">
            <w:pPr>
              <w:keepNext w:val="0"/>
              <w:keepLines w:val="0"/>
              <w:pageBreakBefore w:val="0"/>
              <w:spacing w:line="340" w:lineRule="exact"/>
              <w:ind w:left="0"/>
              <w:jc w:val="center"/>
              <w:rPr>
                <w:rFonts w:hint="eastAsia" w:ascii="宋体" w:hAnsi="宋体" w:eastAsia="宋体" w:cs="宋体"/>
                <w:color w:val="auto"/>
                <w:sz w:val="24"/>
                <w:szCs w:val="24"/>
                <w:highlight w:val="none"/>
              </w:rPr>
            </w:pPr>
          </w:p>
        </w:tc>
        <w:tc>
          <w:tcPr>
            <w:tcW w:w="1635" w:type="dxa"/>
            <w:vMerge w:val="continue"/>
            <w:noWrap w:val="0"/>
            <w:vAlign w:val="center"/>
          </w:tcPr>
          <w:p w14:paraId="316E5AB2">
            <w:pPr>
              <w:keepNext w:val="0"/>
              <w:keepLines w:val="0"/>
              <w:pageBreakBefore w:val="0"/>
              <w:spacing w:line="340" w:lineRule="exact"/>
              <w:ind w:left="0"/>
              <w:jc w:val="center"/>
              <w:rPr>
                <w:rFonts w:hint="eastAsia" w:ascii="宋体" w:hAnsi="宋体" w:eastAsia="宋体" w:cs="宋体"/>
                <w:color w:val="auto"/>
                <w:sz w:val="24"/>
                <w:szCs w:val="24"/>
                <w:highlight w:val="none"/>
                <w:lang w:eastAsia="zh-CN"/>
              </w:rPr>
            </w:pPr>
          </w:p>
        </w:tc>
        <w:tc>
          <w:tcPr>
            <w:tcW w:w="6030" w:type="dxa"/>
            <w:noWrap w:val="0"/>
            <w:vAlign w:val="center"/>
          </w:tcPr>
          <w:p w14:paraId="6AB1018F">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工程的施工方案及质量保证措施。（5分）</w:t>
            </w:r>
          </w:p>
          <w:p w14:paraId="4D0C6B96">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工程施工方案详实周全、科学合理，质量保证措施有效，得5分；</w:t>
            </w:r>
          </w:p>
          <w:p w14:paraId="14A39AB7">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工程施工方案比较详实、合理，质量保证措施较有效，得3分；</w:t>
            </w:r>
          </w:p>
          <w:p w14:paraId="66659BC8">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工程施工方案和质量保证措施一般，得1分。</w:t>
            </w:r>
          </w:p>
          <w:p w14:paraId="79EB9D09">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未提供不得分。</w:t>
            </w:r>
          </w:p>
        </w:tc>
      </w:tr>
      <w:tr w14:paraId="1792F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2" w:hRule="atLeast"/>
          <w:jc w:val="center"/>
        </w:trPr>
        <w:tc>
          <w:tcPr>
            <w:tcW w:w="756" w:type="dxa"/>
            <w:vMerge w:val="continue"/>
            <w:noWrap w:val="0"/>
            <w:vAlign w:val="center"/>
          </w:tcPr>
          <w:p w14:paraId="1CC42D3F">
            <w:pPr>
              <w:keepNext w:val="0"/>
              <w:keepLines w:val="0"/>
              <w:pageBreakBefore w:val="0"/>
              <w:widowControl/>
              <w:spacing w:line="340" w:lineRule="exact"/>
              <w:ind w:left="0"/>
              <w:jc w:val="center"/>
              <w:rPr>
                <w:rFonts w:hint="eastAsia" w:ascii="宋体" w:hAnsi="宋体" w:eastAsia="宋体" w:cs="宋体"/>
                <w:color w:val="auto"/>
                <w:sz w:val="24"/>
                <w:szCs w:val="24"/>
                <w:highlight w:val="none"/>
              </w:rPr>
            </w:pPr>
          </w:p>
        </w:tc>
        <w:tc>
          <w:tcPr>
            <w:tcW w:w="1320" w:type="dxa"/>
            <w:vMerge w:val="continue"/>
            <w:noWrap w:val="0"/>
            <w:vAlign w:val="center"/>
          </w:tcPr>
          <w:p w14:paraId="696EDB9B">
            <w:pPr>
              <w:keepNext w:val="0"/>
              <w:keepLines w:val="0"/>
              <w:pageBreakBefore w:val="0"/>
              <w:spacing w:line="340" w:lineRule="exact"/>
              <w:ind w:left="0"/>
              <w:jc w:val="center"/>
              <w:rPr>
                <w:rFonts w:hint="eastAsia" w:ascii="宋体" w:hAnsi="宋体" w:eastAsia="宋体" w:cs="宋体"/>
                <w:color w:val="auto"/>
                <w:sz w:val="24"/>
                <w:szCs w:val="24"/>
                <w:highlight w:val="none"/>
              </w:rPr>
            </w:pPr>
          </w:p>
        </w:tc>
        <w:tc>
          <w:tcPr>
            <w:tcW w:w="1635" w:type="dxa"/>
            <w:vMerge w:val="continue"/>
            <w:noWrap w:val="0"/>
            <w:vAlign w:val="center"/>
          </w:tcPr>
          <w:p w14:paraId="60AA2952">
            <w:pPr>
              <w:keepNext w:val="0"/>
              <w:keepLines w:val="0"/>
              <w:pageBreakBefore w:val="0"/>
              <w:spacing w:line="340" w:lineRule="exact"/>
              <w:ind w:left="0"/>
              <w:jc w:val="center"/>
              <w:rPr>
                <w:rFonts w:hint="eastAsia" w:ascii="宋体" w:hAnsi="宋体" w:eastAsia="宋体" w:cs="宋体"/>
                <w:color w:val="auto"/>
                <w:sz w:val="24"/>
                <w:szCs w:val="24"/>
                <w:highlight w:val="none"/>
                <w:lang w:eastAsia="zh-CN"/>
              </w:rPr>
            </w:pPr>
          </w:p>
        </w:tc>
        <w:tc>
          <w:tcPr>
            <w:tcW w:w="6030" w:type="dxa"/>
            <w:noWrap w:val="0"/>
            <w:vAlign w:val="center"/>
          </w:tcPr>
          <w:p w14:paraId="66258304">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施工进度计划和各阶段进度的保证措施。（4分）</w:t>
            </w:r>
          </w:p>
          <w:p w14:paraId="6C5C5CE6">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工程施工进度计划安排全面详尽、可操作性强，进度保证措施合理有效，得4分；</w:t>
            </w:r>
          </w:p>
          <w:p w14:paraId="52CB9861">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工程施工进度计划安排较全面，操作性较强，保证措施较合理，得3分；</w:t>
            </w:r>
          </w:p>
          <w:p w14:paraId="108ED150">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进度计划安排一般，保证措施不合理，得2分。</w:t>
            </w:r>
          </w:p>
          <w:p w14:paraId="71E99038">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未提供不得分。</w:t>
            </w:r>
          </w:p>
        </w:tc>
      </w:tr>
      <w:tr w14:paraId="4DC2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756" w:type="dxa"/>
            <w:vMerge w:val="continue"/>
            <w:noWrap w:val="0"/>
            <w:vAlign w:val="center"/>
          </w:tcPr>
          <w:p w14:paraId="60922D60">
            <w:pPr>
              <w:keepNext w:val="0"/>
              <w:keepLines w:val="0"/>
              <w:pageBreakBefore w:val="0"/>
              <w:widowControl/>
              <w:spacing w:line="340" w:lineRule="exact"/>
              <w:ind w:left="0"/>
              <w:jc w:val="center"/>
              <w:rPr>
                <w:rFonts w:hint="eastAsia" w:ascii="宋体" w:hAnsi="宋体" w:eastAsia="宋体" w:cs="宋体"/>
                <w:color w:val="auto"/>
                <w:sz w:val="24"/>
                <w:szCs w:val="24"/>
                <w:highlight w:val="none"/>
              </w:rPr>
            </w:pPr>
          </w:p>
        </w:tc>
        <w:tc>
          <w:tcPr>
            <w:tcW w:w="1320" w:type="dxa"/>
            <w:vMerge w:val="continue"/>
            <w:noWrap w:val="0"/>
            <w:vAlign w:val="center"/>
          </w:tcPr>
          <w:p w14:paraId="7EA5A014">
            <w:pPr>
              <w:keepNext w:val="0"/>
              <w:keepLines w:val="0"/>
              <w:pageBreakBefore w:val="0"/>
              <w:spacing w:line="340" w:lineRule="exact"/>
              <w:ind w:left="0"/>
              <w:jc w:val="center"/>
              <w:rPr>
                <w:rFonts w:hint="eastAsia" w:ascii="宋体" w:hAnsi="宋体" w:eastAsia="宋体" w:cs="宋体"/>
                <w:color w:val="auto"/>
                <w:sz w:val="24"/>
                <w:szCs w:val="24"/>
                <w:highlight w:val="none"/>
              </w:rPr>
            </w:pPr>
          </w:p>
        </w:tc>
        <w:tc>
          <w:tcPr>
            <w:tcW w:w="1635" w:type="dxa"/>
            <w:vMerge w:val="continue"/>
            <w:noWrap w:val="0"/>
            <w:vAlign w:val="center"/>
          </w:tcPr>
          <w:p w14:paraId="2EC08022">
            <w:pPr>
              <w:keepNext w:val="0"/>
              <w:keepLines w:val="0"/>
              <w:pageBreakBefore w:val="0"/>
              <w:spacing w:line="340" w:lineRule="exact"/>
              <w:ind w:left="0"/>
              <w:jc w:val="center"/>
              <w:rPr>
                <w:rFonts w:hint="eastAsia" w:ascii="宋体" w:hAnsi="宋体" w:eastAsia="宋体" w:cs="宋体"/>
                <w:color w:val="auto"/>
                <w:sz w:val="24"/>
                <w:szCs w:val="24"/>
                <w:highlight w:val="none"/>
                <w:lang w:eastAsia="zh-CN"/>
              </w:rPr>
            </w:pPr>
          </w:p>
        </w:tc>
        <w:tc>
          <w:tcPr>
            <w:tcW w:w="6030" w:type="dxa"/>
            <w:noWrap w:val="0"/>
            <w:vAlign w:val="center"/>
          </w:tcPr>
          <w:p w14:paraId="0128BBCB">
            <w:pPr>
              <w:keepNext w:val="0"/>
              <w:keepLines w:val="0"/>
              <w:pageBreakBefore w:val="0"/>
              <w:widowControl w:val="0"/>
              <w:numPr>
                <w:ilvl w:val="0"/>
                <w:numId w:val="0"/>
              </w:numPr>
              <w:spacing w:line="340" w:lineRule="exact"/>
              <w:ind w:lef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文明施工及环境保护措施（4分）</w:t>
            </w:r>
          </w:p>
          <w:p w14:paraId="53FBABB2">
            <w:pPr>
              <w:keepNext w:val="0"/>
              <w:keepLines w:val="0"/>
              <w:pageBreakBefore w:val="0"/>
              <w:widowControl w:val="0"/>
              <w:numPr>
                <w:ilvl w:val="0"/>
                <w:numId w:val="0"/>
              </w:numPr>
              <w:spacing w:line="340" w:lineRule="exact"/>
              <w:ind w:lef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安全文明施工、施工现场扬尘污染防治措施及环境保护措施科学、合理、操作性强，得4分；</w:t>
            </w:r>
          </w:p>
          <w:p w14:paraId="71BA4E24">
            <w:pPr>
              <w:keepNext w:val="0"/>
              <w:keepLines w:val="0"/>
              <w:pageBreakBefore w:val="0"/>
              <w:widowControl w:val="0"/>
              <w:numPr>
                <w:ilvl w:val="0"/>
                <w:numId w:val="0"/>
              </w:numPr>
              <w:spacing w:line="340" w:lineRule="exact"/>
              <w:ind w:lef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安全文明施工、施工现场扬尘污染防治措施及环境保护措施科学、合理、操作性较强，得3分；</w:t>
            </w:r>
          </w:p>
          <w:p w14:paraId="6E6CCF02">
            <w:pPr>
              <w:keepNext w:val="0"/>
              <w:keepLines w:val="0"/>
              <w:pageBreakBefore w:val="0"/>
              <w:widowControl w:val="0"/>
              <w:numPr>
                <w:ilvl w:val="0"/>
                <w:numId w:val="0"/>
              </w:numPr>
              <w:spacing w:line="340" w:lineRule="exact"/>
              <w:ind w:lef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安全文明施工、施工现场扬尘污染防治措施及环境保护措施科学、合理、操作性一般，得2分。</w:t>
            </w:r>
          </w:p>
          <w:p w14:paraId="69BC75EB">
            <w:pPr>
              <w:keepNext w:val="0"/>
              <w:keepLines w:val="0"/>
              <w:pageBreakBefore w:val="0"/>
              <w:widowControl w:val="0"/>
              <w:numPr>
                <w:ilvl w:val="0"/>
                <w:numId w:val="0"/>
              </w:numPr>
              <w:spacing w:line="340" w:lineRule="exact"/>
              <w:ind w:left="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未提供不得分。</w:t>
            </w:r>
          </w:p>
        </w:tc>
      </w:tr>
      <w:tr w14:paraId="62015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jc w:val="center"/>
        </w:trPr>
        <w:tc>
          <w:tcPr>
            <w:tcW w:w="756" w:type="dxa"/>
            <w:vMerge w:val="restart"/>
            <w:noWrap w:val="0"/>
            <w:vAlign w:val="center"/>
          </w:tcPr>
          <w:p w14:paraId="24FCECE7">
            <w:pPr>
              <w:keepNext w:val="0"/>
              <w:keepLines w:val="0"/>
              <w:pageBreakBefore w:val="0"/>
              <w:widowControl/>
              <w:spacing w:line="340" w:lineRule="exact"/>
              <w:ind w:left="0"/>
              <w:jc w:val="center"/>
              <w:rPr>
                <w:rFonts w:hint="eastAsia" w:ascii="宋体" w:hAnsi="宋体" w:eastAsia="宋体" w:cs="宋体"/>
                <w:color w:val="auto"/>
                <w:sz w:val="24"/>
                <w:szCs w:val="24"/>
                <w:highlight w:val="none"/>
              </w:rPr>
            </w:pPr>
          </w:p>
          <w:p w14:paraId="7036538C">
            <w:pPr>
              <w:keepNext w:val="0"/>
              <w:keepLines w:val="0"/>
              <w:pageBreakBefore w:val="0"/>
              <w:widowControl/>
              <w:spacing w:line="340" w:lineRule="exact"/>
              <w:ind w:left="0"/>
              <w:jc w:val="both"/>
              <w:rPr>
                <w:rFonts w:hint="eastAsia" w:ascii="宋体" w:hAnsi="宋体" w:eastAsia="宋体" w:cs="宋体"/>
                <w:color w:val="auto"/>
                <w:sz w:val="24"/>
                <w:szCs w:val="24"/>
                <w:highlight w:val="none"/>
              </w:rPr>
            </w:pPr>
          </w:p>
          <w:p w14:paraId="5040B4C7">
            <w:pPr>
              <w:keepNext w:val="0"/>
              <w:keepLines w:val="0"/>
              <w:pageBreakBefore w:val="0"/>
              <w:widowControl/>
              <w:spacing w:line="340" w:lineRule="exact"/>
              <w:ind w:lef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p w14:paraId="77213B62">
            <w:pPr>
              <w:keepNext w:val="0"/>
              <w:keepLines w:val="0"/>
              <w:pageBreakBefore w:val="0"/>
              <w:widowControl/>
              <w:spacing w:line="340" w:lineRule="exact"/>
              <w:ind w:left="0"/>
              <w:jc w:val="center"/>
              <w:rPr>
                <w:rFonts w:hint="eastAsia" w:ascii="宋体" w:hAnsi="宋体" w:eastAsia="宋体" w:cs="宋体"/>
                <w:color w:val="auto"/>
                <w:sz w:val="24"/>
                <w:szCs w:val="24"/>
                <w:highlight w:val="none"/>
              </w:rPr>
            </w:pPr>
          </w:p>
        </w:tc>
        <w:tc>
          <w:tcPr>
            <w:tcW w:w="1320" w:type="dxa"/>
            <w:vMerge w:val="restart"/>
            <w:noWrap w:val="0"/>
            <w:vAlign w:val="center"/>
          </w:tcPr>
          <w:p w14:paraId="05F0DA0E">
            <w:pPr>
              <w:keepNext w:val="0"/>
              <w:keepLines w:val="0"/>
              <w:pageBreakBefore w:val="0"/>
              <w:spacing w:line="340" w:lineRule="exact"/>
              <w:ind w:left="0"/>
              <w:jc w:val="both"/>
              <w:rPr>
                <w:rFonts w:hint="eastAsia" w:ascii="宋体" w:hAnsi="宋体" w:eastAsia="宋体" w:cs="宋体"/>
                <w:color w:val="auto"/>
                <w:sz w:val="24"/>
                <w:szCs w:val="24"/>
                <w:highlight w:val="none"/>
              </w:rPr>
            </w:pPr>
          </w:p>
          <w:p w14:paraId="3D5AFC3A">
            <w:pPr>
              <w:keepNext w:val="0"/>
              <w:keepLines w:val="0"/>
              <w:pageBreakBefore w:val="0"/>
              <w:spacing w:line="340" w:lineRule="exact"/>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商务部分</w:t>
            </w:r>
          </w:p>
          <w:p w14:paraId="29BDEFC3">
            <w:pPr>
              <w:keepNext w:val="0"/>
              <w:keepLines w:val="0"/>
              <w:pageBreakBefore w:val="0"/>
              <w:spacing w:line="340" w:lineRule="exact"/>
              <w:ind w:lef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分）</w:t>
            </w:r>
          </w:p>
          <w:p w14:paraId="341ED01F">
            <w:pPr>
              <w:keepNext w:val="0"/>
              <w:keepLines w:val="0"/>
              <w:pageBreakBefore w:val="0"/>
              <w:spacing w:line="340" w:lineRule="exact"/>
              <w:ind w:left="0"/>
              <w:jc w:val="center"/>
              <w:rPr>
                <w:rFonts w:hint="eastAsia" w:ascii="宋体" w:hAnsi="宋体" w:eastAsia="宋体" w:cs="宋体"/>
                <w:color w:val="auto"/>
                <w:sz w:val="24"/>
                <w:szCs w:val="24"/>
                <w:highlight w:val="none"/>
              </w:rPr>
            </w:pPr>
          </w:p>
        </w:tc>
        <w:tc>
          <w:tcPr>
            <w:tcW w:w="1635" w:type="dxa"/>
            <w:noWrap w:val="0"/>
            <w:vAlign w:val="center"/>
          </w:tcPr>
          <w:p w14:paraId="4CE77B8C">
            <w:pPr>
              <w:keepNext w:val="0"/>
              <w:keepLines w:val="0"/>
              <w:pageBreakBefore w:val="0"/>
              <w:spacing w:line="340" w:lineRule="exact"/>
              <w:ind w:lef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企业业绩</w:t>
            </w:r>
          </w:p>
          <w:p w14:paraId="06AFCB68">
            <w:pPr>
              <w:keepNext w:val="0"/>
              <w:keepLines w:val="0"/>
              <w:pageBreakBefore w:val="0"/>
              <w:spacing w:line="340" w:lineRule="exact"/>
              <w:ind w:lef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（10分）</w:t>
            </w:r>
          </w:p>
        </w:tc>
        <w:tc>
          <w:tcPr>
            <w:tcW w:w="6030" w:type="dxa"/>
            <w:noWrap w:val="0"/>
            <w:vAlign w:val="top"/>
          </w:tcPr>
          <w:p w14:paraId="7E6E95CE">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2021年1月1日至今磋商供应商具有消防工程施工业绩的并且取得住建部门消防验收合格通知书，每有一个得2分，最高得10分；</w:t>
            </w:r>
          </w:p>
          <w:p w14:paraId="0F2634F0">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响应文件中提供合同扫描件</w:t>
            </w:r>
            <w:r>
              <w:rPr>
                <w:rFonts w:hint="eastAsia" w:ascii="宋体" w:hAnsi="宋体" w:eastAsia="宋体" w:cs="宋体"/>
                <w:b w:val="0"/>
                <w:bCs w:val="0"/>
                <w:color w:val="auto"/>
                <w:sz w:val="24"/>
                <w:szCs w:val="24"/>
                <w:highlight w:val="none"/>
                <w:lang w:val="en-US" w:eastAsia="zh-CN" w:bidi="ar-SA"/>
              </w:rPr>
              <w:t>及验收合格通知书</w:t>
            </w:r>
            <w:r>
              <w:rPr>
                <w:rFonts w:hint="eastAsia" w:ascii="宋体" w:hAnsi="宋体" w:eastAsia="宋体" w:cs="宋体"/>
                <w:b w:val="0"/>
                <w:bCs w:val="0"/>
                <w:color w:val="auto"/>
                <w:sz w:val="24"/>
                <w:szCs w:val="24"/>
                <w:highlight w:val="none"/>
                <w:lang w:val="en-US" w:eastAsia="zh-CN" w:bidi="ar-SA"/>
              </w:rPr>
              <w:t>，时间、标的内容以合同为准，否则不得分。</w:t>
            </w:r>
          </w:p>
        </w:tc>
      </w:tr>
      <w:tr w14:paraId="6E245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vMerge w:val="continue"/>
            <w:noWrap w:val="0"/>
            <w:vAlign w:val="center"/>
          </w:tcPr>
          <w:p w14:paraId="50B3DF0E">
            <w:pPr>
              <w:keepNext w:val="0"/>
              <w:keepLines w:val="0"/>
              <w:pageBreakBefore w:val="0"/>
              <w:widowControl/>
              <w:spacing w:line="340" w:lineRule="exact"/>
              <w:ind w:left="0"/>
              <w:jc w:val="center"/>
              <w:rPr>
                <w:rFonts w:hint="eastAsia" w:ascii="宋体" w:hAnsi="宋体" w:eastAsia="宋体" w:cs="宋体"/>
                <w:color w:val="auto"/>
                <w:sz w:val="24"/>
                <w:szCs w:val="24"/>
                <w:highlight w:val="none"/>
              </w:rPr>
            </w:pPr>
          </w:p>
        </w:tc>
        <w:tc>
          <w:tcPr>
            <w:tcW w:w="1320" w:type="dxa"/>
            <w:vMerge w:val="continue"/>
            <w:noWrap w:val="0"/>
            <w:vAlign w:val="center"/>
          </w:tcPr>
          <w:p w14:paraId="1A313351">
            <w:pPr>
              <w:keepNext w:val="0"/>
              <w:keepLines w:val="0"/>
              <w:pageBreakBefore w:val="0"/>
              <w:spacing w:line="340" w:lineRule="exact"/>
              <w:ind w:left="0"/>
              <w:jc w:val="center"/>
              <w:rPr>
                <w:rFonts w:hint="eastAsia" w:ascii="宋体" w:hAnsi="宋体" w:eastAsia="宋体" w:cs="宋体"/>
                <w:color w:val="auto"/>
                <w:sz w:val="24"/>
                <w:szCs w:val="24"/>
                <w:highlight w:val="none"/>
              </w:rPr>
            </w:pPr>
          </w:p>
        </w:tc>
        <w:tc>
          <w:tcPr>
            <w:tcW w:w="1635" w:type="dxa"/>
            <w:noWrap w:val="0"/>
            <w:vAlign w:val="center"/>
          </w:tcPr>
          <w:p w14:paraId="5EEF0626">
            <w:pPr>
              <w:keepNext w:val="0"/>
              <w:keepLines w:val="0"/>
              <w:pageBreakBefore w:val="0"/>
              <w:spacing w:line="340" w:lineRule="exact"/>
              <w:ind w:lef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w:t>
            </w:r>
          </w:p>
          <w:p w14:paraId="43B44BAE">
            <w:pPr>
              <w:keepNext w:val="0"/>
              <w:keepLines w:val="0"/>
              <w:pageBreakBefore w:val="0"/>
              <w:spacing w:line="340" w:lineRule="exact"/>
              <w:ind w:lef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（8分）</w:t>
            </w:r>
          </w:p>
        </w:tc>
        <w:tc>
          <w:tcPr>
            <w:tcW w:w="6030" w:type="dxa"/>
            <w:noWrap w:val="0"/>
            <w:vAlign w:val="top"/>
          </w:tcPr>
          <w:p w14:paraId="2AB4086E">
            <w:pPr>
              <w:keepNext w:val="0"/>
              <w:keepLines w:val="0"/>
              <w:pageBreakBefore w:val="0"/>
              <w:widowControl w:val="0"/>
              <w:spacing w:line="340" w:lineRule="exact"/>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1、拟派项目负责人具备一级注册消防工程师，得4分；</w:t>
            </w:r>
          </w:p>
          <w:p w14:paraId="38B8A59B">
            <w:pPr>
              <w:keepNext w:val="0"/>
              <w:keepLines w:val="0"/>
              <w:pageBreakBefore w:val="0"/>
              <w:widowControl w:val="0"/>
              <w:spacing w:line="340" w:lineRule="exact"/>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2、拟派项目负责人具备高级工程师及以上职称，得4分；具备工程师职称，得2分。</w:t>
            </w:r>
          </w:p>
          <w:p w14:paraId="07FCB77C">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响应文件中提供相关证书扫描件以及供应商为其缴纳的社保证明材料 (2026年4月至今任意一个月)，否则不得分。</w:t>
            </w:r>
          </w:p>
        </w:tc>
      </w:tr>
      <w:tr w14:paraId="3F70F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2" w:hRule="atLeast"/>
          <w:jc w:val="center"/>
        </w:trPr>
        <w:tc>
          <w:tcPr>
            <w:tcW w:w="756" w:type="dxa"/>
            <w:vMerge w:val="continue"/>
            <w:noWrap w:val="0"/>
            <w:vAlign w:val="center"/>
          </w:tcPr>
          <w:p w14:paraId="71AAE793">
            <w:pPr>
              <w:keepNext w:val="0"/>
              <w:keepLines w:val="0"/>
              <w:pageBreakBefore w:val="0"/>
              <w:widowControl/>
              <w:spacing w:line="340" w:lineRule="exact"/>
              <w:ind w:left="0"/>
              <w:jc w:val="center"/>
              <w:rPr>
                <w:rFonts w:hint="eastAsia" w:ascii="宋体" w:hAnsi="宋体" w:eastAsia="宋体" w:cs="宋体"/>
                <w:color w:val="auto"/>
                <w:sz w:val="24"/>
                <w:szCs w:val="24"/>
                <w:highlight w:val="none"/>
              </w:rPr>
            </w:pPr>
          </w:p>
        </w:tc>
        <w:tc>
          <w:tcPr>
            <w:tcW w:w="1320" w:type="dxa"/>
            <w:vMerge w:val="continue"/>
            <w:noWrap w:val="0"/>
            <w:vAlign w:val="center"/>
          </w:tcPr>
          <w:p w14:paraId="163987A4">
            <w:pPr>
              <w:keepNext w:val="0"/>
              <w:keepLines w:val="0"/>
              <w:pageBreakBefore w:val="0"/>
              <w:spacing w:line="340" w:lineRule="exact"/>
              <w:ind w:left="0"/>
              <w:jc w:val="center"/>
              <w:rPr>
                <w:rFonts w:hint="eastAsia" w:ascii="宋体" w:hAnsi="宋体" w:eastAsia="宋体" w:cs="宋体"/>
                <w:color w:val="auto"/>
                <w:sz w:val="24"/>
                <w:szCs w:val="24"/>
                <w:highlight w:val="none"/>
              </w:rPr>
            </w:pPr>
          </w:p>
        </w:tc>
        <w:tc>
          <w:tcPr>
            <w:tcW w:w="1635" w:type="dxa"/>
            <w:noWrap w:val="0"/>
            <w:vAlign w:val="center"/>
          </w:tcPr>
          <w:p w14:paraId="19D066B8">
            <w:pPr>
              <w:keepNext w:val="0"/>
              <w:keepLines w:val="0"/>
              <w:pageBreakBefore w:val="0"/>
              <w:spacing w:line="340" w:lineRule="exact"/>
              <w:ind w:lef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项目团队</w:t>
            </w:r>
          </w:p>
          <w:p w14:paraId="586A14C5">
            <w:pPr>
              <w:keepNext w:val="0"/>
              <w:keepLines w:val="0"/>
              <w:pageBreakBefore w:val="0"/>
              <w:spacing w:line="340" w:lineRule="exact"/>
              <w:ind w:lef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（16分）</w:t>
            </w:r>
          </w:p>
        </w:tc>
        <w:tc>
          <w:tcPr>
            <w:tcW w:w="6030" w:type="dxa"/>
            <w:noWrap w:val="0"/>
            <w:vAlign w:val="top"/>
          </w:tcPr>
          <w:p w14:paraId="449FA6DB">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1、拟派技术负责人具备一级注册消防工程师，得4分；</w:t>
            </w:r>
          </w:p>
          <w:p w14:paraId="230BC14B">
            <w:pPr>
              <w:keepNext w:val="0"/>
              <w:keepLines w:val="0"/>
              <w:pageBreakBefore w:val="0"/>
              <w:widowControl w:val="0"/>
              <w:spacing w:line="340" w:lineRule="exact"/>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2、拟派技术负责人具备高级工程师或以上职称，得4分；具备工程师职称，得2分。</w:t>
            </w:r>
          </w:p>
          <w:p w14:paraId="43898942">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3、为本项目配备的项目组成员中(不含项目负责人、技术负责人)具有高级工程师及以上职称的，有一个得4分。本项最多得8分。</w:t>
            </w:r>
          </w:p>
          <w:p w14:paraId="6C56B071">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注：需提供相关证明材料扫描件以及供应商为其缴纳的社保证明材料 (2026年4月至今任意一个月)，否则不得分。 </w:t>
            </w:r>
          </w:p>
        </w:tc>
      </w:tr>
      <w:tr w14:paraId="372A1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2" w:hRule="atLeast"/>
          <w:jc w:val="center"/>
        </w:trPr>
        <w:tc>
          <w:tcPr>
            <w:tcW w:w="756" w:type="dxa"/>
            <w:vMerge w:val="continue"/>
            <w:noWrap w:val="0"/>
            <w:vAlign w:val="center"/>
          </w:tcPr>
          <w:p w14:paraId="144D9805">
            <w:pPr>
              <w:keepNext w:val="0"/>
              <w:keepLines w:val="0"/>
              <w:pageBreakBefore w:val="0"/>
              <w:widowControl/>
              <w:spacing w:line="340" w:lineRule="exact"/>
              <w:ind w:left="0"/>
              <w:jc w:val="center"/>
              <w:rPr>
                <w:rFonts w:hint="eastAsia" w:ascii="宋体" w:hAnsi="宋体" w:eastAsia="宋体" w:cs="宋体"/>
                <w:color w:val="auto"/>
                <w:sz w:val="24"/>
                <w:szCs w:val="24"/>
                <w:highlight w:val="none"/>
              </w:rPr>
            </w:pPr>
          </w:p>
        </w:tc>
        <w:tc>
          <w:tcPr>
            <w:tcW w:w="1320" w:type="dxa"/>
            <w:vMerge w:val="continue"/>
            <w:noWrap w:val="0"/>
            <w:vAlign w:val="center"/>
          </w:tcPr>
          <w:p w14:paraId="5712166D">
            <w:pPr>
              <w:keepNext w:val="0"/>
              <w:keepLines w:val="0"/>
              <w:pageBreakBefore w:val="0"/>
              <w:spacing w:line="340" w:lineRule="exact"/>
              <w:ind w:left="0"/>
              <w:jc w:val="center"/>
              <w:rPr>
                <w:rFonts w:hint="eastAsia" w:ascii="宋体" w:hAnsi="宋体" w:eastAsia="宋体" w:cs="宋体"/>
                <w:color w:val="auto"/>
                <w:sz w:val="24"/>
                <w:szCs w:val="24"/>
                <w:highlight w:val="none"/>
                <w:lang w:bidi="ar"/>
              </w:rPr>
            </w:pPr>
          </w:p>
        </w:tc>
        <w:tc>
          <w:tcPr>
            <w:tcW w:w="1635" w:type="dxa"/>
            <w:noWrap w:val="0"/>
            <w:vAlign w:val="center"/>
          </w:tcPr>
          <w:p w14:paraId="1F86BA68">
            <w:pPr>
              <w:keepNext w:val="0"/>
              <w:keepLines w:val="0"/>
              <w:pageBreakBefore w:val="0"/>
              <w:spacing w:line="340" w:lineRule="exact"/>
              <w:ind w:left="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企业实力（6分）</w:t>
            </w:r>
          </w:p>
        </w:tc>
        <w:tc>
          <w:tcPr>
            <w:tcW w:w="6030" w:type="dxa"/>
            <w:noWrap w:val="0"/>
            <w:vAlign w:val="top"/>
          </w:tcPr>
          <w:p w14:paraId="151710CF">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1、磋商供应商具有质量管理体系认证的，得2分。</w:t>
            </w:r>
          </w:p>
          <w:p w14:paraId="76DA5276">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2、磋商供应商具有环境管理体系认证的，得2分。</w:t>
            </w:r>
          </w:p>
          <w:p w14:paraId="32C3F031">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3、磋商供应商具有职业健康安全管理体系认证的，得2分。</w:t>
            </w:r>
          </w:p>
          <w:p w14:paraId="5125EB77">
            <w:pPr>
              <w:keepNext w:val="0"/>
              <w:keepLines w:val="0"/>
              <w:pageBreakBefore w:val="0"/>
              <w:widowControl w:val="0"/>
              <w:spacing w:line="3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注：需提供相关证明材料扫描件，否则不得分。</w:t>
            </w:r>
          </w:p>
        </w:tc>
      </w:tr>
    </w:tbl>
    <w:p w14:paraId="06AD16D1">
      <w:pPr>
        <w:spacing w:line="360" w:lineRule="auto"/>
        <w:rPr>
          <w:rFonts w:hint="eastAsia" w:ascii="宋体" w:hAnsi="宋体" w:eastAsia="宋体" w:cs="宋体"/>
          <w:color w:val="auto"/>
          <w:sz w:val="24"/>
          <w:highlight w:val="none"/>
          <w:lang w:bidi="ar"/>
        </w:rPr>
      </w:pPr>
    </w:p>
    <w:sectPr>
      <w:footerReference r:id="rId17" w:type="default"/>
      <w:pgSz w:w="11906" w:h="16838"/>
      <w:pgMar w:top="1440" w:right="1080" w:bottom="1440" w:left="108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monospace">
    <w:altName w:val="DejaVu Math TeX Gyre"/>
    <w:panose1 w:val="020B0503020202020204"/>
    <w:charset w:val="00"/>
    <w:family w:val="auto"/>
    <w:pitch w:val="default"/>
    <w:sig w:usb0="00000000" w:usb1="00000000" w:usb2="00000000" w:usb3="00000000" w:csb0="00000000" w:csb1="00000000"/>
  </w:font>
  <w:font w:name="Yu Gothic UI">
    <w:altName w:val="Meiryo UI"/>
    <w:panose1 w:val="020B0500000000000000"/>
    <w:charset w:val="80"/>
    <w:family w:val="auto"/>
    <w:pitch w:val="default"/>
    <w:sig w:usb0="00000000" w:usb1="00000000" w:usb2="00000016" w:usb3="00000000" w:csb0="2002009F" w:csb1="00000000"/>
  </w:font>
  <w:font w:name="MS Mincho">
    <w:panose1 w:val="02020609040205080304"/>
    <w:charset w:val="80"/>
    <w:family w:val="auto"/>
    <w:pitch w:val="default"/>
    <w:sig w:usb0="E00002FF" w:usb1="6AC7FDFB" w:usb2="00000012" w:usb3="00000000" w:csb0="4002009F" w:csb1="DFD70000"/>
  </w:font>
  <w:font w:name="仿宋">
    <w:panose1 w:val="02010609060101010101"/>
    <w:charset w:val="86"/>
    <w:family w:val="auto"/>
    <w:pitch w:val="default"/>
    <w:sig w:usb0="800002BF" w:usb1="38CF7CFA" w:usb2="00000016" w:usb3="00000000" w:csb0="00040001" w:csb1="00000000"/>
  </w:font>
  <w:font w:name="MingLiU_HKSCS">
    <w:panose1 w:val="02020500000000000000"/>
    <w:charset w:val="88"/>
    <w:family w:val="auto"/>
    <w:pitch w:val="default"/>
    <w:sig w:usb0="A00002FF" w:usb1="38CFFCFA" w:usb2="00000016" w:usb3="00000000" w:csb0="00100001" w:csb1="00000000"/>
  </w:font>
  <w:font w:name="华文新魏">
    <w:altName w:val="Impact"/>
    <w:panose1 w:val="02010800040101010101"/>
    <w:charset w:val="00"/>
    <w:family w:val="auto"/>
    <w:pitch w:val="default"/>
    <w:sig w:usb0="00000000" w:usb1="00000000" w:usb2="00000000" w:usb3="00000000" w:csb0="00000000" w:csb1="00000000"/>
  </w:font>
  <w:font w:name="Impact">
    <w:panose1 w:val="020B0806030902050204"/>
    <w:charset w:val="00"/>
    <w:family w:val="auto"/>
    <w:pitch w:val="default"/>
    <w:sig w:usb0="00000287" w:usb1="00000000" w:usb2="00000000" w:usb3="00000000" w:csb0="2000009F" w:csb1="DFD70000"/>
  </w:font>
  <w:font w:name="Arial">
    <w:panose1 w:val="020B0604020202020204"/>
    <w:charset w:val="00"/>
    <w:family w:val="auto"/>
    <w:pitch w:val="default"/>
    <w:sig w:usb0="E0002AFF" w:usb1="C0007843" w:usb2="00000009" w:usb3="00000000" w:csb0="400001FF" w:csb1="FFFF0000"/>
  </w:font>
  <w:font w:name="DejaVu Math TeX Gyre">
    <w:panose1 w:val="02000503000000000000"/>
    <w:charset w:val="00"/>
    <w:family w:val="auto"/>
    <w:pitch w:val="default"/>
    <w:sig w:usb0="A10000EF" w:usb1="4201F9EE" w:usb2="02000000" w:usb3="00000000" w:csb0="60000193" w:csb1="0DD40000"/>
  </w:font>
  <w:font w:name="Meiryo UI">
    <w:panose1 w:val="020B0604030504040204"/>
    <w:charset w:val="80"/>
    <w:family w:val="auto"/>
    <w:pitch w:val="default"/>
    <w:sig w:usb0="E10102FF" w:usb1="EAC7FFFF" w:usb2="00010012" w:usb3="00000000" w:csb0="6002009F" w:csb1="DFD7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A05B35">
    <w:pPr>
      <w:pStyle w:val="24"/>
      <w:jc w:val="center"/>
    </w:pPr>
    <w:r>
      <w:rPr>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866E12">
    <w:pPr>
      <w:pStyle w:val="24"/>
      <w:framePr w:wrap="around" w:vAnchor="text" w:hAnchor="margin" w:xAlign="center" w:y="1"/>
      <w:rPr>
        <w:rStyle w:val="42"/>
      </w:rPr>
    </w:pPr>
    <w:r>
      <w:fldChar w:fldCharType="begin"/>
    </w:r>
    <w:r>
      <w:rPr>
        <w:rStyle w:val="42"/>
      </w:rPr>
      <w:instrText xml:space="preserve">PAGE  </w:instrText>
    </w:r>
    <w:r>
      <w:fldChar w:fldCharType="separate"/>
    </w:r>
    <w:r>
      <w:rPr>
        <w:rStyle w:val="42"/>
      </w:rPr>
      <w:t>1</w:t>
    </w:r>
    <w:r>
      <w:fldChar w:fldCharType="end"/>
    </w:r>
  </w:p>
  <w:p w14:paraId="75B5D0B0">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BC755">
    <w:pPr>
      <w:widowControl w:val="0"/>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256257">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3</w:t>
                          </w:r>
                          <w:r>
                            <w:rPr>
                              <w:rFonts w:hint="default" w:ascii="Times New Roman" w:hAnsi="Times New Roman" w:eastAsia="宋体" w:cs="Times New Roman"/>
                              <w:sz w:val="21"/>
                              <w:szCs w:val="24"/>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Fqdqz0ECAAB9BAAADgAAAAAAAAABACAAAAAfAQAAZHJz&#10;L2Uyb0RvYy54bWxQSwUGAAAAAAYABgBZAQAA0gUAAAAA&#10;">
              <v:fill on="f" focussize="0,0"/>
              <v:stroke on="f" weight="0.5pt"/>
              <v:imagedata o:title=""/>
              <o:lock v:ext="edit" aspectratio="f"/>
              <v:textbox inset="0mm,0mm,0mm,0mm" style="mso-fit-shape-to-text:t;">
                <w:txbxContent>
                  <w:p w14:paraId="16256257">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3</w:t>
                    </w:r>
                    <w:r>
                      <w:rPr>
                        <w:rFonts w:hint="default" w:ascii="Times New Roman" w:hAnsi="Times New Roman" w:eastAsia="宋体" w:cs="Times New Roman"/>
                        <w:sz w:val="21"/>
                        <w:szCs w:val="24"/>
                        <w:lang w:val="en-US" w:eastAsia="zh-CN" w:bidi="ar-S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582B7B">
    <w:pPr>
      <w:rPr>
        <w:rFonts w:ascii="Times New Roman" w:hAnsi="Times New Roman" w:eastAsia="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AC7FF">
    <w:pPr>
      <w:rPr>
        <w:rFonts w:ascii="Times New Roman" w:hAnsi="Times New Roman" w:eastAsia="宋体"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5176E">
    <w:pPr>
      <w:widowControl w:val="0"/>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miter/>
                      </a:ln>
                      <a:effectLst/>
                    </wps:spPr>
                    <wps:style>
                      <a:lnRef idx="0">
                        <a:schemeClr val="accent1"/>
                      </a:lnRef>
                      <a:fillRef idx="0">
                        <a:schemeClr val="accent1"/>
                      </a:fillRef>
                      <a:effectRef idx="0">
                        <a:schemeClr val="accent1"/>
                      </a:effectRef>
                      <a:fontRef idx="minor">
                        <a:schemeClr val="dk1"/>
                      </a:fontRef>
                    </wps:style>
                    <wps:txbx>
                      <w:txbxContent>
                        <w:p w14:paraId="3FE8AC58">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56</w:t>
                          </w:r>
                          <w:r>
                            <w:rPr>
                              <w:rFonts w:hint="default" w:ascii="Times New Roman" w:hAnsi="Times New Roman" w:eastAsia="宋体" w:cs="Times New Roman"/>
                              <w:sz w:val="21"/>
                              <w:szCs w:val="24"/>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s0lY7tAAAAAFAQAADwAAAAAAAAABACAAAAAiAAAAZHJz&#10;L2Rvd25yZXYueG1sUEsBAhQAFAAAAAgAh07iQAMDfTNFAgAAiAQAAA4AAAAAAAAAAQAgAAAAHwEA&#10;AGRycy9lMm9Eb2MueG1sUEsFBgAAAAAGAAYAWQEAANYFAAAAAA==&#10;">
              <v:fill on="f" focussize="0,0"/>
              <v:stroke on="f" weight="0.5pt" joinstyle="miter"/>
              <v:imagedata o:title=""/>
              <o:lock v:ext="edit" aspectratio="f"/>
              <v:textbox inset="0mm,0mm,0mm,0mm" style="mso-fit-shape-to-text:t;">
                <w:txbxContent>
                  <w:p w14:paraId="3FE8AC58">
                    <w:pPr>
                      <w:widowControl w:val="0"/>
                      <w:tabs>
                        <w:tab w:val="center" w:pos="7143"/>
                        <w:tab w:val="right" w:pos="14287"/>
                      </w:tabs>
                      <w:spacing w:after="0" w:line="240" w:lineRule="auto"/>
                      <w:jc w:val="both"/>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fldChar w:fldCharType="begin"/>
                    </w:r>
                    <w:r>
                      <w:rPr>
                        <w:rFonts w:hint="default" w:ascii="Times New Roman" w:hAnsi="Times New Roman" w:eastAsia="宋体" w:cs="Times New Roman"/>
                        <w:sz w:val="21"/>
                        <w:szCs w:val="24"/>
                        <w:lang w:val="en-US" w:eastAsia="zh-CN" w:bidi="ar-SA"/>
                      </w:rPr>
                      <w:instrText xml:space="preserve"> PAGE  \* MERGEFORMAT </w:instrText>
                    </w:r>
                    <w:r>
                      <w:rPr>
                        <w:rFonts w:hint="default" w:ascii="Times New Roman" w:hAnsi="Times New Roman" w:eastAsia="宋体" w:cs="Times New Roman"/>
                        <w:sz w:val="21"/>
                        <w:szCs w:val="24"/>
                        <w:lang w:val="en-US" w:eastAsia="zh-CN" w:bidi="ar-SA"/>
                      </w:rPr>
                      <w:fldChar w:fldCharType="separate"/>
                    </w:r>
                    <w:r>
                      <w:rPr>
                        <w:rFonts w:hint="default" w:ascii="Times New Roman" w:hAnsi="Times New Roman" w:eastAsia="宋体" w:cs="Times New Roman"/>
                        <w:sz w:val="21"/>
                        <w:szCs w:val="24"/>
                        <w:lang w:val="en-US" w:eastAsia="zh-CN" w:bidi="ar-SA"/>
                      </w:rPr>
                      <w:t>56</w:t>
                    </w:r>
                    <w:r>
                      <w:rPr>
                        <w:rFonts w:hint="default" w:ascii="Times New Roman" w:hAnsi="Times New Roman" w:eastAsia="宋体" w:cs="Times New Roman"/>
                        <w:sz w:val="21"/>
                        <w:szCs w:val="24"/>
                        <w:lang w:val="en-US" w:eastAsia="zh-CN" w:bidi="ar-S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64993">
    <w:pPr>
      <w:rPr>
        <w:rFonts w:ascii="Times New Roman" w:hAnsi="Times New Roman" w:eastAsia="宋体" w:cs="Times New Roman"/>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12B41">
    <w:pPr>
      <w:rPr>
        <w:rFonts w:ascii="Times New Roman" w:hAnsi="Times New Roman" w:eastAsia="宋体" w:cs="Times New Roman"/>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DD385">
    <w:pPr>
      <w:pStyle w:val="24"/>
      <w:jc w:val="center"/>
    </w:pPr>
    <w:r>
      <w:fldChar w:fldCharType="begin"/>
    </w:r>
    <w:r>
      <w:instrText xml:space="preserve">PAGE \* MERGEFORMAT</w:instrText>
    </w:r>
    <w:r>
      <w:fldChar w:fldCharType="separate"/>
    </w:r>
    <w:r>
      <w:t>1</w:t>
    </w:r>
    <w:r>
      <w:fldChar w:fldCharType="end"/>
    </w:r>
  </w:p>
  <w:p w14:paraId="5B28C414">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C73B08">
    <w:pPr>
      <w:widowControl w:val="0"/>
      <w:pBdr>
        <w:bottom w:val="none" w:color="000000" w:sz="0" w:space="0"/>
      </w:pBdr>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7A2FD9">
    <w:pPr>
      <w:rPr>
        <w:rFonts w:ascii="Times New Roman" w:hAnsi="Times New Roman" w:eastAsia="宋体"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EBCC9">
    <w:pPr>
      <w:rPr>
        <w:rFonts w:ascii="Times New Roman" w:hAnsi="Times New Roman" w:eastAsia="宋体"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AEB02">
    <w:pPr>
      <w:widowControl w:val="0"/>
      <w:pBdr>
        <w:bottom w:val="none" w:color="000000" w:sz="0" w:space="0"/>
      </w:pBdr>
      <w:tabs>
        <w:tab w:val="center" w:pos="4153"/>
        <w:tab w:val="right" w:pos="8306"/>
      </w:tabs>
      <w:spacing w:after="0" w:line="240" w:lineRule="auto"/>
      <w:jc w:val="both"/>
      <w:rPr>
        <w:rFonts w:hint="default" w:ascii="Times New Roman" w:hAnsi="Times New Roman" w:eastAsia="宋体" w:cs="Times New Roman"/>
        <w:sz w:val="21"/>
        <w:szCs w:val="24"/>
        <w:lang w:val="en-US" w:eastAsia="zh-CN" w:bidi="ar-S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E2F7A">
    <w:pPr>
      <w:rPr>
        <w:rFonts w:ascii="Times New Roman" w:hAnsi="Times New Roman" w:eastAsia="宋体" w:cs="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0B043">
    <w:pPr>
      <w:rPr>
        <w:rFonts w:ascii="Times New Roman" w:hAnsi="Times New Roman" w:eastAsia="宋体"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5"/>
      <w:numFmt w:val="chineseCountingThousand"/>
      <w:pStyle w:val="55"/>
      <w:suff w:val="nothing"/>
      <w:lvlText w:val="%1、"/>
      <w:lvlJc w:val="left"/>
      <w:pPr>
        <w:tabs>
          <w:tab w:val="left" w:pos="0"/>
        </w:tabs>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suff w:val="nothing"/>
      <w:lvlText w:val="%1、"/>
      <w:lvlJc w:val="left"/>
      <w:pPr>
        <w:tabs>
          <w:tab w:val="left" w:pos="0"/>
        </w:tabs>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59ADCABA"/>
    <w:multiLevelType w:val="multilevel"/>
    <w:tmpl w:val="59ADCABA"/>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673FD"/>
    <w:rsid w:val="02CB7F49"/>
    <w:rsid w:val="04572895"/>
    <w:rsid w:val="061319AA"/>
    <w:rsid w:val="062C0CFF"/>
    <w:rsid w:val="0717200D"/>
    <w:rsid w:val="0898267C"/>
    <w:rsid w:val="08CF1E16"/>
    <w:rsid w:val="08F45308"/>
    <w:rsid w:val="0A9B28F7"/>
    <w:rsid w:val="0B3F09F5"/>
    <w:rsid w:val="0EA55AF2"/>
    <w:rsid w:val="0F5B04C1"/>
    <w:rsid w:val="0F993D12"/>
    <w:rsid w:val="102D459C"/>
    <w:rsid w:val="135A164D"/>
    <w:rsid w:val="137E4DB6"/>
    <w:rsid w:val="13993D82"/>
    <w:rsid w:val="13B371F2"/>
    <w:rsid w:val="15B37FF8"/>
    <w:rsid w:val="15C54CCC"/>
    <w:rsid w:val="270F034B"/>
    <w:rsid w:val="28EA7FC9"/>
    <w:rsid w:val="29D05CC2"/>
    <w:rsid w:val="2B6320F9"/>
    <w:rsid w:val="30300524"/>
    <w:rsid w:val="30F524B2"/>
    <w:rsid w:val="319E7BAE"/>
    <w:rsid w:val="3422536C"/>
    <w:rsid w:val="36E87CAA"/>
    <w:rsid w:val="37147683"/>
    <w:rsid w:val="3A865D2F"/>
    <w:rsid w:val="3AB42117"/>
    <w:rsid w:val="3DB63200"/>
    <w:rsid w:val="3E080DBD"/>
    <w:rsid w:val="445E07F5"/>
    <w:rsid w:val="469A6FE4"/>
    <w:rsid w:val="48254D1D"/>
    <w:rsid w:val="49311755"/>
    <w:rsid w:val="4A6C0C97"/>
    <w:rsid w:val="4F24642B"/>
    <w:rsid w:val="50BD6BBD"/>
    <w:rsid w:val="535479E4"/>
    <w:rsid w:val="53607807"/>
    <w:rsid w:val="555C072A"/>
    <w:rsid w:val="56E43C9A"/>
    <w:rsid w:val="574D00A2"/>
    <w:rsid w:val="587E5884"/>
    <w:rsid w:val="5A2B1871"/>
    <w:rsid w:val="5A8D1F37"/>
    <w:rsid w:val="66883D80"/>
    <w:rsid w:val="670F7122"/>
    <w:rsid w:val="69BA7346"/>
    <w:rsid w:val="6A0E0034"/>
    <w:rsid w:val="6FA56875"/>
    <w:rsid w:val="72095541"/>
    <w:rsid w:val="73C90737"/>
    <w:rsid w:val="764F1FB4"/>
    <w:rsid w:val="77F008AA"/>
    <w:rsid w:val="793D1052"/>
    <w:rsid w:val="798D46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225"/>
    <w:qFormat/>
    <w:uiPriority w:val="0"/>
    <w:pPr>
      <w:keepNext/>
      <w:keepLines/>
      <w:spacing w:before="340" w:after="330" w:line="578" w:lineRule="auto"/>
      <w:outlineLvl w:val="0"/>
    </w:pPr>
    <w:rPr>
      <w:b/>
      <w:bCs/>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qFormat/>
    <w:uiPriority w:val="99"/>
    <w:pPr>
      <w:keepNext/>
      <w:keepLines/>
      <w:spacing w:before="20" w:after="20" w:line="415" w:lineRule="auto"/>
      <w:ind w:firstLine="137"/>
      <w:outlineLvl w:val="2"/>
    </w:pPr>
    <w:rPr>
      <w:rFonts w:hAnsi="黑体" w:eastAsia="黑体"/>
      <w:sz w:val="24"/>
      <w:szCs w:val="20"/>
    </w:rPr>
  </w:style>
  <w:style w:type="paragraph" w:styleId="5">
    <w:name w:val="heading 4"/>
    <w:basedOn w:val="1"/>
    <w:next w:val="1"/>
    <w:link w:val="6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6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0"/>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szCs w:val="20"/>
    </w:r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0"/>
    <w:rPr>
      <w:rFonts w:ascii="楷体_GB2312" w:hAnsi="Arial" w:eastAsia="楷体_GB2312"/>
      <w:sz w:val="28"/>
      <w:szCs w:val="20"/>
    </w:rPr>
  </w:style>
  <w:style w:type="paragraph" w:styleId="16">
    <w:name w:val="Body Text Indent"/>
    <w:basedOn w:val="1"/>
    <w:qFormat/>
    <w:uiPriority w:val="0"/>
    <w:pPr>
      <w:widowControl w:val="0"/>
      <w:spacing w:before="240" w:line="360" w:lineRule="auto"/>
      <w:ind w:firstLine="552"/>
    </w:pPr>
    <w:rPr>
      <w:rFonts w:hint="default" w:ascii="宋体" w:hAnsi="宋体" w:eastAsia="宋体" w:cs="Times New Roman"/>
      <w:spacing w:val="0"/>
      <w:sz w:val="21"/>
      <w:szCs w:val="20"/>
      <w:lang w:val="en-US" w:eastAsia="zh-CN" w:bidi="ar-SA"/>
    </w:rPr>
  </w:style>
  <w:style w:type="paragraph" w:styleId="17">
    <w:name w:val="Block Text"/>
    <w:basedOn w:val="1"/>
    <w:qFormat/>
    <w:uiPriority w:val="0"/>
    <w:pPr>
      <w:ind w:left="256" w:right="6" w:firstLine="624"/>
    </w:pPr>
    <w:rPr>
      <w:rFonts w:eastAsia="仿宋_GB2312"/>
      <w:sz w:val="28"/>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link w:val="221"/>
    <w:qFormat/>
    <w:uiPriority w:val="0"/>
    <w:rPr>
      <w:rFonts w:ascii="宋体" w:hAnsi="Courier New"/>
      <w:szCs w:val="20"/>
    </w:rPr>
  </w:style>
  <w:style w:type="paragraph" w:styleId="21">
    <w:name w:val="toc 8"/>
    <w:basedOn w:val="1"/>
    <w:next w:val="1"/>
    <w:unhideWhenUsed/>
    <w:qFormat/>
    <w:uiPriority w:val="39"/>
    <w:pPr>
      <w:spacing w:after="57"/>
      <w:ind w:left="1984" w:right="0" w:firstLine="0"/>
    </w:pPr>
  </w:style>
  <w:style w:type="paragraph" w:styleId="22">
    <w:name w:val="Body Text Indent 2"/>
    <w:basedOn w:val="1"/>
    <w:qFormat/>
    <w:uiPriority w:val="0"/>
    <w:pPr>
      <w:spacing w:after="120" w:line="480" w:lineRule="auto"/>
      <w:ind w:left="420"/>
    </w:pPr>
  </w:style>
  <w:style w:type="paragraph" w:styleId="23">
    <w:name w:val="endnote text"/>
    <w:basedOn w:val="1"/>
    <w:link w:val="207"/>
    <w:semiHidden/>
    <w:unhideWhenUsed/>
    <w:qFormat/>
    <w:uiPriority w:val="99"/>
    <w:pPr>
      <w:spacing w:after="0" w:line="240" w:lineRule="auto"/>
    </w:pPr>
    <w:rPr>
      <w:sz w:val="20"/>
    </w:rPr>
  </w:style>
  <w:style w:type="paragraph" w:styleId="24">
    <w:name w:val="footer"/>
    <w:basedOn w:val="1"/>
    <w:qFormat/>
    <w:uiPriority w:val="0"/>
    <w:pPr>
      <w:tabs>
        <w:tab w:val="center" w:pos="4153"/>
        <w:tab w:val="right" w:pos="8306"/>
      </w:tabs>
      <w:jc w:val="left"/>
    </w:pPr>
    <w:rPr>
      <w:sz w:val="18"/>
    </w:rPr>
  </w:style>
  <w:style w:type="paragraph" w:styleId="2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pPr>
    <w:rPr>
      <w:sz w:val="18"/>
    </w:rPr>
  </w:style>
  <w:style w:type="paragraph" w:styleId="26">
    <w:name w:val="toc 1"/>
    <w:basedOn w:val="1"/>
    <w:next w:val="1"/>
    <w:unhideWhenUsed/>
    <w:qFormat/>
    <w:uiPriority w:val="39"/>
    <w:pPr>
      <w:spacing w:after="57"/>
      <w:ind w:left="0" w:right="0" w:firstLine="0"/>
    </w:pPr>
  </w:style>
  <w:style w:type="paragraph" w:styleId="27">
    <w:name w:val="toc 4"/>
    <w:basedOn w:val="1"/>
    <w:next w:val="1"/>
    <w:unhideWhenUsed/>
    <w:qFormat/>
    <w:uiPriority w:val="39"/>
    <w:pPr>
      <w:spacing w:after="57"/>
      <w:ind w:left="850" w:right="0" w:firstLine="0"/>
    </w:pPr>
  </w:style>
  <w:style w:type="paragraph" w:styleId="28">
    <w:name w:val="Subtitle"/>
    <w:basedOn w:val="1"/>
    <w:next w:val="1"/>
    <w:link w:val="73"/>
    <w:qFormat/>
    <w:uiPriority w:val="11"/>
    <w:pPr>
      <w:spacing w:before="200" w:after="200"/>
    </w:pPr>
    <w:rPr>
      <w:sz w:val="24"/>
      <w:szCs w:val="24"/>
    </w:rPr>
  </w:style>
  <w:style w:type="paragraph" w:styleId="29">
    <w:name w:val="footnote text"/>
    <w:basedOn w:val="1"/>
    <w:link w:val="206"/>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right="0" w:firstLine="0"/>
    </w:pPr>
  </w:style>
  <w:style w:type="paragraph" w:styleId="31">
    <w:name w:val="table of figures"/>
    <w:basedOn w:val="1"/>
    <w:next w:val="1"/>
    <w:unhideWhenUsed/>
    <w:qFormat/>
    <w:uiPriority w:val="99"/>
    <w:pPr>
      <w:spacing w:after="0" w:afterAutospacing="0"/>
    </w:pPr>
  </w:style>
  <w:style w:type="paragraph" w:styleId="32">
    <w:name w:val="toc 2"/>
    <w:basedOn w:val="1"/>
    <w:next w:val="1"/>
    <w:unhideWhenUsed/>
    <w:qFormat/>
    <w:uiPriority w:val="39"/>
    <w:pPr>
      <w:spacing w:after="57"/>
      <w:ind w:left="283" w:right="0" w:firstLine="0"/>
    </w:pPr>
  </w:style>
  <w:style w:type="paragraph" w:styleId="33">
    <w:name w:val="toc 9"/>
    <w:basedOn w:val="1"/>
    <w:next w:val="1"/>
    <w:unhideWhenUsed/>
    <w:qFormat/>
    <w:uiPriority w:val="39"/>
    <w:pPr>
      <w:spacing w:after="57"/>
      <w:ind w:left="2268" w:right="0" w:firstLine="0"/>
    </w:pPr>
  </w:style>
  <w:style w:type="paragraph" w:styleId="34">
    <w:name w:val="Normal (Web)"/>
    <w:basedOn w:val="1"/>
    <w:qFormat/>
    <w:uiPriority w:val="99"/>
    <w:pPr>
      <w:spacing w:line="360" w:lineRule="auto"/>
      <w:ind w:firstLine="482"/>
      <w:jc w:val="left"/>
    </w:pPr>
    <w:rPr>
      <w:rFonts w:ascii="宋体" w:hAnsi="宋体"/>
      <w:b/>
      <w:sz w:val="24"/>
    </w:rPr>
  </w:style>
  <w:style w:type="paragraph" w:styleId="35">
    <w:name w:val="Title"/>
    <w:basedOn w:val="1"/>
    <w:next w:val="1"/>
    <w:link w:val="72"/>
    <w:qFormat/>
    <w:uiPriority w:val="10"/>
    <w:pPr>
      <w:spacing w:before="300" w:after="200"/>
      <w:contextualSpacing/>
    </w:pPr>
    <w:rPr>
      <w:sz w:val="48"/>
      <w:szCs w:val="48"/>
    </w:rPr>
  </w:style>
  <w:style w:type="paragraph" w:styleId="36">
    <w:name w:val="Body Text First Indent 2"/>
    <w:basedOn w:val="16"/>
    <w:qFormat/>
    <w:uiPriority w:val="0"/>
    <w:pPr>
      <w:widowControl/>
      <w:tabs>
        <w:tab w:val="left" w:pos="1080"/>
        <w:tab w:val="center" w:pos="4393"/>
        <w:tab w:val="left" w:pos="6774"/>
      </w:tabs>
      <w:spacing w:before="100" w:beforeAutospacing="1" w:after="100" w:afterAutospacing="1" w:line="360" w:lineRule="auto"/>
      <w:ind w:left="420" w:firstLine="420"/>
      <w:jc w:val="left"/>
    </w:pPr>
    <w:rPr>
      <w:rFonts w:hint="default" w:ascii="宋体" w:hAnsi="宋体" w:eastAsia="宋体" w:cs="Times New Roman"/>
      <w:spacing w:val="0"/>
      <w:sz w:val="24"/>
      <w:szCs w:val="20"/>
      <w:lang w:val="en-US" w:eastAsia="zh-CN" w:bidi="ar-SA"/>
    </w:rPr>
  </w:style>
  <w:style w:type="table" w:styleId="38">
    <w:name w:val="Table Grid"/>
    <w:basedOn w:val="3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0">
    <w:name w:val="Strong"/>
    <w:basedOn w:val="39"/>
    <w:qFormat/>
    <w:uiPriority w:val="0"/>
    <w:rPr>
      <w:b/>
      <w:bCs/>
    </w:rPr>
  </w:style>
  <w:style w:type="character" w:styleId="41">
    <w:name w:val="endnote reference"/>
    <w:basedOn w:val="39"/>
    <w:semiHidden/>
    <w:unhideWhenUsed/>
    <w:qFormat/>
    <w:uiPriority w:val="99"/>
    <w:rPr>
      <w:vertAlign w:val="superscript"/>
    </w:rPr>
  </w:style>
  <w:style w:type="character" w:styleId="42">
    <w:name w:val="page number"/>
    <w:basedOn w:val="39"/>
    <w:qFormat/>
    <w:uiPriority w:val="0"/>
  </w:style>
  <w:style w:type="character" w:styleId="43">
    <w:name w:val="FollowedHyperlink"/>
    <w:basedOn w:val="39"/>
    <w:qFormat/>
    <w:uiPriority w:val="0"/>
    <w:rPr>
      <w:color w:val="800080"/>
      <w:u w:val="none"/>
    </w:rPr>
  </w:style>
  <w:style w:type="character" w:styleId="44">
    <w:name w:val="Emphasis"/>
    <w:basedOn w:val="39"/>
    <w:qFormat/>
    <w:uiPriority w:val="20"/>
    <w:rPr>
      <w:i/>
    </w:rPr>
  </w:style>
  <w:style w:type="character" w:styleId="45">
    <w:name w:val="HTML Definition"/>
    <w:basedOn w:val="39"/>
    <w:qFormat/>
    <w:uiPriority w:val="0"/>
  </w:style>
  <w:style w:type="character" w:styleId="46">
    <w:name w:val="HTML Typewriter"/>
    <w:basedOn w:val="39"/>
    <w:qFormat/>
    <w:uiPriority w:val="0"/>
    <w:rPr>
      <w:rFonts w:ascii="monospace" w:hAnsi="monospace" w:eastAsia="monospace" w:cs="monospace"/>
      <w:sz w:val="20"/>
    </w:rPr>
  </w:style>
  <w:style w:type="character" w:styleId="47">
    <w:name w:val="HTML Acronym"/>
    <w:basedOn w:val="39"/>
    <w:qFormat/>
    <w:uiPriority w:val="0"/>
  </w:style>
  <w:style w:type="character" w:styleId="48">
    <w:name w:val="HTML Variable"/>
    <w:basedOn w:val="39"/>
    <w:qFormat/>
    <w:uiPriority w:val="0"/>
  </w:style>
  <w:style w:type="character" w:styleId="49">
    <w:name w:val="Hyperlink"/>
    <w:basedOn w:val="39"/>
    <w:qFormat/>
    <w:uiPriority w:val="0"/>
    <w:rPr>
      <w:color w:val="0000FF"/>
      <w:u w:val="none"/>
    </w:rPr>
  </w:style>
  <w:style w:type="character" w:styleId="50">
    <w:name w:val="HTML Code"/>
    <w:basedOn w:val="39"/>
    <w:qFormat/>
    <w:uiPriority w:val="0"/>
    <w:rPr>
      <w:rFonts w:hint="default" w:ascii="monospace" w:hAnsi="monospace" w:eastAsia="monospace" w:cs="monospace"/>
      <w:sz w:val="20"/>
    </w:rPr>
  </w:style>
  <w:style w:type="character" w:styleId="51">
    <w:name w:val="HTML Cite"/>
    <w:basedOn w:val="39"/>
    <w:qFormat/>
    <w:uiPriority w:val="0"/>
  </w:style>
  <w:style w:type="character" w:styleId="52">
    <w:name w:val="footnote reference"/>
    <w:basedOn w:val="39"/>
    <w:unhideWhenUsed/>
    <w:qFormat/>
    <w:uiPriority w:val="99"/>
    <w:rPr>
      <w:vertAlign w:val="superscript"/>
    </w:rPr>
  </w:style>
  <w:style w:type="character" w:styleId="53">
    <w:name w:val="HTML Keyboard"/>
    <w:basedOn w:val="39"/>
    <w:qFormat/>
    <w:uiPriority w:val="0"/>
    <w:rPr>
      <w:rFonts w:hint="default" w:ascii="monospace" w:hAnsi="monospace" w:eastAsia="monospace" w:cs="monospace"/>
      <w:sz w:val="20"/>
    </w:rPr>
  </w:style>
  <w:style w:type="character" w:styleId="54">
    <w:name w:val="HTML Sample"/>
    <w:basedOn w:val="39"/>
    <w:qFormat/>
    <w:uiPriority w:val="0"/>
    <w:rPr>
      <w:rFonts w:hint="default" w:ascii="monospace" w:hAnsi="monospace" w:eastAsia="monospace" w:cs="monospace"/>
    </w:rPr>
  </w:style>
  <w:style w:type="paragraph" w:customStyle="1" w:styleId="55">
    <w:name w:val="标题 5（有编号）（绿盟科技）"/>
    <w:next w:val="1"/>
    <w:qFormat/>
    <w:uiPriority w:val="0"/>
    <w:pPr>
      <w:keepNext/>
      <w:keepLines/>
      <w:widowControl w:val="0"/>
      <w:numPr>
        <w:ilvl w:val="0"/>
        <w:numId w:val="1"/>
      </w:numPr>
      <w:suppressAutoHyphens/>
      <w:bidi w:val="0"/>
      <w:spacing w:before="280" w:after="156" w:line="374" w:lineRule="auto"/>
      <w:jc w:val="left"/>
      <w:outlineLvl w:val="4"/>
    </w:pPr>
    <w:rPr>
      <w:rFonts w:ascii="Arial" w:hAnsi="Arial" w:eastAsia="黑体" w:cs="Arial"/>
      <w:b/>
      <w:color w:val="auto"/>
      <w:kern w:val="2"/>
      <w:sz w:val="24"/>
      <w:szCs w:val="28"/>
      <w:lang w:val="en-US" w:eastAsia="zh-CN" w:bidi="ar-SA"/>
    </w:rPr>
  </w:style>
  <w:style w:type="paragraph" w:customStyle="1" w:styleId="56">
    <w:name w:val="Default"/>
    <w:qFormat/>
    <w:uiPriority w:val="99"/>
    <w:pPr>
      <w:widowControl w:val="0"/>
    </w:pPr>
    <w:rPr>
      <w:rFonts w:hint="default" w:ascii="MS Mincho" w:hAnsi="Times New Roman" w:eastAsia="MS Mincho" w:cs="Times New Roman"/>
      <w:color w:val="000000"/>
      <w:sz w:val="24"/>
      <w:szCs w:val="24"/>
      <w:lang w:val="en-US" w:eastAsia="zh-CN" w:bidi="ar-SA"/>
    </w:rPr>
  </w:style>
  <w:style w:type="paragraph" w:customStyle="1" w:styleId="57">
    <w:name w:val="正文1"/>
    <w:basedOn w:val="12"/>
    <w:qFormat/>
    <w:uiPriority w:val="0"/>
    <w:pPr>
      <w:jc w:val="both"/>
    </w:pPr>
    <w:rPr>
      <w:rFonts w:hint="default" w:ascii="Calibri" w:hAnsi="Calibri" w:eastAsia="宋体" w:cs="宋体"/>
      <w:sz w:val="21"/>
      <w:szCs w:val="21"/>
      <w:lang w:val="en-US" w:eastAsia="zh-CN" w:bidi="ar-SA"/>
    </w:rPr>
  </w:style>
  <w:style w:type="paragraph" w:customStyle="1" w:styleId="58">
    <w:name w:val="正文文本缩进1"/>
    <w:basedOn w:val="1"/>
    <w:next w:val="1"/>
    <w:qFormat/>
    <w:uiPriority w:val="0"/>
    <w:pPr>
      <w:spacing w:before="100" w:beforeAutospacing="1" w:after="100" w:afterAutospacing="1"/>
      <w:ind w:left="420" w:firstLine="200"/>
    </w:pPr>
    <w:rPr>
      <w:rFonts w:ascii="Calibri" w:hAnsi="Calibri"/>
      <w:sz w:val="21"/>
      <w:szCs w:val="22"/>
    </w:rPr>
  </w:style>
  <w:style w:type="paragraph" w:customStyle="1" w:styleId="59">
    <w:name w:val="正文首行缩进11"/>
    <w:basedOn w:val="60"/>
    <w:next w:val="1"/>
    <w:unhideWhenUsed/>
    <w:qFormat/>
    <w:uiPriority w:val="99"/>
    <w:pPr>
      <w:ind w:firstLine="420"/>
    </w:pPr>
    <w:rPr>
      <w:szCs w:val="24"/>
    </w:rPr>
  </w:style>
  <w:style w:type="paragraph" w:customStyle="1" w:styleId="60">
    <w:name w:val="正文文本111"/>
    <w:basedOn w:val="1"/>
    <w:next w:val="1"/>
    <w:qFormat/>
    <w:uiPriority w:val="0"/>
    <w:rPr>
      <w:rFonts w:eastAsia="楷体_GB2312"/>
      <w:b/>
      <w:bCs/>
      <w:color w:val="FF0000"/>
      <w:sz w:val="32"/>
      <w:szCs w:val="32"/>
      <w:lang w:val="zh-CN"/>
    </w:rPr>
  </w:style>
  <w:style w:type="paragraph" w:customStyle="1" w:styleId="61">
    <w:name w:val="正文缩进1"/>
    <w:basedOn w:val="1"/>
    <w:qFormat/>
    <w:uiPriority w:val="0"/>
    <w:pPr>
      <w:spacing w:line="360" w:lineRule="atLeast"/>
      <w:ind w:firstLine="420"/>
    </w:pPr>
    <w:rPr>
      <w:szCs w:val="20"/>
    </w:rPr>
  </w:style>
  <w:style w:type="character" w:customStyle="1" w:styleId="62">
    <w:name w:val="Heading 1 Char"/>
    <w:basedOn w:val="39"/>
    <w:qFormat/>
    <w:uiPriority w:val="9"/>
    <w:rPr>
      <w:rFonts w:ascii="Arial" w:hAnsi="Arial" w:eastAsia="Arial" w:cs="Arial"/>
      <w:sz w:val="40"/>
      <w:szCs w:val="40"/>
    </w:rPr>
  </w:style>
  <w:style w:type="character" w:customStyle="1" w:styleId="63">
    <w:name w:val="Heading 2 Char"/>
    <w:basedOn w:val="39"/>
    <w:qFormat/>
    <w:uiPriority w:val="9"/>
    <w:rPr>
      <w:rFonts w:ascii="Arial" w:hAnsi="Arial" w:eastAsia="Arial" w:cs="Arial"/>
      <w:sz w:val="34"/>
    </w:rPr>
  </w:style>
  <w:style w:type="character" w:customStyle="1" w:styleId="64">
    <w:name w:val="Heading 3 Char"/>
    <w:basedOn w:val="39"/>
    <w:qFormat/>
    <w:uiPriority w:val="9"/>
    <w:rPr>
      <w:rFonts w:ascii="Arial" w:hAnsi="Arial" w:eastAsia="Arial" w:cs="Arial"/>
      <w:sz w:val="30"/>
      <w:szCs w:val="30"/>
    </w:rPr>
  </w:style>
  <w:style w:type="character" w:customStyle="1" w:styleId="65">
    <w:name w:val="Heading 4 Char"/>
    <w:basedOn w:val="39"/>
    <w:link w:val="5"/>
    <w:qFormat/>
    <w:uiPriority w:val="9"/>
    <w:rPr>
      <w:rFonts w:ascii="Arial" w:hAnsi="Arial" w:eastAsia="Arial" w:cs="Arial"/>
      <w:b/>
      <w:bCs/>
      <w:sz w:val="26"/>
      <w:szCs w:val="26"/>
    </w:rPr>
  </w:style>
  <w:style w:type="character" w:customStyle="1" w:styleId="66">
    <w:name w:val="Heading 5 Char"/>
    <w:basedOn w:val="39"/>
    <w:link w:val="6"/>
    <w:qFormat/>
    <w:uiPriority w:val="9"/>
    <w:rPr>
      <w:rFonts w:ascii="Arial" w:hAnsi="Arial" w:eastAsia="Arial" w:cs="Arial"/>
      <w:b/>
      <w:bCs/>
      <w:sz w:val="24"/>
      <w:szCs w:val="24"/>
    </w:rPr>
  </w:style>
  <w:style w:type="character" w:customStyle="1" w:styleId="67">
    <w:name w:val="Heading 6 Char"/>
    <w:basedOn w:val="39"/>
    <w:link w:val="7"/>
    <w:qFormat/>
    <w:uiPriority w:val="9"/>
    <w:rPr>
      <w:rFonts w:ascii="Arial" w:hAnsi="Arial" w:eastAsia="Arial" w:cs="Arial"/>
      <w:b/>
      <w:bCs/>
      <w:sz w:val="22"/>
      <w:szCs w:val="22"/>
    </w:rPr>
  </w:style>
  <w:style w:type="character" w:customStyle="1" w:styleId="68">
    <w:name w:val="Heading 7 Char"/>
    <w:basedOn w:val="39"/>
    <w:link w:val="8"/>
    <w:qFormat/>
    <w:uiPriority w:val="9"/>
    <w:rPr>
      <w:rFonts w:ascii="Arial" w:hAnsi="Arial" w:eastAsia="Arial" w:cs="Arial"/>
      <w:b/>
      <w:bCs/>
      <w:i/>
      <w:iCs/>
      <w:sz w:val="22"/>
      <w:szCs w:val="22"/>
    </w:rPr>
  </w:style>
  <w:style w:type="character" w:customStyle="1" w:styleId="69">
    <w:name w:val="Heading 8 Char"/>
    <w:basedOn w:val="39"/>
    <w:link w:val="9"/>
    <w:qFormat/>
    <w:uiPriority w:val="9"/>
    <w:rPr>
      <w:rFonts w:ascii="Arial" w:hAnsi="Arial" w:eastAsia="Arial" w:cs="Arial"/>
      <w:i/>
      <w:iCs/>
      <w:sz w:val="22"/>
      <w:szCs w:val="22"/>
    </w:rPr>
  </w:style>
  <w:style w:type="character" w:customStyle="1" w:styleId="70">
    <w:name w:val="Heading 9 Char"/>
    <w:basedOn w:val="39"/>
    <w:link w:val="10"/>
    <w:qFormat/>
    <w:uiPriority w:val="9"/>
    <w:rPr>
      <w:rFonts w:ascii="Arial" w:hAnsi="Arial" w:eastAsia="Arial" w:cs="Arial"/>
      <w:i/>
      <w:iCs/>
      <w:sz w:val="21"/>
      <w:szCs w:val="21"/>
    </w:rPr>
  </w:style>
  <w:style w:type="paragraph" w:styleId="71">
    <w:name w:val="No Spacing"/>
    <w:qFormat/>
    <w:uiPriority w:val="1"/>
    <w:pPr>
      <w:spacing w:before="0" w:after="0" w:line="240" w:lineRule="auto"/>
    </w:pPr>
    <w:rPr>
      <w:rFonts w:hint="default" w:ascii="Calibri" w:hAnsi="Calibri" w:eastAsia="宋体" w:cs="Times New Roman"/>
    </w:rPr>
  </w:style>
  <w:style w:type="character" w:customStyle="1" w:styleId="72">
    <w:name w:val="Title Char"/>
    <w:basedOn w:val="39"/>
    <w:link w:val="35"/>
    <w:qFormat/>
    <w:uiPriority w:val="10"/>
    <w:rPr>
      <w:sz w:val="48"/>
      <w:szCs w:val="48"/>
    </w:rPr>
  </w:style>
  <w:style w:type="character" w:customStyle="1" w:styleId="73">
    <w:name w:val="Subtitle Char"/>
    <w:basedOn w:val="39"/>
    <w:link w:val="28"/>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Quote Char"/>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7">
    <w:name w:val="Intense Quote Char"/>
    <w:link w:val="76"/>
    <w:qFormat/>
    <w:uiPriority w:val="30"/>
    <w:rPr>
      <w:i/>
    </w:rPr>
  </w:style>
  <w:style w:type="character" w:customStyle="1" w:styleId="78">
    <w:name w:val="Header Char"/>
    <w:basedOn w:val="39"/>
    <w:qFormat/>
    <w:uiPriority w:val="99"/>
  </w:style>
  <w:style w:type="character" w:customStyle="1" w:styleId="79">
    <w:name w:val="Footer Char"/>
    <w:basedOn w:val="39"/>
    <w:qFormat/>
    <w:uiPriority w:val="99"/>
  </w:style>
  <w:style w:type="character" w:customStyle="1" w:styleId="80">
    <w:name w:val="Caption Char"/>
    <w:qFormat/>
    <w:uiPriority w:val="99"/>
  </w:style>
  <w:style w:type="table" w:customStyle="1" w:styleId="81">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2">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9">
    <w:name w:val="Grid Table 1 Light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90">
    <w:name w:val="Grid Table 1 Light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91">
    <w:name w:val="Grid Table 1 Light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92">
    <w:name w:val="Grid Table 1 Light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3">
    <w:name w:val="Grid Table 1 Light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4">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6">
    <w:name w:val="Grid Table 2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7">
    <w:name w:val="Grid Table 2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8">
    <w:name w:val="Grid Table 2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9">
    <w:name w:val="Grid Table 2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0">
    <w:name w:val="Grid Table 2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1">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basedOn w:val="37"/>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3">
    <w:name w:val="Grid Table 3 - Accent 2"/>
    <w:basedOn w:val="37"/>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4">
    <w:name w:val="Grid Table 3 - Accent 3"/>
    <w:basedOn w:val="37"/>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5">
    <w:name w:val="Grid Table 3 - Accent 4"/>
    <w:basedOn w:val="37"/>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6">
    <w:name w:val="Grid Table 3 - Accent 5"/>
    <w:basedOn w:val="37"/>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7">
    <w:name w:val="Grid Table 3 - Accent 6"/>
    <w:basedOn w:val="37"/>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8">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basedOn w:val="37"/>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10">
    <w:name w:val="Grid Table 4 - Accent 2"/>
    <w:basedOn w:val="37"/>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1">
    <w:name w:val="Grid Table 4 - Accent 3"/>
    <w:basedOn w:val="37"/>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2">
    <w:name w:val="Grid Table 4 - Accent 4"/>
    <w:basedOn w:val="37"/>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3">
    <w:name w:val="Grid Table 4 - Accent 5"/>
    <w:basedOn w:val="37"/>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4">
    <w:name w:val="Grid Table 4 - Accent 6"/>
    <w:basedOn w:val="37"/>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5">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7">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8">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9">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20">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21">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22">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6 Colorful - Accent 1"/>
    <w:basedOn w:val="37"/>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basedOn w:val="37"/>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6">
    <w:name w:val="Grid Table 6 Colorful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basedOn w:val="37"/>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8">
    <w:name w:val="Grid Table 6 Colorful - Accent 6"/>
    <w:basedOn w:val="37"/>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9">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7 Colorful - Accent 1"/>
    <w:basedOn w:val="37"/>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basedOn w:val="37"/>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basedOn w:val="37"/>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3">
    <w:name w:val="Grid Table 7 Colorful - Accent 4"/>
    <w:basedOn w:val="37"/>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basedOn w:val="37"/>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5">
    <w:name w:val="Grid Table 7 Colorful - Accent 6"/>
    <w:basedOn w:val="37"/>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6">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basedOn w:val="37"/>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8">
    <w:name w:val="List Table 1 Light - Accent 2"/>
    <w:basedOn w:val="37"/>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9">
    <w:name w:val="List Table 1 Light - Accent 3"/>
    <w:basedOn w:val="37"/>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40">
    <w:name w:val="List Table 1 Light - Accent 4"/>
    <w:basedOn w:val="37"/>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41">
    <w:name w:val="List Table 1 Light - Accent 5"/>
    <w:basedOn w:val="37"/>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42">
    <w:name w:val="List Table 1 Light - Accent 6"/>
    <w:basedOn w:val="37"/>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3">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basedOn w:val="37"/>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5">
    <w:name w:val="List Table 2 - Accent 2"/>
    <w:basedOn w:val="37"/>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6">
    <w:name w:val="List Table 2 - Accent 3"/>
    <w:basedOn w:val="37"/>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7">
    <w:name w:val="List Table 2 - Accent 4"/>
    <w:basedOn w:val="37"/>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8">
    <w:name w:val="List Table 2 - Accent 5"/>
    <w:basedOn w:val="37"/>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9">
    <w:name w:val="List Table 2 - Accent 6"/>
    <w:basedOn w:val="37"/>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0">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basedOn w:val="37"/>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52">
    <w:name w:val="List Table 3 - Accent 2"/>
    <w:basedOn w:val="37"/>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3">
    <w:name w:val="List Table 3 - Accent 3"/>
    <w:basedOn w:val="37"/>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4">
    <w:name w:val="List Table 3 - Accent 4"/>
    <w:basedOn w:val="37"/>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5">
    <w:name w:val="List Table 3 - Accent 5"/>
    <w:basedOn w:val="37"/>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6">
    <w:name w:val="List Table 3 - Accent 6"/>
    <w:basedOn w:val="37"/>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7">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basedOn w:val="37"/>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9">
    <w:name w:val="List Table 4 - Accent 2"/>
    <w:basedOn w:val="37"/>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60">
    <w:name w:val="List Table 4 - Accent 3"/>
    <w:basedOn w:val="37"/>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1">
    <w:name w:val="List Table 4 - Accent 4"/>
    <w:basedOn w:val="37"/>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2">
    <w:name w:val="List Table 4 - Accent 5"/>
    <w:basedOn w:val="37"/>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3">
    <w:name w:val="List Table 4 - Accent 6"/>
    <w:basedOn w:val="37"/>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4">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basedOn w:val="37"/>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6">
    <w:name w:val="List Table 5 Dark - Accent 2"/>
    <w:basedOn w:val="37"/>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7">
    <w:name w:val="List Table 5 Dark - Accent 3"/>
    <w:basedOn w:val="37"/>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8">
    <w:name w:val="List Table 5 Dark - Accent 4"/>
    <w:basedOn w:val="37"/>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9">
    <w:name w:val="List Table 5 Dark - Accent 5"/>
    <w:basedOn w:val="37"/>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70">
    <w:name w:val="List Table 5 Dark - Accent 6"/>
    <w:basedOn w:val="37"/>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71">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2">
    <w:name w:val="List Table 6 Colorful - Accent 1"/>
    <w:basedOn w:val="37"/>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3">
    <w:name w:val="List Table 6 Colorful - Accent 2"/>
    <w:basedOn w:val="37"/>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basedOn w:val="37"/>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basedOn w:val="37"/>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basedOn w:val="37"/>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basedOn w:val="37"/>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8">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9">
    <w:name w:val="List Table 7 Colorful - Accent 1"/>
    <w:basedOn w:val="37"/>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80">
    <w:name w:val="List Table 7 Colorful - Accent 2"/>
    <w:basedOn w:val="37"/>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basedOn w:val="37"/>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basedOn w:val="37"/>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basedOn w:val="37"/>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basedOn w:val="37"/>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5">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basedOn w:val="37"/>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7">
    <w:name w:val="Lined - Accent 2"/>
    <w:basedOn w:val="37"/>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8">
    <w:name w:val="Lined - Accent 3"/>
    <w:basedOn w:val="37"/>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9">
    <w:name w:val="Lined - Accent 4"/>
    <w:basedOn w:val="37"/>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0">
    <w:name w:val="Lined - Accent 5"/>
    <w:basedOn w:val="37"/>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1">
    <w:name w:val="Lined - Accent 6"/>
    <w:basedOn w:val="37"/>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2">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basedOn w:val="37"/>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4">
    <w:name w:val="Bordered &amp; Lined - Accent 2"/>
    <w:basedOn w:val="37"/>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5">
    <w:name w:val="Bordered &amp; Lined - Accent 3"/>
    <w:basedOn w:val="37"/>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6">
    <w:name w:val="Bordered &amp; Lined - Accent 4"/>
    <w:basedOn w:val="37"/>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7">
    <w:name w:val="Bordered &amp; Lined - Accent 5"/>
    <w:basedOn w:val="37"/>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8">
    <w:name w:val="Bordered &amp; Lined - Accent 6"/>
    <w:basedOn w:val="37"/>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9">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basedOn w:val="37"/>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01">
    <w:name w:val="Bordered - Accent 2"/>
    <w:basedOn w:val="37"/>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02">
    <w:name w:val="Bordered - Accent 3"/>
    <w:basedOn w:val="37"/>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3">
    <w:name w:val="Bordered - Accent 4"/>
    <w:basedOn w:val="37"/>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4">
    <w:name w:val="Bordered - Accent 5"/>
    <w:basedOn w:val="37"/>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5">
    <w:name w:val="Bordered - Accent 6"/>
    <w:basedOn w:val="37"/>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6">
    <w:name w:val="Footnote Text Char"/>
    <w:link w:val="29"/>
    <w:qFormat/>
    <w:uiPriority w:val="99"/>
    <w:rPr>
      <w:sz w:val="18"/>
    </w:rPr>
  </w:style>
  <w:style w:type="character" w:customStyle="1" w:styleId="207">
    <w:name w:val="Endnote Text Char"/>
    <w:link w:val="23"/>
    <w:qFormat/>
    <w:uiPriority w:val="99"/>
    <w:rPr>
      <w:sz w:val="20"/>
    </w:rPr>
  </w:style>
  <w:style w:type="paragraph" w:customStyle="1" w:styleId="208">
    <w:name w:val="TOC Heading"/>
    <w:unhideWhenUsed/>
    <w:qFormat/>
    <w:uiPriority w:val="39"/>
    <w:rPr>
      <w:rFonts w:hint="default" w:ascii="Calibri" w:hAnsi="Calibri" w:eastAsia="宋体" w:cs="Times New Roman"/>
    </w:rPr>
  </w:style>
  <w:style w:type="paragraph" w:customStyle="1" w:styleId="209">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210">
    <w:name w:val="首行缩进"/>
    <w:basedOn w:val="1"/>
    <w:qFormat/>
    <w:uiPriority w:val="0"/>
    <w:pPr>
      <w:spacing w:line="360" w:lineRule="auto"/>
      <w:ind w:firstLine="480"/>
      <w:jc w:val="left"/>
    </w:pPr>
    <w:rPr>
      <w:rFonts w:ascii="宋体" w:hAnsi="宋体"/>
      <w:sz w:val="24"/>
    </w:rPr>
  </w:style>
  <w:style w:type="paragraph" w:customStyle="1" w:styleId="211">
    <w:name w:val="普通正文"/>
    <w:basedOn w:val="1"/>
    <w:qFormat/>
    <w:uiPriority w:val="0"/>
    <w:pPr>
      <w:spacing w:before="120" w:after="120" w:line="360" w:lineRule="auto"/>
      <w:ind w:firstLine="480"/>
      <w:jc w:val="left"/>
    </w:pPr>
    <w:rPr>
      <w:rFonts w:ascii="Arial" w:hAnsi="Arial"/>
      <w:sz w:val="24"/>
    </w:rPr>
  </w:style>
  <w:style w:type="paragraph" w:customStyle="1" w:styleId="212">
    <w:name w:val="正文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13">
    <w:name w:val="正文文本_0"/>
    <w:basedOn w:val="212"/>
    <w:qFormat/>
    <w:uiPriority w:val="0"/>
    <w:pPr>
      <w:spacing w:after="60" w:line="360" w:lineRule="atLeast"/>
      <w:ind w:left="72" w:right="30"/>
      <w:jc w:val="center"/>
    </w:pPr>
    <w:rPr>
      <w:sz w:val="20"/>
    </w:rPr>
  </w:style>
  <w:style w:type="paragraph" w:styleId="214">
    <w:name w:val="List Paragraph"/>
    <w:basedOn w:val="1"/>
    <w:qFormat/>
    <w:uiPriority w:val="34"/>
    <w:pPr>
      <w:ind w:firstLine="420"/>
    </w:pPr>
  </w:style>
  <w:style w:type="paragraph" w:customStyle="1" w:styleId="215">
    <w:name w:val="Table Paragraph"/>
    <w:basedOn w:val="1"/>
    <w:qFormat/>
    <w:uiPriority w:val="1"/>
    <w:rPr>
      <w:rFonts w:ascii="宋体" w:hAnsi="宋体" w:eastAsia="宋体" w:cs="宋体"/>
      <w:lang w:val="zh-CN" w:bidi="zh-CN"/>
    </w:rPr>
  </w:style>
  <w:style w:type="character" w:customStyle="1" w:styleId="216">
    <w:name w:val="hover"/>
    <w:basedOn w:val="39"/>
    <w:qFormat/>
    <w:uiPriority w:val="0"/>
    <w:rPr>
      <w:color w:val="5FB878"/>
    </w:rPr>
  </w:style>
  <w:style w:type="character" w:customStyle="1" w:styleId="217">
    <w:name w:val="hover1"/>
    <w:basedOn w:val="39"/>
    <w:qFormat/>
    <w:uiPriority w:val="0"/>
    <w:rPr>
      <w:color w:val="5FB878"/>
    </w:rPr>
  </w:style>
  <w:style w:type="character" w:customStyle="1" w:styleId="218">
    <w:name w:val="hover2"/>
    <w:basedOn w:val="39"/>
    <w:qFormat/>
    <w:uiPriority w:val="0"/>
    <w:rPr>
      <w:color w:val="FFFFFF"/>
    </w:rPr>
  </w:style>
  <w:style w:type="character" w:customStyle="1" w:styleId="219">
    <w:name w:val="16"/>
    <w:qFormat/>
    <w:uiPriority w:val="0"/>
    <w:rPr>
      <w:rFonts w:hint="default" w:ascii="Times New Roman" w:hAnsi="Times New Roman" w:cs="Times New Roman"/>
    </w:rPr>
  </w:style>
  <w:style w:type="character" w:customStyle="1" w:styleId="220">
    <w:name w:val="17"/>
    <w:basedOn w:val="39"/>
    <w:qFormat/>
    <w:uiPriority w:val="0"/>
    <w:rPr>
      <w:rFonts w:hint="eastAsia" w:ascii="仿宋" w:hAnsi="仿宋" w:eastAsia="仿宋"/>
      <w:color w:val="000000"/>
      <w:sz w:val="22"/>
      <w:szCs w:val="22"/>
    </w:rPr>
  </w:style>
  <w:style w:type="character" w:customStyle="1" w:styleId="221">
    <w:name w:val="纯文本 字符"/>
    <w:basedOn w:val="39"/>
    <w:link w:val="20"/>
    <w:qFormat/>
    <w:uiPriority w:val="0"/>
    <w:rPr>
      <w:rFonts w:ascii="宋体" w:hAnsi="Courier New" w:eastAsiaTheme="minorEastAsia" w:cstheme="minorBidi"/>
      <w:sz w:val="21"/>
    </w:rPr>
  </w:style>
  <w:style w:type="paragraph" w:customStyle="1" w:styleId="222">
    <w:name w:val="列出段落2"/>
    <w:basedOn w:val="1"/>
    <w:qFormat/>
    <w:uiPriority w:val="0"/>
    <w:pPr>
      <w:ind w:firstLine="420"/>
    </w:pPr>
    <w:rPr>
      <w:rFonts w:ascii="Calibri" w:hAnsi="Calibri" w:eastAsia="宋体" w:cs="Times New Roman"/>
      <w:szCs w:val="22"/>
    </w:rPr>
  </w:style>
  <w:style w:type="character" w:customStyle="1" w:styleId="223">
    <w:name w:val="15"/>
    <w:basedOn w:val="39"/>
    <w:qFormat/>
    <w:uiPriority w:val="0"/>
    <w:rPr>
      <w:rFonts w:hint="default" w:ascii="Times New Roman" w:hAnsi="Times New Roman" w:cs="Times New Roman"/>
    </w:rPr>
  </w:style>
  <w:style w:type="character" w:customStyle="1" w:styleId="224">
    <w:name w:val="NormalCharacter"/>
    <w:qFormat/>
    <w:uiPriority w:val="0"/>
  </w:style>
  <w:style w:type="character" w:customStyle="1" w:styleId="225">
    <w:name w:val="标题 1 字符"/>
    <w:basedOn w:val="39"/>
    <w:link w:val="2"/>
    <w:qFormat/>
    <w:uiPriority w:val="0"/>
    <w:rPr>
      <w:rFonts w:asciiTheme="minorHAnsi" w:hAnsiTheme="minorHAnsi" w:eastAsiaTheme="minorEastAsia" w:cstheme="minorBidi"/>
      <w:b/>
      <w:bCs/>
      <w:sz w:val="44"/>
      <w:szCs w:val="44"/>
    </w:rPr>
  </w:style>
  <w:style w:type="paragraph" w:customStyle="1" w:styleId="226">
    <w:name w:val="UserStyle_609"/>
    <w:qFormat/>
    <w:uiPriority w:val="0"/>
    <w:pPr>
      <w:widowControl w:val="0"/>
      <w:spacing w:before="100" w:after="100" w:line="360" w:lineRule="auto"/>
      <w:ind w:left="360" w:right="360"/>
      <w:jc w:val="left"/>
    </w:pPr>
    <w:rPr>
      <w:rFonts w:hint="default" w:ascii="Times New Roman" w:hAnsi="Times New Roman" w:eastAsia="宋体" w:cs="Times New Roman"/>
      <w:bCs/>
      <w:spacing w:val="2"/>
      <w:sz w:val="24"/>
      <w:szCs w:val="20"/>
      <w:lang w:val="en-US" w:eastAsia="zh-CN" w:bidi="ar-SA"/>
    </w:rPr>
  </w:style>
  <w:style w:type="paragraph" w:customStyle="1" w:styleId="227">
    <w:name w:val="PlainText"/>
    <w:qFormat/>
    <w:uiPriority w:val="0"/>
    <w:pPr>
      <w:widowControl w:val="0"/>
      <w:spacing w:line="360" w:lineRule="auto"/>
    </w:pPr>
    <w:rPr>
      <w:rFonts w:hint="default" w:ascii="宋体" w:hAnsi="Courier New" w:eastAsia="宋体" w:cs="Times New Roman"/>
      <w:bCs/>
      <w:spacing w:val="2"/>
      <w:sz w:val="44"/>
      <w:szCs w:val="21"/>
      <w:lang w:val="en-US" w:eastAsia="zh-CN" w:bidi="ar-SA"/>
    </w:rPr>
  </w:style>
  <w:style w:type="paragraph" w:customStyle="1" w:styleId="228">
    <w:name w:val="AnnotationText"/>
    <w:qFormat/>
    <w:uiPriority w:val="0"/>
    <w:pPr>
      <w:widowControl w:val="0"/>
      <w:spacing w:line="360" w:lineRule="auto"/>
      <w:jc w:val="left"/>
    </w:pPr>
    <w:rPr>
      <w:rFonts w:hint="default" w:ascii="宋体" w:hAnsi="宋体" w:eastAsia="宋体" w:cs="Times New Roman"/>
      <w:bCs/>
      <w:spacing w:val="2"/>
      <w:sz w:val="44"/>
      <w:szCs w:val="44"/>
      <w:lang w:val="en-US" w:eastAsia="zh-CN" w:bidi="ar-SA"/>
    </w:rPr>
  </w:style>
  <w:style w:type="paragraph" w:customStyle="1" w:styleId="229">
    <w:name w:val="Blockquote"/>
    <w:qFormat/>
    <w:uiPriority w:val="0"/>
    <w:pPr>
      <w:widowControl w:val="0"/>
      <w:spacing w:before="100" w:after="100" w:line="360" w:lineRule="auto"/>
      <w:ind w:left="360" w:right="360"/>
    </w:pPr>
    <w:rPr>
      <w:rFonts w:hint="default" w:ascii="宋体" w:hAnsi="宋体" w:eastAsia="宋体" w:cs="Times New Roman"/>
      <w:bCs/>
      <w:spacing w:val="2"/>
      <w:sz w:val="24"/>
      <w:szCs w:val="20"/>
      <w:lang w:val="en-US" w:eastAsia="zh-CN" w:bidi="ar-SA"/>
    </w:rPr>
  </w:style>
  <w:style w:type="paragraph" w:customStyle="1" w:styleId="230">
    <w:name w:val="批注文字1"/>
    <w:basedOn w:val="1"/>
    <w:qFormat/>
    <w:uiPriority w:val="0"/>
    <w:pPr>
      <w:jc w:val="left"/>
    </w:pPr>
    <w:rPr>
      <w:sz w:val="21"/>
    </w:rPr>
  </w:style>
  <w:style w:type="paragraph" w:customStyle="1" w:styleId="231">
    <w:name w:val="列表接续 21"/>
    <w:basedOn w:val="1"/>
    <w:next w:val="1"/>
    <w:qFormat/>
    <w:uiPriority w:val="0"/>
    <w:pPr>
      <w:widowControl/>
      <w:spacing w:before="100" w:beforeAutospacing="1" w:after="100" w:afterAutospacing="1"/>
      <w:ind w:left="840" w:firstLine="480"/>
      <w:contextualSpacing/>
      <w:jc w:val="left"/>
    </w:pPr>
    <w:rPr>
      <w:rFonts w:ascii="宋体" w:hAnsi="宋体"/>
    </w:rPr>
  </w:style>
  <w:style w:type="paragraph" w:customStyle="1" w:styleId="232">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33">
    <w:name w:val="first-child"/>
    <w:basedOn w:val="39"/>
    <w:qFormat/>
    <w:uiPriority w:val="0"/>
  </w:style>
  <w:style w:type="character" w:customStyle="1" w:styleId="234">
    <w:name w:val="layui-this"/>
    <w:basedOn w:val="39"/>
    <w:qFormat/>
    <w:uiPriority w:val="0"/>
    <w:rPr>
      <w:shd w:val="clear" w:color="auto" w:fill="FFFFFF"/>
    </w:rPr>
  </w:style>
  <w:style w:type="character" w:customStyle="1" w:styleId="235">
    <w:name w:val="hover3"/>
    <w:basedOn w:val="39"/>
    <w:qFormat/>
    <w:uiPriority w:val="0"/>
    <w:rPr>
      <w:color w:val="5FB878"/>
    </w:rPr>
  </w:style>
  <w:style w:type="character" w:customStyle="1" w:styleId="236">
    <w:name w:val="hover4"/>
    <w:basedOn w:val="39"/>
    <w:qFormat/>
    <w:uiPriority w:val="0"/>
    <w:rPr>
      <w:color w:val="FFFFFF"/>
    </w:rPr>
  </w:style>
  <w:style w:type="character" w:customStyle="1" w:styleId="237">
    <w:name w:val="layui-this2"/>
    <w:basedOn w:val="39"/>
    <w:qFormat/>
    <w:uiPriority w:val="0"/>
    <w:rPr>
      <w:shd w:val="clear" w:color="auto" w:fill="FFFFFF"/>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32170D1-8263-4508-80F4-D8CE99964652}">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106</Pages>
  <Words>24458</Words>
  <Characters>25633</Characters>
  <TotalTime>128</TotalTime>
  <ScaleCrop>false</ScaleCrop>
  <LinksUpToDate>false</LinksUpToDate>
  <CharactersWithSpaces>27185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2024-03-19T08:44:00Z</dcterms:created>
  <dc:creator>Administrator</dc:creator>
  <cp:lastModifiedBy>qzuser</cp:lastModifiedBy>
  <dcterms:modified xsi:type="dcterms:W3CDTF">2026-09-03T02:36:47Z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C2BAD2CAE27C4F45947BE0F01FE74FA1_13</vt:lpwstr>
  </property>
  <property fmtid="{D5CDD505-2E9C-101B-9397-08002B2CF9AE}" pid="4" name="KSOTemplateDocerSaveRecord">
    <vt:lpwstr>eyJoZGlkIjoiZDJiNTBmMDllNTBkYjVjZjg4ZDEyZmJmY2M0MjNmOWIiLCJ1c2VySWQiOiIzMTk3MzA5ODIifQ==</vt:lpwstr>
  </property>
</Properties>
</file>