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left"/>
        <w:keepNext/>
        <w:pageBreakBefore w:val="0"/>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93"/>
        <w:ind w:firstLine="0"/>
        <w:jc w:val="center"/>
        <w:keepNext/>
        <w:pageBreakBefore w:val="0"/>
        <w:rPr>
          <w:rFonts w:hint="eastAsia" w:eastAsia="黑体"/>
          <w:b/>
          <w:bCs/>
          <w:color w:val="000000"/>
          <w:sz w:val="84"/>
          <w:highlight w:val="none"/>
        </w:rPr>
      </w:pPr>
      <w:r>
        <w:rPr>
          <w:rFonts w:hint="eastAsia" w:eastAsia="黑体"/>
          <w:b/>
          <w:bCs/>
          <w:color w:val="000000"/>
          <w:sz w:val="84"/>
          <w:highlight w:val="none"/>
        </w:rPr>
        <w:t xml:space="preserve">竞争性磋商文件</w:t>
      </w:r>
      <w:r>
        <w:rPr>
          <w:rFonts w:hint="eastAsia" w:eastAsia="黑体"/>
          <w:b/>
          <w:bCs/>
          <w:color w:val="000000"/>
          <w:sz w:val="84"/>
          <w:highlight w:val="none"/>
        </w:rPr>
      </w:r>
      <w:r/>
    </w:p>
    <w:p>
      <w:pPr>
        <w:pStyle w:val="969"/>
        <w:keepNext/>
        <w:pageBreakBefore w:val="0"/>
        <w:rPr>
          <w:rFonts w:hint="eastAsia" w:ascii="Arial" w:hAnsi="Arial"/>
          <w:b/>
          <w:bCs/>
          <w:color w:val="000000"/>
          <w:sz w:val="32"/>
          <w:szCs w:val="24"/>
          <w:highlight w:val="none"/>
          <w:u w:val="single"/>
        </w:rPr>
      </w:pPr>
      <w:r>
        <w:rPr>
          <w:rFonts w:hint="eastAsia" w:ascii="Arial" w:hAnsi="Arial"/>
          <w:b/>
          <w:bCs/>
          <w:color w:val="000000"/>
          <w:sz w:val="32"/>
          <w:szCs w:val="24"/>
          <w:highlight w:val="none"/>
        </w:rPr>
        <w:t xml:space="preserve">项目名称：</w:t>
      </w:r>
      <w:r>
        <w:rPr>
          <w:rFonts w:hint="eastAsia" w:ascii="Times New Roman" w:hAnsi="Times New Roman"/>
          <w:b/>
          <w:color w:val="000000"/>
          <w:sz w:val="32"/>
          <w:szCs w:val="32"/>
          <w:highlight w:val="none"/>
          <w:lang w:eastAsia="zh-CN"/>
        </w:rPr>
        <w:t xml:space="preserve">2026年度六合区全行政区域地下管线动态维护项目</w:t>
      </w:r>
      <w:r>
        <w:rPr>
          <w:rFonts w:hint="eastAsia" w:ascii="Times New Roman" w:hAnsi="Times New Roman"/>
          <w:b/>
          <w:color w:val="000000"/>
          <w:sz w:val="32"/>
          <w:szCs w:val="32"/>
          <w:highlight w:val="none"/>
        </w:rPr>
        <w:t xml:space="preserve"> </w:t>
      </w:r>
      <w:r>
        <w:rPr>
          <w:rFonts w:hint="eastAsia" w:ascii="Arial" w:hAnsi="Arial"/>
          <w:b/>
          <w:bCs/>
          <w:color w:val="000000"/>
          <w:sz w:val="32"/>
          <w:szCs w:val="24"/>
          <w:highlight w:val="none"/>
          <w:u w:val="single"/>
        </w:rPr>
      </w:r>
      <w:r/>
    </w:p>
    <w:p>
      <w:pPr>
        <w:pStyle w:val="969"/>
        <w:jc w:val="left"/>
        <w:keepNext/>
        <w:pageBreakBefore w:val="0"/>
        <w:spacing w:before="120" w:after="120" w:line="360" w:lineRule="auto"/>
        <w:rPr>
          <w:rFonts w:hint="eastAsia" w:eastAsia="宋体"/>
          <w:color w:val="000000"/>
          <w:highlight w:val="none"/>
          <w:lang w:eastAsia="zh-CN"/>
        </w:rPr>
      </w:pPr>
      <w:r>
        <w:rPr>
          <w:rFonts w:hint="eastAsia" w:ascii="Arial" w:hAnsi="Arial"/>
          <w:b/>
          <w:bCs/>
          <w:color w:val="000000"/>
          <w:sz w:val="32"/>
          <w:szCs w:val="24"/>
          <w:highlight w:val="none"/>
        </w:rPr>
        <w:t xml:space="preserve">项目编号：</w:t>
      </w:r>
      <w:r>
        <w:rPr>
          <w:rFonts w:hint="eastAsia" w:ascii="Arial" w:hAnsi="Arial"/>
          <w:b w:val="0"/>
          <w:bCs w:val="0"/>
          <w:color w:val="000000"/>
          <w:sz w:val="32"/>
          <w:szCs w:val="24"/>
          <w:highlight w:val="none"/>
          <w:lang w:eastAsia="zh-CN"/>
        </w:rPr>
        <w:t xml:space="preserve">JSZC-320116-NJMD-C2026-0009</w:t>
      </w:r>
      <w:r>
        <w:rPr>
          <w:rFonts w:hint="eastAsia" w:eastAsia="宋体"/>
          <w:color w:val="000000"/>
          <w:highlight w:val="none"/>
          <w:lang w:eastAsia="zh-CN"/>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3"/>
        <w:ind w:firstLine="0"/>
        <w:jc w:val="center"/>
        <w:keepNext/>
        <w:pageBreakBefore w:val="0"/>
        <w:rPr>
          <w:rFonts w:hint="eastAsia"/>
          <w:b/>
          <w:bCs/>
          <w:color w:val="000000"/>
          <w:sz w:val="32"/>
          <w:highlight w:val="none"/>
        </w:rPr>
      </w:pPr>
      <w:r>
        <w:rPr>
          <w:rFonts w:hint="eastAsia"/>
          <w:b/>
          <w:bCs/>
          <w:color w:val="000000"/>
          <w:sz w:val="32"/>
          <w:highlight w:val="none"/>
        </w:rPr>
        <w:t xml:space="preserve">采购代理机构：南京名东工程项目管理有限公司</w:t>
      </w:r>
      <w:r>
        <w:rPr>
          <w:rFonts w:hint="eastAsia"/>
          <w:b/>
          <w:bCs/>
          <w:color w:val="000000"/>
          <w:sz w:val="32"/>
          <w:highlight w:val="none"/>
        </w:rPr>
      </w:r>
      <w:r/>
    </w:p>
    <w:p>
      <w:pPr>
        <w:pStyle w:val="1093"/>
        <w:ind w:firstLine="0"/>
        <w:jc w:val="center"/>
        <w:keepNext/>
        <w:pageBreakBefore w:val="0"/>
        <w:rPr>
          <w:rFonts w:hint="eastAsia"/>
          <w:b/>
          <w:bCs/>
          <w:color w:val="000000"/>
          <w:sz w:val="32"/>
          <w:highlight w:val="none"/>
        </w:rPr>
      </w:pPr>
      <w:r>
        <w:rPr>
          <w:rFonts w:hint="eastAsia"/>
          <w:b/>
          <w:bCs/>
          <w:color w:val="000000"/>
          <w:sz w:val="32"/>
          <w:highlight w:val="none"/>
        </w:rPr>
      </w:r>
      <w:r/>
    </w:p>
    <w:p>
      <w:pPr>
        <w:pStyle w:val="1093"/>
        <w:ind w:firstLine="0"/>
        <w:jc w:val="center"/>
        <w:keepNext/>
        <w:pageBreakBefore w:val="0"/>
        <w:rPr>
          <w:rFonts w:hint="eastAsia" w:eastAsia="宋体"/>
          <w:b/>
          <w:bCs/>
          <w:color w:val="000000"/>
          <w:sz w:val="32"/>
          <w:highlight w:val="none"/>
          <w:lang w:eastAsia="zh-CN"/>
        </w:rPr>
      </w:pPr>
      <w:r>
        <w:rPr>
          <w:rFonts w:hint="eastAsia"/>
          <w:b/>
          <w:bCs/>
          <w:color w:val="000000"/>
          <w:sz w:val="32"/>
          <w:highlight w:val="none"/>
        </w:rPr>
        <w:t xml:space="preserve">采购人：</w:t>
      </w:r>
      <w:r>
        <w:rPr>
          <w:rFonts w:hint="eastAsia"/>
          <w:b/>
          <w:bCs/>
          <w:color w:val="000000"/>
          <w:sz w:val="32"/>
          <w:highlight w:val="none"/>
          <w:lang w:eastAsia="zh-CN"/>
        </w:rPr>
        <w:t xml:space="preserve">南京市规划和自然资源局六合分局</w:t>
      </w:r>
      <w:r>
        <w:rPr>
          <w:rFonts w:hint="eastAsia" w:eastAsia="宋体"/>
          <w:b/>
          <w:bCs/>
          <w:color w:val="000000"/>
          <w:sz w:val="32"/>
          <w:highlight w:val="none"/>
          <w:lang w:eastAsia="zh-CN"/>
        </w:rPr>
      </w:r>
      <w:r/>
    </w:p>
    <w:p>
      <w:pPr>
        <w:pStyle w:val="969"/>
        <w:jc w:val="center"/>
        <w:keepNext/>
        <w:pageBreakBefore w:val="0"/>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lang w:eastAsia="zh-CN"/>
        </w:rPr>
        <w:t xml:space="preserve">2026</w:t>
      </w:r>
      <w:r>
        <w:rPr>
          <w:rFonts w:hint="eastAsia" w:ascii="Times New Roman" w:hAnsi="Times New Roman"/>
          <w:b/>
          <w:color w:val="000000"/>
          <w:sz w:val="32"/>
          <w:szCs w:val="32"/>
          <w:highlight w:val="none"/>
        </w:rPr>
        <w:t xml:space="preserve">年</w:t>
      </w:r>
      <w:r>
        <w:rPr>
          <w:rFonts w:hint="eastAsia" w:ascii="Times New Roman" w:hAnsi="Times New Roman"/>
          <w:b/>
          <w:color w:val="000000"/>
          <w:sz w:val="32"/>
          <w:szCs w:val="32"/>
          <w:highlight w:val="none"/>
          <w:lang w:val="en-US" w:eastAsia="zh-CN"/>
        </w:rPr>
        <w:t xml:space="preserve">9</w:t>
      </w:r>
      <w:r>
        <w:rPr>
          <w:rFonts w:hint="eastAsia" w:ascii="Times New Roman" w:hAnsi="Times New Roman"/>
          <w:b/>
          <w:color w:val="000000"/>
          <w:sz w:val="32"/>
          <w:szCs w:val="32"/>
          <w:highlight w:val="none"/>
        </w:rPr>
        <w:t xml:space="preserve">月</w:t>
      </w:r>
      <w:r>
        <w:rPr>
          <w:rFonts w:hint="eastAsia" w:ascii="Times New Roman" w:hAnsi="Times New Roman"/>
          <w:b/>
          <w:color w:val="000000"/>
          <w:sz w:val="32"/>
          <w:szCs w:val="32"/>
          <w:highlight w:val="none"/>
        </w:rPr>
      </w:r>
      <w:r/>
    </w:p>
    <w:p>
      <w:pPr>
        <w:pStyle w:val="969"/>
        <w:jc w:val="left"/>
        <w:keepNext/>
        <w:pageBreakBefore w:val="0"/>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69"/>
        <w:jc w:val="center"/>
        <w:keepNext/>
        <w:pageBreakBefore w:val="0"/>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69"/>
        <w:keepNext/>
        <w:pageBreakBefore w:val="0"/>
        <w:spacing w:line="480" w:lineRule="exact"/>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r>
      <w:r/>
    </w:p>
    <w:p>
      <w:pPr>
        <w:pStyle w:val="969"/>
        <w:jc w:val="center"/>
        <w:keepNext/>
        <w:pageBreakBefore w:val="0"/>
        <w:spacing w:line="480" w:lineRule="auto"/>
        <w:rPr>
          <w:rFonts w:hint="eastAsia" w:ascii="黑体" w:hAnsi="Arial" w:eastAsia="黑体"/>
          <w:b/>
          <w:color w:val="000000"/>
          <w:sz w:val="40"/>
          <w:szCs w:val="20"/>
          <w:highlight w:val="none"/>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rPr>
          <w:rFonts w:hint="eastAsia" w:ascii="黑体" w:hAnsi="Arial" w:eastAsia="黑体"/>
          <w:b/>
          <w:color w:val="000000"/>
          <w:sz w:val="40"/>
          <w:szCs w:val="20"/>
          <w:highlight w:val="none"/>
        </w:rPr>
      </w:r>
      <w:r/>
    </w:p>
    <w:p>
      <w:pPr>
        <w:pStyle w:val="969"/>
        <w:jc w:val="center"/>
        <w:keepNext/>
        <w:pageBreakBefore w:val="0"/>
        <w:spacing w:line="480" w:lineRule="auto"/>
        <w:rPr>
          <w:rFonts w:hint="eastAsia" w:ascii="黑体" w:hAnsi="Arial" w:eastAsia="黑体"/>
          <w:b/>
          <w:color w:val="000000"/>
          <w:sz w:val="40"/>
          <w:szCs w:val="20"/>
          <w:highlight w:val="none"/>
        </w:rPr>
        <w:outlineLvl w:val="0"/>
      </w:pPr>
      <w:r>
        <w:rPr>
          <w:rFonts w:hint="eastAsia" w:ascii="黑体" w:hAnsi="Arial" w:eastAsia="黑体"/>
          <w:b/>
          <w:color w:val="000000"/>
          <w:sz w:val="40"/>
          <w:szCs w:val="20"/>
          <w:highlight w:val="none"/>
        </w:rPr>
        <w:t xml:space="preserve">总  目  录</w:t>
      </w:r>
      <w:r>
        <w:rPr>
          <w:rFonts w:hint="eastAsia" w:ascii="黑体" w:hAnsi="Arial" w:eastAsia="黑体"/>
          <w:b/>
          <w:color w:val="000000"/>
          <w:sz w:val="40"/>
          <w:szCs w:val="20"/>
          <w:highlight w:val="none"/>
        </w:rPr>
      </w:r>
      <w:r/>
    </w:p>
    <w:p>
      <w:pPr>
        <w:pStyle w:val="969"/>
        <w:keepNext/>
        <w:pageBreakBefore w:val="0"/>
        <w:spacing w:line="480" w:lineRule="auto"/>
        <w:rPr>
          <w:rFonts w:hint="eastAsia" w:ascii="仿宋_GB2312" w:hAnsi="Arial" w:eastAsia="仿宋_GB2312"/>
          <w:b/>
          <w:color w:val="000000"/>
          <w:sz w:val="24"/>
          <w:szCs w:val="20"/>
          <w:highlight w:val="none"/>
        </w:rPr>
      </w:pPr>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ascii="仿宋_GB2312" w:hAnsi="Arial" w:eastAsia="仿宋_GB2312"/>
          <w:b/>
          <w:color w:val="000000"/>
          <w:sz w:val="24"/>
          <w:szCs w:val="20"/>
          <w:highlight w:val="none"/>
        </w:rPr>
      </w:r>
      <w:r/>
    </w:p>
    <w:p>
      <w:pPr>
        <w:pStyle w:val="969"/>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磋商邀请</w:t>
      </w:r>
      <w:r>
        <w:rPr>
          <w:rFonts w:hint="eastAsia" w:ascii="黑体" w:hAnsi="宋体" w:eastAsia="黑体"/>
          <w:color w:val="000000"/>
          <w:sz w:val="32"/>
          <w:szCs w:val="20"/>
          <w:highlight w:val="none"/>
        </w:rPr>
      </w:r>
      <w:r/>
    </w:p>
    <w:p>
      <w:pPr>
        <w:pStyle w:val="969"/>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供应商须知</w:t>
      </w:r>
      <w:r>
        <w:rPr>
          <w:rFonts w:hint="eastAsia" w:ascii="黑体" w:hAnsi="宋体" w:eastAsia="黑体"/>
          <w:color w:val="000000"/>
          <w:sz w:val="32"/>
          <w:szCs w:val="20"/>
          <w:highlight w:val="none"/>
        </w:rPr>
      </w:r>
      <w:r/>
    </w:p>
    <w:p>
      <w:pPr>
        <w:pStyle w:val="969"/>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合同文本</w:t>
      </w:r>
      <w:r>
        <w:rPr>
          <w:rFonts w:hint="eastAsia" w:ascii="黑体" w:hAnsi="宋体" w:eastAsia="黑体"/>
          <w:color w:val="000000"/>
          <w:sz w:val="32"/>
          <w:szCs w:val="20"/>
          <w:highlight w:val="none"/>
        </w:rPr>
      </w:r>
      <w:r/>
    </w:p>
    <w:p>
      <w:pPr>
        <w:pStyle w:val="969"/>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采购需求</w:t>
      </w:r>
      <w:r>
        <w:rPr>
          <w:rFonts w:hint="eastAsia" w:ascii="黑体" w:hAnsi="宋体" w:eastAsia="黑体"/>
          <w:color w:val="000000"/>
          <w:sz w:val="32"/>
          <w:szCs w:val="20"/>
          <w:highlight w:val="none"/>
        </w:rPr>
      </w:r>
      <w:r/>
    </w:p>
    <w:p>
      <w:pPr>
        <w:pStyle w:val="969"/>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评审方法与评审标准</w:t>
      </w:r>
      <w:r>
        <w:rPr>
          <w:rFonts w:hint="eastAsia" w:ascii="黑体" w:hAnsi="宋体" w:eastAsia="黑体"/>
          <w:color w:val="000000"/>
          <w:sz w:val="32"/>
          <w:szCs w:val="20"/>
          <w:highlight w:val="none"/>
        </w:rPr>
      </w:r>
      <w:r/>
    </w:p>
    <w:p>
      <w:pPr>
        <w:pStyle w:val="969"/>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响应文件格式</w:t>
      </w:r>
      <w:r>
        <w:rPr>
          <w:rFonts w:hint="eastAsia" w:ascii="黑体" w:hAnsi="宋体" w:eastAsia="黑体"/>
          <w:color w:val="000000"/>
          <w:sz w:val="32"/>
          <w:szCs w:val="20"/>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第一章  磋商邀请</w:t>
      </w:r>
      <w:r>
        <w:rPr>
          <w:rFonts w:hint="eastAsia" w:ascii="方正小标宋简体" w:hAnsi="方正小标宋简体" w:eastAsia="方正小标宋简体" w:cs="方正小标宋简体"/>
          <w:color w:val="000000"/>
          <w:sz w:val="36"/>
          <w:szCs w:val="36"/>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2026年度六合区全行政区域地下管线动态维护项目</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JSZC-320116-NJMD-C2026-0009</w:t>
      </w:r>
      <w:r>
        <w:rPr>
          <w:rFonts w:hint="eastAsia" w:ascii="宋体" w:hAnsi="宋体"/>
          <w:color w:val="000000"/>
          <w:sz w:val="24"/>
          <w:szCs w:val="24"/>
          <w:highlight w:val="none"/>
        </w:rPr>
        <w:t xml:space="preserve"> 采购项目的潜在供应商应在“江苏政府采购网、南京公共采购信息网”获取采购文件，并于</w:t>
      </w:r>
      <w:r>
        <w:rPr>
          <w:rFonts w:hint="eastAsia" w:ascii="宋体" w:hAnsi="宋体"/>
          <w:color w:val="000000"/>
          <w:sz w:val="24"/>
          <w:szCs w:val="24"/>
          <w:highlight w:val="none"/>
          <w:lang w:eastAsia="zh-CN"/>
        </w:rPr>
        <w:t xml:space="preserve">2026</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09</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30</w:t>
      </w:r>
      <w:r>
        <w:rPr>
          <w:rFonts w:hint="eastAsia" w:ascii="宋体" w:hAnsi="宋体"/>
          <w:color w:val="000000"/>
          <w:sz w:val="24"/>
          <w:szCs w:val="24"/>
          <w:highlight w:val="none"/>
        </w:rPr>
        <w:t xml:space="preserve"> 09:00（北京时间）前提交响应文件。</w:t>
      </w:r>
      <w:r>
        <w:rPr>
          <w:rFonts w:hint="eastAsia" w:ascii="宋体" w:hAnsi="宋体"/>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69"/>
        <w:ind w:firstLine="480"/>
        <w:keepNext/>
        <w:pageBreakBefore w:val="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JSZC-320116-NJMD-C2026-0009</w:t>
      </w:r>
      <w:r>
        <w:rPr>
          <w:rFonts w:hint="eastAsia" w:ascii="宋体" w:hAnsi="宋体" w:eastAsia="宋体"/>
          <w:color w:val="000000"/>
          <w:sz w:val="24"/>
          <w:szCs w:val="24"/>
          <w:highlight w:val="none"/>
          <w:lang w:eastAsia="zh-CN"/>
        </w:rPr>
      </w:r>
      <w:r/>
    </w:p>
    <w:p>
      <w:pPr>
        <w:pStyle w:val="969"/>
        <w:ind w:firstLine="480"/>
        <w:keepNext/>
        <w:pageBreakBefore w:val="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2026年度六合区全行政区域地下管线动态维护项目</w:t>
      </w:r>
      <w:r>
        <w:rPr>
          <w:rFonts w:hint="eastAsia" w:ascii="宋体" w:hAnsi="宋体" w:eastAsia="宋体"/>
          <w:color w:val="000000"/>
          <w:sz w:val="24"/>
          <w:szCs w:val="24"/>
          <w:highlight w:val="none"/>
          <w:lang w:eastAsia="zh-CN"/>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3.预算金额：180万元（采购包1：</w:t>
      </w:r>
      <w:r>
        <w:rPr>
          <w:rFonts w:hint="eastAsia" w:ascii="宋体" w:hAnsi="宋体"/>
          <w:color w:val="000000"/>
          <w:sz w:val="24"/>
          <w:szCs w:val="24"/>
          <w:highlight w:val="none"/>
          <w:lang w:val="en-US" w:eastAsia="zh-CN"/>
        </w:rPr>
        <w:t xml:space="preserve">160</w:t>
      </w:r>
      <w:r>
        <w:rPr>
          <w:rFonts w:hint="eastAsia" w:ascii="宋体" w:hAnsi="宋体"/>
          <w:color w:val="000000"/>
          <w:sz w:val="24"/>
          <w:szCs w:val="24"/>
          <w:highlight w:val="none"/>
        </w:rPr>
        <w:t xml:space="preserve">.000000万元；采购包2：</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.000000万元）</w:t>
      </w:r>
      <w:r>
        <w:rPr>
          <w:rFonts w:hint="eastAsia" w:ascii="宋体" w:hAnsi="宋体"/>
          <w:color w:val="000000"/>
          <w:sz w:val="24"/>
          <w:szCs w:val="24"/>
          <w:highlight w:val="none"/>
        </w:rPr>
      </w:r>
      <w:r/>
    </w:p>
    <w:p>
      <w:pPr>
        <w:pStyle w:val="969"/>
        <w:ind w:firstLine="480"/>
        <w:keepNext/>
        <w:pageBreakBefore w:val="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4.最高限价：</w:t>
      </w:r>
      <w:r>
        <w:rPr>
          <w:rFonts w:ascii="SimSun" w:hAnsi="SimSun" w:eastAsia="SimSun" w:cs="SimSun"/>
          <w:color w:val="000000"/>
          <w:sz w:val="24"/>
        </w:rPr>
        <w:t xml:space="preserve">2026年度六合区全行政区域地下管线动态维护探测技术服务综合单价：</w:t>
      </w:r>
      <w:r>
        <w:rPr>
          <w:rFonts w:ascii="SimSun" w:hAnsi="SimSun" w:eastAsia="SimSun" w:cs="SimSun"/>
          <w:color w:val="000000"/>
          <w:sz w:val="24"/>
          <w:u w:val="single"/>
        </w:rPr>
        <w:t xml:space="preserve">2600</w:t>
      </w:r>
      <w:r>
        <w:rPr>
          <w:rFonts w:ascii="SimSun" w:hAnsi="SimSun" w:eastAsia="SimSun" w:cs="SimSun"/>
          <w:color w:val="000000"/>
          <w:sz w:val="24"/>
        </w:rPr>
        <w:t xml:space="preserve">元/公里；2026年度六合区全行政区域地下管线动态维护监理技术服务综合单价：</w:t>
      </w:r>
      <w:r>
        <w:rPr>
          <w:rFonts w:ascii="SimSun" w:hAnsi="SimSun" w:eastAsia="SimSun" w:cs="SimSun"/>
          <w:color w:val="000000"/>
          <w:sz w:val="24"/>
          <w:u w:val="single"/>
        </w:rPr>
        <w:t xml:space="preserve">260</w:t>
      </w:r>
      <w:r>
        <w:rPr>
          <w:rFonts w:ascii="SimSun" w:hAnsi="SimSun" w:eastAsia="SimSun" w:cs="SimSun"/>
          <w:color w:val="000000"/>
          <w:sz w:val="24"/>
        </w:rPr>
        <w:t xml:space="preserve">元/公里（采购包1：160万元；采购包2：20万元）</w:t>
      </w:r>
      <w:r>
        <w:rPr>
          <w:rFonts w:hint="eastAsia" w:ascii="宋体" w:hAnsi="宋体"/>
          <w:color w:val="000000"/>
          <w:sz w:val="24"/>
          <w:szCs w:val="24"/>
          <w:highlight w:val="none"/>
          <w:lang w:val="en-US" w:eastAsia="zh-CN"/>
        </w:rPr>
      </w:r>
      <w:r>
        <w:rPr>
          <w:rFonts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.采购需求（简介）：六合区全行政区域地下管线动态维护管线核实、修补测，数据质量提升工作管线探测及监理技术服务等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（详细内容见本磋商文件第四章）</w:t>
      </w:r>
      <w:r>
        <w:rPr>
          <w:rFonts w:hint="eastAsia" w:ascii="宋体" w:hAnsi="宋体"/>
          <w:color w:val="000000"/>
          <w:sz w:val="24"/>
          <w:szCs w:val="24"/>
          <w:highlight w:val="none"/>
        </w:rPr>
      </w:r>
      <w:r/>
    </w:p>
    <w:p>
      <w:pPr>
        <w:pStyle w:val="969"/>
        <w:ind w:firstLine="482"/>
        <w:keepNext/>
        <w:pageBreakBefore w:val="0"/>
        <w:spacing w:line="264"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本项目共有</w:t>
      </w:r>
      <w:r>
        <w:rPr>
          <w:rFonts w:hint="eastAsia" w:ascii="宋体" w:hAnsi="宋体"/>
          <w:b/>
          <w:bCs/>
          <w:color w:val="000000"/>
          <w:sz w:val="24"/>
          <w:szCs w:val="24"/>
          <w:highlight w:val="none"/>
          <w:lang w:val="en-US" w:eastAsia="zh-CN"/>
        </w:rPr>
        <w:t xml:space="preserve">2个分包：包一：</w:t>
      </w:r>
      <w:r>
        <w:rPr>
          <w:rFonts w:hint="eastAsia" w:ascii="宋体" w:hAnsi="宋体" w:eastAsia="宋体" w:cs="Times New Roman"/>
          <w:color w:val="000000"/>
          <w:sz w:val="24"/>
          <w:szCs w:val="24"/>
          <w:highlight w:val="none"/>
          <w:lang w:val="en-US" w:eastAsia="zh-CN"/>
        </w:rPr>
        <w:t xml:space="preserve">2026年度六合区全行政区域地下管线动态维护探</w:t>
      </w:r>
      <w:r>
        <w:rPr>
          <w:rFonts w:hint="eastAsia" w:ascii="宋体" w:hAnsi="宋体"/>
          <w:color w:val="000000"/>
          <w:sz w:val="24"/>
          <w:szCs w:val="24"/>
          <w:highlight w:val="none"/>
          <w:lang w:val="en-US" w:eastAsia="zh-CN"/>
        </w:rPr>
        <w:t xml:space="preserve">测技术服务</w:t>
      </w:r>
      <w:r>
        <w:rPr>
          <w:rFonts w:hint="eastAsia" w:ascii="宋体" w:hAnsi="宋体"/>
          <w:b/>
          <w:bCs/>
          <w:color w:val="000000"/>
          <w:sz w:val="24"/>
          <w:szCs w:val="24"/>
          <w:highlight w:val="none"/>
          <w:lang w:val="en-US" w:eastAsia="zh-CN"/>
        </w:rPr>
        <w:t xml:space="preserve">；包二：</w:t>
      </w:r>
      <w:r>
        <w:rPr>
          <w:rFonts w:hint="eastAsia" w:ascii="宋体" w:hAnsi="宋体" w:eastAsia="宋体" w:cs="Times New Roman"/>
          <w:color w:val="000000"/>
          <w:sz w:val="24"/>
          <w:szCs w:val="24"/>
          <w:highlight w:val="none"/>
          <w:lang w:val="en-US" w:eastAsia="zh-CN"/>
        </w:rPr>
        <w:t xml:space="preserve">2026年度六合区全行政区域地下管线动态维护监理技术服务</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.合同履行期限：一年</w:t>
      </w:r>
      <w:r>
        <w:rPr>
          <w:rFonts w:hint="eastAsia" w:ascii="宋体" w:hAnsi="宋体"/>
          <w:color w:val="000000"/>
          <w:sz w:val="24"/>
          <w:szCs w:val="24"/>
          <w:highlight w:val="none"/>
          <w:lang w:eastAsia="zh-CN"/>
        </w:rPr>
        <w:t xml:space="preserve">，以合同签订为准。</w:t>
      </w:r>
      <w:r>
        <w:rPr>
          <w:rFonts w:hint="eastAsia" w:ascii="宋体" w:hAnsi="宋体" w:eastAsia="宋体" w:cs="宋体"/>
          <w:color w:val="000000"/>
          <w:sz w:val="24"/>
          <w:szCs w:val="24"/>
          <w:highlight w:val="none"/>
          <w:lang w:eastAsia="zh-CN"/>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eastAsia="zh-CN"/>
        </w:rPr>
        <w:t xml:space="preserve">分包</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接受联合体参加磋商</w:t>
      </w:r>
      <w:r>
        <w:rPr>
          <w:rFonts w:hint="eastAsia" w:ascii="宋体" w:hAnsi="宋体" w:cs="宋体"/>
          <w:color w:val="000000"/>
          <w:sz w:val="24"/>
          <w:szCs w:val="24"/>
          <w:highlight w:val="none"/>
          <w:lang w:eastAsia="zh-CN"/>
        </w:rPr>
        <w:t xml:space="preserve">；分包</w:t>
      </w:r>
      <w:r>
        <w:rPr>
          <w:rFonts w:hint="eastAsia" w:ascii="宋体" w:hAnsi="宋体" w:cs="宋体"/>
          <w:color w:val="000000"/>
          <w:sz w:val="24"/>
          <w:szCs w:val="24"/>
          <w:highlight w:val="none"/>
          <w:lang w:val="en-US" w:eastAsia="zh-CN"/>
        </w:rPr>
        <w:t xml:space="preserve">2不接受联合体</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hint="eastAsia" w:ascii="宋体" w:hAnsi="宋体"/>
          <w:color w:val="000000"/>
          <w:sz w:val="24"/>
          <w:szCs w:val="24"/>
          <w:highlight w:val="none"/>
          <w:lang w:val="zh-CN"/>
        </w:rPr>
      </w:r>
      <w:r/>
    </w:p>
    <w:p>
      <w:pPr>
        <w:pStyle w:val="969"/>
        <w:ind w:firstLine="480"/>
        <w:keepNext/>
        <w:pageBreakBefore w:val="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pStyle w:val="969"/>
        <w:ind w:firstLine="480"/>
        <w:keepNext/>
        <w:pageBreakBefore w:val="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zh-CN"/>
        </w:rPr>
        <w:t xml:space="preserve">2.落实政府采购政策需满足的资格要求：本项目专门面向中小企业采购</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ascii="宋体" w:hAnsi="宋体" w:eastAsia="宋体" w:cs="宋体"/>
          <w:color w:val="000000"/>
          <w:sz w:val="24"/>
          <w:szCs w:val="24"/>
        </w:rPr>
        <w:t xml:space="preserve">科学研究和技术服务业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9"/>
        <w:ind w:firstLine="480"/>
        <w:keepNext/>
        <w:pageBreakBefore w:val="0"/>
        <w:spacing w:line="264"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包1：</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lang w:val="en-US" w:eastAsia="zh-CN"/>
        </w:rPr>
        <w:t xml:space="preserve">必须具备能履行服务的相应资质，具有行政主管部门颁发的测绘乙级及以上的资质（业务范围必须包含工程测量），提供相关资质证书复印件。</w:t>
      </w:r>
      <w:r>
        <w:rPr>
          <w:rFonts w:hint="eastAsia" w:ascii="宋体" w:hAnsi="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包2：</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lang w:val="en-US" w:eastAsia="zh-CN"/>
        </w:rPr>
        <w:t xml:space="preserve">必须具备能履行服务的相应资质，具有行政主管部门颁发的测绘乙级及以上的资质，提供相关资质证书复印件。</w:t>
      </w:r>
      <w:r>
        <w:rPr>
          <w:rFonts w:hint="eastAsia" w:ascii="宋体" w:hAnsi="宋体" w:eastAsia="宋体"/>
          <w:color w:val="000000"/>
          <w:sz w:val="24"/>
          <w:szCs w:val="24"/>
          <w:highlight w:val="none"/>
          <w:lang w:eastAsia="zh-CN"/>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2.方式：在“江苏政府采购网”免费下载。</w:t>
      </w:r>
      <w:r>
        <w:rPr>
          <w:rFonts w:hint="eastAsia" w:ascii="宋体" w:hAnsi="宋体" w:cs="宋体"/>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72"/>
        <w:ind w:firstLine="372"/>
        <w:keepNext/>
        <w:pageBreakBefore w:val="0"/>
        <w:spacing w:before="145" w:after="145" w:line="264" w:lineRule="auto"/>
        <w:rPr>
          <w:rFonts w:hint="eastAsia" w:ascii="宋体" w:hAnsi="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2026</w:t>
      </w:r>
      <w:r>
        <w:rPr>
          <w:rFonts w:hint="eastAsia" w:ascii="宋体" w:hAnsi="宋体"/>
          <w:b w:val="0"/>
          <w:bCs w:val="0"/>
          <w:color w:val="000000"/>
          <w:sz w:val="24"/>
          <w:szCs w:val="24"/>
          <w:highlight w:val="none"/>
        </w:rPr>
        <w:t xml:space="preserve">年</w:t>
      </w:r>
      <w:r>
        <w:rPr>
          <w:rFonts w:hint="eastAsia" w:ascii="宋体" w:hAnsi="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t xml:space="preserve">月</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0</w:t>
      </w:r>
      <w:r>
        <w:rPr>
          <w:rFonts w:hint="eastAsia" w:ascii="宋体" w:hAnsi="宋体"/>
          <w:b w:val="0"/>
          <w:bCs w:val="0"/>
          <w:color w:val="000000"/>
          <w:sz w:val="24"/>
          <w:szCs w:val="24"/>
          <w:highlight w:val="none"/>
        </w:rPr>
        <w:t xml:space="preserve">日</w:t>
      </w:r>
      <w:r>
        <w:rPr>
          <w:rFonts w:hint="eastAsia" w:ascii="宋体" w:hAnsi="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9</w:t>
      </w:r>
      <w:r>
        <w:rPr>
          <w:rFonts w:hint="eastAsia"/>
          <w:b w:val="0"/>
          <w:bCs w:val="0"/>
          <w:color w:val="000000"/>
          <w:sz w:val="24"/>
          <w:szCs w:val="24"/>
          <w:highlight w:val="none"/>
        </w:rPr>
        <w:t xml:space="preserve">时</w:t>
      </w:r>
      <w:r>
        <w:rPr>
          <w:rFonts w:hint="eastAsia"/>
          <w:b w:val="0"/>
          <w:bCs w:val="0"/>
          <w:color w:val="000000"/>
          <w:sz w:val="24"/>
          <w:szCs w:val="24"/>
          <w:highlight w:val="none"/>
          <w:lang w:val="en-US" w:eastAsia="zh-CN"/>
        </w:rPr>
        <w:t xml:space="preserve">00</w:t>
      </w:r>
      <w:r>
        <w:rPr>
          <w:rFonts w:hint="eastAsia" w:ascii="宋体" w:hAnsi="宋体"/>
          <w:b w:val="0"/>
          <w:bCs w:val="0"/>
          <w:color w:val="000000"/>
          <w:sz w:val="24"/>
          <w:szCs w:val="24"/>
          <w:highlight w:val="none"/>
        </w:rPr>
        <w:t xml:space="preserve">分（北京时间）。</w:t>
      </w:r>
      <w:r>
        <w:rPr>
          <w:rFonts w:hint="eastAsia" w:ascii="宋体" w:hAnsi="宋体"/>
          <w:b w:val="0"/>
          <w:bCs w:val="0"/>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69"/>
        <w:ind w:firstLine="480"/>
        <w:keepNext/>
        <w:pageBreakBefore w:val="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hint="eastAsia" w:ascii="宋体" w:hAnsi="宋体" w:cs="宋体"/>
          <w:color w:val="000000"/>
          <w:sz w:val="24"/>
          <w:szCs w:val="24"/>
          <w:highlight w:val="none"/>
        </w:rPr>
      </w:r>
      <w:r/>
    </w:p>
    <w:p>
      <w:pPr>
        <w:pStyle w:val="969"/>
        <w:ind w:firstLine="480"/>
        <w:keepNext/>
        <w:pageBreakBefore w:val="0"/>
        <w:spacing w:line="264"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本项目不组织集中</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1044"/>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rPr>
          <w:rFonts w:hint="eastAsia" w:ascii="宋体" w:hAnsi="宋体" w:cs="宋体"/>
          <w:color w:val="000000"/>
          <w:sz w:val="24"/>
          <w:szCs w:val="24"/>
          <w:highlight w:val="none"/>
        </w:rPr>
      </w:r>
      <w:r/>
    </w:p>
    <w:p>
      <w:pPr>
        <w:pStyle w:val="97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ascii="Arial" w:hAnsi="Arial" w:eastAsia="Arial" w:cs="Arial"/>
          <w:color w:val="000000"/>
          <w:sz w:val="24"/>
          <w:szCs w:val="24"/>
          <w:highlight w:val="none"/>
          <w:shd w:val="clear" w:color="auto" w:fill="ffffff"/>
        </w:rPr>
        <w:t xml:space="preserve">单位名称：</w:t>
      </w:r>
      <w:r>
        <w:rPr>
          <w:rFonts w:hint="eastAsia" w:ascii="Arial" w:hAnsi="Arial" w:eastAsia="宋体" w:cs="Arial"/>
          <w:color w:val="000000"/>
          <w:sz w:val="24"/>
          <w:szCs w:val="24"/>
          <w:highlight w:val="none"/>
          <w:shd w:val="clear" w:color="auto" w:fill="ffffff"/>
          <w:lang w:eastAsia="zh-CN"/>
        </w:rPr>
        <w:t xml:space="preserve">南京市规划和自然资源局六合分局</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单位地址：六合区雄州街道雄州南路1号</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rPr>
        <w:t xml:space="preserve">蔡爱国</w:t>
      </w:r>
      <w:r>
        <w:rPr>
          <w:rFonts w:hint="eastAsia" w:ascii="宋体" w:hAnsi="宋体" w:eastAsia="宋体"/>
          <w:color w:val="000000"/>
          <w:sz w:val="24"/>
          <w:szCs w:val="24"/>
          <w:highlight w:val="none"/>
          <w:lang w:val="en-US" w:eastAsia="zh-CN"/>
        </w:rPr>
      </w:r>
      <w:r/>
    </w:p>
    <w:p>
      <w:pPr>
        <w:pStyle w:val="969"/>
        <w:ind w:firstLine="480"/>
        <w:keepNext/>
        <w:pageBreakBefore w:val="0"/>
        <w:spacing w:line="264"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bookmarkStart w:id="6" w:name="_Toc28359009"/>
      <w:r/>
      <w:bookmarkStart w:id="7" w:name="_Toc28359086"/>
      <w:r>
        <w:rPr>
          <w:rFonts w:hint="eastAsia" w:ascii="宋体" w:hAnsi="宋体"/>
          <w:color w:val="000000"/>
          <w:sz w:val="24"/>
          <w:szCs w:val="24"/>
          <w:highlight w:val="none"/>
        </w:rPr>
        <w:t xml:space="preserve">025</w:t>
      </w:r>
      <w:r>
        <w:rPr>
          <w:rFonts w:hint="eastAsia" w:ascii="宋体" w:hAnsi="宋体"/>
          <w:color w:val="000000"/>
          <w:sz w:val="24"/>
          <w:szCs w:val="24"/>
          <w:highlight w:val="none"/>
          <w:lang w:val="en-US" w:eastAsia="zh-CN"/>
        </w:rPr>
        <w:t xml:space="preserve">-57125303</w:t>
      </w:r>
      <w:r>
        <w:rPr>
          <w:rFonts w:ascii="宋体" w:hAnsi="宋体" w:eastAsia="宋体"/>
          <w:color w:val="000000"/>
          <w:sz w:val="24"/>
          <w:szCs w:val="24"/>
          <w:highlight w:val="none"/>
          <w:lang w:val="en-US" w:eastAsia="zh-CN"/>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bookmarkEnd w:id="6"/>
      <w:r/>
      <w:bookmarkEnd w:id="7"/>
      <w:r>
        <w:rPr>
          <w:rFonts w:hint="eastAsia" w:ascii="宋体" w:hAnsi="宋体"/>
          <w:color w:val="000000"/>
          <w:sz w:val="24"/>
          <w:szCs w:val="24"/>
          <w:highlight w:val="none"/>
        </w:rPr>
        <w:t xml:space="preserve">采购代理机构信息</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单位名称：南京名东工程项目管理有限公司</w:t>
      </w:r>
      <w:r>
        <w:rPr>
          <w:rFonts w:hint="eastAsia" w:ascii="宋体" w:hAnsi="宋体"/>
          <w:color w:val="000000"/>
          <w:sz w:val="24"/>
          <w:szCs w:val="24"/>
          <w:highlight w:val="none"/>
        </w:rPr>
      </w:r>
      <w:r/>
    </w:p>
    <w:p>
      <w:pPr>
        <w:pStyle w:val="969"/>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单位地址：六合区雄州东路85号理想城2幢1505室</w:t>
      </w:r>
      <w:r>
        <w:rPr>
          <w:rFonts w:hint="eastAsia" w:ascii="宋体" w:hAnsi="宋体"/>
          <w:color w:val="000000"/>
          <w:sz w:val="24"/>
          <w:szCs w:val="24"/>
          <w:highlight w:val="none"/>
        </w:rPr>
      </w:r>
      <w:r/>
    </w:p>
    <w:p>
      <w:pPr>
        <w:pStyle w:val="969"/>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联系人：陈伟</w:t>
      </w:r>
      <w:r>
        <w:rPr>
          <w:rFonts w:hint="eastAsia" w:ascii="宋体" w:hAnsi="宋体" w:cs="宋体"/>
          <w:color w:val="000000"/>
          <w:sz w:val="24"/>
          <w:szCs w:val="24"/>
          <w:highlight w:val="none"/>
        </w:rPr>
      </w:r>
      <w:r/>
    </w:p>
    <w:p>
      <w:pPr>
        <w:pStyle w:val="969"/>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联系电话：025-58474077</w:t>
      </w:r>
      <w:r>
        <w:rPr>
          <w:rFonts w:hint="eastAsia" w:ascii="宋体" w:hAnsi="宋体" w:cs="宋体"/>
          <w:color w:val="000000"/>
          <w:sz w:val="24"/>
          <w:szCs w:val="24"/>
          <w:highlight w:val="none"/>
        </w:rPr>
      </w:r>
      <w:r/>
    </w:p>
    <w:p>
      <w:pPr>
        <w:pStyle w:val="969"/>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969"/>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项目联系人：陈伟</w:t>
      </w:r>
      <w:r>
        <w:rPr>
          <w:rFonts w:hint="eastAsia" w:ascii="宋体" w:hAnsi="宋体" w:cs="宋体"/>
          <w:color w:val="000000"/>
          <w:sz w:val="24"/>
          <w:szCs w:val="24"/>
          <w:highlight w:val="none"/>
        </w:rPr>
      </w:r>
      <w:r/>
    </w:p>
    <w:p>
      <w:pPr>
        <w:pStyle w:val="969"/>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电话：025-58474077</w:t>
      </w:r>
      <w:r>
        <w:rPr>
          <w:rFonts w:hint="eastAsia" w:ascii="宋体" w:hAnsi="宋体" w:cs="宋体"/>
          <w:color w:val="000000"/>
          <w:sz w:val="24"/>
          <w:szCs w:val="24"/>
          <w:highlight w:val="none"/>
        </w:rPr>
      </w:r>
      <w:r/>
    </w:p>
    <w:p>
      <w:pPr>
        <w:pStyle w:val="969"/>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69"/>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供应商须知</w:t>
      </w:r>
      <w:r>
        <w:rPr>
          <w:rFonts w:hint="eastAsia" w:ascii="方正小标宋简体" w:hAnsi="方正小标宋简体" w:eastAsia="方正小标宋简体" w:cs="方正小标宋简体"/>
          <w:color w:val="000000"/>
          <w:sz w:val="36"/>
          <w:szCs w:val="36"/>
          <w:highlight w:val="none"/>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8" w:name="_Toc20823275"/>
      <w:r/>
      <w:bookmarkStart w:id="9" w:name="_Toc16938519"/>
      <w:r/>
      <w:bookmarkStart w:id="10" w:name="_Toc120614214"/>
      <w:r/>
      <w:bookmarkStart w:id="11" w:name="_Toc513029203"/>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方正楷体_GBK" w:hAnsi="方正楷体_GBK" w:eastAsia="方正楷体_GBK" w:cs="方正楷体_GBK"/>
          <w:color w:val="000000"/>
          <w:highlight w:val="none"/>
        </w:rPr>
        <w:t xml:space="preserve">1</w:t>
      </w:r>
      <w:bookmarkEnd w:id="13"/>
      <w:r>
        <w:rPr>
          <w:rFonts w:hint="eastAsia" w:ascii="方正楷体_GBK" w:hAnsi="方正楷体_GBK" w:eastAsia="方正楷体_GBK" w:cs="方正楷体_GBK"/>
          <w:color w:val="000000"/>
          <w:highlight w:val="none"/>
        </w:rPr>
        <w:t xml:space="preserve">.采购方式</w:t>
      </w:r>
      <w:bookmarkEnd w:id="14"/>
      <w:r/>
      <w:bookmarkEnd w:id="15"/>
      <w:r/>
      <w:bookmarkEnd w:id="16"/>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本次政府采购活动采取竞争性磋商(以下简称“磋商”)方式，本文件仅适用于采购公告中所述项目。</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7" w:name="_Toc20823277"/>
      <w:r/>
      <w:bookmarkStart w:id="18" w:name="_Toc16938521"/>
      <w:r/>
      <w:bookmarkStart w:id="19" w:name="_Toc513029205"/>
      <w:r>
        <w:rPr>
          <w:rFonts w:hint="eastAsia" w:ascii="方正楷体_GBK" w:hAnsi="方正楷体_GBK" w:eastAsia="方正楷体_GBK" w:cs="方正楷体_GBK"/>
          <w:color w:val="000000"/>
          <w:highlight w:val="none"/>
        </w:rPr>
        <w:t xml:space="preserve">2.合格的</w:t>
      </w:r>
      <w:bookmarkEnd w:id="17"/>
      <w:r/>
      <w:bookmarkEnd w:id="18"/>
      <w:r/>
      <w:bookmarkEnd w:id="19"/>
      <w:r>
        <w:rPr>
          <w:rFonts w:hint="eastAsia" w:ascii="方正楷体_GBK" w:hAnsi="方正楷体_GBK" w:eastAsia="方正楷体_GBK" w:cs="方正楷体_GBK"/>
          <w:color w:val="000000"/>
          <w:highlight w:val="none"/>
        </w:rPr>
        <w:t xml:space="preserve">供应商</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 满足采购公告对供应商资格要求的规定。</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2.2 满足磋商文件规定的实质性要求和条件。</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20" w:name="_Toc20823278"/>
      <w:r/>
      <w:bookmarkStart w:id="21" w:name="_Toc16938522"/>
      <w:r/>
      <w:bookmarkStart w:id="22" w:name="_Toc513029206"/>
      <w:r>
        <w:rPr>
          <w:rFonts w:hint="eastAsia" w:ascii="方正楷体_GBK" w:hAnsi="方正楷体_GBK" w:eastAsia="方正楷体_GBK" w:cs="方正楷体_GBK"/>
          <w:color w:val="000000"/>
          <w:highlight w:val="none"/>
        </w:rPr>
        <w:t xml:space="preserve">3.适用法律</w:t>
      </w:r>
      <w:bookmarkEnd w:id="20"/>
      <w:r/>
      <w:bookmarkEnd w:id="21"/>
      <w:r/>
      <w:bookmarkEnd w:id="22"/>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3.1 本次采购及由此产生的合同受中华人民共和国有关的法律法规制约和保护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23" w:name="_Toc462564067"/>
      <w:r/>
      <w:bookmarkStart w:id="24" w:name="_Toc513029207"/>
      <w:r/>
      <w:bookmarkStart w:id="25" w:name="_Toc16938523"/>
      <w:r/>
      <w:bookmarkStart w:id="26" w:name="_Toc20823279"/>
      <w:r>
        <w:rPr>
          <w:rFonts w:hint="eastAsia" w:ascii="方正楷体_GBK" w:hAnsi="方正楷体_GBK" w:eastAsia="方正楷体_GBK" w:cs="方正楷体_GBK"/>
          <w:color w:val="000000"/>
          <w:highlight w:val="none"/>
        </w:rPr>
        <w:t xml:space="preserve">4.磋商费用</w:t>
      </w:r>
      <w:bookmarkEnd w:id="23"/>
      <w:r/>
      <w:bookmarkEnd w:id="24"/>
      <w:r/>
      <w:bookmarkEnd w:id="25"/>
      <w:r/>
      <w:bookmarkEnd w:id="26"/>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4.1</w:t>
      </w:r>
      <w:r>
        <w:rPr>
          <w:rFonts w:hint="eastAsia" w:ascii="宋体" w:hAnsi="宋体"/>
          <w:color w:val="000000"/>
          <w:sz w:val="24"/>
          <w:szCs w:val="21"/>
          <w:highlight w:val="none"/>
          <w:lang w:val="zh-CN"/>
        </w:rPr>
        <w:t xml:space="preserve">本项目采购代理服务费由成交供应商承担。各供应商编制响应报价时，须将采购代理服务费综合包含在总报价内，采购人不再另行支付该费用。</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4.2</w:t>
      </w:r>
      <w:r>
        <w:rPr>
          <w:rFonts w:hint="eastAsia" w:ascii="宋体" w:hAnsi="宋体"/>
          <w:color w:val="000000"/>
          <w:sz w:val="24"/>
          <w:szCs w:val="21"/>
          <w:highlight w:val="none"/>
          <w:lang w:val="zh-CN"/>
        </w:rPr>
        <w:t xml:space="preserve">计费方式与标准：服务费以本项目成交金额为计费基数，参照原国家计委《招标代理服务收费管理暂行办法》（计价格〔2002〕1980 号）服务类收费标准计算。（最终金额计算示例：成交金额</w:t>
      </w:r>
      <w:r>
        <w:rPr>
          <w:rFonts w:hint="eastAsia" w:ascii="宋体" w:hAnsi="宋体"/>
          <w:color w:val="000000"/>
          <w:sz w:val="24"/>
          <w:szCs w:val="21"/>
          <w:highlight w:val="none"/>
          <w:lang w:val="en-US" w:eastAsia="zh-CN"/>
        </w:rPr>
        <w:t xml:space="preserve">*1.5%</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4.3</w:t>
      </w:r>
      <w:r>
        <w:rPr>
          <w:rFonts w:hint="eastAsia" w:ascii="宋体" w:hAnsi="宋体"/>
          <w:color w:val="000000"/>
          <w:sz w:val="24"/>
          <w:szCs w:val="21"/>
          <w:highlight w:val="none"/>
          <w:lang w:val="zh-CN"/>
        </w:rPr>
        <w:t xml:space="preserve">缴纳要求：成交供应商须在领取《成交通知书》前，一次性足额向采购代理机构缴清全部采购代理服务费；未按要求足额缴纳的，采购代理机构有权暂缓发放《成交通知书》。</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lang w:val="en-US" w:eastAsia="zh-CN"/>
        </w:rPr>
        <w:t xml:space="preserve">4.4</w:t>
      </w:r>
      <w:r>
        <w:rPr>
          <w:rFonts w:hint="eastAsia" w:ascii="宋体" w:hAnsi="宋体"/>
          <w:color w:val="000000"/>
          <w:sz w:val="24"/>
          <w:szCs w:val="21"/>
          <w:highlight w:val="none"/>
          <w:lang w:val="zh-CN"/>
        </w:rPr>
        <w:t xml:space="preserve">约定说明：本项目约定由成交供应商支付代理服务费，系采购人与采购代理机构协商确定；代理费承担主体、收取方式、计费标准及计费依据已在采购文件中完整明示。供应商递交响应文件，即视为充分知晓并自愿接受本条全部约定，不得以此为由拒绝缴纳或提出异议。</w:t>
      </w:r>
      <w:r>
        <w:rPr>
          <w:rFonts w:hint="eastAsia" w:ascii="宋体" w:hAnsi="宋体" w:eastAsia="宋体"/>
          <w:color w:val="000000"/>
          <w:sz w:val="24"/>
          <w:szCs w:val="21"/>
          <w:highlight w:val="none"/>
          <w:lang w:eastAsia="zh-CN"/>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5.磋商文件的约束力</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5.1 供应商一旦参加本项目采购活动，即被认为接受了本文件的规定和约束。</w:t>
      </w:r>
      <w:r>
        <w:rPr>
          <w:rFonts w:hint="eastAsia" w:ascii="宋体" w:hAnsi="宋体"/>
          <w:color w:val="000000"/>
          <w:sz w:val="24"/>
          <w:szCs w:val="21"/>
          <w:highlight w:val="none"/>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27" w:name="_Toc120614215"/>
      <w:r/>
      <w:bookmarkStart w:id="28" w:name="_Toc20823281"/>
      <w:r/>
      <w:bookmarkStart w:id="29" w:name="_Toc16938525"/>
      <w:r/>
      <w:bookmarkStart w:id="30" w:name="_Toc513029209"/>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31" w:name="_Toc16938526"/>
      <w:r/>
      <w:bookmarkStart w:id="32" w:name="_Toc513029210"/>
      <w:r/>
      <w:bookmarkStart w:id="33" w:name="_Toc20823282"/>
      <w:r>
        <w:rPr>
          <w:rFonts w:hint="eastAsia" w:ascii="方正楷体_GBK" w:hAnsi="方正楷体_GBK" w:eastAsia="方正楷体_GBK" w:cs="方正楷体_GBK"/>
          <w:color w:val="000000"/>
          <w:highlight w:val="none"/>
        </w:rPr>
        <w:t xml:space="preserve">6.磋商文件构成</w:t>
      </w:r>
      <w:bookmarkEnd w:id="31"/>
      <w:r/>
      <w:bookmarkEnd w:id="32"/>
      <w:r/>
      <w:bookmarkEnd w:id="33"/>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6.1 磋商文件由以下部分组成：</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（1）磋商邀请</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（2）供应商须知</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（3）合同文本</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（4）采购需求</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（5）评审方法与评审标准</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（6）响应文件格式</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供应商应仔细检查磋商文件是否齐全，如有缺漏请立即与代理机构联系。</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34" w:name="_Toc16938527"/>
      <w:r/>
      <w:bookmarkStart w:id="35" w:name="_Toc513029211"/>
      <w:r/>
      <w:bookmarkStart w:id="36" w:name="_Toc20823283"/>
      <w:r/>
      <w:bookmarkStart w:id="37" w:name="_Toc462564070"/>
      <w:r>
        <w:rPr>
          <w:rFonts w:hint="eastAsia" w:ascii="方正楷体_GBK" w:hAnsi="方正楷体_GBK" w:eastAsia="方正楷体_GBK" w:cs="方正楷体_GBK"/>
          <w:color w:val="000000"/>
          <w:highlight w:val="none"/>
        </w:rPr>
        <w:t xml:space="preserve">7.磋商文件的澄清</w:t>
      </w:r>
      <w:bookmarkEnd w:id="34"/>
      <w:r/>
      <w:bookmarkEnd w:id="35"/>
      <w:r/>
      <w:bookmarkEnd w:id="36"/>
      <w:r/>
      <w:bookmarkEnd w:id="37"/>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7.1 任何要求对磋商文件进行澄清的供应商，应在磋商截止期五日前按采购公告中的通讯地址，以书面形式通知代理机构。</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38" w:name="_Toc462564071"/>
      <w:r/>
      <w:bookmarkStart w:id="39" w:name="_Toc513029212"/>
      <w:r/>
      <w:bookmarkStart w:id="40" w:name="_Toc16938528"/>
      <w:r/>
      <w:bookmarkStart w:id="41" w:name="_Toc20823284"/>
      <w:r>
        <w:rPr>
          <w:rFonts w:hint="eastAsia" w:ascii="方正楷体_GBK" w:hAnsi="方正楷体_GBK" w:eastAsia="方正楷体_GBK" w:cs="方正楷体_GBK"/>
          <w:color w:val="000000"/>
          <w:highlight w:val="none"/>
        </w:rPr>
        <w:t xml:space="preserve">8.磋商文件的修改</w:t>
      </w:r>
      <w:bookmarkEnd w:id="38"/>
      <w:r/>
      <w:bookmarkEnd w:id="39"/>
      <w:r/>
      <w:bookmarkEnd w:id="40"/>
      <w:r/>
      <w:bookmarkEnd w:id="41"/>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bookmarkStart w:id="42" w:name="_Toc513029213"/>
      <w:r/>
      <w:bookmarkStart w:id="43" w:name="_Toc120614216"/>
      <w:r/>
      <w:bookmarkStart w:id="44" w:name="_Toc462564072"/>
      <w:r/>
      <w:bookmarkStart w:id="45" w:name="_Toc16938529"/>
      <w:r/>
      <w:bookmarkStart w:id="46" w:name="_Toc20823285"/>
      <w:r>
        <w:rPr>
          <w:rFonts w:hint="eastAsia" w:ascii="宋体" w:hAnsi="宋体"/>
          <w:color w:val="000000"/>
          <w:sz w:val="24"/>
          <w:szCs w:val="21"/>
          <w:highlight w:val="none"/>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8.3 代理机构有权按照法定的要求推迟提交响应文件截止时间，并在原公告媒体发布更正公告。</w:t>
      </w:r>
      <w:r>
        <w:rPr>
          <w:rFonts w:hint="eastAsia" w:ascii="宋体" w:hAnsi="宋体"/>
          <w:color w:val="000000"/>
          <w:sz w:val="24"/>
          <w:szCs w:val="21"/>
          <w:highlight w:val="none"/>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47" w:name="_Toc16938530"/>
      <w:r/>
      <w:bookmarkStart w:id="48" w:name="_Toc513029214"/>
      <w:r/>
      <w:bookmarkStart w:id="49" w:name="_Toc462564073"/>
      <w:r/>
      <w:bookmarkStart w:id="50" w:name="_Toc20823286"/>
      <w:r>
        <w:rPr>
          <w:rFonts w:hint="eastAsia" w:ascii="方正楷体_GBK" w:hAnsi="方正楷体_GBK" w:eastAsia="方正楷体_GBK" w:cs="方正楷体_GBK"/>
          <w:color w:val="000000"/>
          <w:highlight w:val="none"/>
        </w:rPr>
        <w:t xml:space="preserve">9.响应文件的语言及度量衡单位</w:t>
      </w:r>
      <w:bookmarkEnd w:id="47"/>
      <w:r/>
      <w:bookmarkEnd w:id="48"/>
      <w:r/>
      <w:bookmarkEnd w:id="49"/>
      <w:r/>
      <w:bookmarkEnd w:id="50"/>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9.1 供应商提交的响应文件以及供应商与代理机构就有关磋商的所有来往通知、函件和文件均应使用简体中文。</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9.2 除技术性能另有规定外，响应文件所使用的度量衡单位，均须采用国家法定计量单位。</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51" w:name="_Toc513029215"/>
      <w:r/>
      <w:bookmarkStart w:id="52" w:name="_Toc462564074"/>
      <w:r/>
      <w:bookmarkStart w:id="53" w:name="_Toc20823287"/>
      <w:r/>
      <w:bookmarkStart w:id="54" w:name="_Toc16938531"/>
      <w:r>
        <w:rPr>
          <w:rFonts w:hint="eastAsia" w:ascii="方正楷体_GBK" w:hAnsi="方正楷体_GBK" w:eastAsia="方正楷体_GBK" w:cs="方正楷体_GBK"/>
          <w:color w:val="000000"/>
          <w:highlight w:val="none"/>
        </w:rPr>
        <w:t xml:space="preserve">10.响应文件构成</w:t>
      </w:r>
      <w:bookmarkEnd w:id="51"/>
      <w:r/>
      <w:bookmarkEnd w:id="52"/>
      <w:r/>
      <w:bookmarkEnd w:id="53"/>
      <w:r/>
      <w:bookmarkEnd w:id="54"/>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如标书制作工具中格式和内容与“江苏政府采购网”发布的磋商文件不一致，以“江苏政府采购网”发布的磋商文件为准。</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55" w:name="_Hlt26670360"/>
      <w:r/>
      <w:bookmarkEnd w:id="55"/>
      <w:r/>
      <w:bookmarkStart w:id="56" w:name="_Hlt26954838"/>
      <w:r/>
      <w:bookmarkEnd w:id="56"/>
      <w:r/>
      <w:bookmarkStart w:id="57" w:name="_Hlt26668975"/>
      <w:r/>
      <w:bookmarkEnd w:id="57"/>
      <w:r/>
      <w:bookmarkStart w:id="58" w:name="_Toc14577357"/>
      <w:r/>
      <w:bookmarkStart w:id="59" w:name="_Toc513029219"/>
      <w:r/>
      <w:bookmarkStart w:id="60" w:name="_Toc49090509"/>
      <w:r/>
      <w:bookmarkStart w:id="61" w:name="_Toc49090507"/>
      <w:r/>
      <w:bookmarkStart w:id="62" w:name="_Toc14577354"/>
      <w:r/>
      <w:bookmarkStart w:id="63" w:name="_Toc49090508"/>
      <w:r/>
      <w:bookmarkStart w:id="64" w:name="_Toc14577355"/>
      <w:r/>
      <w:bookmarkStart w:id="65" w:name="_Toc513029216"/>
      <w:r>
        <w:rPr>
          <w:rFonts w:hint="eastAsia" w:ascii="方正楷体_GBK" w:hAnsi="方正楷体_GBK" w:eastAsia="方正楷体_GBK" w:cs="方正楷体_GBK"/>
          <w:color w:val="000000"/>
          <w:highlight w:val="none"/>
        </w:rPr>
        <w:t xml:space="preserve">11.证明磋商响应标的符合磋商文件规定的文件</w:t>
      </w:r>
      <w:bookmarkEnd w:id="58"/>
      <w:r/>
      <w:bookmarkEnd w:id="59"/>
      <w:r/>
      <w:bookmarkEnd w:id="60"/>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bookmarkEnd w:id="61"/>
      <w:r/>
      <w:bookmarkEnd w:id="62"/>
      <w:r/>
      <w:bookmarkEnd w:id="65"/>
      <w:r>
        <w:rPr>
          <w:rFonts w:hint="eastAsia" w:ascii="宋体" w:hAnsi="宋体"/>
          <w:color w:val="000000"/>
          <w:sz w:val="24"/>
          <w:szCs w:val="21"/>
          <w:highlight w:val="none"/>
        </w:rPr>
        <w:t xml:space="preserve">11.1 供应商</w:t>
      </w:r>
      <w:r>
        <w:rPr>
          <w:rFonts w:hint="eastAsia" w:ascii="宋体" w:hAnsi="宋体"/>
          <w:color w:val="000000"/>
          <w:sz w:val="24"/>
          <w:highlight w:val="none"/>
        </w:rPr>
        <w:t xml:space="preserve">应按照法律、法规、规章和规范性文件以及</w:t>
      </w:r>
      <w:r>
        <w:rPr>
          <w:rFonts w:hint="eastAsia" w:ascii="宋体" w:hAnsi="宋体"/>
          <w:color w:val="000000"/>
          <w:sz w:val="24"/>
          <w:szCs w:val="21"/>
          <w:highlight w:val="none"/>
        </w:rPr>
        <w:t xml:space="preserve">磋商文件要求提交证明文件，证明其响应标的符合磋商文件规定。</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11.2 磋商文件对证明文件无明确形式要求的，证明文件可以以文字资料、图纸和数据等形式提交。</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End w:id="63"/>
      <w:r/>
      <w:bookmarkEnd w:id="64"/>
      <w:r>
        <w:rPr>
          <w:rFonts w:hint="eastAsia" w:ascii="方正楷体_GBK" w:hAnsi="方正楷体_GBK" w:eastAsia="方正楷体_GBK" w:cs="方正楷体_GBK"/>
          <w:color w:val="000000"/>
          <w:highlight w:val="none"/>
        </w:rPr>
        <w:t xml:space="preserve">12.分项报价表</w:t>
      </w:r>
      <w:r>
        <w:rPr>
          <w:rFonts w:hint="eastAsia" w:ascii="方正楷体_GBK" w:hAnsi="方正楷体_GBK" w:eastAsia="方正楷体_GBK" w:cs="方正楷体_GBK"/>
          <w:color w:val="000000"/>
          <w:highlight w:val="none"/>
          <w:lang w:val="zh-CN"/>
        </w:rPr>
        <w:t xml:space="preserve">（如有）</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12.1 供应商应按照磋商文件规定格式填报分项报价表。</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12.2 响应文件中的单价和总价无特殊规定的采用人民币报价，以元为单位标注。磋商文件另有规定的按规定执行。</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66" w:name="_Hlt26954848"/>
      <w:r/>
      <w:bookmarkEnd w:id="66"/>
      <w:r/>
      <w:bookmarkStart w:id="67" w:name="_Hlt26954731"/>
      <w:r/>
      <w:bookmarkEnd w:id="67"/>
      <w:r/>
      <w:bookmarkStart w:id="68" w:name="_Hlt26954846"/>
      <w:r/>
      <w:bookmarkEnd w:id="68"/>
      <w:r/>
      <w:bookmarkStart w:id="69" w:name="_Hlt26670486"/>
      <w:r/>
      <w:bookmarkEnd w:id="69"/>
      <w:r/>
      <w:bookmarkStart w:id="70" w:name="_Hlt26670482"/>
      <w:r/>
      <w:bookmarkEnd w:id="70"/>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供应商需对磋商文件中的技术要求与商务要求逐项作出响应或偏离说明。</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13.2</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供应商可在响应文件中提供认为需要的其他技术文件或说明。</w:t>
      </w:r>
      <w:r>
        <w:rPr>
          <w:rFonts w:hint="eastAsia" w:ascii="宋体" w:hAnsi="宋体"/>
          <w:color w:val="000000"/>
          <w:sz w:val="24"/>
          <w:szCs w:val="21"/>
          <w:highlight w:val="none"/>
          <w:lang w:val="zh-CN"/>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71" w:name="_Toc49090510"/>
      <w:r/>
      <w:bookmarkStart w:id="72" w:name="_Toc14577359"/>
      <w:r>
        <w:rPr>
          <w:rFonts w:hint="eastAsia" w:ascii="方正楷体_GBK" w:hAnsi="方正楷体_GBK" w:eastAsia="方正楷体_GBK" w:cs="方正楷体_GBK"/>
          <w:color w:val="000000"/>
          <w:highlight w:val="none"/>
        </w:rPr>
        <w:t xml:space="preserve">14.磋商响应函</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供应商应按照磋商文件规定格式完整、正确填报磋商响应函。</w:t>
      </w:r>
      <w:r>
        <w:rPr>
          <w:rFonts w:hint="eastAsia" w:ascii="宋体" w:hAnsi="宋体"/>
          <w:color w:val="000000"/>
          <w:sz w:val="24"/>
          <w:szCs w:val="21"/>
          <w:highlight w:val="none"/>
          <w:lang w:val="zh-CN"/>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End w:id="71"/>
      <w:r/>
      <w:bookmarkEnd w:id="72"/>
      <w:r/>
      <w:bookmarkStart w:id="73" w:name="_Toc49090511"/>
      <w:r/>
      <w:bookmarkStart w:id="74" w:name="_Toc14577360"/>
      <w:r>
        <w:rPr>
          <w:rFonts w:hint="eastAsia" w:ascii="方正楷体_GBK" w:hAnsi="方正楷体_GBK" w:eastAsia="方正楷体_GBK" w:cs="方正楷体_GBK"/>
          <w:color w:val="000000"/>
          <w:highlight w:val="none"/>
        </w:rPr>
        <w:t xml:space="preserve">15.磋商有效期</w:t>
      </w:r>
      <w:bookmarkEnd w:id="73"/>
      <w:r/>
      <w:bookmarkEnd w:id="74"/>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15.1 磋商有效期为采购公告规定的提交响应文件截止之日起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。磋商有效期比规定短的将被视为非实质性响应磋商文件而被拒绝。</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16.磋商有效期的延长</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highlight w:val="none"/>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5" w:name="_Hlt26954852"/>
      <w:r/>
      <w:bookmarkEnd w:id="75"/>
      <w:r/>
      <w:bookmarkStart w:id="76" w:name="_Hlt26954739"/>
      <w:r/>
      <w:bookmarkEnd w:id="76"/>
      <w:r/>
      <w:bookmarkStart w:id="77" w:name="_Toc20823296"/>
      <w:r/>
      <w:bookmarkStart w:id="78" w:name="_Toc513029224"/>
      <w:r/>
      <w:bookmarkStart w:id="79" w:name="_Toc120614217"/>
      <w:r/>
      <w:bookmarkStart w:id="80"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81" w:name="_Toc513029225"/>
      <w:r/>
      <w:bookmarkStart w:id="82" w:name="_Toc462564084"/>
      <w:r/>
      <w:bookmarkStart w:id="83" w:name="_Toc20823297"/>
      <w:r/>
      <w:bookmarkStart w:id="84" w:name="_Toc16938541"/>
      <w:r>
        <w:rPr>
          <w:rFonts w:hint="eastAsia" w:ascii="方正楷体_GBK" w:hAnsi="方正楷体_GBK" w:eastAsia="方正楷体_GBK" w:cs="方正楷体_GBK"/>
          <w:color w:val="000000"/>
          <w:highlight w:val="none"/>
        </w:rPr>
        <w:t xml:space="preserve">17.</w:t>
      </w:r>
      <w:bookmarkEnd w:id="81"/>
      <w:r/>
      <w:bookmarkEnd w:id="82"/>
      <w:r/>
      <w:bookmarkEnd w:id="83"/>
      <w:r/>
      <w:bookmarkEnd w:id="84"/>
      <w:r>
        <w:rPr>
          <w:rFonts w:hint="eastAsia" w:ascii="方正楷体_GBK" w:hAnsi="方正楷体_GBK" w:eastAsia="方正楷体_GBK" w:cs="方正楷体_GBK"/>
          <w:color w:val="000000"/>
          <w:highlight w:val="none"/>
        </w:rPr>
        <w:t xml:space="preserve">响应文件的递交</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17.1 供应商应当按照《操作手册》规定，在采购公告规定的提交响应文件截止时间前制作并上传电子响应文件。</w:t>
      </w:r>
      <w:bookmarkStart w:id="85" w:name="_Toc20823298"/>
      <w:r/>
      <w:bookmarkStart w:id="86" w:name="_Toc513029226"/>
      <w:r/>
      <w:bookmarkStart w:id="87" w:name="_Toc16938542"/>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bookmarkEnd w:id="85"/>
      <w:r/>
      <w:bookmarkEnd w:id="86"/>
      <w:r/>
      <w:bookmarkEnd w:id="87"/>
      <w:r>
        <w:rPr>
          <w:rFonts w:hint="eastAsia" w:ascii="宋体" w:hAnsi="宋体"/>
          <w:color w:val="000000"/>
          <w:sz w:val="24"/>
          <w:szCs w:val="21"/>
          <w:highlight w:val="none"/>
        </w:rPr>
        <w:t xml:space="preserve">17.2 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szCs w:val="21"/>
          <w:highlight w:val="none"/>
        </w:rPr>
        <w:t xml:space="preserve">，如因供应商自身原因造成的电子响应文件上传不成功的，按照本磋商文件第二章第24.3条规定做无效响应处理。</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17.3 代理机构可以按照规定，通过修改磋商文件酌情延长提交响应文件截止日期，在此情况下，供应商的所有权利和义务均以延长后新的截止日期为准。</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88" w:name="_Toc20823299"/>
      <w:r/>
      <w:bookmarkStart w:id="89" w:name="_Toc16938543"/>
      <w:r/>
      <w:bookmarkStart w:id="90" w:name="_Toc513029227"/>
      <w:r>
        <w:rPr>
          <w:rFonts w:hint="eastAsia" w:ascii="方正楷体_GBK" w:hAnsi="方正楷体_GBK" w:eastAsia="方正楷体_GBK" w:cs="方正楷体_GBK"/>
          <w:color w:val="000000"/>
          <w:highlight w:val="none"/>
        </w:rPr>
        <w:t xml:space="preserve">18.响应文件</w:t>
      </w:r>
      <w:bookmarkEnd w:id="88"/>
      <w:r/>
      <w:bookmarkEnd w:id="89"/>
      <w:r/>
      <w:bookmarkEnd w:id="90"/>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18.1 提交响应文件截止时间后上传的任何响应文件将被拒绝。</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91" w:name="_Toc16938544"/>
      <w:r/>
      <w:bookmarkStart w:id="92" w:name="_Toc20823300"/>
      <w:r/>
      <w:bookmarkStart w:id="93" w:name="_Toc513029228"/>
      <w:r>
        <w:rPr>
          <w:rFonts w:hint="eastAsia" w:ascii="方正楷体_GBK" w:hAnsi="方正楷体_GBK" w:eastAsia="方正楷体_GBK" w:cs="方正楷体_GBK"/>
          <w:color w:val="000000"/>
          <w:highlight w:val="none"/>
        </w:rPr>
        <w:t xml:space="preserve">19.响应文件的撤回和修改</w:t>
      </w:r>
      <w:bookmarkEnd w:id="91"/>
      <w:r/>
      <w:bookmarkEnd w:id="92"/>
      <w:r/>
      <w:bookmarkEnd w:id="93"/>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19.1 响应文件的撤回</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19.1.1 供应商可在提交响应文件截止时间前，撤回其电子响应文件，具体操作方法见《操作手册》。</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19.1.2 供应商撤回电子响应文件，则认为其不再参与本项目磋商活动。</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19.2 响应文件的修改</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19.2.1 供应商可在提交响应文件截止时间前，对其电子响应文件进行修改，具体操作方法见《操作手册》。</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19.2.2 提交响应文件截止时间之后，供应商不得对其电子响应文件作任何修改。</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19.3 在提交响应文件截止时间至磋商文件中规定的磋商有效期满之间的这段时间内，供应商不得撤回其响应文件。</w:t>
      </w:r>
      <w:r>
        <w:rPr>
          <w:rFonts w:hint="eastAsia" w:ascii="宋体" w:hAnsi="宋体"/>
          <w:color w:val="000000"/>
          <w:sz w:val="24"/>
          <w:szCs w:val="21"/>
          <w:highlight w:val="none"/>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94" w:name="_Toc20823301"/>
      <w:r/>
      <w:bookmarkStart w:id="95" w:name="_Toc513029229"/>
      <w:r/>
      <w:bookmarkStart w:id="96" w:name="_Toc16938545"/>
      <w:r/>
      <w:bookmarkStart w:id="97"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98" w:name="_Toc16938546"/>
      <w:r/>
      <w:bookmarkStart w:id="99" w:name="_Toc20823302"/>
      <w:r/>
      <w:bookmarkStart w:id="100" w:name="_Toc513029230"/>
      <w:r>
        <w:rPr>
          <w:rFonts w:hint="eastAsia" w:ascii="方正楷体_GBK" w:hAnsi="方正楷体_GBK" w:eastAsia="方正楷体_GBK" w:cs="方正楷体_GBK"/>
          <w:color w:val="000000"/>
          <w:highlight w:val="none"/>
        </w:rPr>
        <w:t xml:space="preserve">2</w:t>
      </w:r>
      <w:bookmarkEnd w:id="98"/>
      <w:r/>
      <w:bookmarkEnd w:id="99"/>
      <w:r/>
      <w:bookmarkEnd w:id="100"/>
      <w:r>
        <w:rPr>
          <w:rFonts w:hint="eastAsia" w:ascii="方正楷体_GBK" w:hAnsi="方正楷体_GBK" w:eastAsia="方正楷体_GBK" w:cs="方正楷体_GBK"/>
          <w:color w:val="000000"/>
          <w:highlight w:val="none"/>
        </w:rPr>
        <w:t xml:space="preserve">0.响应文件解密</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20.1 供应商应当按照《操作手册》规定，在苏采云系统规定的时间内对响应文件进行解密。</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01" w:name="_Toc16938547"/>
      <w:r/>
      <w:bookmarkStart w:id="102" w:name="_Toc20823303"/>
      <w:r/>
      <w:bookmarkStart w:id="103" w:name="_Toc513029231"/>
      <w:r>
        <w:rPr>
          <w:rFonts w:hint="eastAsia" w:ascii="方正楷体_GBK" w:hAnsi="方正楷体_GBK" w:eastAsia="方正楷体_GBK" w:cs="方正楷体_GBK"/>
          <w:color w:val="000000"/>
          <w:highlight w:val="none"/>
        </w:rPr>
        <w:t xml:space="preserve">21.磋商</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21.1 依法组建的磋商小组对响应文件进行评审。</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21.2 磋商小组由采购人代表和有关技术、经济或法律等方面的专家组成，且人员构成符合政府采购有关规定。</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21.3 磋商小组独立工作，负责评审所有响应文件并推荐成交候选人，或根据采购人授权直接确定成交供应商。</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22.评审过程的保密与公正</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bookmarkEnd w:id="101"/>
      <w:r/>
      <w:bookmarkEnd w:id="102"/>
      <w:r/>
      <w:bookmarkEnd w:id="103"/>
      <w:r>
        <w:rPr>
          <w:rFonts w:hint="eastAsia" w:ascii="宋体" w:hAnsi="宋体"/>
          <w:color w:val="000000"/>
          <w:sz w:val="24"/>
          <w:szCs w:val="21"/>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22.2 供应商不得以任何方式影响评审过程，否则其响应文件将被作为无效响应文件。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22.3 代理机构和磋商小组不向未成交的供应商解释未成交原因，也不公布评审过程中的相关细节。</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04" w:name="_Toc16938548"/>
      <w:r/>
      <w:bookmarkStart w:id="105" w:name="_Toc513029232"/>
      <w:r/>
      <w:bookmarkStart w:id="106" w:name="_Toc20823304"/>
      <w:r>
        <w:rPr>
          <w:rFonts w:hint="eastAsia" w:ascii="方正楷体_GBK" w:hAnsi="方正楷体_GBK" w:eastAsia="方正楷体_GBK" w:cs="方正楷体_GBK"/>
          <w:color w:val="000000"/>
          <w:highlight w:val="none"/>
        </w:rPr>
        <w:t xml:space="preserve">23.评审过程中的澄清</w:t>
      </w:r>
      <w:bookmarkEnd w:id="104"/>
      <w:r/>
      <w:bookmarkEnd w:id="105"/>
      <w:r/>
      <w:bookmarkEnd w:id="106"/>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供应商的澄清、说明或者补正不得超出响应文件的范围或者改变响应文件的实质性内容。</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磋商小组并非对每个供应商都做澄清要求。</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23.2 需要供应商进行澄清、说明和补正的，磋商小组将通过苏采云系统向供应商发出</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，接到</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的供应商应当按照要求在苏采云系统中提交</w:t>
      </w:r>
      <w:r>
        <w:rPr>
          <w:rFonts w:hint="eastAsia" w:ascii="宋体" w:hAnsi="宋体"/>
          <w:color w:val="000000"/>
          <w:sz w:val="24"/>
          <w:highlight w:val="none"/>
          <w:lang w:val="zh-CN"/>
        </w:rPr>
        <w:t xml:space="preserve">《澄清响应函》</w:t>
      </w:r>
      <w:r>
        <w:rPr>
          <w:rFonts w:hint="eastAsia" w:ascii="宋体" w:hAnsi="宋体"/>
          <w:color w:val="000000"/>
          <w:sz w:val="24"/>
          <w:szCs w:val="21"/>
          <w:highlight w:val="none"/>
        </w:rPr>
        <w:t xml:space="preserve">并加盖电子公章。澄清、说明和补正的内容作为响应文件的补充部分，具体操作方式见《操作手册》。</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23.3 接到磋商小组澄清、说明和补正要求的供应商如未按规定做出澄清、说明和补正，其风险由供应商自行承担。</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07" w:name="_Toc513029233"/>
      <w:r/>
      <w:bookmarkStart w:id="108" w:name="_Toc20823305"/>
      <w:r/>
      <w:bookmarkStart w:id="109" w:name="_Toc16938549"/>
      <w:r>
        <w:rPr>
          <w:rFonts w:hint="eastAsia" w:ascii="方正楷体_GBK" w:hAnsi="方正楷体_GBK" w:eastAsia="方正楷体_GBK" w:cs="方正楷体_GBK"/>
          <w:color w:val="000000"/>
          <w:highlight w:val="none"/>
        </w:rPr>
        <w:t xml:space="preserve">24.响应文件的审</w:t>
      </w:r>
      <w:bookmarkEnd w:id="107"/>
      <w:r/>
      <w:bookmarkEnd w:id="108"/>
      <w:r/>
      <w:bookmarkEnd w:id="109"/>
      <w:r>
        <w:rPr>
          <w:rFonts w:hint="eastAsia" w:ascii="方正楷体_GBK" w:hAnsi="方正楷体_GBK" w:eastAsia="方正楷体_GBK" w:cs="方正楷体_GBK"/>
          <w:color w:val="000000"/>
          <w:highlight w:val="none"/>
        </w:rPr>
        <w:t xml:space="preserve">查</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 响应文件审查分为资格审查和符合性审查。</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 未实质性响应磋商文件的情形</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 供应商在苏采云系统规定的时间内未成功解密电子响应文件。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24.3.2 供应商未按照磋商文件要求上传电子响应文件。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24.3.3 同一供应商提交两个（含两个）以上不同的响应文件或者最后报价。</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24.3.4 供应商不具备磋商文件中规定的资格要求。</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24.3.5 供应商的最后报价超过了采购预算或最高限价。</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24.3.6 不符合磋商文件中规定的实质性要求和条件（</w:t>
      </w:r>
      <w:r>
        <w:rPr>
          <w:rFonts w:hint="eastAsia" w:ascii="宋体" w:hAnsi="宋体"/>
          <w:b/>
          <w:bCs/>
          <w:color w:val="000000"/>
          <w:sz w:val="24"/>
          <w:szCs w:val="21"/>
          <w:highlight w:val="none"/>
        </w:rPr>
        <w:t xml:space="preserve">本文件中斜体且有下划线部分</w:t>
      </w:r>
      <w:r>
        <w:rPr>
          <w:rFonts w:hint="eastAsia" w:ascii="宋体" w:hAnsi="宋体"/>
          <w:b/>
          <w:bCs/>
          <w:color w:val="000000"/>
          <w:sz w:val="24"/>
          <w:szCs w:val="21"/>
          <w:highlight w:val="none"/>
          <w:lang w:val="zh-CN"/>
        </w:rPr>
        <w:t xml:space="preserve">或者打“</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lang w:val="zh-CN"/>
        </w:rPr>
        <w:t xml:space="preserve">”内容，</w:t>
      </w:r>
      <w:r>
        <w:rPr>
          <w:rFonts w:hint="eastAsia" w:ascii="宋体" w:hAnsi="宋体"/>
          <w:b/>
          <w:bCs/>
          <w:color w:val="000000"/>
          <w:sz w:val="24"/>
          <w:szCs w:val="21"/>
          <w:highlight w:val="none"/>
        </w:rPr>
        <w:t xml:space="preserve">为实质性要求和条件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24.3.8 响应文件含有采购人不能接受的附加条件。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24.3.10 </w:t>
      </w:r>
      <w:r>
        <w:rPr>
          <w:rFonts w:hint="eastAsia" w:ascii="宋体" w:hAnsi="宋体"/>
          <w:color w:val="000000"/>
          <w:sz w:val="24"/>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24.3.11 响应文件未按照磋商文件要求加盖电子公章。</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24.3.12 法律法规及本磋商文件规定的其他无效响应的情形。</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24.4 未实质性响应磋商文件的响应文件按无效响应处理。</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bookmarkStart w:id="110" w:name="_Toc20823306"/>
      <w:r/>
      <w:bookmarkStart w:id="111" w:name="_Toc16938550"/>
      <w:r/>
      <w:bookmarkStart w:id="112" w:name="_Toc513029234"/>
      <w:r>
        <w:rPr>
          <w:rFonts w:hint="eastAsia" w:ascii="宋体" w:hAnsi="宋体"/>
          <w:color w:val="000000"/>
          <w:sz w:val="24"/>
          <w:szCs w:val="21"/>
          <w:highlight w:val="none"/>
        </w:rPr>
        <w:t xml:space="preserve">24.6 供应商在项目评审全过程中应保持通讯畅通，</w:t>
      </w:r>
      <w:r>
        <w:rPr>
          <w:rFonts w:hint="eastAsia" w:ascii="宋体" w:hAnsi="宋体"/>
          <w:color w:val="000000"/>
          <w:sz w:val="24"/>
          <w:highlight w:val="none"/>
          <w:lang w:val="zh-CN"/>
        </w:rPr>
        <w:t xml:space="preserve">及时登录苏采云系统查阅、答复相关信息，并安排专人与代理机构及磋商小组联系。</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10"/>
      <w:r/>
      <w:bookmarkEnd w:id="111"/>
      <w:r/>
      <w:bookmarkEnd w:id="112"/>
      <w:r>
        <w:rPr>
          <w:rFonts w:hint="eastAsia" w:ascii="方正楷体_GBK" w:hAnsi="方正楷体_GBK" w:eastAsia="方正楷体_GBK" w:cs="方正楷体_GBK"/>
          <w:color w:val="000000"/>
          <w:highlight w:val="none"/>
        </w:rPr>
        <w:t xml:space="preserve">5.磋商程序及评审方法与评审标准</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bookmarkStart w:id="113" w:name="_Toc16938551"/>
      <w:r/>
      <w:bookmarkStart w:id="114" w:name="_Toc120614219"/>
      <w:r/>
      <w:bookmarkStart w:id="115" w:name="_Toc513029235"/>
      <w:r/>
      <w:bookmarkStart w:id="116" w:name="_Toc20823307"/>
      <w:r>
        <w:rPr>
          <w:rFonts w:hint="eastAsia" w:ascii="宋体" w:hAnsi="宋体"/>
          <w:color w:val="000000"/>
          <w:sz w:val="24"/>
          <w:szCs w:val="21"/>
          <w:highlight w:val="none"/>
        </w:rPr>
        <w:t xml:space="preserve">25.1 磋商程序</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25.2 评审方法与评审标准</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25.2.1 评审方法。见磋商文件第五章。</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25.2.2 评审标准。见磋商文件第五章。</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 采购活动终止</w:t>
      </w:r>
      <w:r>
        <w:rPr>
          <w:rFonts w:hint="eastAsia" w:ascii="宋体" w:hAnsi="宋体"/>
          <w:color w:val="000000"/>
          <w:sz w:val="24"/>
          <w:szCs w:val="21"/>
          <w:highlight w:val="none"/>
        </w:rPr>
      </w:r>
      <w:r/>
    </w:p>
    <w:p>
      <w:pPr>
        <w:pStyle w:val="969"/>
        <w:ind w:firstLine="422"/>
        <w:keepNext/>
        <w:pageBreakBefore w:val="0"/>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出现下列情形之一的，本次采购活动终止：</w:t>
      </w:r>
      <w:r>
        <w:rPr>
          <w:rFonts w:hint="eastAsia" w:ascii="宋体" w:hAnsi="宋体"/>
          <w:b/>
          <w:bCs/>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25.3.1 因情况变化，不再符合竞争性磋商采购方式适用情形。</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25.3.2 出现影响采购公正的违法、违规行为。</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25.3.3 在苏采云系统规定时间内成功解密电子响应文件的供应商不足三家。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5</w:t>
      </w:r>
      <w:r>
        <w:rPr>
          <w:rFonts w:hint="eastAsia" w:ascii="宋体" w:hAnsi="宋体"/>
          <w:color w:val="000000"/>
          <w:sz w:val="24"/>
          <w:szCs w:val="21"/>
          <w:highlight w:val="none"/>
          <w:lang w:val="zh-CN"/>
        </w:rPr>
        <w:t xml:space="preserve">.3.5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rPr>
          <w:rFonts w:hint="eastAsia" w:ascii="宋体" w:hAnsi="宋体"/>
          <w:color w:val="000000"/>
          <w:sz w:val="24"/>
          <w:szCs w:val="21"/>
          <w:highlight w:val="none"/>
          <w:lang w:val="zh-CN"/>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17" w:name="_Toc513029238"/>
      <w:r/>
      <w:bookmarkStart w:id="118" w:name="_Toc20823310"/>
      <w:r/>
      <w:bookmarkStart w:id="119" w:name="_Toc16938554"/>
      <w:r>
        <w:rPr>
          <w:rFonts w:hint="eastAsia" w:ascii="方正楷体_GBK" w:hAnsi="方正楷体_GBK" w:eastAsia="方正楷体_GBK" w:cs="方正楷体_GBK"/>
          <w:color w:val="000000"/>
          <w:highlight w:val="none"/>
        </w:rPr>
        <w:t xml:space="preserve">2</w:t>
      </w:r>
      <w:bookmarkEnd w:id="117"/>
      <w:r>
        <w:rPr>
          <w:rFonts w:hint="eastAsia" w:ascii="方正楷体_GBK" w:hAnsi="方正楷体_GBK" w:eastAsia="方正楷体_GBK" w:cs="方正楷体_GBK"/>
          <w:color w:val="000000"/>
          <w:highlight w:val="none"/>
        </w:rPr>
        <w:t xml:space="preserve">6.确定</w:t>
      </w:r>
      <w:bookmarkEnd w:id="118"/>
      <w:r/>
      <w:bookmarkEnd w:id="119"/>
      <w:r>
        <w:rPr>
          <w:rFonts w:hint="eastAsia" w:ascii="方正楷体_GBK" w:hAnsi="方正楷体_GBK" w:eastAsia="方正楷体_GBK" w:cs="方正楷体_GBK"/>
          <w:color w:val="000000"/>
          <w:highlight w:val="none"/>
        </w:rPr>
        <w:t xml:space="preserve">成交单位</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26.1 成交候选供应商的确定原则和数量见磋商文件第五章。</w:t>
      </w:r>
      <w:r>
        <w:rPr>
          <w:rFonts w:hint="eastAsia" w:ascii="宋体" w:hAnsi="宋体"/>
          <w:color w:val="000000"/>
          <w:sz w:val="24"/>
          <w:szCs w:val="21"/>
          <w:highlight w:val="none"/>
        </w:rPr>
      </w:r>
      <w:r/>
    </w:p>
    <w:p>
      <w:pPr>
        <w:pStyle w:val="969"/>
        <w:ind w:firstLine="420"/>
        <w:keepNext/>
        <w:pageBreakBefore w:val="0"/>
        <w:rPr>
          <w:rFonts w:ascii="宋体" w:hAnsi="宋体"/>
          <w:color w:val="000000"/>
          <w:sz w:val="24"/>
          <w:szCs w:val="24"/>
          <w:highlight w:val="none"/>
        </w:rPr>
      </w:pPr>
      <w:r>
        <w:rPr>
          <w:rFonts w:hint="eastAsia" w:ascii="宋体" w:hAnsi="宋体"/>
          <w:color w:val="000000"/>
          <w:sz w:val="24"/>
          <w:szCs w:val="21"/>
          <w:highlight w:val="none"/>
        </w:rPr>
        <w:t xml:space="preserve">26.2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rPr>
          <w:rFonts w:ascii="宋体" w:hAnsi="宋体"/>
          <w:color w:val="000000"/>
          <w:sz w:val="24"/>
          <w:szCs w:val="24"/>
          <w:highlight w:val="none"/>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26.3 代理机构将在“江苏政府采购网”发布成交结果公告，公告期限为1个工作日。</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 </w:t>
      </w:r>
      <w:r>
        <w:rPr>
          <w:rFonts w:hint="eastAsia" w:ascii="宋体" w:hAnsi="宋体"/>
          <w:b/>
          <w:bCs/>
          <w:color w:val="000000"/>
          <w:sz w:val="24"/>
          <w:szCs w:val="21"/>
          <w:highlight w:val="none"/>
        </w:rPr>
        <w:t xml:space="preserve">若有充分证据证明成交供应商有下列情况之一的，一经查实将被取消成交资格：</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26.4.1 提供虚假材料谋取成交。</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26.4.2 向评审专家、采购人或代理机构工作人员行贿或者提供其他不正当利益。</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26.4.3 与其他供应商、评审专家、采购人或代理机构工作人员恶意串通。</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26.4.4 不满足本磋商文件规定的实质性要求，但在评审过程中未被磋商小组发现。</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26.4.5 采取不正当手段诋毁、排挤其他供应商。</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20" w:name="_Toc200451960"/>
      <w:r>
        <w:rPr>
          <w:rFonts w:hint="eastAsia" w:ascii="方正楷体_GBK" w:hAnsi="方正楷体_GBK" w:eastAsia="方正楷体_GBK" w:cs="方正楷体_GBK"/>
          <w:color w:val="000000"/>
          <w:highlight w:val="none"/>
        </w:rPr>
        <w:t xml:space="preserve">27.成交通知书</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highlight w:val="none"/>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969"/>
        <w:ind w:firstLine="420"/>
        <w:keepNext/>
        <w:pageBreakBefore w:val="0"/>
        <w:rPr>
          <w:rFonts w:ascii="宋体" w:hAnsi="宋体"/>
          <w:color w:val="000000"/>
          <w:sz w:val="24"/>
          <w:highlight w:val="none"/>
        </w:rPr>
      </w:pPr>
      <w:r>
        <w:rPr>
          <w:rFonts w:hint="eastAsia" w:ascii="宋体" w:hAnsi="宋体"/>
          <w:color w:val="000000"/>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ascii="宋体" w:hAnsi="宋体"/>
          <w:color w:val="000000"/>
          <w:sz w:val="24"/>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28.2 磋商文件、成交供应商的响应文件及磋商过程中有关澄清、承诺文件均作为合同附件。</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28.4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szCs w:val="21"/>
          <w:highlight w:val="none"/>
        </w:rPr>
        <w:t xml:space="preserve">30.1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969"/>
        <w:ind w:firstLine="420"/>
        <w:keepNext/>
        <w:pageBreakBefore w:val="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97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969"/>
        <w:ind w:firstLine="420"/>
        <w:keepNext/>
        <w:pageBreakBefore w:val="0"/>
        <w:rPr>
          <w:rFonts w:hint="eastAsia" w:ascii="宋体" w:hAnsi="宋体"/>
          <w:color w:val="000000"/>
          <w:sz w:val="24"/>
          <w:highlight w:val="none"/>
          <w:lang w:val="zh-CN"/>
        </w:rPr>
      </w:pPr>
      <w:r/>
      <w:bookmarkEnd w:id="120"/>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规定以书面形式向采购人或代理机构提出质疑。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对采购文件提出质疑的，为收到采购文件之日或者采购文件公告期限届满之日。</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highlight w:val="none"/>
          <w:lang w:val="zh-CN"/>
        </w:rPr>
        <w:t xml:space="preserve">供应商对除上述事项以外其他事项的询问、质疑向采购人提出，由采购人负责答复。</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69"/>
        <w:ind w:firstLine="422"/>
        <w:keepNext/>
        <w:pageBreakBefore w:val="0"/>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w:t>
      </w:r>
      <w:r>
        <w:rPr>
          <w:rFonts w:hint="eastAsia" w:ascii="宋体" w:hAnsi="宋体"/>
          <w:b/>
          <w:bCs/>
          <w:color w:val="000000"/>
          <w:sz w:val="24"/>
          <w:highlight w:val="none"/>
        </w:rPr>
        <w:t xml:space="preserve">函</w:t>
      </w:r>
      <w:r>
        <w:rPr>
          <w:rFonts w:hint="eastAsia" w:ascii="宋体" w:hAnsi="宋体"/>
          <w:b/>
          <w:bCs/>
          <w:color w:val="000000"/>
          <w:sz w:val="24"/>
          <w:highlight w:val="none"/>
          <w:lang w:val="zh-CN"/>
        </w:rPr>
        <w:t xml:space="preserve">》接收人及联系方式见采购文件第一章。</w:t>
      </w:r>
      <w:r>
        <w:rPr>
          <w:rFonts w:hint="eastAsia" w:ascii="宋体" w:hAnsi="宋体"/>
          <w:b/>
          <w:bCs/>
          <w:color w:val="000000"/>
          <w:sz w:val="24"/>
          <w:highlight w:val="none"/>
          <w:lang w:val="zh-CN"/>
        </w:rPr>
      </w:r>
      <w:r/>
    </w:p>
    <w:p>
      <w:pPr>
        <w:pStyle w:val="969"/>
        <w:ind w:firstLine="422"/>
        <w:keepNext/>
        <w:pageBreakBefore w:val="0"/>
        <w:rPr>
          <w:rFonts w:hint="eastAsia" w:ascii="宋体" w:hAnsi="宋体"/>
          <w:b/>
          <w:bCs/>
          <w:color w:val="000000"/>
          <w:sz w:val="24"/>
          <w:highlight w:val="none"/>
          <w:lang w:val="zh-CN"/>
        </w:rPr>
      </w:pPr>
      <w:r>
        <w:rPr>
          <w:rFonts w:hint="eastAsia" w:ascii="宋体" w:hAnsi="宋体"/>
          <w:b/>
          <w:bCs/>
          <w:color w:val="000000"/>
          <w:sz w:val="24"/>
          <w:highlight w:val="none"/>
        </w:rPr>
        <w:t xml:space="preserve">由代理机构负责答复的质疑。</w:t>
      </w:r>
      <w:r>
        <w:rPr>
          <w:rFonts w:hint="eastAsia" w:ascii="宋体" w:hAnsi="宋体"/>
          <w:b/>
          <w:bCs/>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内容不符合《政府采购质疑和投诉办法》第十二条规定的质疑。</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超出政府采购法定期限的质疑。</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以传真、电子邮件等方式递交的非原件形式的质疑。</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未参加采购活动或在采购活动中自身权益未受到损害的供应商所提出的质疑。</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供应商组成联合体参加采购活动，联合体中任何一方或多方未按要求签字或盖章、加盖公章的质疑。</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972"/>
        <w:ind w:firstLine="465"/>
        <w:keepNext/>
        <w:pageBreakBefore w:val="0"/>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973"/>
        <w:ind w:firstLine="420"/>
        <w:keepNext/>
        <w:pageBreakBefore w:val="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参与磋商的供应商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969"/>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1085"/>
        <w:keepNext/>
        <w:pageBreakBefore w:val="0"/>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969"/>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81"/>
        <w:ind w:firstLine="720"/>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69"/>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69"/>
        <w:keepNext/>
        <w:pageBreakBefore w:val="0"/>
        <w:rPr>
          <w:rFonts w:hint="eastAsia"/>
          <w:color w:val="000000"/>
          <w:highlight w:val="none"/>
        </w:rPr>
      </w:pPr>
      <w:r>
        <w:rPr>
          <w:rFonts w:hint="eastAsia"/>
          <w:color w:val="000000"/>
          <w:highlight w:val="none"/>
        </w:rPr>
      </w:r>
      <w:r/>
    </w:p>
    <w:p>
      <w:pPr>
        <w:pStyle w:val="981"/>
        <w:keepNext/>
        <w:pageBreakBefore w:val="0"/>
        <w:rPr>
          <w:rFonts w:hint="eastAsia"/>
          <w:color w:val="000000"/>
          <w:highlight w:val="none"/>
        </w:rPr>
      </w:pPr>
      <w:r>
        <w:rPr>
          <w:rFonts w:hint="eastAsia"/>
          <w:color w:val="000000"/>
          <w:highlight w:val="none"/>
        </w:rPr>
      </w:r>
      <w:r/>
    </w:p>
    <w:p>
      <w:pPr>
        <w:pStyle w:val="969"/>
        <w:keepNext/>
        <w:pageBreakBefore w:val="0"/>
        <w:rPr>
          <w:rFonts w:hint="eastAsia"/>
          <w:color w:val="000000"/>
          <w:highlight w:val="none"/>
        </w:rPr>
      </w:pPr>
      <w:r>
        <w:rPr>
          <w:rFonts w:hint="eastAsia"/>
          <w:color w:val="000000"/>
          <w:highlight w:val="none"/>
        </w:rPr>
      </w:r>
      <w:r/>
    </w:p>
    <w:p>
      <w:pPr>
        <w:pStyle w:val="981"/>
        <w:keepNext/>
        <w:pageBreakBefore w:val="0"/>
        <w:rPr>
          <w:rFonts w:hint="eastAsia"/>
          <w:color w:val="000000"/>
          <w:highlight w:val="none"/>
        </w:rPr>
      </w:pPr>
      <w:r>
        <w:rPr>
          <w:rFonts w:hint="eastAsia"/>
          <w:color w:val="000000"/>
          <w:highlight w:val="none"/>
        </w:rPr>
      </w:r>
      <w:r/>
    </w:p>
    <w:p>
      <w:pPr>
        <w:pStyle w:val="969"/>
        <w:keepNext/>
        <w:pageBreakBefore w:val="0"/>
        <w:rPr>
          <w:rFonts w:hint="eastAsia"/>
          <w:color w:val="000000"/>
          <w:highlight w:val="none"/>
        </w:rPr>
      </w:pPr>
      <w:r>
        <w:rPr>
          <w:rFonts w:hint="eastAsia"/>
          <w:color w:val="000000"/>
          <w:highlight w:val="none"/>
        </w:rPr>
      </w:r>
      <w:r/>
    </w:p>
    <w:p>
      <w:pPr>
        <w:pStyle w:val="1073"/>
        <w:keepNext/>
        <w:pageBreakBefore w:val="0"/>
        <w:rPr>
          <w:rFonts w:hint="eastAsia"/>
          <w:color w:val="000000"/>
          <w:highlight w:val="none"/>
        </w:rPr>
      </w:pPr>
      <w:r>
        <w:rPr>
          <w:rFonts w:hint="eastAsia"/>
          <w:color w:val="000000"/>
          <w:highlight w:val="none"/>
        </w:rPr>
      </w:r>
      <w:r/>
    </w:p>
    <w:p>
      <w:pPr>
        <w:pStyle w:val="969"/>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1085"/>
        <w:ind w:left="0"/>
        <w:keepNext/>
        <w:pageBreakBefore w:val="0"/>
        <w:rPr>
          <w:rFonts w:hint="eastAsia"/>
          <w:color w:val="000000"/>
          <w:highlight w:val="none"/>
        </w:rPr>
      </w:pPr>
      <w:r>
        <w:rPr>
          <w:rFonts w:hint="eastAsia"/>
          <w:color w:val="000000"/>
          <w:highlight w:val="none"/>
        </w:rPr>
      </w:r>
      <w:r/>
    </w:p>
    <w:p>
      <w:pPr>
        <w:pStyle w:val="969"/>
        <w:jc w:val="center"/>
        <w:keepNext/>
        <w:pageBreakBefore w:val="0"/>
        <w:spacing w:before="145" w:after="145"/>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69"/>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69"/>
        <w:jc w:val="left"/>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eastAsia="zh-CN"/>
        </w:rPr>
        <w:t xml:space="preserve">采购</w:t>
      </w:r>
      <w:r>
        <w:rPr>
          <w:rFonts w:ascii="宋体" w:hAnsi="宋体" w:cs="Courier New"/>
          <w:color w:val="000000"/>
          <w:sz w:val="24"/>
          <w:szCs w:val="24"/>
          <w:highlight w:val="none"/>
        </w:rPr>
        <w:t xml:space="preserve">方）</w:t>
      </w:r>
      <w:r>
        <w:rPr>
          <w:rFonts w:ascii="宋体" w:hAnsi="宋体" w:cs="Courier New"/>
          <w:color w:val="000000"/>
          <w:sz w:val="24"/>
          <w:szCs w:val="24"/>
          <w:highlight w:val="none"/>
        </w:rPr>
      </w:r>
      <w:r/>
    </w:p>
    <w:p>
      <w:pPr>
        <w:pStyle w:val="969"/>
        <w:jc w:val="left"/>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eastAsia="zh-CN"/>
        </w:rPr>
        <w:t xml:space="preserve">服务</w:t>
      </w:r>
      <w:r>
        <w:rPr>
          <w:rFonts w:ascii="宋体" w:hAnsi="宋体" w:cs="Courier New"/>
          <w:color w:val="000000"/>
          <w:sz w:val="24"/>
          <w:szCs w:val="24"/>
          <w:highlight w:val="none"/>
        </w:rPr>
        <w:t xml:space="preserve">方）</w:t>
      </w:r>
      <w:r>
        <w:rPr>
          <w:rFonts w:ascii="宋体" w:hAnsi="宋体" w:cs="Courier New"/>
          <w:color w:val="000000"/>
          <w:sz w:val="24"/>
          <w:szCs w:val="24"/>
          <w:highlight w:val="none"/>
        </w:rPr>
      </w:r>
      <w:r/>
    </w:p>
    <w:p>
      <w:pPr>
        <w:pStyle w:val="969"/>
        <w:keepNext/>
        <w:pageBreakBefore w:val="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南京名东工程项目管理有限公司组织的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69"/>
        <w:ind w:firstLine="422"/>
        <w:keepNext/>
        <w:pageBreakBefore w:val="0"/>
        <w:spacing w:line="360" w:lineRule="auto"/>
        <w:rPr>
          <w:rFonts w:hint="eastAsia" w:ascii="宋体" w:hAnsi="宋体" w:eastAsia="宋体" w:cs="宋体"/>
          <w:b/>
          <w:bCs/>
          <w:color w:val="000000"/>
          <w:sz w:val="24"/>
          <w:szCs w:val="24"/>
          <w:u w:val="single"/>
        </w:rPr>
      </w:pPr>
      <w:r>
        <w:rPr>
          <w:rFonts w:hint="eastAsia" w:ascii="宋体" w:hAnsi="宋体" w:eastAsia="宋体" w:cs="宋体"/>
          <w:b/>
          <w:color w:val="000000"/>
          <w:sz w:val="24"/>
          <w:szCs w:val="24"/>
        </w:rPr>
        <w:t xml:space="preserve">采购方:</w:t>
      </w:r>
      <w:r>
        <w:rPr>
          <w:rFonts w:hint="eastAsia" w:ascii="宋体" w:hAnsi="宋体" w:eastAsia="宋体" w:cs="宋体"/>
          <w:color w:val="000000"/>
          <w:sz w:val="24"/>
          <w:szCs w:val="24"/>
          <w:u w:val="single"/>
        </w:rPr>
        <w:t xml:space="preserve">南京市规划和自然资源局六合分局（下称甲方）</w:t>
      </w:r>
      <w:r>
        <w:rPr>
          <w:rFonts w:hint="eastAsia" w:ascii="宋体" w:hAnsi="宋体" w:eastAsia="宋体" w:cs="宋体"/>
          <w:b/>
          <w:bCs/>
          <w:color w:val="000000"/>
          <w:sz w:val="24"/>
          <w:szCs w:val="24"/>
          <w:u w:val="single"/>
        </w:rPr>
      </w:r>
      <w:r/>
    </w:p>
    <w:p>
      <w:pPr>
        <w:pStyle w:val="969"/>
        <w:ind w:firstLine="422"/>
        <w:keepNext/>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供应方</w:t>
      </w:r>
      <w:r>
        <w:rPr>
          <w:rFonts w:hint="eastAsia" w:ascii="宋体" w:hAnsi="宋体" w:eastAsia="宋体" w:cs="宋体"/>
          <w:b/>
          <w:color w:val="000000"/>
          <w:sz w:val="24"/>
          <w:szCs w:val="24"/>
          <w:u w:val="single"/>
        </w:rPr>
        <w:t xml:space="preserve">：</w:t>
      </w:r>
      <w:r>
        <w:rPr>
          <w:rFonts w:hint="eastAsia" w:ascii="宋体" w:hAnsi="宋体" w:eastAsia="宋体" w:cs="宋体"/>
          <w:color w:val="000000"/>
          <w:sz w:val="24"/>
          <w:szCs w:val="24"/>
          <w:u w:val="single"/>
        </w:rPr>
        <w:t xml:space="preserve">（下称乙方）    </w:t>
      </w:r>
      <w:r>
        <w:rPr>
          <w:rFonts w:hint="eastAsia" w:ascii="宋体" w:hAnsi="宋体" w:eastAsia="宋体" w:cs="宋体"/>
          <w:color w:val="000000"/>
          <w:sz w:val="24"/>
          <w:szCs w:val="24"/>
          <w:u w:val="single"/>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rPr>
        <w:t xml:space="preserve">南京市规划和自然资源局六合分局</w:t>
      </w:r>
      <w:r>
        <w:rPr>
          <w:rFonts w:hint="eastAsia" w:ascii="宋体" w:hAnsi="宋体" w:eastAsia="宋体" w:cs="宋体"/>
          <w:color w:val="000000"/>
          <w:sz w:val="24"/>
          <w:szCs w:val="24"/>
          <w:u w:val="single"/>
          <w:lang w:eastAsia="zh-CN"/>
        </w:rPr>
        <w:t xml:space="preserve">的2026年度六合区全行政区域地下管线动态维护项目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竞争性磋商</w:t>
      </w:r>
      <w:r>
        <w:rPr>
          <w:rFonts w:hint="eastAsia" w:ascii="宋体" w:hAnsi="宋体" w:eastAsia="宋体" w:cs="宋体"/>
          <w:color w:val="000000"/>
          <w:sz w:val="24"/>
          <w:szCs w:val="24"/>
        </w:rPr>
        <w:t xml:space="preserve">采购结果及采购文件的要求,经协商一致,达成如下采购服务合同:</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一、合同标的</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1、服务项目名称：</w:t>
      </w:r>
      <w:r>
        <w:rPr>
          <w:rFonts w:hint="eastAsia" w:ascii="宋体" w:hAnsi="宋体" w:eastAsia="宋体" w:cs="宋体"/>
          <w:color w:val="000000"/>
          <w:sz w:val="24"/>
          <w:szCs w:val="24"/>
          <w:lang w:eastAsia="zh-CN"/>
        </w:rPr>
        <w:t xml:space="preserve">2026年度六合区全行政区域地下管线动态维护项目</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2、分包号：包1；  包2；</w:t>
      </w:r>
      <w:r>
        <w:rPr>
          <w:rFonts w:hint="eastAsia" w:ascii="宋体" w:hAnsi="宋体" w:eastAsia="宋体" w:cs="宋体"/>
          <w:color w:val="000000"/>
          <w:sz w:val="24"/>
          <w:szCs w:val="24"/>
          <w:lang w:val="en-US"/>
        </w:rPr>
      </w:r>
      <w:r/>
    </w:p>
    <w:p>
      <w:pPr>
        <w:pStyle w:val="969"/>
        <w:ind w:firstLine="420"/>
        <w:keepNext/>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3、服务期限：</w:t>
      </w:r>
      <w:r>
        <w:rPr>
          <w:rFonts w:hint="eastAsia" w:ascii="宋体" w:hAnsi="宋体" w:eastAsia="宋体" w:cs="宋体"/>
          <w:color w:val="000000"/>
          <w:sz w:val="24"/>
          <w:szCs w:val="28"/>
          <w:lang w:val="en-US"/>
        </w:rPr>
        <w:t xml:space="preserve">合同生效之日起一年</w:t>
      </w:r>
      <w:r>
        <w:rPr>
          <w:rFonts w:hint="eastAsia" w:ascii="宋体" w:hAnsi="宋体" w:eastAsia="宋体" w:cs="宋体"/>
          <w:color w:val="000000"/>
          <w:sz w:val="24"/>
          <w:szCs w:val="28"/>
          <w:lang w:val="en-US" w:eastAsia="zh-CN"/>
        </w:rPr>
        <w:t xml:space="preserve">，以合同签订时间为准</w:t>
      </w:r>
      <w:r>
        <w:rPr>
          <w:rFonts w:hint="eastAsia" w:ascii="宋体" w:hAnsi="宋体" w:eastAsia="宋体" w:cs="宋体"/>
          <w:color w:val="000000"/>
          <w:sz w:val="24"/>
          <w:szCs w:val="28"/>
          <w:lang w:val="en-US"/>
        </w:rPr>
        <w:t xml:space="preserve">。</w:t>
      </w:r>
      <w:r>
        <w:rPr>
          <w:rFonts w:hint="eastAsia" w:ascii="宋体" w:hAnsi="宋体" w:eastAsia="宋体" w:cs="宋体"/>
          <w:color w:val="000000"/>
          <w:sz w:val="24"/>
          <w:szCs w:val="24"/>
          <w:lang w:val="en-US"/>
        </w:rPr>
      </w:r>
      <w:r/>
    </w:p>
    <w:p>
      <w:pPr>
        <w:pStyle w:val="969"/>
        <w:ind w:firstLine="420"/>
        <w:keepNext/>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4、合同</w:t>
      </w:r>
      <w:r>
        <w:rPr>
          <w:rFonts w:hint="eastAsia" w:ascii="宋体" w:hAnsi="宋体" w:eastAsia="宋体" w:cs="宋体"/>
          <w:color w:val="000000"/>
          <w:sz w:val="24"/>
          <w:szCs w:val="24"/>
          <w:lang w:val="en-US"/>
        </w:rPr>
        <w:t xml:space="preserve">单</w:t>
      </w:r>
      <w:r>
        <w:rPr>
          <w:rFonts w:hint="eastAsia" w:ascii="宋体" w:hAnsi="宋体" w:eastAsia="宋体" w:cs="宋体"/>
          <w:color w:val="000000"/>
          <w:sz w:val="24"/>
          <w:szCs w:val="24"/>
        </w:rPr>
        <w:t xml:space="preserve">价款：￥________</w:t>
      </w:r>
      <w:r>
        <w:rPr>
          <w:rFonts w:hint="eastAsia" w:ascii="宋体" w:hAnsi="宋体" w:eastAsia="宋体" w:cs="宋体"/>
          <w:color w:val="000000"/>
          <w:sz w:val="24"/>
          <w:szCs w:val="24"/>
          <w:lang w:val="en-US"/>
        </w:rPr>
        <w:t xml:space="preserve">/公里</w:t>
      </w:r>
      <w:r>
        <w:rPr>
          <w:rFonts w:hint="eastAsia" w:ascii="宋体" w:hAnsi="宋体" w:eastAsia="宋体" w:cs="宋体"/>
          <w:color w:val="000000"/>
          <w:sz w:val="24"/>
          <w:szCs w:val="24"/>
        </w:rPr>
        <w:t xml:space="preserve">_（大写人民币_________），</w:t>
      </w:r>
      <w:r>
        <w:rPr>
          <w:rFonts w:hint="eastAsia" w:ascii="宋体" w:hAnsi="宋体" w:eastAsia="宋体" w:cs="宋体"/>
          <w:color w:val="000000"/>
          <w:sz w:val="24"/>
          <w:szCs w:val="24"/>
          <w:lang w:val="en-US"/>
        </w:rPr>
        <w:t xml:space="preserve">最终以实际公里数结算。</w:t>
      </w:r>
      <w:r>
        <w:rPr>
          <w:rFonts w:hint="eastAsia" w:ascii="宋体" w:hAnsi="宋体" w:eastAsia="宋体" w:cs="宋体"/>
          <w:color w:val="000000"/>
          <w:sz w:val="24"/>
          <w:szCs w:val="24"/>
          <w:lang w:val="en-US"/>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二、服务内容:</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u w:val="single"/>
          <w:lang w:val="en-US" w:eastAsia="zh-CN"/>
        </w:rPr>
        <w:t xml:space="preserve">*****按照分包填写</w:t>
      </w:r>
      <w:r>
        <w:rPr>
          <w:rFonts w:hint="eastAsia" w:ascii="宋体" w:hAnsi="宋体" w:eastAsia="宋体" w:cs="宋体"/>
          <w:bCs/>
          <w:color w:val="000000"/>
          <w:sz w:val="24"/>
          <w:szCs w:val="24"/>
          <w:lang w:val="en-US"/>
        </w:rPr>
        <w:t xml:space="preserve">。</w:t>
      </w:r>
      <w:r>
        <w:rPr>
          <w:rFonts w:hint="eastAsia" w:ascii="宋体" w:hAnsi="宋体" w:eastAsia="宋体" w:cs="宋体"/>
          <w:bCs/>
          <w:color w:val="000000"/>
          <w:sz w:val="24"/>
          <w:szCs w:val="24"/>
        </w:rPr>
        <w:t xml:space="preserve">具体内容、形式、时间等</w:t>
      </w:r>
      <w:r>
        <w:rPr>
          <w:rFonts w:hint="eastAsia" w:ascii="宋体" w:hAnsi="宋体" w:eastAsia="宋体" w:cs="宋体"/>
          <w:bCs/>
          <w:color w:val="000000"/>
          <w:sz w:val="24"/>
          <w:szCs w:val="24"/>
          <w:lang w:val="en-US"/>
        </w:rPr>
        <w:t xml:space="preserve">详见磋商文件</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69"/>
        <w:ind w:firstLine="420"/>
        <w:keepNex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、...（经开标现场协商后，乙方提供的增值服务等）</w:t>
      </w:r>
      <w:r>
        <w:rPr>
          <w:rFonts w:hint="eastAsia" w:ascii="宋体" w:hAnsi="宋体" w:eastAsia="宋体" w:cs="宋体"/>
          <w:bCs/>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三、付款标准、付款流程、付款方式</w:t>
      </w:r>
      <w:r>
        <w:rPr>
          <w:rFonts w:hint="eastAsia" w:ascii="宋体" w:hAnsi="宋体" w:eastAsia="宋体" w:cs="宋体"/>
          <w:b/>
          <w:color w:val="000000"/>
          <w:sz w:val="24"/>
          <w:szCs w:val="24"/>
        </w:rPr>
      </w:r>
      <w:r/>
    </w:p>
    <w:p>
      <w:pPr>
        <w:pStyle w:val="969"/>
        <w:ind w:firstLine="465"/>
        <w:keepNex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w:t>
      </w:r>
      <w:r>
        <w:rPr>
          <w:rFonts w:hint="eastAsia" w:ascii="宋体" w:hAnsi="宋体" w:eastAsia="宋体" w:cs="宋体"/>
          <w:color w:val="000000"/>
          <w:sz w:val="24"/>
          <w:szCs w:val="24"/>
          <w:lang w:val="en-US"/>
        </w:rPr>
        <w:t xml:space="preserve">磋商文件及响应文件</w:t>
      </w:r>
      <w:r>
        <w:rPr>
          <w:rFonts w:hint="eastAsia" w:ascii="宋体" w:hAnsi="宋体" w:eastAsia="宋体" w:cs="宋体"/>
          <w:color w:val="000000"/>
          <w:sz w:val="24"/>
          <w:szCs w:val="24"/>
        </w:rPr>
        <w:t xml:space="preserve">进行支付。</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2</w:t>
      </w:r>
      <w:r>
        <w:rPr>
          <w:rFonts w:hint="eastAsia" w:ascii="宋体" w:hAnsi="宋体" w:eastAsia="宋体" w:cs="宋体"/>
          <w:color w:val="000000"/>
          <w:sz w:val="24"/>
          <w:szCs w:val="24"/>
        </w:rPr>
        <w:t xml:space="preserve">、拨付方式为：由甲方依照合同，将约定款项拨付至乙方账户上。</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四、知识产权</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乙方保证必须符合国家有关的法律、法规，乙方应保证甲方在使用、接受本合同服务或其任何一部分时不受第三方提出侵犯其专利权、版权、商标权等知识产权的起诉。一旦出现侵权，由乙方负全部责任。</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甲方委托的所有服务成果均由乙方所有，包括但不限于所有权、知识产权等；乙方对服务成果仅享有署名权。</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五、转包或分包</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1、本合同范围的服务，应由乙方直接供应，不得转让或分包他人供应。</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六、项目组织实施及管理</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1、乙方应按协商文件规定的项目需求实施服务。</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2、乙方必须积极配合上级行政主管部门以及财政等部门对本单位开展的项目监督检查、绩效评估以及资金使用的</w:t>
      </w:r>
      <w:r>
        <w:rPr>
          <w:rFonts w:hint="eastAsia" w:ascii="宋体" w:hAnsi="宋体" w:eastAsia="宋体" w:cs="宋体"/>
          <w:color w:val="000000"/>
          <w:sz w:val="24"/>
          <w:szCs w:val="24"/>
          <w:lang w:val="en-US"/>
        </w:rPr>
        <w:t xml:space="preserve">考核</w:t>
      </w:r>
      <w:r>
        <w:rPr>
          <w:rFonts w:hint="eastAsia" w:ascii="宋体" w:hAnsi="宋体" w:eastAsia="宋体" w:cs="宋体"/>
          <w:color w:val="000000"/>
          <w:sz w:val="24"/>
          <w:szCs w:val="24"/>
        </w:rPr>
        <w:t xml:space="preserve">等事宜。</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指定为负责人，联系方式。乙方指定为负责人，联系方式：。各方联系人全权负责本合同相关服务事项的确认。乙方应及时确认工作环境、条件和文件资料和甲方提出的通知、要求等，乙方在3日内未提出异议的，视为认可。</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七、组成本合同的文件</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（一）合同专用条款；</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（二）协商文件和乙方的响应文件；</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（三）成交通知书；</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（四）甲、乙、双方商定的其他必要文件：                                                  </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上述合同文件内容互为补充，如有不明确，由甲方负责解释。</w:t>
      </w:r>
      <w:r>
        <w:rPr>
          <w:rFonts w:hint="eastAsia" w:ascii="宋体" w:hAnsi="宋体" w:eastAsia="宋体" w:cs="宋体"/>
          <w:b/>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八、违约责任</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1、乙方未按合同约定的期限和要求完成服务内容的，每逾期一日，按照合同总金额的万分之五支付违约金；</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2、乙方提供的服务内容不符合甲方要求，乙方应无条件进行整改。</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3、乙方违法或者违反本合同约定转包或分包的，乙方应无条件立即整改。 </w:t>
      </w:r>
      <w:r>
        <w:rPr>
          <w:rFonts w:hint="eastAsia" w:ascii="宋体" w:hAnsi="宋体" w:eastAsia="宋体" w:cs="宋体"/>
          <w:color w:val="000000"/>
          <w:sz w:val="24"/>
          <w:szCs w:val="24"/>
        </w:rPr>
      </w:r>
      <w:r/>
    </w:p>
    <w:p>
      <w:pPr>
        <w:pStyle w:val="1001"/>
        <w:ind w:firstLine="420"/>
        <w:keepNext/>
        <w:pageBreakBefore w:val="0"/>
        <w:spacing w:line="360" w:lineRule="auto"/>
        <w:rPr>
          <w:rFonts w:hint="eastAsia" w:ascii="宋体" w:hAnsi="宋体" w:eastAsia="宋体" w:cs="宋体"/>
          <w:color w:val="000000"/>
          <w:sz w:val="24"/>
          <w:szCs w:val="28"/>
        </w:rPr>
      </w:pPr>
      <w:r>
        <w:rPr>
          <w:rFonts w:hint="eastAsia" w:ascii="宋体" w:hAnsi="宋体" w:eastAsia="宋体" w:cs="宋体"/>
          <w:color w:val="000000"/>
          <w:sz w:val="24"/>
          <w:szCs w:val="28"/>
          <w:lang w:val="en-US"/>
        </w:rPr>
        <w:t xml:space="preserve">4</w:t>
      </w:r>
      <w:r>
        <w:rPr>
          <w:rFonts w:hint="eastAsia" w:ascii="宋体" w:hAnsi="宋体" w:eastAsia="宋体" w:cs="宋体"/>
          <w:color w:val="000000"/>
          <w:sz w:val="24"/>
          <w:szCs w:val="28"/>
        </w:rPr>
        <w:t xml:space="preserve">、非因乙方过错造成项目无法执行的，甲方需向乙方支付已经发生的全部款项（乙方需提供己付款的相关证明）。</w:t>
      </w:r>
      <w:r>
        <w:rPr>
          <w:rFonts w:hint="eastAsia" w:ascii="宋体" w:hAnsi="宋体" w:eastAsia="宋体" w:cs="宋体"/>
          <w:color w:val="000000"/>
          <w:sz w:val="24"/>
          <w:szCs w:val="28"/>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除另有约定外，乙方有下列情形之一的，甲方有权单方解除合同：①未经甲方书面同意，将合同权利义务部分或全部转让给第三人；②经甲方监督检查后,不符合甲方要求，经2次以上通知整改，仍无法达到标准的；③未履行本合同约定其他义务，经甲方催告后7日内，仍未整改的。</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甲方依法或依据本合同约定解除本合同的，乙方应将甲方已经支付的、不符合服务要求的款项全额退回，并按照合同总金额的30%向甲方支付违约金，并承担相应的违约责任。如乙方支付的违约金不足以弥补由此给甲方造成的损失，乙方须继续履行赔偿责任，承担并支付一切费用。</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因服务区域不同、涉及交接服务对象的，必须配合接收服务的机构进行交接，不得出现推诿、扯皮、激化服务对象与接收服务机构的矛盾、上交问题等情况，如有违反，经甲方委托的评估机构评估后，甲方有权单方解除合同，并视情扣除应支付的服务费用。</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8、本合同中所约定的甲方损失，包括但不限于赔偿金、罚款、诉讼费、保全费、评估费、调查费、律师费等。</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9、发生任何上述情形，甲方有权从应支付给乙方的费用中直接扣除上述费用，不足以扣除的，乙方应在收到甲方通知后的7日内予以补足。</w:t>
      </w:r>
      <w:r>
        <w:rPr>
          <w:rFonts w:hint="eastAsia" w:ascii="宋体" w:hAnsi="宋体" w:eastAsia="宋体" w:cs="宋体"/>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10、以上各项交付的违约金并不影响乙方继续履行本合同的其他各项义务。</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九、保密条款</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对合同履行过程中，双方应对所获得或了解的对方的商业秘密，承担保密义务，未经对方事先的书面许可，不得利用或披露这些信息，否则对方有权追究其法律责任。</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十、不可抗力事件处理</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在合同有效期内，任何一方因不可抗力事件导致不能履行合同，则合同履行期可延长，其延长期与不可抗力影响期相同。</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十一、诉讼</w:t>
      </w:r>
      <w:r>
        <w:rPr>
          <w:rFonts w:hint="eastAsia" w:ascii="宋体" w:hAnsi="宋体" w:eastAsia="宋体" w:cs="宋体"/>
          <w:b/>
          <w:color w:val="000000"/>
          <w:sz w:val="24"/>
          <w:szCs w:val="24"/>
        </w:rPr>
      </w:r>
      <w:r/>
    </w:p>
    <w:p>
      <w:pPr>
        <w:pStyle w:val="969"/>
        <w:ind w:firstLine="420"/>
        <w:keepNex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双方在执行合同中所发生的一切争议，应通过协商解决。如协商不成，可向甲方所在地法院起诉。</w:t>
      </w:r>
      <w:r>
        <w:rPr>
          <w:rFonts w:hint="eastAsia" w:ascii="宋体" w:hAnsi="宋体" w:eastAsia="宋体" w:cs="宋体"/>
          <w:color w:val="000000"/>
          <w:sz w:val="24"/>
          <w:szCs w:val="24"/>
        </w:rPr>
      </w:r>
      <w:r/>
    </w:p>
    <w:p>
      <w:pPr>
        <w:pStyle w:val="969"/>
        <w:keepNext/>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十二、合同生效及其它</w:t>
      </w:r>
      <w:r>
        <w:rPr>
          <w:rFonts w:hint="eastAsia" w:ascii="宋体" w:hAnsi="宋体" w:eastAsia="宋体" w:cs="宋体"/>
          <w:b/>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需或所确定的所有通知、要求或其他通讯应以书面形式，通过亲自派送、挂号信函方式、传真方式、电子邮箱按下列（或此后重新书面指定）的传真号码或地址传送。任何通知、要求或通讯若以传真方式或电子邮件传送，将视为立即送达，若以邮寄方式传送，在寄出的七天后视为送达。一方若需变更通讯地址，应当及时通知对方。因接受方或其签收人原因导致接受方没有收到送达文件的，视为已送达。</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2、合同经双方法定代表人或授权委托代表人签字并加盖单位公章后生效。</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3、本合同未尽事宜，遵照《中华人民共和国民法典》有关条文执行。</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4、本合同正本一式五份，具有同等法律效力，甲方、乙方各执两份，代理采购机构备案一份。</w:t>
      </w:r>
      <w:r>
        <w:rPr>
          <w:rFonts w:hint="eastAsia" w:ascii="宋体" w:hAnsi="宋体" w:eastAsia="宋体" w:cs="宋体"/>
          <w:color w:val="000000"/>
          <w:sz w:val="24"/>
          <w:szCs w:val="24"/>
        </w:rPr>
      </w:r>
      <w:r/>
    </w:p>
    <w:p>
      <w:pPr>
        <w:pStyle w:val="969"/>
        <w:ind w:firstLine="413"/>
        <w:keepNext/>
        <w:pageBreakBefore w:val="0"/>
        <w:spacing w:line="240" w:lineRule="auto"/>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甲方：</w:t>
      </w:r>
      <w:r>
        <w:rPr>
          <w:rFonts w:hint="eastAsia" w:ascii="宋体" w:hAnsi="宋体" w:eastAsia="宋体" w:cs="宋体"/>
          <w:color w:val="000000"/>
          <w:sz w:val="24"/>
          <w:szCs w:val="24"/>
        </w:rPr>
        <w:t xml:space="preserve">（盖章）</w:t>
      </w:r>
      <w:r>
        <w:rPr>
          <w:rFonts w:hint="eastAsia" w:ascii="宋体" w:hAnsi="宋体" w:eastAsia="宋体" w:cs="宋体"/>
          <w:b/>
          <w:bCs/>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法定（授权）代表人：</w:t>
      </w:r>
      <w:r>
        <w:rPr>
          <w:rFonts w:hint="eastAsia" w:ascii="宋体" w:hAnsi="宋体" w:eastAsia="宋体" w:cs="宋体"/>
          <w:color w:val="000000"/>
          <w:sz w:val="24"/>
          <w:szCs w:val="24"/>
          <w:u w:val="single"/>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二〇二年月日</w:t>
      </w:r>
      <w:r>
        <w:rPr>
          <w:rFonts w:hint="eastAsia" w:ascii="宋体" w:hAnsi="宋体" w:eastAsia="宋体" w:cs="宋体"/>
          <w:color w:val="000000"/>
          <w:sz w:val="24"/>
          <w:szCs w:val="24"/>
        </w:rPr>
      </w:r>
      <w:r/>
    </w:p>
    <w:p>
      <w:pPr>
        <w:pStyle w:val="969"/>
        <w:ind w:firstLine="413"/>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乙方：</w:t>
      </w:r>
      <w:r>
        <w:rPr>
          <w:rFonts w:hint="eastAsia" w:ascii="宋体" w:hAnsi="宋体" w:eastAsia="宋体" w:cs="宋体"/>
          <w:color w:val="000000"/>
          <w:sz w:val="24"/>
          <w:szCs w:val="24"/>
        </w:rPr>
        <w:t xml:space="preserve">                          （盖章）</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法定（授权）代表人：</w:t>
      </w:r>
      <w:r>
        <w:rPr>
          <w:rFonts w:hint="eastAsia" w:ascii="宋体" w:hAnsi="宋体" w:eastAsia="宋体" w:cs="宋体"/>
          <w:color w:val="000000"/>
          <w:sz w:val="24"/>
          <w:szCs w:val="24"/>
          <w:u w:val="single"/>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二〇二年月日</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户名：                             开户银行：                     </w:t>
      </w:r>
      <w:r>
        <w:rPr>
          <w:rFonts w:hint="eastAsia" w:ascii="宋体" w:hAnsi="宋体" w:eastAsia="宋体" w:cs="宋体"/>
          <w:color w:val="000000"/>
          <w:sz w:val="24"/>
          <w:szCs w:val="24"/>
        </w:rPr>
      </w:r>
      <w:r/>
    </w:p>
    <w:p>
      <w:pPr>
        <w:pStyle w:val="969"/>
        <w:ind w:firstLine="420"/>
        <w:keepNext/>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                  </w:t>
      </w:r>
      <w:r>
        <w:rPr>
          <w:rFonts w:hint="eastAsia" w:ascii="宋体" w:hAnsi="宋体" w:eastAsia="宋体" w:cs="宋体"/>
          <w:color w:val="000000"/>
          <w:sz w:val="24"/>
          <w:szCs w:val="24"/>
        </w:rPr>
      </w:r>
      <w:r/>
    </w:p>
    <w:p>
      <w:pPr>
        <w:pStyle w:val="1104"/>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highlight w:val="none"/>
        </w:rPr>
      </w:pPr>
      <w:r/>
      <w:bookmarkEnd w:id="0"/>
      <w:r/>
      <w:bookmarkEnd w:id="1"/>
      <w:r/>
      <w:bookmarkEnd w:id="2"/>
      <w:r/>
      <w:bookmarkEnd w:id="3"/>
      <w:r/>
      <w:bookmarkEnd w:id="4"/>
      <w:r/>
      <w:bookmarkEnd w:id="5"/>
      <w:r/>
      <w:bookmarkStart w:id="121" w:name="_Toc49090575"/>
      <w:r/>
      <w:bookmarkStart w:id="122" w:name="_Toc26554093"/>
      <w:r/>
      <w:bookmarkStart w:id="123" w:name="_Toc462564139"/>
      <w:r/>
      <w:bookmarkStart w:id="124" w:name="_Toc479757211"/>
      <w:r>
        <w:rPr>
          <w:rFonts w:hint="eastAsia" w:ascii="方正小标宋简体" w:hAnsi="方正小标宋简体" w:eastAsia="方正小标宋简体" w:cs="方正小标宋简体"/>
          <w:color w:val="000000"/>
          <w:sz w:val="36"/>
          <w:szCs w:val="36"/>
          <w:highlight w:val="none"/>
        </w:rPr>
        <w:br w:type="column"/>
      </w:r>
      <w:r>
        <w:rPr>
          <w:rFonts w:hint="eastAsia" w:ascii="方正小标宋简体" w:hAnsi="方正小标宋简体" w:eastAsia="方正小标宋简体" w:cs="方正小标宋简体"/>
          <w:color w:val="000000"/>
          <w:sz w:val="36"/>
          <w:szCs w:val="36"/>
          <w:highlight w:val="none"/>
        </w:rPr>
        <w:t xml:space="preserve">第四章  采购需求</w:t>
      </w:r>
      <w:r>
        <w:rPr>
          <w:rFonts w:hint="eastAsia" w:ascii="方正小标宋简体" w:hAnsi="方正小标宋简体" w:eastAsia="方正小标宋简体" w:cs="方正小标宋简体"/>
          <w:color w:val="000000"/>
          <w:sz w:val="36"/>
          <w:szCs w:val="36"/>
          <w:highlight w:val="none"/>
        </w:rPr>
      </w:r>
      <w:r/>
    </w:p>
    <w:p>
      <w:pPr>
        <w:pStyle w:val="969"/>
        <w:ind w:firstLine="480"/>
        <w:keepNext/>
        <w:pageBreakBefore w:val="0"/>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项目属性：</w:t>
      </w:r>
      <w:r>
        <w:rPr>
          <w:rFonts w:hint="eastAsia" w:ascii="宋体" w:hAnsi="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69"/>
        <w:ind w:firstLine="482"/>
        <w:keepNext/>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包一：</w:t>
      </w:r>
      <w:r>
        <w:rPr>
          <w:rFonts w:hint="eastAsia" w:ascii="宋体" w:hAnsi="宋体" w:eastAsia="宋体" w:cs="Times New Roman"/>
          <w:color w:val="000000"/>
          <w:sz w:val="24"/>
          <w:szCs w:val="24"/>
          <w:highlight w:val="none"/>
          <w:lang w:val="en-US" w:eastAsia="zh-CN"/>
        </w:rPr>
        <w:t xml:space="preserve">2026年度六合区全行政区域地下管线动态维护探</w:t>
      </w:r>
      <w:r>
        <w:rPr>
          <w:rFonts w:hint="eastAsia" w:ascii="宋体" w:hAnsi="宋体"/>
          <w:color w:val="000000"/>
          <w:sz w:val="24"/>
          <w:szCs w:val="24"/>
          <w:highlight w:val="none"/>
          <w:lang w:val="en-US" w:eastAsia="zh-CN"/>
        </w:rPr>
        <w:t xml:space="preserve">测技术服务</w:t>
      </w:r>
      <w:r>
        <w:rPr>
          <w:rFonts w:hint="eastAsia" w:ascii="宋体" w:hAnsi="宋体" w:eastAsia="宋体" w:cs="宋体"/>
          <w:b/>
          <w:bCs/>
          <w:color w:val="000000"/>
          <w:sz w:val="24"/>
          <w:szCs w:val="24"/>
          <w:highlight w:val="none"/>
          <w:lang w:val="en-US" w:eastAsia="zh-CN"/>
        </w:rPr>
      </w:r>
      <w:r/>
    </w:p>
    <w:p>
      <w:pPr>
        <w:pStyle w:val="969"/>
        <w:ind w:firstLine="480"/>
        <w:keepNext/>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一、项目概况</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贯彻落实南京市政府《南京市城市地下管线数字化建设管理实施方案》（宁政发〔2014〕311号）（以下简称“实施方案”）的精神要求，六合区政府下发了《六合区城市地下管线普查工作方案》（六政发【2015】16号）（以下简称“工作方案”）。工作方案要求加快推进全区城市地下管线数字化建设和管理工作，</w:t>
      </w:r>
      <w:r>
        <w:rPr>
          <w:rFonts w:hint="eastAsia" w:ascii="宋体" w:hAnsi="宋体" w:eastAsia="宋体" w:cs="宋体"/>
          <w:color w:val="000000"/>
          <w:sz w:val="24"/>
          <w:szCs w:val="24"/>
          <w:highlight w:val="none"/>
          <w:lang w:val="en-US" w:eastAsia="zh-CN"/>
        </w:rPr>
        <w:t xml:space="preserve">确保完成城市地下管线普查、建立综合管理信息系统并进行动态维护的目标任务。六合区管线动态维护工作自公共区域普查完成后，逐年采购第三方技术服务单位进行管线地理空间信息更新，管线数据成果通过江苏省测绘产品质量监督检验站的检验和专家组的验收，总体质量满足技术规程的要求。按照要求，需要启动2026年度六合区全行政区域地下管线动态维护探测技术服务项目。主要工作内容为：1、对现有管线数据库的市政管线进行梳理、分析；2、对收集到的专业管线数据进行整合、更新入库；3、对全区道路覆盖巡视；4、对发现变化的管线道路进行现场测绘；</w:t>
      </w:r>
      <w:r>
        <w:rPr>
          <w:rFonts w:hint="eastAsia" w:ascii="宋体" w:hAnsi="宋体" w:eastAsia="宋体" w:cs="宋体"/>
          <w:color w:val="000000"/>
          <w:sz w:val="24"/>
          <w:szCs w:val="24"/>
          <w:highlight w:val="none"/>
          <w:lang w:val="en-US" w:eastAsia="zh-CN"/>
        </w:rPr>
        <w:t xml:space="preserve">5、根据相关政策及属地需求下发的管线修补任务。</w:t>
      </w:r>
      <w:r>
        <w:rPr>
          <w:rFonts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二、项目建设遵循标准</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A.《测绘成果质量检查与验收》 GB/T 24356-2023；</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B.《城市测量规范》 CJJ/T 8-2011；</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C.《城市地下管线探测技术规程》 CJJ61-2017；</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D.《江苏省城市地下管线信息管理系统技术规范》 DGJ32TJ 213-2016；（江苏省建设工程标准）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E.《南京市管线数据标准》 DB 3201/T 257-2020；（南京市地方标准）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F.《1:500 1:1000 1:2000 基础地理信息地形要素数据规范》DB 3201/T 282-2020（南京市地方标准）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G.《城市地下管线探测工程监理导则》RISN-TG011；</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H.《管线探测工程监理技术规程》DB3201/T 1002-2020；</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I.南京市规划和自然资源局规划监督测量相关技术标准。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（2）坐标系统</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坐标系执行2008南京地方坐标系、1985国家高程基准。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（3）管线修补测取舍标准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按管线的江苏省建设工程标准、南京市地方标准执行。</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三、建设目标</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管线基础地理信息动态维护范围为六合区管辖范围总面积约1295平方公里。</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动态维护的管线是指埋设于地下的各种管线、线缆以及露出地表和架空的管线（含管线设备与地表构筑物），包括城市管线和长输管线。管道包括给水（原水、自来水、中水、直饮水、输水长输）、再生水（城市杂用水、工业用水、景观环境用水、补充水源水、农业灌溉用水）、排水（污水、雨水和雨污合流）、燃气（煤气、天然气、液化气、燃气长输）、热力（蒸气、热水）、工业管道（包含氢、氧、乙炔、乙烯、油料、输油长输等）、综合管沟，线缆包括电力（供电、路灯、交通信号、广告、电车、输电长输）、信息与通信（通讯、有线电视、广播、通信长输）。</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四、地下管线动态维护的内容</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地下管线动态维护主要基于“南京市管线地理空间信息系统”内六合区管线数据，通过现场核实和管线修补测实现管线动态数据管理。主要内容为：</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1、数据治理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根据市管线中心下发的数据治理任务，进行外业修补测和内业修改。</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专项管线数据质量提升，对于库内空白区域进行修补测；并结合权属单位已有数据进行进一步对比分析。</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2、资料收集和外业巡查。</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管线工程资料收集，即城市规划市政报建案件、</w:t>
      </w:r>
      <w:r>
        <w:rPr>
          <w:rFonts w:hint="eastAsia" w:ascii="宋体" w:hAnsi="宋体" w:eastAsia="宋体" w:cs="宋体"/>
          <w:color w:val="000000"/>
          <w:sz w:val="24"/>
          <w:szCs w:val="24"/>
          <w:highlight w:val="none"/>
          <w:lang w:val="en-US" w:eastAsia="zh-CN"/>
        </w:rPr>
        <w:t xml:space="preserve">开挖许可证、</w:t>
      </w:r>
      <w:r>
        <w:rPr>
          <w:rFonts w:hint="eastAsia" w:ascii="宋体" w:hAnsi="宋体" w:eastAsia="宋体" w:cs="宋体"/>
          <w:color w:val="000000"/>
          <w:sz w:val="24"/>
          <w:szCs w:val="24"/>
          <w:highlight w:val="none"/>
          <w:lang w:val="en-US" w:eastAsia="zh-CN"/>
        </w:rPr>
        <w:t xml:space="preserve">权属单位实施的市政工程项目资料等相关资料的收集和整理，确定可能引起管线变化的工程地点和工作内容。</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外业巡查，即对本区域内的新建、改建、扩建的管线工程建设情况进行巡查，动态发现管线变化，为管线动态维护提供修补测的依据。外业巡查重点主要包括：（1）地面施工开挖；（2）新敷设管线；（3）未按要求实施的管线竣工测量的建设工程；（4）其它可能引起管线变更的情况</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p>
    <w:p>
      <w:pPr>
        <w:ind w:firstLine="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    3、管线现场核实。</w:t>
      </w: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甲方任务下发后，通过现场踏勘、人工巡查，核实现场管线地理空间信息有无变化，同时也包括通过资料收集和外业巡查发现的可能变化的管线。</w:t>
      </w:r>
      <w:r>
        <w:rPr>
          <w:rFonts w:hint="eastAsia" w:ascii="宋体" w:hAnsi="宋体" w:eastAsia="宋体" w:cs="宋体"/>
          <w:color w:val="000000"/>
          <w:sz w:val="24"/>
          <w:szCs w:val="24"/>
          <w:highlight w:val="none"/>
          <w:lang w:val="en-US" w:eastAsia="zh-CN"/>
        </w:rPr>
      </w:r>
      <w:r/>
    </w:p>
    <w:p>
      <w:pPr>
        <w:pStyle w:val="969"/>
        <w:numPr>
          <w:ilvl w:val="0"/>
          <w:numId w:val="5"/>
        </w:numPr>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整理和修补测。根据相关数据规范和采购人需求，对本项目范围内管线数据进行基础地理信息整理、对管线变化区域开展管线修测、对管线数据未覆盖区域开展补测。具体包括：（1）管线工程报建阶段申请管线数据时进行现场核实，核实有变化或无数据覆盖时开展范围面内修补测；（2）通过资料收集和外业巡查发现管线变化区域或管线数据未覆盖区域时需开展区域内修补测；（3）竣工测量数据入库接边存在问题，需要外业核查而实施的管线修补测。（4）在库数据质量提升，对在库数据进行分区、分级、分类管理。使数据主干成网、属性完备等。</w:t>
      </w:r>
      <w:r>
        <w:rPr>
          <w:rFonts w:hint="eastAsia" w:ascii="宋体" w:hAnsi="宋体" w:eastAsia="宋体" w:cs="宋体"/>
          <w:color w:val="000000"/>
          <w:sz w:val="24"/>
          <w:szCs w:val="24"/>
          <w:highlight w:val="none"/>
          <w:lang w:val="en-US" w:eastAsia="zh-CN"/>
        </w:rPr>
      </w:r>
      <w:r/>
    </w:p>
    <w:p>
      <w:pPr>
        <w:pStyle w:val="981"/>
        <w:numPr>
          <w:ilvl w:val="0"/>
          <w:numId w:val="5"/>
        </w:numPr>
        <w:keepNext/>
        <w:pageBreakBefore w:val="0"/>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为完成本项目所需要的其他测绘工作</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969"/>
        <w:ind w:firstLine="480"/>
        <w:keepNext/>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五、服务要求</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1、提交成果资料（包括但不限于）</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（1）技术设计书；</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（2）实施方案；</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（3）现场核实情况汇总表；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（4）外业巡查情况汇总表；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（5）各种检查和开挖验证记录（表）等；</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（6）检查报告；</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（7）实际完成的工作量统计和进度实施情况；</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（8）工作、技术总结报告书。</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2、其他注意事项</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（1）成交供应商应自备本项目使用的法规、标准和其他规划依据资料，该费用包含在投标报价中而不另行支付。</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（2）因管线数据涉及国家秘密，成交人供应商须与采购人签订保密协议，并严格遵守保密协议的规定。</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（3）成交人供应商应以创优为目标，加大科研创新投入，承诺力争本项目获得优秀工程或科技进步奖（如有）。</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（4）供应商必须具备独立完成本项目的能力。</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（5）因成交人供应商施工不当而造成采购人经济损失的，成交人供应商要负责赔偿造成的全部经济损失；采购人保留对成交人供应商提交交付成果质量的无限期追责的权利。</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投标文件中应承诺：供应商交付成果所有权归采购人所有。如若发生侵权事件，其侵权责任与采购人及招标代理机构无关，由供应商承担全部责任。侵权造成的所有相关费用，均由供应商支付，保证不伤害采购人的利益。</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（7）成果应经过省级及以上质监部门验收或专家验收。</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六、商务条款</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（一）响应要求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1、供应商应承诺严格执行招标文件要求和有关技术标准、规范要求，保质、保量、按时完成工作。</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lang w:val="en-US" w:eastAsia="zh-CN"/>
        </w:rPr>
        <w:t xml:space="preserve">已充分了解了本次采购的项目需求，对采购的服务内容及应用模式做了充分的评估，能够满足本次项目的目标。</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lang w:val="en-US" w:eastAsia="zh-CN"/>
        </w:rPr>
        <w:t xml:space="preserve">所提供的服务内容和服务质量能够满足采购文件的要求。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lang w:val="en-US" w:eastAsia="zh-CN"/>
        </w:rPr>
        <w:t xml:space="preserve">响应文件中提供的供应商资格、资质证明文件不存在隐瞒、与实际情况不符等情况，采购人有权在供应商成交后对供应商相关资质、资格和能力进行考察验证的权利，如果存在重大差异，有权取消或终止合同。</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（二）工期与进度要求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成交供应商应按甲方规定的任务和时间提交成果。具体工期和进度要求在作业前明确。成交供应商不得以任何理由拒绝。</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（三）报价要求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根据采购文件的要求，将完成本项目中测绘任务的人工（含食宿，交通，保险）、器械设备、外业巡查、现场核实、修补测、数据整理、税金、利润、采购代理费等费用按每公里折算，整合为综合单价。综合单价即为该项的响应报价，除非因特殊原因并经买卖双方协商同意，供应商不得再要求追加任何费用。同时，除非合同条款中另有规定，否则，供应商所报价格在合同实施期间不因市场变化因素而变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2、供应商必须根据测绘服务内容提交综合单价（“元/公里”），项目完工后按实际综合管线公里数和供应商的响应单价进行结算，总价最高限价160万元。</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3、根据测绘服务内容只需提交管线实测的综合单价（“元/公里”），管线实测综合单价的60%为管线修测的综合单价，管线实测综合单价的10%为管线数据整理融合的综合单价。</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（三）结算方法</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管线测量工作完成后，结算价格以“测绘服务综合单价×实际管线公里数”进行核算。成果验收通过后，结算价格以“综合单价×实际管线公里数”进行核算，最终结算时总价不得超过最高限价。实际管线公里数应是经采购人认定的管线公里总数。</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2、项目实施过程中采购人有权取消测绘服务采购清单中的某一或多项服务，实际结算价将扣除相应费用。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（四）项目付款</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1、付款进度：</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（1）完成项目任务，交付成果并验收通过后5个工作日内，采购人支付完成的实际工作量合同价款成交供应商必须开具实际工作量合同金额100%的正式税务发票）。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供应商充分理解并承诺</w:t>
      </w:r>
      <w:r>
        <w:rPr>
          <w:rFonts w:hint="eastAsia" w:ascii="宋体" w:hAnsi="宋体" w:eastAsia="宋体" w:cs="宋体"/>
          <w:color w:val="000000"/>
          <w:sz w:val="24"/>
          <w:szCs w:val="24"/>
          <w:highlight w:val="none"/>
          <w:lang w:val="en-US" w:eastAsia="zh-CN"/>
        </w:rPr>
        <w:t xml:space="preserve">：若政府资金不能及时到位，供应商亦有足够的自有资金确保本项目能按计划进度和质量得到完成。</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（五）现场踏勘</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采购人不统一组织供应商踏勘现场，供应商可自行踏勘现场，所发生费用由供应商自行承担。</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（六）成果维护期</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成果维护期一年，一年内成交供应商须免费提供成果维护。若发现存在漏测、漏查、数据质量存在问题等情况，成交供应商应免费进行成果修正。</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br w:type="page" w:clear="all"/>
      </w:r>
      <w:r>
        <w:rPr>
          <w:rFonts w:hint="eastAsia" w:ascii="黑体" w:hAnsi="黑体" w:eastAsia="黑体" w:cs="黑体"/>
          <w:color w:val="000000"/>
          <w:sz w:val="24"/>
          <w:szCs w:val="24"/>
          <w:highlight w:val="none"/>
          <w:lang w:val="en-US" w:eastAsia="zh-CN"/>
        </w:rPr>
        <w:t xml:space="preserve">包二：</w:t>
      </w:r>
      <w:r>
        <w:rPr>
          <w:rFonts w:hint="eastAsia" w:ascii="宋体" w:hAnsi="宋体" w:eastAsia="宋体" w:cs="Times New Roman"/>
          <w:color w:val="000000"/>
          <w:sz w:val="24"/>
          <w:szCs w:val="24"/>
          <w:highlight w:val="none"/>
          <w:lang w:val="en-US" w:eastAsia="zh-CN"/>
        </w:rPr>
        <w:t xml:space="preserve">2026年度六合区全行政区域地下管线动态维护监理技术服务</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一、项目概况</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地下管线是城市基础设施的重要组成部分，是保障城市运行的 "生命线"。根据《南京市城市地下管线数字化建设管理实施方案》要求，为持续保持六合区现有管线库中管线数据的现势性、准确性和完整性，保障管线数据质量，做好管线数据免费提供工作，南京市规划和自然资源局六合分局按年度持续开展六合区行政区域地下管线信息动态维护工作。本项目为该动态维护工作的监理服务项目，旨在对地下管线动态维护测绘工作实施全过程质量监督与控制，确保管线成果质量符合相关技术标准和规范要求。</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二、项目建设遵循标准</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24356-2023《测绘成果质量检查与验收》；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35644-2017《地下管线数据获取规程》；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39616-2020《卫星导航定位基准站网络实时动态测量（RTK）规范》；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CJJ 61-2017《城市地下管线探测技术规程》；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CJJ/T 7-2017《城市工程地球物理探测标准》；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CJJ/T 8-2011《城市测量规范》；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CJJ/T 73-2010《卫星定位城市测量技术规范》；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CH/T 1033-2014《管线测量成果质量检验技术规程》；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CH/T 6002-2015《管线测绘技术规程》；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RISN-TG011《城市地下管线探测工程监理导则》；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《江苏省测绘监理管理办法》；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DB 3201/T 257-2020《南京市管线数据标准》； </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与本项目工作内容相关的其他规范性文件。</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（2）坐标系统</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坐标系执行2008南京地方坐标系、1985国家高程基准。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（3）管线修补测取舍标准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按管线的江苏省建设工程标准、南京市地方标准执行。</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三、建设目标</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管线基础地理信息动态维护范围为六合区管辖范围总面积约1295平方公里。</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本次动态维护的管线是指埋设于地下的各种管线、线缆以及露</w:t>
      </w:r>
      <w:r>
        <w:rPr>
          <w:rFonts w:hint="eastAsia" w:ascii="宋体" w:hAnsi="宋体" w:eastAsia="宋体" w:cs="宋体"/>
          <w:color w:val="000000"/>
          <w:sz w:val="24"/>
          <w:szCs w:val="24"/>
          <w:highlight w:val="none"/>
          <w:lang w:val="en-US" w:eastAsia="zh-CN"/>
        </w:rPr>
        <w:t xml:space="preserve">出地表和架空的管线（含管线设备与地表构筑物），包括城市管线和长输管线。管道包括给水（原水、自来水、中水、直饮水、输水长输）、再生水（城市杂用水、工业用水、景观环境用水、补充水源水、农业灌溉用水）、排水（污水、雨水和雨污合流）、燃气（煤气、天然气、液化气、燃气长输）、热力（蒸气、热水）、工业管道（包含氢、氧、乙炔、乙烯、油料、输油长输等）、综合管沟，线缆包括电力（供电、路灯、交通信号、广告、电车、输电长输）、信息与通信（通讯、有线电视、广播、通信长输）。本项目要求对管线地理空间信息动态维护内容进行全过程监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四、地下管线动态维护监理的内容</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1、总体内容如下：</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（1）工程监理是对地下管线动态维护工作各工序、各环节实施全过程的质量控制，并为管线成果验收提供依据。</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（2）工程监理由监理单位全权负责，工程监理单位确定后，由监理单位制定出《六合区全行政区域动态维护探测监理服务项目监理实施细则》，并报甲方备案。</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理的工作内容包括：a、工程质量控制；b、工程进度控制，专项管线数据质量提升情况的控制；c、外业巡查情况的控制；d、现场核实情况的控制；e、管线修补测情况的控制；f、地上地下管线数据一体化融合情况的控制；g、专项管线数据质量提升情况的控制；h、信息管理；j、工程投资控制；k、组织协调；l、合同管理；m、对管线竣工汇交成果外业核实和内业接边处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2、具体内容包括：</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（1）对施工队伍开始实施工程直至提交成果的全过程实施和合同履行监理。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（2）物探探查作业监理是采用作业巡视检查、明显管线点重复量测检查、隐蔽管线点仪器重复探查检查和开挖检查等方法，对管线修补测作业全过程进行质量监理。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（3）对施工单位进行控制测量、管线点坐标数据采集、带状图修测、管线图编绘等测绘作业全过程中实施测绘作业监理。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（4）计算机数据监理是在探测单位提交计算机数据文件后，进行数据文件的逻辑查错检查、普查数据入库检查、数据一致性检查。</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（5）管线整理和补测成果资料监理是探测单位提交全部修补测成果后，监理人员对修补测成果的质量进行检查。</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（6）对非公共区域管线探测管线数据的未覆盖区域开展管线测量工作进行检查。</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依据《南京市地上地下管线数据一体化融合专业技术设计书》，对获取地上管线数据及平面位置、高程、埋深（负高度）、走向(流向)、规格、材质、管线性质、权属单位以及管线附属构筑物信息进行检查，对地上管线接边入库及生成的三维模型进行检查。</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（8）不定期地对地下管线竣工测量过程进行督查、对成果质量进行抽检。</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（9）不定期地对管线竣工汇交的成果进行外业抽查核实，对竣工测量管线成果进行接边处理入库。</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（10）监理人员在工程结束后应向甲方提交专业监理技术报告，工程结束提交总体工程监理报告。</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五、监理方案要求：</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（1）对照招标项目需求以及本次探测普查项目的要求，提供详细的监理方案，主要包括：</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（2）项目技术需求响应方案（包括监理技术措施、监理组织计划、质量保证体系等）</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（3）监理组织计划（包括人员组织、进度计划及控制措施等）及质量保证体系</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（4）监理技术标准，监理成果的数据格式、数据结构, 数据逻辑处理方案</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（5）监理成果文件编制、资料归档等。</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（6）提供项目实施要求响应方案（包括配置的项目负责人、技术人员情况及经验、工期安排、质量保证等）；</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六、服务要求：</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应建立专门人员的服务队伍，以响应文件中所列明的人员为准，拟投入本项目的人员为本项目专职人员，不得兼职于其他项目；实施过程中不经甲方许可，成交供应商不得更换相关人员；允许更换人员的比例最多不得超过30%，且总监理工程师不得更换，否则以违约论处。</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（2）项目实施过程中，成交供应商应积极配合做好采购人的其他相关项目，确保管线地理空间信息系统数据统一集中管理。</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（3）项目实施过程中，如遇单位、小区不配合而项目受阻，成交供应商应与探测单位积极主动协调解决。</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（4）成交供应商应对项目实施期间严格遵守相关保密规定，并在项目成果移交、验收完成后，一个月内销毁全部项目数据。</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（5）成交供应商必须取得采购人书面批准才能行使下列职权：</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eq \o\ac(○,1)</w:instrTex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批准工作量变更；</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eq \o\ac(○,2)</w:instrTex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工期顺延及费用索赔的认可或确认；</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eq \o\ac(○,3)</w:instrTex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付款的审核及确认（含索赔）；</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eq \o\ac(○,4)</w:instrTex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开工/停工（在紧急状态下的情况除外）/复工/完工指令。成交供应商必须书面向探测单位告知上述职权，否则视为成交供应商违约。成交供应商单独作出的上述事项认可或确认，采购人不承认任何法律责任。。</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七、服务成果要求</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1、提交成果资料（包括但不限于）</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（1）监理实施细则；</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（2）会议纪要；</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（3）监理检查过程文件；</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（4）监理日志；</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（5）监理月报；</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（6）各工序产品质量评估报告；</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（7）监理工作、技术总结；</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（8）其它监理资料。</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2、其他注意事项</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（1）成交供应商应自备本项目使用的法规、标准和其他规划依据资料，该费用包含在响应报价中而不另行支付。</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（2）因管线数据涉及国家秘密，成交供应商须与采购人签订保密协议，并严格遵守保密协议的规定。</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（3）供应商必须具备独立完成本项目的能力。</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（4）因成交供应商施工不当而造成采购人经济损失的，成交供应商要负责赔偿造成的全部经济损失；采购人保留对成交供应商提交交付成果质量的无限期追责的权利。</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响应文件中应承诺</w:t>
      </w:r>
      <w:r>
        <w:rPr>
          <w:rFonts w:hint="eastAsia" w:ascii="宋体" w:hAnsi="宋体" w:eastAsia="宋体" w:cs="宋体"/>
          <w:color w:val="000000"/>
          <w:sz w:val="24"/>
          <w:szCs w:val="24"/>
          <w:highlight w:val="none"/>
          <w:lang w:val="en-US" w:eastAsia="zh-CN"/>
        </w:rPr>
        <w:t xml:space="preserve">：成交后交付的成果所有权归采购人所有。如若发生侵权事件，其侵权责任与采购人及招标代理机构无关，由供应商承担全部责任。侵权造成的所有相关费用，均由供应商支付，保证不伤害采购人的利益。</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八、商务条款</w:t>
      </w:r>
      <w:r>
        <w:rPr>
          <w:rFonts w:hint="eastAsia" w:ascii="黑体" w:hAnsi="黑体" w:eastAsia="黑体" w:cs="黑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（一）响应要求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lang w:val="en-US" w:eastAsia="zh-CN"/>
        </w:rPr>
        <w:t xml:space="preserve">严格执行招标文件要求和有关技术标准、规范要求，保质、保量、按时完成工作。</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lang w:val="en-US" w:eastAsia="zh-CN"/>
        </w:rPr>
        <w:t xml:space="preserve">所提供的服务内容和服务质量能够满足采购文件的要求。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lang w:val="en-US" w:eastAsia="zh-CN"/>
        </w:rPr>
        <w:t xml:space="preserve">响应文件中提供的供应商资格、资质证明文件不存在隐瞒、与实际情况不符等情况，采购人有权在供应商成交后对供应商相关资质、资格和能力进行考察验证的权利，如果存在重大差异，有权取消或终止合同。</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（二）报价要求</w:t>
      </w:r>
      <w:r>
        <w:rPr>
          <w:rFonts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根据采购文件的要求，将完成本项目中测绘监理任务的人工（含食宿，交通，保险）、器械设备、外业巡查、现场核实、税金、利润、采购代理费等费用按每公里折算，整合为综合单价。综合单价即为该项的响应报价，除非因特殊原因并经买卖双方协商同意，供应商不得再要求追加任何费用。同时，除非合同条款中另有规定，否则，供应商所报价格在合同实施期间不因市场变化因素而变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（三）结算方法</w:t>
      </w:r>
      <w:r>
        <w:rPr>
          <w:rFonts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1、供应商必须根据测绘监理服务内容提交综合单价（“元/公里”），项目完工后按实际综合管线公里数和供应商的相应响应单价进行结算，总价最高限价20万元。</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2、根据测绘监理服务内容只需提交监理综合单价（“元/公里”），监理综合单价的50%为管线竣工测量成果汇交检查接边的综合单价。</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3、根据测绘监理服务内容需提交监理综合单价(“元/公里”)，监理综合单价的20%为管线数据整理融合成果检查的综合单价。</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（四）工期与进度要求</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成交供应商应按甲方规定的任务和时间提交成果。具体工期和进度要求在作业前明确。成交供应商不得以任何理由拒绝。</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（五）项目付款</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1、付款进度：</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根据成交供应商实际完成工作量支付合同款，完成探测普查（修测）或监理任务，交付成果并验收通过后5个工作日内，采购人支付完成的实际工作量合同价款（成交供应商必须开具实际工作量合同金额100%的正式税务发票）。</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供应商充分理解并承诺</w:t>
      </w:r>
      <w:r>
        <w:rPr>
          <w:rFonts w:hint="eastAsia" w:ascii="宋体" w:hAnsi="宋体" w:eastAsia="宋体" w:cs="宋体"/>
          <w:color w:val="000000"/>
          <w:sz w:val="24"/>
          <w:szCs w:val="24"/>
          <w:highlight w:val="none"/>
          <w:lang w:val="en-US" w:eastAsia="zh-CN"/>
        </w:rPr>
        <w:t xml:space="preserve">：若政府资金不能及时到位，供应商亦有足够的自有资金确保本项目能按计划进度和质量得到完成。</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（六）现场踏勘</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采购人不统一组织供应商踏勘现场，供应商可自行踏勘现场，所发生费用由供应商自行承担。</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（七）成果维护期</w:t>
      </w:r>
      <w:r>
        <w:rPr>
          <w:rFonts w:hint="eastAsia" w:ascii="宋体" w:hAnsi="宋体" w:eastAsia="宋体" w:cs="宋体"/>
          <w:color w:val="000000"/>
          <w:sz w:val="24"/>
          <w:szCs w:val="24"/>
          <w:highlight w:val="none"/>
          <w:lang w:val="en-US" w:eastAsia="zh-CN"/>
        </w:rPr>
      </w:r>
      <w:r/>
    </w:p>
    <w:p>
      <w:pPr>
        <w:pStyle w:val="969"/>
        <w:ind w:firstLine="480"/>
        <w:keepNext/>
        <w:pageBreakBefore w:val="0"/>
        <w:spacing w:line="264"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成果维护期一年，一年内成交供应商须免费提供成果维护。若发现存在漏测、漏查、数据质量存在问题等情况，成交供应商应免费进行成果修正。</w:t>
      </w:r>
      <w:r>
        <w:rPr>
          <w:rFonts w:ascii="宋体" w:hAnsi="宋体" w:eastAsia="宋体" w:cs="宋体"/>
          <w:color w:val="000000"/>
          <w:sz w:val="24"/>
          <w:szCs w:val="24"/>
          <w:highlight w:val="none"/>
          <w:lang w:val="en-US" w:eastAsia="zh-CN"/>
        </w:rPr>
      </w:r>
      <w:r/>
    </w:p>
    <w:p>
      <w:pPr>
        <w:pStyle w:val="969"/>
        <w:jc w:val="center"/>
        <w:keepNext/>
        <w:pageBreakBefore w:val="0"/>
        <w:rPr>
          <w:rFonts w:hint="eastAsia" w:ascii="黑体" w:hAnsi="Times New Roman" w:eastAsia="黑体"/>
          <w:bCs/>
          <w:color w:val="000000"/>
          <w:sz w:val="44"/>
          <w:szCs w:val="28"/>
          <w:highlight w:val="none"/>
        </w:rPr>
        <w:outlineLvl w:val="0"/>
      </w:pPr>
      <w:r/>
      <w:bookmarkStart w:id="125" w:name="_Toc120614281"/>
      <w:r>
        <w:rPr>
          <w:rFonts w:hint="eastAsia" w:ascii="黑体" w:hAnsi="Times New Roman" w:eastAsia="黑体"/>
          <w:color w:val="000000"/>
          <w:sz w:val="44"/>
          <w:szCs w:val="44"/>
          <w:highlight w:val="none"/>
        </w:rPr>
        <w:br w:type="page" w:clear="all"/>
      </w:r>
      <w:r>
        <w:rPr>
          <w:rFonts w:hint="eastAsia" w:ascii="黑体" w:hAnsi="Times New Roman" w:eastAsia="黑体"/>
          <w:color w:val="000000"/>
          <w:sz w:val="44"/>
          <w:szCs w:val="44"/>
          <w:highlight w:val="none"/>
        </w:rPr>
        <w:t xml:space="preserve">第五章  评审方法与评审标准</w:t>
      </w:r>
      <w:r>
        <w:rPr>
          <w:rFonts w:hint="eastAsia" w:ascii="黑体" w:hAnsi="Times New Roman" w:eastAsia="黑体"/>
          <w:bCs/>
          <w:color w:val="000000"/>
          <w:sz w:val="44"/>
          <w:szCs w:val="28"/>
          <w:highlight w:val="none"/>
        </w:rPr>
      </w:r>
      <w:r/>
    </w:p>
    <w:p>
      <w:pPr>
        <w:pStyle w:val="969"/>
        <w:ind w:firstLine="420"/>
        <w:keepNext/>
        <w:pageBreakBefore w:val="0"/>
        <w:spacing w:line="264"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9"/>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rPr>
          <w:rFonts w:hint="eastAsia" w:ascii="黑体" w:hAnsi="黑体" w:eastAsia="黑体" w:cs="黑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磋商小组按照评审总分由高到低顺序推荐</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成交候选供应商，并编写评审报告。评审得分相同的，按照最后报价由低到高的顺序推荐。</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lang w:eastAsia="zh-CN"/>
        </w:rPr>
        <w:t xml:space="preserve">（本次采购不涉及</w:t>
      </w:r>
      <w:r>
        <w:rPr>
          <w:rFonts w:hint="eastAsia" w:ascii="黑体" w:hAnsi="黑体" w:eastAsia="黑体" w:cs="黑体"/>
          <w:color w:val="000000"/>
          <w:sz w:val="24"/>
          <w:szCs w:val="24"/>
          <w:highlight w:val="none"/>
          <w:lang w:val="zh-CN" w:eastAsia="zh-CN"/>
        </w:rPr>
        <w:t xml:space="preserve">本国产品</w:t>
      </w:r>
      <w:r>
        <w:rPr>
          <w:rFonts w:hint="eastAsia" w:ascii="黑体" w:hAnsi="黑体" w:eastAsia="黑体" w:cs="黑体"/>
          <w:color w:val="000000"/>
          <w:sz w:val="24"/>
          <w:szCs w:val="24"/>
          <w:highlight w:val="none"/>
          <w:lang w:val="en-US" w:eastAsia="zh-CN"/>
        </w:rPr>
        <w:t xml:space="preserve">20%扣除</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969"/>
        <w:ind w:firstLine="480"/>
        <w:keepNext/>
        <w:pageBreakBefore w:val="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1.本</w:t>
      </w:r>
      <w:r>
        <w:rPr>
          <w:rFonts w:hint="eastAsia" w:ascii="宋体" w:hAnsi="宋体" w:cs="宋体"/>
          <w:color w:val="000000"/>
          <w:sz w:val="24"/>
          <w:szCs w:val="24"/>
          <w:highlight w:val="none"/>
        </w:rPr>
        <w:t xml:space="preserve">项目如</w:t>
      </w:r>
      <w:r>
        <w:rPr>
          <w:rFonts w:hint="eastAsia" w:ascii="宋体" w:hAnsi="宋体" w:cs="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s="宋体"/>
          <w:color w:val="000000"/>
          <w:sz w:val="24"/>
          <w:szCs w:val="24"/>
          <w:highlight w:val="none"/>
          <w:lang w:val="zh-CN"/>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2.如本</w:t>
      </w:r>
      <w:r>
        <w:rPr>
          <w:rFonts w:hint="eastAsia" w:ascii="宋体" w:hAnsi="宋体" w:cs="宋体"/>
          <w:color w:val="000000"/>
          <w:sz w:val="24"/>
          <w:szCs w:val="24"/>
          <w:highlight w:val="none"/>
          <w:lang w:val="zh-CN"/>
        </w:rPr>
        <w:t xml:space="preserve">项目或者</w:t>
      </w: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lang w:val="zh-CN"/>
        </w:rPr>
        <w:t xml:space="preserve">采购包中含有多种产品，供应商为</w:t>
      </w:r>
      <w:r>
        <w:rPr>
          <w:rFonts w:hint="eastAsia" w:ascii="宋体" w:hAnsi="宋体" w:cs="宋体"/>
          <w:color w:val="000000"/>
          <w:sz w:val="24"/>
          <w:szCs w:val="24"/>
          <w:highlight w:val="none"/>
        </w:rPr>
        <w:t xml:space="preserve">本</w:t>
      </w:r>
      <w:r>
        <w:rPr>
          <w:rFonts w:hint="eastAsia" w:ascii="宋体" w:hAnsi="宋体" w:cs="宋体"/>
          <w:color w:val="000000"/>
          <w:sz w:val="24"/>
          <w:szCs w:val="24"/>
          <w:highlight w:val="none"/>
          <w:lang w:val="zh-CN"/>
        </w:rPr>
        <w:t xml:space="preserve">项目或者</w:t>
      </w: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lang w:val="zh-CN"/>
        </w:rPr>
        <w:t xml:space="preserve">采购包提供的符合本国产品标准的产品成本之和占该供应商提供的全部产品成本之和的比例达到80%以上时，依法</w:t>
      </w:r>
      <w:r>
        <w:rPr>
          <w:rFonts w:hint="eastAsia" w:ascii="宋体" w:hAnsi="宋体" w:cs="宋体"/>
          <w:color w:val="000000"/>
          <w:sz w:val="24"/>
          <w:szCs w:val="24"/>
          <w:highlight w:val="none"/>
        </w:rPr>
        <w:t xml:space="preserve">对该供应商提供的全部产品给予价格评审优惠，即对该供应商提供的全部产品的总报价给予20%的价格扣除，用扣除后的价格参与评审。</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969"/>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1.本项目专门面向中小企业采购，服务全部由符合政策要求中小企业承接。供应商须按财库〔2020〕46 号格式提供《中小企业声明函》，未提供的资格审查不合格。大型企业不得参与本项目。本项目不实行小微企业价格扣除评审优惠。残疾人福利性单位、监狱企业视同小微企业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69"/>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rPr>
        <w:t xml:space="preserve">三、评审标准</w:t>
      </w:r>
      <w:r>
        <w:rPr>
          <w:rFonts w:hint="eastAsia" w:ascii="黑体" w:hAnsi="黑体" w:eastAsia="黑体" w:cs="黑体"/>
          <w:color w:val="000000"/>
          <w:sz w:val="24"/>
          <w:szCs w:val="24"/>
          <w:highlight w:val="none"/>
        </w:rPr>
      </w:r>
      <w:r/>
    </w:p>
    <w:p>
      <w:pPr>
        <w:pStyle w:val="1089"/>
        <w:ind w:firstLine="721"/>
        <w:keepNext/>
        <w:pageBreakBefore w:val="0"/>
        <w:rPr>
          <w:rFonts w:hint="eastAsia" w:ascii="宋体" w:hAnsi="宋体" w:eastAsia="宋体" w:cs="宋体"/>
          <w:b/>
          <w:color w:val="000000"/>
          <w:lang w:val="zh-CN" w:bidi="zh-CN"/>
        </w:rPr>
      </w:pPr>
      <w:r>
        <w:rPr>
          <w:rFonts w:hint="eastAsia" w:ascii="宋体" w:hAnsi="宋体" w:eastAsia="宋体" w:cs="宋体"/>
          <w:b/>
          <w:color w:val="000000"/>
          <w:lang w:val="zh-CN" w:bidi="zh-CN"/>
        </w:rPr>
        <w:t xml:space="preserve">包一：</w:t>
      </w:r>
      <w:r>
        <w:rPr>
          <w:rFonts w:hint="eastAsia" w:ascii="宋体" w:hAnsi="宋体" w:eastAsia="宋体" w:cs="Times New Roman"/>
          <w:color w:val="000000"/>
          <w:sz w:val="24"/>
          <w:szCs w:val="24"/>
          <w:highlight w:val="none"/>
          <w:lang w:val="en-US" w:eastAsia="zh-CN"/>
        </w:rPr>
        <w:t xml:space="preserve">2026年度六合区全行政区域地下管线动态维护探</w:t>
      </w:r>
      <w:r>
        <w:rPr>
          <w:rFonts w:hint="eastAsia" w:ascii="宋体" w:hAnsi="宋体"/>
          <w:color w:val="000000"/>
          <w:sz w:val="24"/>
          <w:szCs w:val="24"/>
          <w:highlight w:val="none"/>
          <w:lang w:val="en-US" w:eastAsia="zh-CN"/>
        </w:rPr>
        <w:t xml:space="preserve">测技术服务</w:t>
      </w:r>
      <w:r>
        <w:rPr>
          <w:rFonts w:hint="eastAsia" w:ascii="宋体" w:hAnsi="宋体" w:eastAsia="宋体" w:cs="宋体"/>
          <w:b/>
          <w:color w:val="000000"/>
          <w:lang w:val="zh-CN" w:bidi="zh-CN"/>
        </w:rPr>
      </w:r>
      <w:r/>
    </w:p>
    <w:tbl>
      <w:tblPr>
        <w:tblW w:w="98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855"/>
        <w:gridCol w:w="7845"/>
        <w:gridCol w:w="666"/>
      </w:tblGrid>
      <w:tr>
        <w:trPr>
          <w:cantSplit/>
          <w:trHeight w:val="284"/>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评分因素</w:t>
            </w:r>
            <w:r>
              <w:rPr>
                <w:rFonts w:hint="eastAsia" w:ascii="宋体" w:hAnsi="宋体" w:cs="宋体"/>
                <w:color w:val="000000"/>
                <w:sz w:val="24"/>
                <w:szCs w:val="24"/>
                <w:highlight w:val="none"/>
              </w:rPr>
            </w:r>
            <w:r/>
          </w:p>
        </w:tc>
        <w:tc>
          <w:tcPr>
            <w:tcW w:w="784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hint="eastAsia" w:ascii="宋体" w:hAnsi="宋体" w:cs="宋体"/>
                <w:color w:val="000000"/>
                <w:sz w:val="24"/>
                <w:szCs w:val="24"/>
                <w:highlight w:val="none"/>
              </w:rPr>
            </w:r>
            <w:r/>
          </w:p>
        </w:tc>
      </w:tr>
      <w:tr>
        <w:trPr>
          <w:cantSplit/>
          <w:trHeight w:val="994"/>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w:t>
            </w:r>
            <w:r>
              <w:rPr>
                <w:rFonts w:hint="eastAsia" w:ascii="宋体" w:hAnsi="宋体" w:cs="宋体"/>
                <w:color w:val="000000"/>
                <w:sz w:val="24"/>
                <w:szCs w:val="24"/>
                <w:highlight w:val="none"/>
              </w:rPr>
            </w:r>
            <w:r/>
          </w:p>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文件要求且</w:t>
            </w:r>
            <w:r>
              <w:rPr>
                <w:rFonts w:hint="eastAsia" w:ascii="宋体" w:hAnsi="宋体" w:cs="宋体"/>
                <w:color w:val="000000"/>
                <w:sz w:val="24"/>
                <w:szCs w:val="24"/>
                <w:highlight w:val="none"/>
                <w:lang w:eastAsia="zh-CN"/>
              </w:rPr>
              <w:t xml:space="preserve">响应</w:t>
            </w:r>
            <w:r>
              <w:rPr>
                <w:rFonts w:hint="eastAsia" w:ascii="宋体" w:hAnsi="宋体" w:cs="宋体"/>
                <w:color w:val="000000"/>
                <w:sz w:val="24"/>
                <w:szCs w:val="24"/>
                <w:highlight w:val="none"/>
              </w:rPr>
              <w:t xml:space="preserve">价格最低的报价为评标基准价，其价格分为满分；其他供应商的价格分统一按照下列公式计算：报价得分=（评标基准价/</w:t>
            </w:r>
            <w:r>
              <w:rPr>
                <w:rFonts w:hint="eastAsia" w:ascii="宋体" w:hAnsi="宋体" w:cs="宋体"/>
                <w:color w:val="000000"/>
                <w:sz w:val="24"/>
                <w:szCs w:val="24"/>
                <w:highlight w:val="none"/>
                <w:lang w:eastAsia="zh-CN"/>
              </w:rPr>
              <w:t xml:space="preserve">响应</w:t>
            </w:r>
            <w:r>
              <w:rPr>
                <w:rFonts w:hint="eastAsia" w:ascii="宋体" w:hAnsi="宋体" w:cs="宋体"/>
                <w:color w:val="000000"/>
                <w:sz w:val="24"/>
                <w:szCs w:val="24"/>
                <w:highlight w:val="none"/>
              </w:rPr>
              <w:t xml:space="preserve">报价）×1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（小数点保留两位）。</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cantSplit/>
          <w:trHeight w:val="1136"/>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技术方案10分</w:t>
            </w:r>
            <w:r>
              <w:rPr>
                <w:rFonts w:hint="eastAsia" w:ascii="宋体" w:hAnsi="宋体" w:cs="宋体"/>
                <w:color w:val="000000"/>
                <w:sz w:val="24"/>
                <w:szCs w:val="24"/>
                <w:highlight w:val="none"/>
              </w:rPr>
            </w:r>
            <w:r/>
          </w:p>
        </w:tc>
        <w:tc>
          <w:tcPr>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评委根据供应商针对本项目编制的技术方案的技术先进性、方案周密性、思路清晰合理性、可操作性、科学性酌情评分；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①技术先进、方案周密、思路清晰合理、可操作性强、科学性先进的得10分；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②技术较先进、方案较周密、思路较清晰合理、可操作性较强、科学性较先进的得7分；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③技术</w:t>
            </w:r>
            <w:r>
              <w:rPr>
                <w:rFonts w:hint="eastAsia" w:ascii="宋体" w:hAnsi="宋体" w:cs="宋体"/>
                <w:color w:val="000000"/>
                <w:sz w:val="24"/>
                <w:szCs w:val="24"/>
                <w:highlight w:val="none"/>
                <w:lang w:eastAsia="zh-CN"/>
              </w:rPr>
              <w:t xml:space="preserve">不够先进</w:t>
            </w:r>
            <w:r>
              <w:rPr>
                <w:rFonts w:hint="eastAsia" w:ascii="宋体" w:hAnsi="宋体" w:cs="宋体"/>
                <w:color w:val="000000"/>
                <w:sz w:val="24"/>
                <w:szCs w:val="24"/>
                <w:highlight w:val="none"/>
              </w:rPr>
              <w:t xml:space="preserve">、方案内容较简单、思路不太清晰合理、可操作性一般、缺乏科学性得4分；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④方案编制没有重大偏离的，得基本分1分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未作说明的不得分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666"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cantSplit/>
          <w:trHeight w:val="1743"/>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项目管理方案10分</w:t>
            </w:r>
            <w:r>
              <w:rPr>
                <w:rFonts w:hint="eastAsia" w:ascii="宋体" w:hAnsi="宋体" w:cs="宋体"/>
                <w:color w:val="000000"/>
                <w:sz w:val="24"/>
                <w:szCs w:val="24"/>
                <w:highlight w:val="none"/>
              </w:rPr>
            </w:r>
            <w:r/>
          </w:p>
        </w:tc>
        <w:tc>
          <w:tcPr>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评委根据供应商针对本项目所提供的项目管理方案（包括：对单位组织机构设置是否全备、各项制度是否健全、责任分工是否明确、是否成立调查项目组织等）进行综合评定：</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①方案详细完整、制度健全、分工明确，完全满足或优于项目要求的得10分；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②方案较完整、制度较健全，分工较合理，能满足项目要求的得7分；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③方案略简单、制度及分工有所欠缺的，较能满足项目需求的得4分；</w:t>
            </w:r>
            <w:r>
              <w:rPr>
                <w:rFonts w:hint="eastAsia" w:ascii="宋体" w:hAnsi="宋体" w:cs="宋体"/>
                <w:color w:val="000000"/>
                <w:sz w:val="24"/>
                <w:szCs w:val="24"/>
                <w:highlight w:val="none"/>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④方案粗略、制度及分工明显存在缺陷的得1分。未作说明的不得分。</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cantSplit/>
          <w:trHeight w:val="284"/>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安全保密制度及应对措施10分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评委根据供应商针对本项目所制定的保密管理制度及应对措施进行综合评定：</w:t>
            </w:r>
            <w:r>
              <w:rPr>
                <w:rFonts w:hint="eastAsia" w:ascii="宋体" w:hAnsi="宋体" w:cs="宋体"/>
                <w:color w:val="000000"/>
                <w:sz w:val="24"/>
                <w:szCs w:val="24"/>
                <w:highlight w:val="none"/>
              </w:rPr>
            </w:r>
            <w:r/>
          </w:p>
          <w:p>
            <w:pPr>
              <w:pStyle w:val="969"/>
              <w:numPr>
                <w:ilvl w:val="0"/>
                <w:numId w:val="0"/>
              </w:numP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①制度及措施科学合理、可行性强、全面完善的得10分；</w:t>
            </w:r>
            <w:r>
              <w:rPr>
                <w:rFonts w:hint="eastAsia" w:ascii="宋体" w:hAnsi="宋体" w:cs="宋体"/>
                <w:color w:val="000000"/>
                <w:sz w:val="24"/>
                <w:szCs w:val="24"/>
                <w:highlight w:val="none"/>
              </w:rPr>
            </w:r>
            <w:r/>
          </w:p>
          <w:p>
            <w:pPr>
              <w:pStyle w:val="969"/>
              <w:numPr>
                <w:ilvl w:val="0"/>
                <w:numId w:val="0"/>
              </w:numP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②方案较为合理、可行性较强的得7分；</w:t>
            </w:r>
            <w:r>
              <w:rPr>
                <w:rFonts w:hint="eastAsia" w:ascii="宋体" w:hAnsi="宋体" w:cs="宋体"/>
                <w:color w:val="000000"/>
                <w:sz w:val="24"/>
                <w:szCs w:val="24"/>
                <w:highlight w:val="none"/>
              </w:rPr>
            </w:r>
            <w:r/>
          </w:p>
          <w:p>
            <w:pPr>
              <w:pStyle w:val="969"/>
              <w:numPr>
                <w:ilvl w:val="0"/>
                <w:numId w:val="0"/>
              </w:numP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③制度基本可行但有所欠缺的得4分；</w:t>
            </w:r>
            <w:r>
              <w:rPr>
                <w:rFonts w:hint="eastAsia" w:ascii="宋体" w:hAnsi="宋体" w:cs="宋体"/>
                <w:color w:val="000000"/>
                <w:sz w:val="24"/>
                <w:szCs w:val="24"/>
                <w:highlight w:val="none"/>
              </w:rPr>
            </w:r>
            <w:r/>
          </w:p>
          <w:p>
            <w:pPr>
              <w:pStyle w:val="969"/>
              <w:numPr>
                <w:ilvl w:val="0"/>
                <w:numId w:val="0"/>
              </w:numP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④内容简单粗糙、可行性较差的得1分。未作说明的不得分。</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cantSplit/>
          <w:trHeight w:val="600"/>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质量保证10分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numPr>
                <w:ilvl w:val="0"/>
                <w:numId w:val="0"/>
              </w:numPr>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w:t>
            </w:r>
            <w:r>
              <w:rPr>
                <w:rFonts w:hint="eastAsia" w:ascii="宋体" w:hAnsi="宋体" w:cs="宋体"/>
                <w:color w:val="000000"/>
                <w:sz w:val="24"/>
                <w:szCs w:val="24"/>
                <w:highlight w:val="none"/>
                <w:lang w:eastAsia="zh-CN"/>
              </w:rPr>
              <w:t xml:space="preserve">根据</w:t>
            </w:r>
            <w:r>
              <w:rPr>
                <w:rFonts w:hint="eastAsia" w:ascii="宋体" w:hAnsi="宋体" w:cs="宋体"/>
                <w:color w:val="000000"/>
                <w:sz w:val="24"/>
                <w:szCs w:val="24"/>
                <w:highlight w:val="none"/>
              </w:rPr>
              <w:t xml:space="preserve">供应商对质量保证措施的合理性、科学性、完备性进行综合</w:t>
            </w:r>
            <w:r>
              <w:rPr>
                <w:rFonts w:hint="eastAsia" w:ascii="宋体" w:hAnsi="宋体" w:cs="宋体"/>
                <w:color w:val="000000"/>
                <w:sz w:val="24"/>
                <w:szCs w:val="24"/>
                <w:highlight w:val="none"/>
                <w:lang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①质量保证措施完整详实，科学合理，针对性强，体系完备，完全满足项目需求，得10 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②质量保证措施较为完整，基本科学合理，具备主要保障内容，能够满足项目主要需求，存在少量细节不足，得7 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③质量保证措施内容简单，科学性一般，部分保障内容缺失，仅可部分满足项目需求，得4 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④质量保证措施内容简略，科学性不足，关键内容缺失，针对性弱，得1 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未作相应说明</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不得分。</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cantSplit/>
          <w:trHeight w:val="600"/>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进度计划及进度保证措施10分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w:t>
            </w:r>
            <w:r>
              <w:rPr>
                <w:rFonts w:hint="eastAsia" w:ascii="宋体" w:hAnsi="宋体" w:cs="宋体"/>
                <w:color w:val="000000"/>
                <w:sz w:val="24"/>
                <w:szCs w:val="24"/>
                <w:highlight w:val="none"/>
                <w:lang w:eastAsia="zh-CN"/>
              </w:rPr>
              <w:t xml:space="preserve">根据</w:t>
            </w:r>
            <w:r>
              <w:rPr>
                <w:rFonts w:hint="eastAsia" w:ascii="宋体" w:hAnsi="宋体" w:cs="宋体"/>
                <w:color w:val="000000"/>
                <w:sz w:val="24"/>
                <w:szCs w:val="24"/>
                <w:highlight w:val="none"/>
              </w:rPr>
              <w:t xml:space="preserve">供应商针对本项目提供的进度计划及进度保证措施进行综合</w:t>
            </w:r>
            <w:r>
              <w:rPr>
                <w:rFonts w:hint="eastAsia" w:ascii="宋体" w:hAnsi="宋体" w:cs="宋体"/>
                <w:color w:val="000000"/>
                <w:sz w:val="24"/>
                <w:szCs w:val="24"/>
                <w:highlight w:val="none"/>
                <w:lang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①进度计划清晰合理，进度保证措施完善，科学性、合理性、可行性强，完全满足项目工期要求，得 10 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②进度计划较为清晰，进度保证措施较完善，科学性、合理性、可行性较强，能够满足项目主要工期要求，存在少量细节不足，得 7 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③进度计划基本完整，进度保证措施有一定可行性，但内容不够详实，科学性、合理性、可行性一般，仅可部分满足项目工期要求，得 4 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④进度计划简略，进度保证措施不完善，科学性、合理性、可行性不足，针对性弱，难以保障项目工期，得 1 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未作相应说明</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不得分。</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cantSplit/>
          <w:trHeight w:val="10532"/>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人员配备情况</w:t>
            </w:r>
            <w:r>
              <w:rPr>
                <w:rFonts w:hint="eastAsia" w:ascii="宋体" w:hAnsi="宋体" w:cs="宋体"/>
                <w:color w:val="000000"/>
                <w:sz w:val="24"/>
                <w:szCs w:val="24"/>
                <w:highlight w:val="none"/>
              </w:rPr>
            </w:r>
            <w:r/>
          </w:p>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ind w:firstLine="482"/>
              <w:keepNext/>
              <w:pageBreakBefore w:val="0"/>
              <w:spacing w:line="240" w:lineRule="auto"/>
              <w:rPr>
                <w:rFonts w:hint="eastAsia" w:ascii="宋体" w:hAnsi="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rPr>
              <w:t xml:space="preserve">项目负责人（项目负责人与技术负责人、质量负责人不为同一人）：</w:t>
            </w:r>
            <w:r>
              <w:rPr>
                <w:rFonts w:hint="eastAsia" w:ascii="宋体" w:hAnsi="宋体" w:cs="宋体"/>
                <w:b/>
                <w:bCs/>
                <w:color w:val="000000"/>
                <w:sz w:val="24"/>
                <w:szCs w:val="24"/>
                <w:highlight w:val="none"/>
                <w:lang w:val="en-US"/>
              </w:rPr>
            </w:r>
            <w:r/>
          </w:p>
          <w:p>
            <w:pPr>
              <w:pStyle w:val="969"/>
              <w:ind w:firstLine="480"/>
              <w:keepNext/>
              <w:pageBreakBefore w:val="0"/>
              <w:spacing w:line="240" w:lineRule="auto"/>
              <w:rPr>
                <w:rFonts w:ascii="宋体" w:hAnsi="宋体" w:eastAsia="宋体" w:cs="宋体"/>
                <w:color w:val="000000"/>
                <w:sz w:val="24"/>
                <w:szCs w:val="24"/>
              </w:rPr>
            </w:pPr>
            <w:r>
              <w:rPr>
                <w:rFonts w:ascii="宋体" w:hAnsi="宋体" w:eastAsia="宋体" w:cs="宋体"/>
                <w:color w:val="000000"/>
                <w:sz w:val="24"/>
                <w:szCs w:val="24"/>
              </w:rPr>
              <w:t xml:space="preserve">具备测绘工程或岩土工程中级职称得 1 分；具备测绘工程或岩土工程高级职称及以上得2分（职称按最高项计）；</w:t>
            </w:r>
            <w:r>
              <w:rPr>
                <w:rFonts w:hint="eastAsia" w:ascii="宋体" w:hAnsi="宋体" w:eastAsia="宋体" w:cs="宋体"/>
                <w:color w:val="000000"/>
                <w:sz w:val="24"/>
                <w:szCs w:val="24"/>
                <w:lang w:eastAsia="zh-CN"/>
              </w:rPr>
              <w:t xml:space="preserve">同时</w:t>
            </w:r>
            <w:r>
              <w:rPr>
                <w:rFonts w:ascii="宋体" w:hAnsi="宋体" w:eastAsia="宋体" w:cs="宋体"/>
                <w:color w:val="000000"/>
                <w:sz w:val="24"/>
                <w:szCs w:val="24"/>
              </w:rPr>
              <w:t xml:space="preserve">具有注册测绘师证书</w:t>
            </w:r>
            <w:r>
              <w:rPr>
                <w:rFonts w:hint="eastAsia" w:ascii="宋体" w:hAnsi="宋体" w:eastAsia="宋体" w:cs="宋体"/>
                <w:color w:val="000000"/>
                <w:sz w:val="24"/>
                <w:szCs w:val="24"/>
                <w:lang w:eastAsia="zh-CN"/>
              </w:rPr>
              <w:t xml:space="preserve">加</w:t>
            </w:r>
            <w:r>
              <w:rPr>
                <w:rFonts w:ascii="宋体" w:hAnsi="宋体" w:eastAsia="宋体" w:cs="宋体"/>
                <w:color w:val="000000"/>
                <w:sz w:val="24"/>
                <w:szCs w:val="24"/>
              </w:rPr>
              <w:t xml:space="preserve"> 1 分；</w:t>
            </w:r>
            <w:r>
              <w:rPr>
                <w:rFonts w:ascii="宋体" w:hAnsi="宋体" w:eastAsia="宋体" w:cs="宋体"/>
                <w:b/>
                <w:bCs/>
                <w:color w:val="000000"/>
                <w:sz w:val="24"/>
                <w:szCs w:val="24"/>
              </w:rPr>
              <w:t xml:space="preserve">本项满分3分</w:t>
            </w:r>
            <w:r>
              <w:rPr>
                <w:rFonts w:hint="eastAsia" w:ascii="宋体" w:hAnsi="宋体" w:eastAsia="宋体" w:cs="宋体"/>
                <w:b/>
                <w:bCs/>
                <w:color w:val="000000"/>
                <w:sz w:val="24"/>
                <w:szCs w:val="24"/>
                <w:lang w:eastAsia="zh-CN"/>
              </w:rPr>
              <w:t xml:space="preserve">。</w:t>
            </w:r>
            <w:r>
              <w:rPr>
                <w:rFonts w:ascii="宋体" w:hAnsi="宋体" w:eastAsia="宋体" w:cs="宋体"/>
                <w:color w:val="000000"/>
                <w:sz w:val="24"/>
                <w:szCs w:val="24"/>
              </w:rPr>
            </w:r>
            <w:r/>
          </w:p>
          <w:p>
            <w:pPr>
              <w:pStyle w:val="969"/>
              <w:ind w:firstLine="482"/>
              <w:keepNext/>
              <w:pageBreakBefore w:val="0"/>
              <w:spacing w:line="24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2、技术负责人（技术负责人与项目负责人、质量负责人不为同一人）：</w:t>
            </w:r>
            <w:r>
              <w:rPr>
                <w:rFonts w:hint="eastAsia" w:ascii="宋体" w:hAnsi="宋体" w:cs="宋体"/>
                <w:b/>
                <w:bCs/>
                <w:color w:val="000000"/>
                <w:sz w:val="24"/>
                <w:szCs w:val="24"/>
                <w:highlight w:val="none"/>
                <w:lang w:val="en-US" w:eastAsia="zh-CN"/>
              </w:rPr>
            </w:r>
            <w:r/>
          </w:p>
          <w:p>
            <w:pPr>
              <w:pStyle w:val="969"/>
              <w:ind w:firstLine="480"/>
              <w:keepNext/>
              <w:pageBreakBefore w:val="0"/>
              <w:spacing w:line="240" w:lineRule="auto"/>
              <w:rPr>
                <w:rFonts w:hint="eastAsia" w:ascii="宋体" w:hAnsi="宋体" w:cs="宋体"/>
                <w:color w:val="000000"/>
                <w:sz w:val="24"/>
                <w:szCs w:val="24"/>
                <w:highlight w:val="none"/>
              </w:rPr>
            </w:pPr>
            <w:r>
              <w:rPr>
                <w:rFonts w:ascii="宋体" w:hAnsi="宋体" w:eastAsia="宋体" w:cs="宋体"/>
                <w:color w:val="000000"/>
                <w:sz w:val="24"/>
                <w:szCs w:val="24"/>
              </w:rPr>
              <w:t xml:space="preserve">具备测绘工程或岩土工程中级职称得 1 分；具备测绘工程或岩土工程高级职称及以上得2分（职称按最高项计）；</w:t>
            </w:r>
            <w:r>
              <w:rPr>
                <w:rFonts w:hint="eastAsia" w:ascii="宋体" w:hAnsi="宋体" w:eastAsia="宋体" w:cs="宋体"/>
                <w:color w:val="000000"/>
                <w:sz w:val="24"/>
                <w:szCs w:val="24"/>
                <w:lang w:eastAsia="zh-CN"/>
              </w:rPr>
              <w:t xml:space="preserve">同时</w:t>
            </w:r>
            <w:r>
              <w:rPr>
                <w:rFonts w:ascii="宋体" w:hAnsi="宋体" w:eastAsia="宋体" w:cs="宋体"/>
                <w:color w:val="000000"/>
                <w:sz w:val="24"/>
                <w:szCs w:val="24"/>
              </w:rPr>
              <w:t xml:space="preserve">具有注册测绘师证书</w:t>
            </w:r>
            <w:r>
              <w:rPr>
                <w:rFonts w:hint="eastAsia" w:ascii="宋体" w:hAnsi="宋体" w:eastAsia="宋体" w:cs="宋体"/>
                <w:color w:val="000000"/>
                <w:sz w:val="24"/>
                <w:szCs w:val="24"/>
                <w:lang w:eastAsia="zh-CN"/>
              </w:rPr>
              <w:t xml:space="preserve">加</w:t>
            </w:r>
            <w:r>
              <w:rPr>
                <w:rFonts w:ascii="宋体" w:hAnsi="宋体" w:eastAsia="宋体" w:cs="宋体"/>
                <w:color w:val="000000"/>
                <w:sz w:val="24"/>
                <w:szCs w:val="24"/>
              </w:rPr>
              <w:t xml:space="preserve"> 1 分；</w:t>
            </w:r>
            <w:r>
              <w:rPr>
                <w:rFonts w:ascii="宋体" w:hAnsi="宋体" w:eastAsia="宋体" w:cs="宋体"/>
                <w:b/>
                <w:bCs/>
                <w:color w:val="000000"/>
                <w:sz w:val="24"/>
                <w:szCs w:val="24"/>
              </w:rPr>
              <w:t xml:space="preserve">本项满分3分</w:t>
            </w:r>
            <w:r>
              <w:rPr>
                <w:rFonts w:hint="eastAsia" w:ascii="宋体" w:hAnsi="宋体" w:eastAsia="宋体" w:cs="宋体"/>
                <w:b/>
                <w:bCs/>
                <w:color w:val="000000"/>
                <w:sz w:val="24"/>
                <w:szCs w:val="24"/>
                <w:lang w:eastAsia="zh-CN"/>
              </w:rPr>
              <w:t xml:space="preserve">。</w:t>
            </w:r>
            <w:r>
              <w:rPr>
                <w:rFonts w:hint="eastAsia" w:ascii="宋体" w:hAnsi="宋体" w:cs="宋体"/>
                <w:color w:val="000000"/>
                <w:sz w:val="24"/>
                <w:szCs w:val="24"/>
                <w:highlight w:val="none"/>
              </w:rPr>
            </w:r>
            <w:r/>
          </w:p>
          <w:p>
            <w:pPr>
              <w:pStyle w:val="969"/>
              <w:ind w:firstLine="482"/>
              <w:keepNext/>
              <w:pageBreakBefore w:val="0"/>
              <w:spacing w:line="240" w:lineRule="auto"/>
              <w:rPr>
                <w:rFonts w:hint="eastAsia" w:ascii="宋体" w:hAnsi="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rPr>
              <w:t xml:space="preserve">质量负责人：（质量负责人与项目负责人、技术负责人不为同一人）：</w:t>
            </w:r>
            <w:r>
              <w:rPr>
                <w:rFonts w:hint="eastAsia" w:ascii="宋体" w:hAnsi="宋体" w:cs="宋体"/>
                <w:b/>
                <w:bCs/>
                <w:color w:val="000000"/>
                <w:sz w:val="24"/>
                <w:szCs w:val="24"/>
                <w:highlight w:val="none"/>
                <w:lang w:val="en-US"/>
              </w:rPr>
            </w:r>
            <w:r/>
          </w:p>
          <w:p>
            <w:pPr>
              <w:pStyle w:val="969"/>
              <w:ind w:firstLine="480"/>
              <w:keepNext/>
              <w:pageBreakBefore w:val="0"/>
              <w:spacing w:line="240" w:lineRule="auto"/>
              <w:rPr>
                <w:rFonts w:hint="eastAsia" w:ascii="宋体" w:hAnsi="宋体" w:cs="宋体"/>
                <w:color w:val="000000"/>
                <w:sz w:val="24"/>
                <w:szCs w:val="24"/>
                <w:highlight w:val="none"/>
              </w:rPr>
            </w:pPr>
            <w:r>
              <w:rPr>
                <w:rFonts w:ascii="宋体" w:hAnsi="宋体" w:eastAsia="宋体" w:cs="宋体"/>
                <w:color w:val="000000"/>
                <w:sz w:val="24"/>
                <w:szCs w:val="24"/>
              </w:rPr>
              <w:t xml:space="preserve">具备测绘工程或岩土工程中级职称得 1 分；具备测绘工程或岩土工程高级职称及以上得2分（职称按最高项计）；</w:t>
            </w:r>
            <w:r>
              <w:rPr>
                <w:rFonts w:hint="eastAsia" w:ascii="宋体" w:hAnsi="宋体" w:eastAsia="宋体" w:cs="宋体"/>
                <w:color w:val="000000"/>
                <w:sz w:val="24"/>
                <w:szCs w:val="24"/>
                <w:lang w:eastAsia="zh-CN"/>
              </w:rPr>
              <w:t xml:space="preserve">同时</w:t>
            </w:r>
            <w:r>
              <w:rPr>
                <w:rFonts w:ascii="宋体" w:hAnsi="宋体" w:eastAsia="宋体" w:cs="宋体"/>
                <w:color w:val="000000"/>
                <w:sz w:val="24"/>
                <w:szCs w:val="24"/>
              </w:rPr>
              <w:t xml:space="preserve">具有注册测绘师证书</w:t>
            </w:r>
            <w:r>
              <w:rPr>
                <w:rFonts w:hint="eastAsia" w:ascii="宋体" w:hAnsi="宋体" w:eastAsia="宋体" w:cs="宋体"/>
                <w:color w:val="000000"/>
                <w:sz w:val="24"/>
                <w:szCs w:val="24"/>
                <w:lang w:eastAsia="zh-CN"/>
              </w:rPr>
              <w:t xml:space="preserve">加</w:t>
            </w:r>
            <w:r>
              <w:rPr>
                <w:rFonts w:ascii="宋体" w:hAnsi="宋体" w:eastAsia="宋体" w:cs="宋体"/>
                <w:color w:val="000000"/>
                <w:sz w:val="24"/>
                <w:szCs w:val="24"/>
              </w:rPr>
              <w:t xml:space="preserve"> 1 分；</w:t>
            </w:r>
            <w:r>
              <w:rPr>
                <w:rFonts w:ascii="宋体" w:hAnsi="宋体" w:eastAsia="宋体" w:cs="宋体"/>
                <w:b/>
                <w:bCs/>
                <w:color w:val="000000"/>
                <w:sz w:val="24"/>
                <w:szCs w:val="24"/>
              </w:rPr>
              <w:t xml:space="preserve">本项满分3分</w:t>
            </w:r>
            <w:r>
              <w:rPr>
                <w:rFonts w:hint="eastAsia" w:ascii="宋体" w:hAnsi="宋体" w:eastAsia="宋体" w:cs="宋体"/>
                <w:b/>
                <w:bCs/>
                <w:color w:val="000000"/>
                <w:sz w:val="24"/>
                <w:szCs w:val="24"/>
                <w:lang w:eastAsia="zh-CN"/>
              </w:rPr>
              <w:t xml:space="preserve">。</w:t>
            </w:r>
            <w:r>
              <w:rPr>
                <w:rFonts w:hint="eastAsia" w:ascii="宋体" w:hAnsi="宋体" w:cs="宋体"/>
                <w:color w:val="000000"/>
                <w:sz w:val="24"/>
                <w:szCs w:val="24"/>
                <w:highlight w:val="none"/>
              </w:rPr>
            </w:r>
            <w:r/>
          </w:p>
          <w:p>
            <w:pPr>
              <w:pStyle w:val="969"/>
              <w:ind w:firstLine="482"/>
              <w:keepNext/>
              <w:pageBreakBefore w:val="0"/>
              <w:spacing w:line="240" w:lineRule="auto"/>
              <w:rPr>
                <w:rFonts w:hint="eastAsia" w:ascii="宋体" w:hAnsi="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val="en-US"/>
              </w:rPr>
              <w:t xml:space="preserve">专职安全管理人员：</w:t>
            </w:r>
            <w:r>
              <w:rPr>
                <w:rFonts w:hint="eastAsia" w:ascii="宋体" w:hAnsi="宋体" w:cs="宋体"/>
                <w:b/>
                <w:bCs/>
                <w:color w:val="000000"/>
                <w:sz w:val="24"/>
                <w:szCs w:val="24"/>
                <w:highlight w:val="none"/>
                <w:lang w:val="en-US"/>
              </w:rPr>
            </w:r>
            <w:r/>
          </w:p>
          <w:p>
            <w:pPr>
              <w:pStyle w:val="969"/>
              <w:ind w:firstLine="480"/>
              <w:keepNext/>
              <w:pageBreakBefore w:val="0"/>
              <w:spacing w:line="24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lang w:val="en-US"/>
              </w:rPr>
              <w:t xml:space="preserve">具</w:t>
            </w:r>
            <w:r>
              <w:rPr>
                <w:rFonts w:hint="eastAsia" w:ascii="宋体" w:hAnsi="宋体" w:cs="宋体"/>
                <w:color w:val="000000"/>
                <w:sz w:val="24"/>
                <w:szCs w:val="24"/>
                <w:highlight w:val="none"/>
                <w:lang w:val="en-US" w:eastAsia="zh-CN"/>
              </w:rPr>
              <w:t xml:space="preserve">备</w:t>
            </w:r>
            <w:r>
              <w:rPr>
                <w:rFonts w:ascii="宋体" w:hAnsi="宋体" w:eastAsia="宋体" w:cs="宋体"/>
                <w:color w:val="000000"/>
                <w:sz w:val="24"/>
                <w:szCs w:val="24"/>
              </w:rPr>
              <w:t xml:space="preserve">测绘工程或岩土工程</w:t>
            </w:r>
            <w:r>
              <w:rPr>
                <w:rFonts w:hint="eastAsia" w:ascii="宋体" w:hAnsi="宋体" w:cs="宋体"/>
                <w:color w:val="000000"/>
                <w:sz w:val="24"/>
                <w:szCs w:val="24"/>
                <w:highlight w:val="none"/>
                <w:lang w:val="en-US"/>
              </w:rPr>
              <w:t xml:space="preserve">中级职称的得1分；具</w:t>
            </w:r>
            <w:r>
              <w:rPr>
                <w:rFonts w:hint="eastAsia" w:ascii="宋体" w:hAnsi="宋体" w:cs="宋体"/>
                <w:color w:val="000000"/>
                <w:sz w:val="24"/>
                <w:szCs w:val="24"/>
                <w:highlight w:val="none"/>
                <w:lang w:val="en-US" w:eastAsia="zh-CN"/>
              </w:rPr>
              <w:t xml:space="preserve">备</w:t>
            </w:r>
            <w:r>
              <w:rPr>
                <w:rFonts w:ascii="宋体" w:hAnsi="宋体" w:eastAsia="宋体" w:cs="宋体"/>
                <w:color w:val="000000"/>
                <w:sz w:val="24"/>
                <w:szCs w:val="24"/>
              </w:rPr>
              <w:t xml:space="preserve">测绘工程或岩土工程</w:t>
            </w:r>
            <w:r>
              <w:rPr>
                <w:rFonts w:hint="eastAsia" w:ascii="宋体" w:hAnsi="宋体" w:cs="宋体"/>
                <w:color w:val="000000"/>
                <w:sz w:val="24"/>
                <w:szCs w:val="24"/>
                <w:highlight w:val="none"/>
                <w:lang w:val="en-US"/>
              </w:rPr>
              <w:t xml:space="preserve">高级</w:t>
            </w:r>
            <w:r>
              <w:rPr>
                <w:rFonts w:hint="eastAsia" w:ascii="宋体" w:hAnsi="宋体" w:cs="宋体"/>
                <w:color w:val="000000"/>
                <w:sz w:val="24"/>
                <w:szCs w:val="24"/>
                <w:highlight w:val="none"/>
                <w:lang w:val="en-US" w:eastAsia="zh-CN"/>
              </w:rPr>
              <w:t xml:space="preserve">职称</w:t>
            </w:r>
            <w:r>
              <w:rPr>
                <w:rFonts w:hint="eastAsia" w:ascii="宋体" w:hAnsi="宋体" w:cs="宋体"/>
                <w:color w:val="000000"/>
                <w:sz w:val="24"/>
                <w:szCs w:val="24"/>
                <w:highlight w:val="none"/>
                <w:lang w:val="en-US"/>
              </w:rPr>
              <w:t xml:space="preserve">及以上得2分（职称按最高项计）</w:t>
            </w:r>
            <w:r>
              <w:rPr>
                <w:rFonts w:hint="eastAsia" w:ascii="宋体" w:hAnsi="宋体" w:cs="宋体"/>
                <w:color w:val="000000"/>
                <w:sz w:val="24"/>
                <w:szCs w:val="24"/>
                <w:highlight w:val="none"/>
                <w:lang w:val="en-US" w:eastAsia="zh-CN"/>
              </w:rPr>
              <w:t xml:space="preserve">；同时</w:t>
            </w:r>
            <w:r>
              <w:rPr>
                <w:rFonts w:hint="eastAsia" w:ascii="宋体" w:hAnsi="宋体" w:cs="宋体"/>
                <w:color w:val="000000"/>
                <w:sz w:val="24"/>
                <w:szCs w:val="24"/>
                <w:highlight w:val="none"/>
                <w:lang w:val="en-US"/>
              </w:rPr>
              <w:t xml:space="preserve">具有注册安全师证书</w:t>
            </w:r>
            <w:r>
              <w:rPr>
                <w:rFonts w:hint="eastAsia" w:ascii="宋体" w:hAnsi="宋体" w:cs="宋体"/>
                <w:color w:val="000000"/>
                <w:sz w:val="24"/>
                <w:szCs w:val="24"/>
                <w:highlight w:val="none"/>
                <w:lang w:val="en-US" w:eastAsia="zh-CN"/>
              </w:rPr>
              <w:t xml:space="preserve">加</w:t>
            </w:r>
            <w:r>
              <w:rPr>
                <w:rFonts w:hint="eastAsia" w:ascii="宋体" w:hAnsi="宋体" w:cs="宋体"/>
                <w:color w:val="000000"/>
                <w:sz w:val="24"/>
                <w:szCs w:val="24"/>
                <w:highlight w:val="none"/>
                <w:lang w:val="en-US"/>
              </w:rPr>
              <w:t xml:space="preserve">1分；</w:t>
            </w:r>
            <w:r>
              <w:rPr>
                <w:rFonts w:hint="eastAsia" w:ascii="宋体" w:hAnsi="宋体" w:cs="宋体"/>
                <w:b/>
                <w:bCs/>
                <w:color w:val="000000"/>
                <w:sz w:val="24"/>
                <w:szCs w:val="24"/>
                <w:highlight w:val="none"/>
                <w:lang w:val="en-US" w:eastAsia="zh-CN"/>
              </w:rPr>
              <w:t xml:space="preserve">本项合计</w:t>
            </w:r>
            <w:r>
              <w:rPr>
                <w:rFonts w:hint="eastAsia" w:ascii="宋体" w:hAnsi="宋体" w:cs="宋体"/>
                <w:b/>
                <w:bCs/>
                <w:color w:val="000000"/>
                <w:sz w:val="24"/>
                <w:szCs w:val="24"/>
                <w:highlight w:val="none"/>
              </w:rPr>
              <w:t xml:space="preserve">最高得3分；</w:t>
            </w:r>
            <w:r>
              <w:rPr>
                <w:rFonts w:hint="eastAsia" w:ascii="宋体" w:hAnsi="宋体" w:cs="宋体"/>
                <w:b/>
                <w:bCs/>
                <w:color w:val="000000"/>
                <w:sz w:val="24"/>
                <w:szCs w:val="24"/>
                <w:highlight w:val="none"/>
              </w:rPr>
            </w:r>
            <w:r/>
          </w:p>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eastAsia="宋体" w:cs="宋体"/>
                <w:b w:val="0"/>
                <w:bCs w:val="0"/>
                <w:color w:val="000000"/>
                <w:sz w:val="24"/>
                <w:szCs w:val="24"/>
                <w:lang w:eastAsia="zh-CN"/>
              </w:rPr>
              <w:t xml:space="preserve">注：</w:t>
            </w:r>
            <w:r>
              <w:rPr>
                <w:rFonts w:hint="eastAsia" w:cs="华文中宋"/>
                <w:color w:val="000000"/>
                <w:sz w:val="24"/>
                <w:szCs w:val="24"/>
                <w:lang w:val="en-US" w:eastAsia="zh-CN"/>
              </w:rPr>
              <w:t xml:space="preserve">人员如为</w:t>
            </w:r>
            <w:r>
              <w:rPr>
                <w:rFonts w:hint="eastAsia" w:cs="华文中宋"/>
                <w:color w:val="000000"/>
                <w:sz w:val="24"/>
                <w:szCs w:val="24"/>
                <w:lang w:val="en-US"/>
              </w:rPr>
              <w:t xml:space="preserve">退休返聘人员可免于提供社保证明，提供退休证明及有效返聘协议复印件；</w:t>
            </w:r>
            <w:r>
              <w:rPr>
                <w:rFonts w:hint="eastAsia" w:ascii="宋体" w:hAnsi="宋体" w:cs="宋体"/>
                <w:color w:val="000000"/>
                <w:sz w:val="24"/>
                <w:szCs w:val="24"/>
                <w:highlight w:val="none"/>
              </w:rPr>
            </w:r>
            <w:r/>
          </w:p>
          <w:p>
            <w:pPr>
              <w:pStyle w:val="969"/>
              <w:ind w:firstLine="482"/>
              <w:keepNext/>
              <w:pageBreakBefore w:val="0"/>
              <w:spacing w:line="240" w:lineRule="auto"/>
              <w:rPr>
                <w:rFonts w:hint="eastAsia" w:ascii="宋体" w:hAnsi="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en-US"/>
              </w:rPr>
              <w:t xml:space="preserve">拟投入本项目的项目组成员（不含项目负责人、技术负责人、质量负责人）：</w:t>
            </w:r>
            <w:r>
              <w:rPr>
                <w:rFonts w:hint="eastAsia" w:ascii="宋体" w:hAnsi="宋体" w:cs="宋体"/>
                <w:b/>
                <w:bCs/>
                <w:color w:val="000000"/>
                <w:sz w:val="24"/>
                <w:szCs w:val="24"/>
                <w:highlight w:val="none"/>
                <w:lang w:val="en-US"/>
              </w:rPr>
            </w:r>
            <w:r/>
          </w:p>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rPr>
              <w:t xml:space="preserve">具</w:t>
            </w:r>
            <w:r>
              <w:rPr>
                <w:rFonts w:hint="eastAsia" w:ascii="宋体" w:hAnsi="宋体" w:cs="宋体"/>
                <w:color w:val="000000"/>
                <w:sz w:val="24"/>
                <w:szCs w:val="24"/>
                <w:highlight w:val="none"/>
                <w:lang w:val="en-US" w:eastAsia="zh-CN"/>
              </w:rPr>
              <w:t xml:space="preserve">备</w:t>
            </w:r>
            <w:r>
              <w:rPr>
                <w:rFonts w:hint="eastAsia" w:ascii="宋体" w:hAnsi="宋体" w:cs="宋体"/>
                <w:color w:val="000000"/>
                <w:sz w:val="24"/>
                <w:szCs w:val="24"/>
                <w:highlight w:val="none"/>
                <w:lang w:val="en-US"/>
              </w:rPr>
              <w:t xml:space="preserve">测绘工程或岩土工程高级职称得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rPr>
              <w:t xml:space="preserve">分</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lang w:val="en-US"/>
              </w:rPr>
              <w:t xml:space="preserve">；具</w:t>
            </w:r>
            <w:r>
              <w:rPr>
                <w:rFonts w:hint="eastAsia" w:ascii="宋体" w:hAnsi="宋体" w:cs="宋体"/>
                <w:color w:val="000000"/>
                <w:sz w:val="24"/>
                <w:szCs w:val="24"/>
                <w:highlight w:val="none"/>
                <w:lang w:val="en-US" w:eastAsia="zh-CN"/>
              </w:rPr>
              <w:t xml:space="preserve">备</w:t>
            </w:r>
            <w:r>
              <w:rPr>
                <w:rFonts w:hint="eastAsia" w:ascii="宋体" w:hAnsi="宋体" w:cs="宋体"/>
                <w:color w:val="000000"/>
                <w:sz w:val="24"/>
                <w:szCs w:val="24"/>
                <w:highlight w:val="none"/>
                <w:lang w:val="en-US"/>
              </w:rPr>
              <w:t xml:space="preserve">测绘工程或岩土工程</w:t>
            </w:r>
            <w:r>
              <w:rPr>
                <w:rFonts w:hint="eastAsia" w:ascii="宋体" w:hAnsi="宋体" w:cs="宋体"/>
                <w:color w:val="000000"/>
                <w:sz w:val="24"/>
                <w:szCs w:val="24"/>
                <w:highlight w:val="none"/>
                <w:lang w:val="en-US" w:eastAsia="zh-CN"/>
              </w:rPr>
              <w:t xml:space="preserve">中级</w:t>
            </w:r>
            <w:r>
              <w:rPr>
                <w:rFonts w:hint="eastAsia" w:ascii="宋体" w:hAnsi="宋体" w:cs="宋体"/>
                <w:color w:val="000000"/>
                <w:sz w:val="24"/>
                <w:szCs w:val="24"/>
                <w:highlight w:val="none"/>
                <w:lang w:val="en-US"/>
              </w:rPr>
              <w:t xml:space="preserve">职称得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lang w:val="en-US"/>
              </w:rPr>
              <w:t xml:space="preserve">分</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lang w:val="en-US"/>
              </w:rPr>
              <w:t xml:space="preserve">；</w:t>
            </w:r>
            <w:r>
              <w:rPr>
                <w:rFonts w:hint="eastAsia" w:ascii="宋体" w:hAnsi="宋体" w:cs="宋体"/>
                <w:b/>
                <w:bCs/>
                <w:color w:val="000000"/>
                <w:sz w:val="24"/>
                <w:szCs w:val="24"/>
                <w:highlight w:val="none"/>
                <w:lang w:val="en-US"/>
              </w:rPr>
              <w:t xml:space="preserve">本项</w:t>
            </w:r>
            <w:r>
              <w:rPr>
                <w:rFonts w:hint="eastAsia" w:ascii="宋体" w:hAnsi="宋体" w:cs="宋体"/>
                <w:b/>
                <w:bCs/>
                <w:color w:val="000000"/>
                <w:sz w:val="24"/>
                <w:szCs w:val="24"/>
                <w:highlight w:val="none"/>
                <w:lang w:val="en-US" w:eastAsia="zh-CN"/>
              </w:rPr>
              <w:t xml:space="preserve">最高5人，</w:t>
            </w:r>
            <w:r>
              <w:rPr>
                <w:rFonts w:hint="eastAsia" w:ascii="宋体" w:hAnsi="宋体" w:cs="宋体"/>
                <w:b/>
                <w:bCs/>
                <w:color w:val="000000"/>
                <w:sz w:val="24"/>
                <w:szCs w:val="24"/>
                <w:highlight w:val="none"/>
                <w:lang w:val="en-US"/>
              </w:rPr>
              <w:t xml:space="preserve">满分</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en-US"/>
              </w:rPr>
              <w:t xml:space="preserve">分</w:t>
            </w:r>
            <w:r>
              <w:rPr>
                <w:rFonts w:hint="eastAsia" w:ascii="宋体" w:hAnsi="宋体" w:cs="宋体"/>
                <w:color w:val="000000"/>
                <w:sz w:val="24"/>
                <w:szCs w:val="24"/>
                <w:highlight w:val="none"/>
                <w:lang w:val="en-US"/>
              </w:rPr>
              <w:t xml:space="preserve">。</w:t>
            </w:r>
            <w:r>
              <w:rPr>
                <w:rFonts w:hint="eastAsia" w:ascii="宋体" w:hAnsi="宋体" w:cs="宋体"/>
                <w:color w:val="000000"/>
                <w:sz w:val="24"/>
                <w:szCs w:val="24"/>
                <w:highlight w:val="none"/>
              </w:rPr>
            </w:r>
            <w:r/>
          </w:p>
          <w:p>
            <w:pPr>
              <w:pStyle w:val="969"/>
              <w:ind w:firstLine="482"/>
              <w:keepNext/>
              <w:pageBreakBefore w:val="0"/>
              <w:spacing w:line="240" w:lineRule="auto"/>
              <w:rPr>
                <w:rFonts w:hint="eastAsia" w:ascii="宋体" w:hAnsi="宋体" w:cs="宋体"/>
                <w:b/>
                <w:bCs/>
                <w:color w:val="000000"/>
                <w:sz w:val="24"/>
                <w:szCs w:val="24"/>
                <w:highlight w:val="none"/>
                <w:lang w:val="en-US"/>
              </w:rPr>
            </w:pPr>
            <w:r>
              <w:rPr>
                <w:rFonts w:hint="eastAsia" w:ascii="宋体" w:hAnsi="宋体" w:cs="宋体"/>
                <w:b/>
                <w:bCs/>
                <w:color w:val="000000"/>
                <w:sz w:val="24"/>
                <w:szCs w:val="24"/>
                <w:highlight w:val="none"/>
                <w:lang w:val="en-US"/>
              </w:rPr>
              <w:t xml:space="preserve">注：</w:t>
            </w:r>
            <w:r>
              <w:rPr>
                <w:rFonts w:hint="eastAsia" w:ascii="宋体" w:hAnsi="宋体" w:cs="宋体"/>
                <w:b/>
                <w:bCs/>
                <w:color w:val="000000"/>
                <w:sz w:val="24"/>
                <w:szCs w:val="24"/>
                <w:highlight w:val="none"/>
                <w:lang w:val="en-US"/>
              </w:rPr>
            </w:r>
            <w:r/>
          </w:p>
          <w:p>
            <w:pPr>
              <w:pStyle w:val="969"/>
              <w:ind w:firstLine="480"/>
              <w:keepNext/>
              <w:pageBreakBefore w:val="0"/>
              <w:spacing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（1）以上1-5项人员不重复计分，须提供人员相关证书扫描件或证明材料及供应商为其缴纳近半年内（2026年4-9月）任意一个月的社会保险证明材料，否则不得分。</w:t>
            </w:r>
            <w:r>
              <w:rPr>
                <w:rFonts w:hint="eastAsia" w:ascii="宋体" w:hAnsi="宋体" w:cs="宋体"/>
                <w:color w:val="000000"/>
                <w:sz w:val="24"/>
                <w:szCs w:val="24"/>
                <w:highlight w:val="none"/>
                <w:lang w:val="en-US" w:eastAsia="zh-CN"/>
              </w:rPr>
            </w:r>
            <w:r/>
          </w:p>
          <w:p>
            <w:pPr>
              <w:pStyle w:val="969"/>
              <w:ind w:firstLine="480"/>
              <w:keepNext/>
              <w:pageBreakBefore w:val="0"/>
              <w:spacing w:line="240" w:lineRule="auto"/>
              <w:rPr>
                <w:rFonts w:hint="eastAsia" w:ascii="宋体" w:hAnsi="宋体" w:eastAsia="宋体" w:cs="宋体"/>
                <w:b w:val="0"/>
                <w:bCs w:val="0"/>
                <w:color w:val="000000"/>
                <w:sz w:val="24"/>
                <w:szCs w:val="24"/>
                <w:lang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rPr>
              <w:t xml:space="preserve">职称专业以职称证书载明专业为准</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证书未载明专业的，以职称评审表或毕业证书专业为准。</w:t>
            </w:r>
            <w:r>
              <w:rPr>
                <w:rFonts w:hint="eastAsia" w:ascii="宋体" w:hAnsi="宋体" w:eastAsia="宋体" w:cs="宋体"/>
                <w:b w:val="0"/>
                <w:bCs w:val="0"/>
                <w:color w:val="000000"/>
                <w:sz w:val="24"/>
                <w:szCs w:val="24"/>
                <w:lang w:eastAsia="zh-CN"/>
              </w:rPr>
            </w:r>
            <w:r/>
          </w:p>
          <w:p>
            <w:pPr>
              <w:pStyle w:val="969"/>
              <w:ind w:firstLine="480"/>
              <w:keepNext/>
              <w:pageBreakBefore w:val="0"/>
              <w:spacing w:line="240" w:lineRule="auto"/>
              <w:rPr>
                <w:rFonts w:ascii="宋体" w:hAnsi="宋体" w:eastAsia="宋体" w:cs="宋体"/>
                <w:color w:val="000000"/>
                <w:sz w:val="24"/>
                <w:szCs w:val="24"/>
              </w:rP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eastAsia="zh-CN"/>
              </w:rPr>
              <w:t xml:space="preserve">）</w:t>
            </w:r>
            <w:r>
              <w:rPr>
                <w:rFonts w:ascii="宋体" w:hAnsi="宋体" w:eastAsia="宋体" w:cs="宋体"/>
                <w:color w:val="000000"/>
                <w:sz w:val="24"/>
                <w:szCs w:val="24"/>
              </w:rPr>
              <w:t xml:space="preserve">测绘工程认可证书专业为：测绘工程、工程测量、测绘地理信息；</w:t>
            </w:r>
            <w:r>
              <w:rPr>
                <w:rFonts w:ascii="宋体" w:hAnsi="宋体" w:eastAsia="宋体" w:cs="宋体"/>
                <w:color w:val="000000"/>
                <w:sz w:val="24"/>
                <w:szCs w:val="24"/>
              </w:rPr>
            </w:r>
            <w:r/>
          </w:p>
          <w:p>
            <w:pPr>
              <w:pStyle w:val="969"/>
              <w:ind w:firstLine="480"/>
              <w:keepNext/>
              <w:pageBreakBefore w:val="0"/>
              <w:spacing w:line="240" w:lineRule="auto"/>
              <w:rPr>
                <w:rFonts w:hint="eastAsia" w:eastAsia="宋体"/>
                <w:color w:val="000000"/>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岩土工程认可证书专业为：岩土工程、地质工程、水工环地质、地质矿产勘查、物探。证书专业不在上述范围内的，不予认定</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highlight w:val="none"/>
                <w:lang w:val="en-US" w:eastAsia="zh-CN"/>
              </w:rPr>
              <w:t xml:space="preserve">对应评分项由承担该项工作的联合体牵头成员提供并计分。</w:t>
            </w:r>
            <w:r>
              <w:rPr>
                <w:rFonts w:hint="eastAsia" w:eastAsia="宋体"/>
                <w:color w:val="000000"/>
                <w:lang w:val="en-US" w:eastAsia="zh-CN"/>
              </w:rPr>
            </w:r>
            <w:r/>
          </w:p>
        </w:tc>
        <w:tc>
          <w:tcPr>
            <w:tcW w:w="666"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cantSplit/>
          <w:trHeight w:val="600"/>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仪器设备情况</w:t>
            </w:r>
            <w:r>
              <w:rPr>
                <w:rFonts w:hint="eastAsia" w:ascii="宋体" w:hAnsi="宋体" w:cs="宋体"/>
                <w:color w:val="000000"/>
                <w:sz w:val="24"/>
                <w:szCs w:val="24"/>
                <w:highlight w:val="none"/>
              </w:rPr>
            </w:r>
            <w:r/>
          </w:p>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（1）拟投入全站仪：配置2台得1分；每增加1台加1分，</w:t>
            </w:r>
            <w:r>
              <w:rPr>
                <w:rFonts w:hint="eastAsia" w:ascii="宋体" w:hAnsi="宋体" w:cs="宋体"/>
                <w:b/>
                <w:bCs/>
                <w:color w:val="000000"/>
                <w:sz w:val="24"/>
                <w:szCs w:val="24"/>
                <w:highlight w:val="none"/>
              </w:rPr>
              <w:t xml:space="preserve">本项最高得</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（2）拟投入</w:t>
            </w:r>
            <w:r>
              <w:rPr>
                <w:rFonts w:hint="eastAsia" w:ascii="宋体" w:hAnsi="宋体" w:cs="宋体"/>
                <w:color w:val="000000"/>
                <w:sz w:val="24"/>
                <w:szCs w:val="24"/>
                <w:highlight w:val="none"/>
                <w:lang w:val="en-US"/>
              </w:rPr>
              <w:t xml:space="preserve">单北斗</w:t>
            </w:r>
            <w:r>
              <w:rPr>
                <w:rFonts w:hint="eastAsia" w:ascii="宋体" w:hAnsi="宋体" w:cs="宋体"/>
                <w:color w:val="000000"/>
                <w:sz w:val="24"/>
                <w:szCs w:val="24"/>
                <w:highlight w:val="none"/>
              </w:rPr>
              <w:t xml:space="preserve">GNSS接收机：配置2台得1分；每增加1台加1分</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rPr>
              <w:t xml:space="preserve">本项最高得</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（3）拟投入管线探测仪：</w:t>
            </w:r>
            <w:r>
              <w:rPr>
                <w:rFonts w:hint="eastAsia" w:ascii="宋体" w:hAnsi="宋体" w:cs="宋体"/>
                <w:color w:val="000000"/>
                <w:sz w:val="24"/>
                <w:szCs w:val="24"/>
                <w:highlight w:val="none"/>
                <w:lang w:eastAsia="zh-CN"/>
              </w:rPr>
              <w:t xml:space="preserve">配置</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台</w:t>
            </w:r>
            <w:r>
              <w:rPr>
                <w:rFonts w:hint="eastAsia" w:ascii="宋体" w:hAnsi="宋体" w:cs="宋体"/>
                <w:color w:val="000000"/>
                <w:sz w:val="24"/>
                <w:szCs w:val="24"/>
                <w:highlight w:val="none"/>
              </w:rPr>
              <w:t xml:space="preserve">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每增加1台加1分</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rPr>
              <w:t xml:space="preserve">本项最高得</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cs="华文中宋"/>
                <w:color w:val="000000"/>
                <w:sz w:val="24"/>
                <w:szCs w:val="24"/>
                <w:highlight w:val="white"/>
                <w:lang w:val="en-US" w:bidi="ar-SA"/>
              </w:rPr>
              <w:t xml:space="preserve">单北斗无人机测绘系统设备</w:t>
            </w:r>
            <w:r>
              <w:rPr>
                <w:rFonts w:hint="eastAsia" w:cs="华文中宋"/>
                <w:color w:val="000000"/>
                <w:sz w:val="24"/>
                <w:szCs w:val="24"/>
                <w:highlight w:val="white"/>
                <w:lang w:val="en-US" w:eastAsia="zh-CN" w:bidi="ar-SA"/>
              </w:rPr>
              <w:t xml:space="preserve">：</w:t>
            </w:r>
            <w:r>
              <w:rPr>
                <w:rFonts w:hint="eastAsia" w:ascii="宋体" w:hAnsi="宋体" w:cs="宋体"/>
                <w:color w:val="000000"/>
                <w:sz w:val="24"/>
                <w:szCs w:val="24"/>
                <w:highlight w:val="none"/>
                <w:lang w:eastAsia="zh-CN"/>
              </w:rPr>
              <w:t xml:space="preserve">配置</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台</w:t>
            </w:r>
            <w:r>
              <w:rPr>
                <w:rFonts w:hint="eastAsia" w:ascii="宋体" w:hAnsi="宋体" w:cs="宋体"/>
                <w:color w:val="000000"/>
                <w:sz w:val="24"/>
                <w:szCs w:val="24"/>
                <w:highlight w:val="none"/>
              </w:rPr>
              <w:t xml:space="preserve">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每增加1台加1分</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rPr>
              <w:t xml:space="preserve">本项最高得</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rPr>
                <w:rFonts w:hint="eastAsia" w:ascii="宋体" w:hAnsi="宋体" w:eastAsia="宋体" w:cs="宋体"/>
                <w:color w:val="000000"/>
                <w:sz w:val="24"/>
                <w:szCs w:val="24"/>
                <w:highlight w:val="white"/>
                <w:lang w:val="en-US" w:eastAsia="zh-CN" w:bidi="ar-SA"/>
              </w:rPr>
              <w:t xml:space="preserve">。</w:t>
            </w:r>
            <w:r>
              <w:rPr>
                <w:rFonts w:hint="eastAsia" w:ascii="宋体" w:hAnsi="宋体" w:eastAsia="宋体" w:cs="宋体"/>
                <w:color w:val="000000"/>
                <w:sz w:val="24"/>
                <w:szCs w:val="24"/>
                <w:highlight w:val="none"/>
                <w:lang w:eastAsia="zh-CN"/>
              </w:rPr>
            </w:r>
            <w:r/>
          </w:p>
          <w:p>
            <w:pPr>
              <w:pStyle w:val="969"/>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eastAsia="宋体" w:cs="宋体"/>
                <w:color w:val="000000"/>
                <w:sz w:val="24"/>
                <w:szCs w:val="24"/>
                <w:highlight w:val="none"/>
              </w:rPr>
              <w:t xml:space="preserve">拟投入设备可为自有或租赁。</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仪器</w:t>
            </w:r>
            <w:r>
              <w:rPr>
                <w:rFonts w:hint="eastAsia" w:ascii="宋体" w:hAnsi="宋体" w:cs="宋体"/>
                <w:color w:val="000000"/>
                <w:sz w:val="24"/>
                <w:szCs w:val="24"/>
                <w:highlight w:val="none"/>
                <w:lang w:eastAsia="zh-CN"/>
              </w:rPr>
              <w:t xml:space="preserve">为自有的，提供购买方的发票或</w:t>
            </w:r>
            <w:r>
              <w:rPr>
                <w:rFonts w:hint="eastAsia" w:ascii="宋体" w:hAnsi="宋体" w:cs="宋体"/>
                <w:color w:val="000000"/>
                <w:sz w:val="24"/>
                <w:szCs w:val="24"/>
                <w:highlight w:val="none"/>
                <w:lang w:val="en-US" w:eastAsia="zh-CN"/>
              </w:rPr>
              <w:t xml:space="preserve">有效期内检定证书扫描件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仪器为</w:t>
            </w:r>
            <w:r>
              <w:rPr>
                <w:rFonts w:hint="eastAsia" w:ascii="宋体" w:hAnsi="宋体" w:cs="宋体"/>
                <w:color w:val="000000"/>
                <w:sz w:val="24"/>
                <w:szCs w:val="24"/>
                <w:highlight w:val="none"/>
              </w:rPr>
              <w:t xml:space="preserve">租赁的，须提供租赁协议以及出租方的</w:t>
            </w:r>
            <w:r>
              <w:rPr>
                <w:rFonts w:hint="eastAsia" w:ascii="宋体" w:hAnsi="宋体" w:cs="宋体"/>
                <w:color w:val="000000"/>
                <w:sz w:val="24"/>
                <w:szCs w:val="24"/>
                <w:highlight w:val="none"/>
                <w:lang w:eastAsia="zh-CN"/>
              </w:rPr>
              <w:t xml:space="preserve">购买发票或</w:t>
            </w:r>
            <w:r>
              <w:rPr>
                <w:rFonts w:hint="eastAsia" w:ascii="宋体" w:hAnsi="宋体" w:cs="宋体"/>
                <w:color w:val="000000"/>
                <w:sz w:val="24"/>
                <w:szCs w:val="24"/>
                <w:highlight w:val="none"/>
                <w:lang w:val="en-US" w:eastAsia="zh-CN"/>
              </w:rPr>
              <w:t xml:space="preserve">有效期内检定证书</w:t>
            </w:r>
            <w:r>
              <w:rPr>
                <w:rFonts w:hint="eastAsia" w:ascii="宋体" w:hAnsi="宋体" w:cs="宋体"/>
                <w:color w:val="000000"/>
                <w:sz w:val="24"/>
                <w:szCs w:val="24"/>
                <w:highlight w:val="none"/>
                <w:lang w:eastAsia="zh-CN"/>
              </w:rPr>
              <w:t xml:space="preserve">扫描件（租赁合同须</w:t>
            </w:r>
            <w:r>
              <w:rPr>
                <w:rFonts w:hint="eastAsia" w:ascii="宋体" w:hAnsi="宋体" w:cs="宋体"/>
                <w:color w:val="000000"/>
                <w:sz w:val="24"/>
                <w:szCs w:val="24"/>
                <w:highlight w:val="none"/>
              </w:rPr>
              <w:t xml:space="preserve">覆盖本项目完整服务周期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评审结束后采购人有权对成交供应商上述证明材料开展原件核查，核查发现弄虚作假的，按无效响应处理，并报送监管部门。</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r>
      <w:tr>
        <w:trPr>
          <w:cantSplit/>
          <w:trHeight w:val="600"/>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w:t>
            </w:r>
            <w:r>
              <w:rPr>
                <w:rFonts w:hint="eastAsia" w:ascii="宋体" w:hAnsi="宋体" w:cs="宋体"/>
                <w:color w:val="000000"/>
                <w:sz w:val="24"/>
                <w:szCs w:val="24"/>
                <w:highlight w:val="none"/>
              </w:rPr>
            </w:r>
            <w:r/>
          </w:p>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供应商自2022年9月1日（以合同签订时间为准）以来承担过类似项目业绩的每一个项目得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注：响应文件中须提供业绩证明材料的扫描件（至少包括：合同首页、合同内容页、签字盖章页），分包转包业绩不得计分，未按以上要求提供的不得分。</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cantSplit/>
          <w:trHeight w:val="558"/>
        </w:trPr>
        <w:tc>
          <w:tcPr>
            <w:tcW w:w="462"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855" w:type="dxa"/>
            <w:vAlign w:val="center"/>
            <w:textDirection w:val="lrTb"/>
            <w:noWrap w:val="false"/>
          </w:tcPr>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综合能力</w:t>
            </w:r>
            <w:r>
              <w:rPr>
                <w:rFonts w:hint="eastAsia" w:ascii="宋体" w:hAnsi="宋体" w:cs="宋体"/>
                <w:color w:val="000000"/>
                <w:sz w:val="24"/>
                <w:szCs w:val="24"/>
                <w:highlight w:val="none"/>
              </w:rPr>
            </w:r>
            <w:r/>
          </w:p>
          <w:p>
            <w:pPr>
              <w:pStyle w:val="969"/>
              <w:jc w:val="center"/>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shd w:val="clear" w:color="auto" w:fill="ffffff"/>
            <w:tcW w:w="7845" w:type="dxa"/>
            <w:vAlign w:val="center"/>
            <w:textDirection w:val="lrTb"/>
            <w:noWrap w:val="false"/>
          </w:tcPr>
          <w:p>
            <w:pPr>
              <w:pStyle w:val="969"/>
              <w:ind w:firstLine="480"/>
              <w:keepNext/>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w:t>
            </w:r>
            <w:r>
              <w:rPr>
                <w:rFonts w:hint="eastAsia" w:ascii="宋体" w:hAnsi="宋体" w:cs="宋体"/>
                <w:color w:val="000000"/>
                <w:sz w:val="24"/>
                <w:szCs w:val="24"/>
                <w:highlight w:val="none"/>
                <w:lang w:val="en-US"/>
              </w:rPr>
              <w:t xml:space="preserve">管线探测相关专利</w:t>
            </w:r>
            <w:r>
              <w:rPr>
                <w:rFonts w:hint="eastAsia" w:ascii="宋体" w:hAnsi="宋体" w:cs="宋体"/>
                <w:color w:val="000000"/>
                <w:sz w:val="24"/>
                <w:szCs w:val="24"/>
                <w:highlight w:val="none"/>
                <w:lang w:val="en-US" w:eastAsia="zh-CN"/>
              </w:rPr>
              <w:t xml:space="preserve">得3分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rPr>
              <w:t xml:space="preserve">提供相关证书或证明材料的扫描件</w:t>
            </w:r>
            <w:r>
              <w:rPr>
                <w:rFonts w:hint="eastAsia" w:ascii="宋体" w:hAnsi="宋体" w:cs="宋体"/>
                <w:color w:val="000000"/>
                <w:sz w:val="24"/>
                <w:szCs w:val="24"/>
                <w:highlight w:val="none"/>
                <w:lang w:val="en-US" w:eastAsia="zh-CN"/>
              </w:rPr>
              <w:t xml:space="preserve">，否则不得分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tc>
        <w:tc>
          <w:tcPr>
            <w:tcW w:w="666"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bl>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说明：异常低价投标审查</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en-US" w:bidi="zh-CN"/>
        </w:rPr>
        <w:t xml:space="preserve">1.</w:t>
      </w:r>
      <w:r>
        <w:rPr>
          <w:rFonts w:hint="eastAsia" w:ascii="宋体" w:hAnsi="宋体" w:eastAsia="宋体" w:cs="宋体"/>
          <w:color w:val="000000"/>
          <w:lang w:val="zh-CN" w:bidi="zh-CN"/>
        </w:rPr>
        <w:t xml:space="preserve">评标过程中出现下列情形之一的，评委会应当启动异常低价投标审查程序：</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（3）投标报价低于采购项目最高限价</w:t>
      </w:r>
      <w:r>
        <w:rPr>
          <w:rFonts w:hint="eastAsia" w:ascii="宋体" w:hAnsi="宋体" w:eastAsia="宋体" w:cs="宋体"/>
          <w:color w:val="000000"/>
          <w:lang w:val="zh-CN" w:eastAsia="zh-CN" w:bidi="zh-CN"/>
        </w:rPr>
        <w:t xml:space="preserve">45</w:t>
      </w:r>
      <w:r>
        <w:rPr>
          <w:rFonts w:hint="eastAsia" w:ascii="宋体" w:hAnsi="宋体" w:eastAsia="宋体" w:cs="宋体"/>
          <w:color w:val="000000"/>
          <w:lang w:val="zh-CN" w:bidi="zh-CN"/>
        </w:rPr>
        <w:t xml:space="preserve">%的，即投标报价&lt;采购项目最高限价×</w:t>
      </w:r>
      <w:r>
        <w:rPr>
          <w:rFonts w:hint="eastAsia" w:ascii="宋体" w:hAnsi="宋体" w:eastAsia="宋体" w:cs="宋体"/>
          <w:color w:val="000000"/>
          <w:lang w:val="zh-CN" w:eastAsia="zh-CN" w:bidi="zh-CN"/>
        </w:rPr>
        <w:t xml:space="preserve">45</w:t>
      </w:r>
      <w:r>
        <w:rPr>
          <w:rFonts w:hint="eastAsia" w:ascii="宋体" w:hAnsi="宋体" w:eastAsia="宋体" w:cs="宋体"/>
          <w:color w:val="000000"/>
          <w:lang w:val="zh-CN" w:bidi="zh-CN"/>
        </w:rPr>
        <w:t xml:space="preserve">%；</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（4）评委会基于专业判断，认为供应商报价过低，有可能影响产品质量或者不能诚信履约的其他情形。</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en-US" w:bidi="zh-CN"/>
        </w:rPr>
        <w:t xml:space="preserve">2.</w:t>
      </w:r>
      <w:r>
        <w:rPr>
          <w:rFonts w:hint="eastAsia" w:ascii="宋体" w:hAnsi="宋体" w:eastAsia="宋体" w:cs="宋体"/>
          <w:color w:val="000000"/>
          <w:lang w:val="zh-CN" w:bidi="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26" w:name="OLE_LINK2"/>
      <w:r>
        <w:rPr>
          <w:rFonts w:hint="eastAsia" w:ascii="宋体" w:hAnsi="宋体" w:eastAsia="宋体" w:cs="宋体"/>
          <w:color w:val="000000"/>
          <w:lang w:val="zh-CN" w:bidi="zh-CN"/>
        </w:rPr>
        <w:t xml:space="preserve">供应商已随投标文件一并提交相关书面说明及必要的证明材料的，在评标现场可不再重复提交</w:t>
      </w:r>
      <w:bookmarkEnd w:id="126"/>
      <w:r>
        <w:rPr>
          <w:rFonts w:hint="eastAsia" w:ascii="宋体" w:hAnsi="宋体" w:eastAsia="宋体" w:cs="宋体"/>
          <w:color w:val="000000"/>
          <w:lang w:val="zh-CN" w:bidi="zh-CN"/>
        </w:rPr>
        <w:t xml:space="preserve">。</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color w:val="000000"/>
          <w:lang w:val="zh-CN" w:bidi="zh-CN"/>
        </w:rPr>
      </w:r>
      <w:r/>
    </w:p>
    <w:p>
      <w:pPr>
        <w:pStyle w:val="1089"/>
        <w:keepNext/>
        <w:pageBreakBefore w:val="0"/>
        <w:rPr>
          <w:rFonts w:hint="eastAsia" w:ascii="宋体" w:hAnsi="宋体" w:eastAsia="宋体" w:cs="宋体"/>
          <w:color w:val="000000"/>
          <w:lang w:val="zh-CN" w:bidi="zh-CN"/>
        </w:rPr>
      </w:pPr>
      <w:r>
        <w:rPr>
          <w:rFonts w:hint="eastAsia" w:ascii="宋体" w:hAnsi="宋体" w:eastAsia="宋体" w:cs="宋体"/>
          <w:color w:val="000000"/>
          <w:lang w:val="zh-CN" w:bidi="zh-CN"/>
        </w:rPr>
      </w:r>
      <w:r/>
    </w:p>
    <w:p>
      <w:pPr>
        <w:pStyle w:val="1089"/>
        <w:ind w:firstLine="721"/>
        <w:keepNext/>
        <w:pageBreakBefore w:val="0"/>
        <w:rPr>
          <w:rFonts w:hint="eastAsia" w:ascii="宋体" w:hAnsi="宋体" w:eastAsia="宋体" w:cs="宋体"/>
          <w:b/>
          <w:color w:val="000000"/>
          <w:lang w:val="zh-CN" w:bidi="zh-CN"/>
        </w:rPr>
      </w:pPr>
      <w:r>
        <w:rPr>
          <w:rFonts w:hint="eastAsia" w:ascii="宋体" w:hAnsi="宋体" w:eastAsia="宋体" w:cs="宋体"/>
          <w:b/>
          <w:color w:val="000000"/>
          <w:lang w:val="zh-CN" w:bidi="zh-CN"/>
        </w:rPr>
        <w:br w:type="page" w:clear="all"/>
      </w:r>
      <w:r>
        <w:rPr>
          <w:rFonts w:hint="eastAsia" w:ascii="宋体" w:hAnsi="宋体" w:eastAsia="宋体" w:cs="宋体"/>
          <w:b/>
          <w:color w:val="000000"/>
          <w:lang w:val="zh-CN" w:bidi="zh-CN"/>
        </w:rPr>
        <w:t xml:space="preserve">包二：</w:t>
      </w:r>
      <w:r>
        <w:rPr>
          <w:rFonts w:hint="eastAsia" w:ascii="宋体" w:hAnsi="宋体" w:eastAsia="宋体" w:cs="Times New Roman"/>
          <w:color w:val="000000"/>
          <w:sz w:val="24"/>
          <w:szCs w:val="24"/>
          <w:highlight w:val="none"/>
          <w:lang w:val="en-US" w:eastAsia="zh-CN"/>
        </w:rPr>
        <w:t xml:space="preserve">2026年度六合区全行政区域地下管线动态维护监理技术服务</w:t>
      </w:r>
      <w:r>
        <w:rPr>
          <w:rFonts w:hint="eastAsia" w:ascii="宋体" w:hAnsi="宋体" w:eastAsia="宋体" w:cs="宋体"/>
          <w:b/>
          <w:color w:val="000000"/>
          <w:lang w:val="zh-CN" w:bidi="zh-CN"/>
        </w:rPr>
        <w:t xml:space="preserve">；</w:t>
      </w:r>
      <w:r>
        <w:rPr>
          <w:rFonts w:hint="eastAsia" w:ascii="宋体" w:hAnsi="宋体" w:eastAsia="宋体" w:cs="宋体"/>
          <w:b/>
          <w:color w:val="000000"/>
          <w:lang w:val="zh-CN" w:bidi="zh-CN"/>
        </w:rPr>
      </w:r>
      <w:r/>
    </w:p>
    <w:tbl>
      <w:tblPr>
        <w:tblW w:w="94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780"/>
        <w:gridCol w:w="7346"/>
        <w:gridCol w:w="690"/>
      </w:tblGrid>
      <w:tr>
        <w:trPr>
          <w:cantSplit/>
          <w:trHeight w:val="284"/>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W w:w="7346"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cantSplit/>
          <w:trHeight w:val="994"/>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价格最低的报价为评标基准价，其价格分为满分；其他供应商的价格分统一按照下列公式计算：</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报价得分=（评标基准价/</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报价）×1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（小数点保留两位）。</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cantSplit/>
          <w:trHeight w:val="1136"/>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80" w:type="dxa"/>
            <w:vAlign w:val="center"/>
            <w:vMerge w:val="restart"/>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项目理解（包含项目特点、重难点分析及针对性合理化建议）（10分）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①对项目特点把握准确，重难点分析全面透彻，提出的合理化建议针对性强、可落地，得10分；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②对项目特点把握较准确，重难点分析较为完整，合理化建议具备一定针对性且基本可行，得7分；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③对项目特点有基本理解，重难点分析内容简单，合理化建议通用性较强、可行性一般，得4分；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④能够简单描述项目相关内容，但重难点分析、合理化建议二者仅有一项内容，得1分；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⑤未提供项目特点、未提供重难点分析、未提供合理化建议，或内容完全脱离本项目，得0分。</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cantSplit/>
          <w:trHeight w:val="1743"/>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技术路线：针对被监理项目分项工作，逐条设计具体措施，包含规范依据、控制目标及要点、工艺流程、事故及风险处置等内容，按以下标准阶梯打分（10分）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①技术路线规划全面完善、贴合项目实际，各项措施详实具体、逻辑清晰，可操作性极强，完全满足项目监理需求，得10分；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②技术路线规划比较完善，覆盖项目主要分项工作，核心措施齐全、贴合项目实际，具备良好可操作性，基本满足项目监理需求，得7分；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③技术路线内容相对完整，覆盖基础分项工作，措施内容常规通用，细节有所欠缺，可操作性一般，仅能满足基础监理需求，得4分；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④仅简单罗列技术路线相关内容，分项覆盖不全、措施单薄笼统，无针对性内容，可行性较差，得1分；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⑤技术路线内容脱离项目实际、不符合项目监理工作要求，或内容空洞、无有效实质性内容，得0分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r>
            <w:r/>
          </w:p>
        </w:tc>
      </w:tr>
      <w:tr>
        <w:trPr>
          <w:cantSplit/>
          <w:trHeight w:val="284"/>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质量管理</w:t>
            </w:r>
            <w:r>
              <w:rPr>
                <w:rFonts w:hint="eastAsia" w:ascii="宋体" w:hAnsi="宋体" w:eastAsia="宋体" w:cs="宋体"/>
                <w:color w:val="000000"/>
                <w:sz w:val="24"/>
                <w:szCs w:val="24"/>
                <w:highlight w:val="none"/>
                <w:lang w:eastAsia="zh-CN"/>
              </w:rPr>
              <w:t xml:space="preserve">：包含巡视、旁站、重复量测、数据监理等监理质量管控工作，按以下标准阶梯打分</w:t>
            </w: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lang w:eastAsia="zh-CN"/>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eastAsia="zh-CN"/>
              </w:rPr>
              <w:t xml:space="preserve">质量管理体系完整、管控措施全面细化，完全贴合项目施工监理实际，全覆盖各质量管控环节，可行性、落地性极强，得10分；</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质量管理措施较为完善，核心质量管控环节全覆盖，内容贴合项目实际，管控逻辑清晰、具备良好可行性，得7分；</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t xml:space="preserve">具备基础质量管理措施，覆盖常规质量管控内容，但细节简单、针对性不足，通用性较强，可行性一般，得4分；</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eastAsia="zh-CN"/>
              </w:rPr>
              <w:t xml:space="preserve">仅简单提及质量管理相关内容，管控措施缺失严重、不成体系，无有效落地内容，得1分；</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lang w:eastAsia="zh-CN"/>
              </w:rPr>
              <w:t xml:space="preserve">质量管理措施脱离项目实际、不符合监理质量管控规范，或无实质性质量管理内容，得0分。</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w:t>
            </w:r>
            <w:r>
              <w:rPr>
                <w:rFonts w:hint="eastAsia" w:ascii="宋体" w:hAnsi="宋体" w:eastAsia="宋体" w:cs="宋体"/>
                <w:color w:val="000000"/>
                <w:sz w:val="24"/>
                <w:szCs w:val="24"/>
                <w:highlight w:val="none"/>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组织管理</w:t>
            </w:r>
            <w:r>
              <w:rPr>
                <w:rFonts w:hint="eastAsia" w:ascii="宋体" w:hAnsi="宋体" w:eastAsia="宋体" w:cs="宋体"/>
                <w:color w:val="000000"/>
                <w:sz w:val="24"/>
                <w:szCs w:val="24"/>
                <w:highlight w:val="none"/>
                <w:lang w:eastAsia="zh-CN"/>
              </w:rPr>
              <w:t xml:space="preserve">：包含人员配置、仪器设备投入、任务周期规划、整体进度管控等组织管理内容，按以下标准阶梯打分</w:t>
            </w: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①项目组织管理方案科学合理，人员、仪器配置匹配项目需求，周期及进度管控规划全面细致，措施完善、落地性极强，得10分；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②项目组织管理措施较为完善，人员、设备、进度管控等核心内容齐全，贴合项目实际，具备良好可行性，得7分；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③具备基础组织管理内容，满足项目基本运行需求，但规划简单、细节欠缺、针对性不足，可行性一般，得4分；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④仅零散提及组织管理相关内容，核心配置、管控规划缺失，不成体系，落地性较差，得1分；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⑤组织管理方案不符合项目实际需求、不合理不可行，或无任何实质性组织管理内容，得0分。</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安全保障体系与保密控制措施：</w:t>
            </w:r>
            <w:r>
              <w:rPr>
                <w:rFonts w:hint="eastAsia" w:ascii="宋体" w:hAnsi="宋体" w:eastAsia="宋体" w:cs="宋体"/>
                <w:color w:val="000000"/>
                <w:sz w:val="24"/>
                <w:szCs w:val="24"/>
              </w:rPr>
              <w:t xml:space="preserve">包含安全保密培训、专职人员配置、定期抽检、安全管控、保密管理等相关内容，按以下标准阶梯打分（10分）</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①安全保障与保密控制体系健全、措施全面细化，全覆盖安全、保密管控全流程，贴合项目实际，针对性、落地性极强，得10分；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②安全保密管控措施较为完善，核心管控环节全覆盖，内容贴合项目需求，管控规范、可行性良好，得7分；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③具备基础安全保密管控措施，内容较为笼统、通用性强，细节不完善，管控力度不足，可行性一般，得4分；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④仅简单提及安全或保密相关内容，管控措施残缺、不成体系，无有效落地手段，得1分；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⑤安全保密措施脱离项目实际、不符合行业规范要求，或无任何实质性安全保密管控内容，得0分。</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  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shd w:val="clear" w:color="auto" w:fill="ffffff"/>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项目负责人（总监）情况（本项满分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1、拟派项目负责人具有测绘或市政工程专业</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级工程师及以上职称，</w:t>
            </w:r>
            <w:r>
              <w:rPr>
                <w:rFonts w:hint="eastAsia"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本项合计最高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(提供开标前半年内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2026年4-9月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任意一个月供应商为其缴纳社保记录</w:t>
            </w:r>
            <w:r>
              <w:rPr>
                <w:rFonts w:hint="eastAsia" w:ascii="宋体" w:hAnsi="宋体" w:eastAsia="宋体" w:cs="宋体"/>
                <w:color w:val="000000"/>
                <w:sz w:val="24"/>
                <w:szCs w:val="24"/>
                <w:highlight w:val="none"/>
                <w:lang w:eastAsia="zh-CN"/>
              </w:rPr>
              <w:t xml:space="preserve">；相关资质证书</w:t>
            </w:r>
            <w:r>
              <w:rPr>
                <w:rFonts w:hint="eastAsia" w:ascii="宋体" w:hAnsi="宋体" w:eastAsia="宋体" w:cs="宋体"/>
                <w:color w:val="000000"/>
                <w:sz w:val="24"/>
                <w:szCs w:val="24"/>
                <w:highlight w:val="none"/>
              </w:rPr>
              <w:t xml:space="preserve">、劳动合同证明材料复印件加盖公章，原件备查。)</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技术负责人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shd w:val="clear" w:color="auto" w:fill="ffffff"/>
            <w:tcW w:w="7346" w:type="dxa"/>
            <w:vAlign w:val="top"/>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技术负责人</w:t>
            </w:r>
            <w:r>
              <w:rPr>
                <w:rFonts w:hint="eastAsia" w:ascii="宋体" w:hAnsi="宋体" w:eastAsia="宋体" w:cs="宋体"/>
                <w:color w:val="000000"/>
                <w:sz w:val="24"/>
                <w:szCs w:val="24"/>
                <w:highlight w:val="none"/>
              </w:rPr>
              <w:t xml:space="preserve">情况（本项满分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1、拟派</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负责人具有注册测绘师执业证书，得2分；</w:t>
            </w:r>
            <w:r>
              <w:rPr>
                <w:rFonts w:hint="eastAsia" w:ascii="宋体" w:hAnsi="宋体" w:eastAsia="宋体" w:cs="宋体"/>
                <w:color w:val="000000"/>
                <w:sz w:val="24"/>
                <w:szCs w:val="24"/>
                <w:highlight w:val="none"/>
                <w:lang w:eastAsia="zh-CN"/>
              </w:rPr>
              <w:t xml:space="preserve">同时</w:t>
            </w:r>
            <w:r>
              <w:rPr>
                <w:rFonts w:hint="eastAsia" w:ascii="宋体" w:hAnsi="宋体" w:eastAsia="宋体" w:cs="宋体"/>
                <w:color w:val="000000"/>
                <w:sz w:val="24"/>
                <w:szCs w:val="24"/>
                <w:highlight w:val="none"/>
              </w:rPr>
              <w:t xml:space="preserve">具有测绘或市政工程专业中级工程师及以上职称，</w:t>
            </w:r>
            <w:r>
              <w:rPr>
                <w:rFonts w:hint="eastAsia" w:ascii="宋体" w:hAnsi="宋体" w:eastAsia="宋体" w:cs="宋体"/>
                <w:color w:val="000000"/>
                <w:sz w:val="24"/>
                <w:szCs w:val="24"/>
                <w:highlight w:val="none"/>
                <w:lang w:eastAsia="zh-CN"/>
              </w:rPr>
              <w:t xml:space="preserve">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本项合计最高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(提供开标前半年内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2026年4-9月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任意一个月供应商为其缴纳社保记录</w:t>
            </w:r>
            <w:r>
              <w:rPr>
                <w:rFonts w:hint="eastAsia" w:ascii="宋体" w:hAnsi="宋体" w:eastAsia="宋体" w:cs="宋体"/>
                <w:color w:val="000000"/>
                <w:sz w:val="24"/>
                <w:szCs w:val="24"/>
                <w:highlight w:val="none"/>
                <w:lang w:eastAsia="zh-CN"/>
              </w:rPr>
              <w:t xml:space="preserve">；相关资质证书</w:t>
            </w:r>
            <w:r>
              <w:rPr>
                <w:rFonts w:hint="eastAsia" w:ascii="宋体" w:hAnsi="宋体" w:eastAsia="宋体" w:cs="宋体"/>
                <w:color w:val="000000"/>
                <w:sz w:val="24"/>
                <w:szCs w:val="24"/>
                <w:highlight w:val="none"/>
              </w:rPr>
              <w:t xml:space="preserve">、劳动合同证明材料复印件加盖公章，原件备查。)</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监理工程师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tc>
        <w:tc>
          <w:tcPr>
            <w:shd w:val="clear" w:color="auto" w:fill="ffffff"/>
            <w:tcW w:w="7346" w:type="dxa"/>
            <w:vAlign w:val="top"/>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监理工程师情况：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除项目负责人外，具有测绘或市政工程</w:t>
            </w:r>
            <w:r>
              <w:rPr>
                <w:rFonts w:hint="eastAsia" w:ascii="宋体" w:hAnsi="宋体" w:eastAsia="宋体" w:cs="宋体"/>
                <w:color w:val="000000"/>
                <w:sz w:val="24"/>
                <w:szCs w:val="24"/>
                <w:highlight w:val="none"/>
                <w:lang w:eastAsia="zh-CN"/>
              </w:rPr>
              <w:t xml:space="preserve">专业</w:t>
            </w:r>
            <w:r>
              <w:rPr>
                <w:rFonts w:hint="eastAsia" w:ascii="宋体" w:hAnsi="宋体" w:eastAsia="宋体" w:cs="宋体"/>
                <w:color w:val="000000"/>
                <w:sz w:val="24"/>
                <w:szCs w:val="24"/>
                <w:highlight w:val="none"/>
              </w:rPr>
              <w:t xml:space="preserve">工程师及以上职称的，每提供1人得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(提供开标前半年内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2026年4-9月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任意一个月供应商为其缴纳社保记录</w:t>
            </w:r>
            <w:r>
              <w:rPr>
                <w:rFonts w:hint="eastAsia" w:ascii="宋体" w:hAnsi="宋体" w:eastAsia="宋体" w:cs="宋体"/>
                <w:color w:val="000000"/>
                <w:sz w:val="24"/>
                <w:szCs w:val="24"/>
                <w:highlight w:val="none"/>
                <w:lang w:eastAsia="zh-CN"/>
              </w:rPr>
              <w:t xml:space="preserve">；相关资质证书</w:t>
            </w:r>
            <w:r>
              <w:rPr>
                <w:rFonts w:hint="eastAsia" w:ascii="宋体" w:hAnsi="宋体" w:eastAsia="宋体" w:cs="宋体"/>
                <w:color w:val="000000"/>
                <w:sz w:val="24"/>
                <w:szCs w:val="24"/>
                <w:highlight w:val="none"/>
              </w:rPr>
              <w:t xml:space="preserve">、劳动合同证明材料复印件加盖公章，原件备查。)</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供应商业绩</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shd w:val="clear" w:color="auto" w:fill="ffffff"/>
            <w:tcW w:w="7346" w:type="dxa"/>
            <w:vAlign w:val="center"/>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月1日（含）以后，以合同签订时间为准，供应商承担过城市地下管线(普查或监理）、市政基础设施（普查或监理）服务项目：每提供1项有效业绩得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color w:val="000000"/>
                <w:sz w:val="24"/>
                <w:szCs w:val="24"/>
                <w:highlight w:val="none"/>
              </w:rPr>
              <w:t xml:space="preserve">须提供合同关键页扫描件（至少包含项目名称、服务内容、甲乙双方、签订时间）；若提供中标通知书，应当同时配套合同关键页。材料无法体现项目服务内容、时间的不予计分，同一项目不重复计分。无符合要求业绩</w:t>
            </w:r>
            <w:r>
              <w:rPr>
                <w:rFonts w:hint="eastAsia" w:ascii="宋体" w:hAnsi="宋体" w:eastAsia="宋体" w:cs="宋体"/>
                <w:color w:val="000000"/>
                <w:sz w:val="24"/>
                <w:szCs w:val="24"/>
                <w:highlight w:val="none"/>
                <w:lang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shd w:val="clear" w:color="auto" w:fill="ffffff"/>
            <w:tcW w:w="7346" w:type="dxa"/>
            <w:vAlign w:val="top"/>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拟投入仪器设备情况（本项满分8分）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（1）GNSS接收机、全站仪：1台GNSS接收机+1台全站仪计为1套。</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拟为本项目投入不少于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套，得3分；在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套基础上，每增加1套加1分，本小项最高6分；投入不足</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套本小项得0分。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（2）管线探测仪：拟为本项目投入不少于1台，得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分；在1台基础上每增加1台加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分，本小项最高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注：拟投入设备可为自有或租赁。</w:t>
            </w:r>
            <w:r>
              <w:rPr>
                <w:rFonts w:hint="eastAsia" w:ascii="宋体" w:hAnsi="宋体" w:eastAsia="宋体" w:cs="宋体"/>
                <w:color w:val="000000"/>
                <w:sz w:val="24"/>
                <w:szCs w:val="24"/>
                <w:highlight w:val="none"/>
              </w:rPr>
              <w:br w:type="textWrapping" w:clear="all"/>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仪器</w:t>
            </w:r>
            <w:r>
              <w:rPr>
                <w:rFonts w:hint="eastAsia" w:ascii="宋体" w:hAnsi="宋体" w:cs="宋体"/>
                <w:color w:val="000000"/>
                <w:sz w:val="24"/>
                <w:szCs w:val="24"/>
                <w:highlight w:val="none"/>
                <w:lang w:eastAsia="zh-CN"/>
              </w:rPr>
              <w:t xml:space="preserve">为自有的，提供购买方的发票或</w:t>
            </w:r>
            <w:r>
              <w:rPr>
                <w:rFonts w:hint="eastAsia" w:ascii="宋体" w:hAnsi="宋体" w:cs="宋体"/>
                <w:color w:val="000000"/>
                <w:sz w:val="24"/>
                <w:szCs w:val="24"/>
                <w:highlight w:val="none"/>
                <w:lang w:val="en-US" w:eastAsia="zh-CN"/>
              </w:rPr>
              <w:t xml:space="preserve">有效期内检定证书扫描件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仪器为</w:t>
            </w:r>
            <w:r>
              <w:rPr>
                <w:rFonts w:hint="eastAsia" w:ascii="宋体" w:hAnsi="宋体" w:cs="宋体"/>
                <w:color w:val="000000"/>
                <w:sz w:val="24"/>
                <w:szCs w:val="24"/>
                <w:highlight w:val="none"/>
              </w:rPr>
              <w:t xml:space="preserve">租赁的，须提供租赁协议以及出租方的</w:t>
            </w:r>
            <w:r>
              <w:rPr>
                <w:rFonts w:hint="eastAsia" w:ascii="宋体" w:hAnsi="宋体" w:cs="宋体"/>
                <w:color w:val="000000"/>
                <w:sz w:val="24"/>
                <w:szCs w:val="24"/>
                <w:highlight w:val="none"/>
                <w:lang w:eastAsia="zh-CN"/>
              </w:rPr>
              <w:t xml:space="preserve">购买发票或</w:t>
            </w:r>
            <w:r>
              <w:rPr>
                <w:rFonts w:hint="eastAsia" w:ascii="宋体" w:hAnsi="宋体" w:cs="宋体"/>
                <w:color w:val="000000"/>
                <w:sz w:val="24"/>
                <w:szCs w:val="24"/>
                <w:highlight w:val="none"/>
                <w:lang w:val="en-US" w:eastAsia="zh-CN"/>
              </w:rPr>
              <w:t xml:space="preserve">有效期内检定证书</w:t>
            </w:r>
            <w:r>
              <w:rPr>
                <w:rFonts w:hint="eastAsia" w:ascii="宋体" w:hAnsi="宋体" w:cs="宋体"/>
                <w:color w:val="000000"/>
                <w:sz w:val="24"/>
                <w:szCs w:val="24"/>
                <w:highlight w:val="none"/>
                <w:lang w:eastAsia="zh-CN"/>
              </w:rPr>
              <w:t xml:space="preserve">扫描件（租赁合同须</w:t>
            </w:r>
            <w:r>
              <w:rPr>
                <w:rFonts w:hint="eastAsia" w:ascii="宋体" w:hAnsi="宋体" w:cs="宋体"/>
                <w:color w:val="000000"/>
                <w:sz w:val="24"/>
                <w:szCs w:val="24"/>
                <w:highlight w:val="none"/>
              </w:rPr>
              <w:t xml:space="preserve">覆盖本项目完整服务周期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评审结束后采购人有权对成交供应商上述证明材料开展原件核查，核查发现弄虚作假的，按无效响应处理，并报送监管部门。</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cantSplit/>
          <w:trHeight w:val="600"/>
        </w:trPr>
        <w:tc>
          <w:tcPr>
            <w:tcW w:w="631"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78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企业资信</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shd w:val="clear" w:color="auto" w:fill="ffffff"/>
            <w:tcW w:w="7346" w:type="dxa"/>
            <w:vAlign w:val="top"/>
            <w:textDirection w:val="lrTb"/>
            <w:noWrap w:val="false"/>
          </w:tcPr>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供应商具有省级及以上质量技术监督主管部门认定的CMA检验检测机构资质认定证书的，得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分，不提供不得分。</w:t>
            </w:r>
            <w:r>
              <w:rPr>
                <w:rFonts w:hint="eastAsia" w:ascii="宋体" w:hAnsi="宋体" w:eastAsia="宋体" w:cs="宋体"/>
                <w:color w:val="000000"/>
                <w:sz w:val="24"/>
                <w:szCs w:val="24"/>
                <w:highlight w:val="none"/>
              </w:rPr>
            </w:r>
            <w:r/>
          </w:p>
          <w:p>
            <w:pPr>
              <w:pStyle w:val="969"/>
              <w:jc w:val="left"/>
              <w:keepNex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（提供证书复印件等证明文件，原件备查）</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969"/>
              <w:jc w:val="center"/>
              <w:keepNext/>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bl>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说明：异常低价投标审查</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en-US" w:bidi="zh-CN"/>
        </w:rPr>
        <w:t xml:space="preserve">1.</w:t>
      </w:r>
      <w:r>
        <w:rPr>
          <w:rFonts w:hint="eastAsia" w:ascii="宋体" w:hAnsi="宋体" w:eastAsia="宋体" w:cs="宋体"/>
          <w:color w:val="000000"/>
          <w:lang w:val="zh-CN" w:bidi="zh-CN"/>
        </w:rPr>
        <w:t xml:space="preserve">评标过程中出现下列情形之一的，评委会应当启动异常低价投标审查程序：</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（3）投标报价低于采购项目最高限价</w:t>
      </w:r>
      <w:r>
        <w:rPr>
          <w:rFonts w:hint="eastAsia" w:ascii="宋体" w:hAnsi="宋体" w:eastAsia="宋体" w:cs="宋体"/>
          <w:color w:val="000000"/>
          <w:lang w:val="zh-CN" w:eastAsia="zh-CN" w:bidi="zh-CN"/>
        </w:rPr>
        <w:t xml:space="preserve">45</w:t>
      </w:r>
      <w:r>
        <w:rPr>
          <w:rFonts w:hint="eastAsia" w:ascii="宋体" w:hAnsi="宋体" w:eastAsia="宋体" w:cs="宋体"/>
          <w:color w:val="000000"/>
          <w:lang w:val="zh-CN" w:bidi="zh-CN"/>
        </w:rPr>
        <w:t xml:space="preserve">%的，即投标报价&lt;采购项目最高限价×</w:t>
      </w:r>
      <w:r>
        <w:rPr>
          <w:rFonts w:hint="eastAsia" w:ascii="宋体" w:hAnsi="宋体" w:eastAsia="宋体" w:cs="宋体"/>
          <w:color w:val="000000"/>
          <w:lang w:val="zh-CN" w:eastAsia="zh-CN" w:bidi="zh-CN"/>
        </w:rPr>
        <w:t xml:space="preserve">45</w:t>
      </w:r>
      <w:r>
        <w:rPr>
          <w:rFonts w:hint="eastAsia" w:ascii="宋体" w:hAnsi="宋体" w:eastAsia="宋体" w:cs="宋体"/>
          <w:color w:val="000000"/>
          <w:lang w:val="zh-CN" w:bidi="zh-CN"/>
        </w:rPr>
        <w:t xml:space="preserve">%；</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（4）评委会基于专业判断，认为供应商报价过低，有可能影响产品质量或者不能诚信履约的其他情形。</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en-US" w:bidi="zh-CN"/>
        </w:rPr>
        <w:t xml:space="preserve">2.</w:t>
      </w:r>
      <w:r>
        <w:rPr>
          <w:rFonts w:hint="eastAsia" w:ascii="宋体" w:hAnsi="宋体" w:eastAsia="宋体" w:cs="宋体"/>
          <w:color w:val="000000"/>
          <w:lang w:val="zh-CN" w:bidi="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lang w:val="zh-CN" w:bidi="zh-CN"/>
        </w:rPr>
      </w:r>
      <w:r/>
    </w:p>
    <w:p>
      <w:pPr>
        <w:pStyle w:val="1089"/>
        <w:keepNext/>
        <w:pageBreakBefore w:val="0"/>
        <w:spacing w:line="240" w:lineRule="auto"/>
        <w:rPr>
          <w:rFonts w:hint="eastAsia" w:ascii="宋体" w:hAnsi="宋体" w:eastAsia="宋体" w:cs="宋体"/>
          <w:color w:val="000000"/>
          <w:lang w:val="zh-CN" w:bidi="zh-CN"/>
        </w:rPr>
      </w:pPr>
      <w:r>
        <w:rPr>
          <w:rFonts w:hint="eastAsia" w:ascii="宋体" w:hAnsi="宋体" w:eastAsia="宋体" w:cs="宋体"/>
          <w:color w:val="000000"/>
          <w:lang w:val="zh-CN" w:bidi="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color w:val="000000"/>
          <w:lang w:val="zh-CN" w:bidi="zh-CN"/>
        </w:rPr>
      </w:r>
      <w:r/>
    </w:p>
    <w:p>
      <w:pPr>
        <w:pStyle w:val="969"/>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9"/>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9"/>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9"/>
        <w:jc w:val="center"/>
        <w:keepNext/>
        <w:pageBreakBefore w:val="0"/>
        <w:rPr>
          <w:rFonts w:hint="eastAsia" w:ascii="黑体" w:hAnsi="Times New Roman" w:eastAsia="黑体"/>
          <w:bCs/>
          <w:color w:val="000000"/>
          <w:sz w:val="44"/>
          <w:szCs w:val="28"/>
          <w:highlight w:val="none"/>
        </w:rPr>
        <w:outlineLvl w:val="0"/>
      </w:pPr>
      <w:r>
        <w:rPr>
          <w:rFonts w:hint="eastAsia" w:ascii="黑体" w:hAnsi="Times New Roman" w:eastAsia="黑体"/>
          <w:color w:val="000000"/>
          <w:sz w:val="44"/>
          <w:szCs w:val="44"/>
          <w:highlight w:val="none"/>
        </w:rPr>
        <w:br w:type="page" w:clear="all"/>
      </w:r>
      <w:r>
        <w:rPr>
          <w:rFonts w:hint="eastAsia" w:ascii="黑体" w:hAnsi="Times New Roman" w:eastAsia="黑体"/>
          <w:color w:val="000000"/>
          <w:sz w:val="44"/>
          <w:szCs w:val="44"/>
          <w:highlight w:val="none"/>
        </w:rPr>
        <w:t xml:space="preserve">第六章  </w:t>
      </w:r>
      <w:bookmarkEnd w:id="121"/>
      <w:r/>
      <w:bookmarkEnd w:id="122"/>
      <w:r/>
      <w:bookmarkEnd w:id="125"/>
      <w:r>
        <w:rPr>
          <w:rFonts w:hint="eastAsia" w:ascii="黑体" w:hAnsi="Times New Roman" w:eastAsia="黑体"/>
          <w:color w:val="000000"/>
          <w:sz w:val="44"/>
          <w:szCs w:val="44"/>
          <w:highlight w:val="none"/>
        </w:rPr>
        <w:t xml:space="preserve">响应文件格式 </w:t>
      </w:r>
      <w:r>
        <w:rPr>
          <w:rFonts w:hint="eastAsia" w:ascii="黑体" w:hAnsi="Times New Roman" w:eastAsia="黑体"/>
          <w:bCs/>
          <w:color w:val="000000"/>
          <w:sz w:val="44"/>
          <w:szCs w:val="28"/>
          <w:highlight w:val="none"/>
        </w:rPr>
      </w:r>
      <w:r/>
    </w:p>
    <w:p>
      <w:pPr>
        <w:pStyle w:val="969"/>
        <w:jc w:val="center"/>
        <w:keepNext/>
        <w:pageBreakBefore w:val="0"/>
        <w:rPr>
          <w:rFonts w:hint="eastAsia" w:ascii="宋体" w:hAnsi="宋体"/>
          <w:b/>
          <w:color w:val="000000"/>
          <w:sz w:val="72"/>
          <w:szCs w:val="21"/>
          <w:highlight w:val="none"/>
        </w:rPr>
      </w:pPr>
      <w:r/>
      <w:bookmarkStart w:id="127" w:name="_Hlt26671244"/>
      <w:r/>
      <w:bookmarkEnd w:id="127"/>
      <w:r/>
      <w:bookmarkStart w:id="128" w:name="_Hlt26955039"/>
      <w:r/>
      <w:bookmarkEnd w:id="128"/>
      <w:r/>
      <w:bookmarkStart w:id="129" w:name="_Toc120614282"/>
      <w:r/>
      <w:bookmarkStart w:id="130" w:name="_Toc49090576"/>
      <w:r/>
      <w:bookmarkStart w:id="131" w:name="_Toc26554094"/>
      <w:r>
        <w:rPr>
          <w:rFonts w:hint="eastAsia" w:ascii="宋体" w:hAnsi="宋体"/>
          <w:b/>
          <w:color w:val="000000"/>
          <w:sz w:val="72"/>
          <w:szCs w:val="21"/>
          <w:highlight w:val="none"/>
        </w:rPr>
      </w:r>
      <w:r/>
    </w:p>
    <w:p>
      <w:pPr>
        <w:pStyle w:val="969"/>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69"/>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9"/>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9"/>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9"/>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9"/>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9"/>
        <w:ind w:firstLine="1084"/>
        <w:keepNext/>
        <w:pageBreakBefore w:val="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969"/>
        <w:ind w:firstLine="1084"/>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69"/>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969"/>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69"/>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9"/>
        <w:keepNext/>
        <w:pageBreakBefore w:val="0"/>
        <w:spacing w:line="440" w:lineRule="exact"/>
        <w:rPr>
          <w:rFonts w:ascii="宋体" w:hAnsi="宋体"/>
          <w:color w:val="000000"/>
          <w:szCs w:val="21"/>
          <w:highlight w:val="none"/>
        </w:rPr>
      </w:pPr>
      <w:r>
        <w:rPr>
          <w:rFonts w:ascii="宋体" w:hAnsi="宋体"/>
          <w:color w:val="000000"/>
          <w:szCs w:val="21"/>
          <w:highlight w:val="none"/>
        </w:rPr>
      </w:r>
      <w:r/>
    </w:p>
    <w:p>
      <w:pPr>
        <w:pStyle w:val="969"/>
        <w:jc w:val="center"/>
        <w:keepNext/>
        <w:pageBreakBefore w:val="0"/>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969"/>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w:t>
      </w:r>
      <w:r>
        <w:rPr>
          <w:rFonts w:hint="eastAsia" w:ascii="宋体" w:hAnsi="宋体" w:cs="宋体"/>
          <w:color w:val="000000"/>
          <w:sz w:val="28"/>
          <w:szCs w:val="28"/>
          <w:highlight w:val="none"/>
        </w:rPr>
        <w:t xml:space="preserve">（如有特定资格要求）</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四、磋商响应函</w:t>
      </w:r>
      <w:r>
        <w:rPr>
          <w:rFonts w:hint="eastAsia" w:ascii="宋体" w:hAnsi="宋体" w:cs="宋体"/>
          <w:color w:val="000000"/>
          <w:sz w:val="28"/>
          <w:szCs w:val="28"/>
          <w:highlight w:val="none"/>
        </w:rPr>
      </w:r>
      <w:r/>
    </w:p>
    <w:p>
      <w:pPr>
        <w:pStyle w:val="969"/>
        <w:ind w:firstLine="560"/>
        <w:keepNext/>
        <w:pageBreakBefore w:val="0"/>
        <w:spacing w:line="600" w:lineRule="exact"/>
        <w:rPr>
          <w:rFonts w:ascii="宋体" w:hAnsi="宋体" w:cs="宋体"/>
          <w:color w:val="000000"/>
          <w:sz w:val="28"/>
          <w:szCs w:val="28"/>
          <w:highlight w:val="none"/>
        </w:rPr>
      </w:pPr>
      <w:r>
        <w:rPr>
          <w:rFonts w:ascii="宋体" w:hAnsi="宋体" w:cs="宋体"/>
          <w:color w:val="000000"/>
          <w:sz w:val="28"/>
          <w:szCs w:val="28"/>
          <w:highlight w:val="none"/>
        </w:rPr>
        <w:t xml:space="preserve">五、</w:t>
      </w:r>
      <w:r>
        <w:rPr>
          <w:rFonts w:hint="eastAsia" w:ascii="宋体" w:hAnsi="宋体" w:cs="宋体"/>
          <w:color w:val="000000"/>
          <w:sz w:val="28"/>
          <w:szCs w:val="28"/>
          <w:highlight w:val="none"/>
        </w:rPr>
        <w:t xml:space="preserve">磋商报价表</w:t>
      </w:r>
      <w:r>
        <w:rPr>
          <w:rFonts w:ascii="宋体" w:hAnsi="宋体" w:cs="宋体"/>
          <w:color w:val="000000"/>
          <w:sz w:val="28"/>
          <w:szCs w:val="28"/>
          <w:highlight w:val="none"/>
        </w:rPr>
      </w:r>
      <w:r/>
    </w:p>
    <w:p>
      <w:pPr>
        <w:pStyle w:val="969"/>
        <w:ind w:firstLine="560"/>
        <w:keepNext/>
        <w:pageBreakBefore w:val="0"/>
        <w:spacing w:line="600" w:lineRule="exact"/>
        <w:rPr>
          <w:rFonts w:ascii="宋体" w:hAnsi="宋体"/>
          <w:color w:val="000000"/>
          <w:sz w:val="24"/>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、技术要求响应及偏离表</w:t>
      </w:r>
      <w:r>
        <w:rPr>
          <w:rFonts w:ascii="宋体" w:hAnsi="宋体"/>
          <w:color w:val="000000"/>
          <w:sz w:val="24"/>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969"/>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9"/>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69"/>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69"/>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69"/>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69"/>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rPr>
        <w:t xml:space="preserve">一、供应商信用承诺函</w:t>
      </w:r>
      <w:r>
        <w:rPr>
          <w:rFonts w:hint="eastAsia" w:ascii="黑体" w:hAnsi="黑体" w:eastAsia="黑体"/>
          <w:i/>
          <w:color w:val="000000"/>
          <w:sz w:val="32"/>
          <w:szCs w:val="32"/>
          <w:highlight w:val="none"/>
          <w:u w:val="single"/>
        </w:rPr>
      </w:r>
      <w:r/>
    </w:p>
    <w:p>
      <w:pPr>
        <w:pStyle w:val="969"/>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969"/>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南京名东工程项目管理有限公司：</w:t>
      </w:r>
      <w:r>
        <w:rPr>
          <w:rFonts w:hint="eastAsia" w:ascii="宋体" w:hAnsi="宋体"/>
          <w:color w:val="000000"/>
          <w:sz w:val="24"/>
          <w:szCs w:val="24"/>
          <w:highlight w:val="none"/>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名称）郑重承诺，我公司（单位）符合下列要求：</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69"/>
        <w:ind w:firstLine="492"/>
        <w:keepNext/>
        <w:pageBreakBefore w:val="0"/>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969"/>
        <w:ind w:firstLine="492"/>
        <w:keepNext/>
        <w:pageBreakBefore w:val="0"/>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6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69"/>
        <w:ind w:firstLine="492"/>
        <w:keepNext/>
        <w:pageBreakBefore w:val="0"/>
        <w:spacing w:line="460" w:lineRule="exact"/>
        <w:rPr>
          <w:rFonts w:hint="eastAsia"/>
          <w:color w:val="000000"/>
          <w:sz w:val="24"/>
          <w:szCs w:val="24"/>
          <w:highlight w:val="none"/>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highlight w:val="none"/>
        </w:rPr>
        <w:t xml:space="preserve">。</w:t>
      </w:r>
      <w:r>
        <w:rPr>
          <w:rFonts w:hint="eastAsia"/>
          <w:color w:val="000000"/>
          <w:sz w:val="24"/>
          <w:szCs w:val="24"/>
          <w:highlight w:val="none"/>
        </w:rPr>
      </w:r>
      <w:r/>
    </w:p>
    <w:p>
      <w:pPr>
        <w:pStyle w:val="969"/>
        <w:ind w:firstLine="492"/>
        <w:keepNext/>
        <w:pageBreakBefore w:val="0"/>
        <w:spacing w:line="460" w:lineRule="exact"/>
        <w:rPr>
          <w:color w:val="000000"/>
          <w:sz w:val="24"/>
          <w:szCs w:val="24"/>
          <w:highlight w:val="none"/>
        </w:rPr>
      </w:pPr>
      <w:r>
        <w:rPr>
          <w:color w:val="000000"/>
          <w:sz w:val="24"/>
          <w:szCs w:val="24"/>
          <w:highlight w:val="none"/>
        </w:rPr>
      </w:r>
      <w:r/>
    </w:p>
    <w:p>
      <w:pPr>
        <w:pStyle w:val="1073"/>
        <w:keepNext/>
        <w:pageBreakBefore w:val="0"/>
        <w:rPr>
          <w:color w:val="000000"/>
          <w:sz w:val="24"/>
          <w:szCs w:val="24"/>
          <w:highlight w:val="none"/>
        </w:rPr>
      </w:pPr>
      <w:r>
        <w:rPr>
          <w:color w:val="000000"/>
          <w:sz w:val="24"/>
          <w:szCs w:val="24"/>
          <w:highlight w:val="none"/>
        </w:rPr>
      </w:r>
      <w:r/>
    </w:p>
    <w:p>
      <w:pPr>
        <w:pStyle w:val="969"/>
        <w:ind w:right="180" w:firstLine="360"/>
        <w:jc w:val="right"/>
        <w:keepNext/>
        <w:pageBreakBefore w:val="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69"/>
        <w:ind w:firstLine="6240"/>
        <w:keepNext/>
        <w:pageBreakBefore w:val="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69"/>
        <w:keepNext/>
        <w:pageBreakBefore w:val="0"/>
        <w:rPr>
          <w:color w:val="000000"/>
          <w:sz w:val="24"/>
          <w:szCs w:val="24"/>
          <w:highlight w:val="none"/>
        </w:rPr>
      </w:pPr>
      <w:r>
        <w:rPr>
          <w:color w:val="000000"/>
          <w:sz w:val="24"/>
          <w:szCs w:val="24"/>
          <w:highlight w:val="none"/>
        </w:rPr>
      </w:r>
      <w:r/>
    </w:p>
    <w:p>
      <w:pPr>
        <w:pStyle w:val="969"/>
        <w:keepNex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480"/>
        <w:keepNex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keepNext/>
        <w:pageBreakBefore w:val="0"/>
        <w:spacing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969"/>
        <w:keepNext/>
        <w:pageBreakBefore w:val="0"/>
        <w:rPr>
          <w:rFonts w:hint="eastAsia" w:ascii="黑体" w:hAnsi="黑体" w:eastAsia="黑体"/>
          <w:color w:val="000000"/>
          <w:sz w:val="32"/>
          <w:szCs w:val="32"/>
          <w:highlight w:val="none"/>
        </w:rPr>
      </w:pPr>
      <w:r/>
      <w:bookmarkEnd w:id="129"/>
      <w:r/>
      <w:bookmarkEnd w:id="130"/>
      <w:r/>
      <w:bookmarkEnd w:id="131"/>
      <w:r/>
      <w:bookmarkStart w:id="132" w:name="_Toc120614284"/>
      <w:r>
        <w:rPr>
          <w:rFonts w:hint="eastAsia" w:ascii="黑体" w:hAnsi="黑体" w:eastAsia="黑体"/>
          <w:color w:val="000000"/>
          <w:sz w:val="32"/>
          <w:szCs w:val="32"/>
          <w:highlight w:val="none"/>
        </w:rPr>
        <w:t xml:space="preserve">二、特定资格要求的证明文件</w:t>
      </w:r>
      <w:r>
        <w:rPr>
          <w:rFonts w:hint="eastAsia" w:ascii="黑体" w:hAnsi="黑体" w:eastAsia="黑体"/>
          <w:color w:val="000000"/>
          <w:sz w:val="32"/>
          <w:szCs w:val="32"/>
          <w:highlight w:val="none"/>
        </w:rPr>
      </w:r>
      <w:r/>
    </w:p>
    <w:p>
      <w:pPr>
        <w:pStyle w:val="969"/>
        <w:keepNext/>
        <w:pageBreakBefore w:val="0"/>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本项目申请人的特定资格要求中要求提供的材料。</w:t>
      </w:r>
      <w:r>
        <w:rPr>
          <w:rFonts w:hint="eastAsia" w:ascii="宋体" w:hAnsi="宋体"/>
          <w:bCs/>
          <w:color w:val="000000"/>
          <w:sz w:val="24"/>
          <w:szCs w:val="21"/>
          <w:highlight w:val="none"/>
        </w:rPr>
      </w:r>
      <w:r/>
    </w:p>
    <w:p>
      <w:pPr>
        <w:pStyle w:val="969"/>
        <w:keepNext/>
        <w:pageBreakBefore w:val="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9"/>
        <w:jc w:val="left"/>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9"/>
        <w:jc w:val="left"/>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9"/>
        <w:jc w:val="left"/>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9"/>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9"/>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9"/>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969"/>
        <w:jc w:val="center"/>
        <w:keepNext/>
        <w:pageBreakBefore w:val="0"/>
        <w:spacing w:line="420" w:lineRule="exact"/>
        <w:rPr>
          <w:rFonts w:hint="eastAsia" w:ascii="方正小标宋简体" w:hAnsi="方正小标宋简体" w:eastAsia="方正小标宋简体" w:cs="方正小标宋简体"/>
          <w:color w:val="000000"/>
          <w:sz w:val="32"/>
          <w:szCs w:val="32"/>
        </w:rPr>
        <w:outlineLvl w:val="2"/>
      </w:pPr>
      <w:r/>
      <w:bookmarkStart w:id="133" w:name="_Hlt26955070"/>
      <w:r/>
      <w:bookmarkEnd w:id="133"/>
      <w:r/>
      <w:bookmarkStart w:id="134" w:name="_Hlt26671380"/>
      <w:r/>
      <w:bookmarkEnd w:id="134"/>
      <w:r/>
      <w:bookmarkStart w:id="135" w:name="_格式3__银行出具的资信证明"/>
      <w:r/>
      <w:bookmarkEnd w:id="135"/>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1087"/>
        <w:ind w:firstLine="480"/>
        <w:keepNext/>
        <w:pageBreakBefore w:val="0"/>
        <w:spacing w:line="420" w:lineRule="exact"/>
        <w:tabs>
          <w:tab w:val="left" w:pos="360" w:leader="none"/>
        </w:tabs>
        <w:rPr>
          <w:rFonts w:hint="eastAsia"/>
          <w:color w:val="000000"/>
          <w:sz w:val="24"/>
          <w:szCs w:val="24"/>
        </w:rPr>
      </w:pP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87"/>
        <w:ind w:firstLine="480"/>
        <w:keepNext/>
        <w:pageBreakBefore w:val="0"/>
        <w:spacing w:line="480" w:lineRule="exact"/>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代理人联系方式：________________</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附：法定代表人（单位负责人）及代理人有效身份证明文件</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1087"/>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1087"/>
        <w:ind w:firstLine="482"/>
        <w:keepNext/>
        <w:pageBreakBefore w:val="0"/>
        <w:spacing w:line="480" w:lineRule="exact"/>
        <w:tabs>
          <w:tab w:val="left" w:pos="360" w:leader="none"/>
        </w:tabs>
        <w:rPr>
          <w:rFonts w:hint="eastAsia"/>
          <w:color w:val="000000"/>
          <w:sz w:val="24"/>
          <w:szCs w:val="24"/>
        </w:rPr>
      </w:pPr>
      <w:r>
        <w:rPr>
          <w:rFonts w:hint="eastAsia"/>
          <w:b/>
          <w:bCs/>
          <w:color w:val="000000"/>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color w:val="000000"/>
          <w:sz w:val="24"/>
          <w:szCs w:val="24"/>
        </w:rPr>
        <w:t xml:space="preserve">。</w:t>
      </w:r>
      <w:r>
        <w:rPr>
          <w:rFonts w:hint="eastAsia"/>
          <w:color w:val="000000"/>
          <w:sz w:val="24"/>
          <w:szCs w:val="24"/>
        </w:rPr>
      </w:r>
      <w:r/>
    </w:p>
    <w:p>
      <w:pPr>
        <w:pStyle w:val="1087"/>
        <w:ind w:firstLine="480"/>
        <w:keepNext/>
        <w:pageBreakBefore w:val="0"/>
        <w:spacing w:line="480" w:lineRule="auto"/>
        <w:tabs>
          <w:tab w:val="left" w:pos="360" w:leader="none"/>
        </w:tabs>
        <w:rPr>
          <w:rFonts w:hint="eastAsia"/>
          <w:color w:val="000000"/>
          <w:sz w:val="24"/>
          <w:szCs w:val="24"/>
          <w:highlight w:val="none"/>
        </w:rPr>
      </w:pPr>
      <w:r>
        <w:rPr>
          <w:rFonts w:hint="eastAsia"/>
          <w:b/>
          <w:bCs/>
          <w:color w:val="000000"/>
          <w:sz w:val="24"/>
          <w:szCs w:val="24"/>
        </w:rPr>
        <w:t xml:space="preserve">5.未按招标文件要求和格式提供《法定代表人授权委托书》的，将作为无效投标处理</w:t>
      </w:r>
      <w:r>
        <w:rPr>
          <w:rFonts w:hint="eastAsia"/>
          <w:color w:val="000000"/>
          <w:sz w:val="24"/>
          <w:szCs w:val="24"/>
          <w:highlight w:val="none"/>
        </w:rPr>
      </w:r>
      <w:r/>
    </w:p>
    <w:p>
      <w:pPr>
        <w:pStyle w:val="969"/>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69"/>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69"/>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69"/>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69"/>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69"/>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69"/>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四、磋商响应函</w:t>
      </w:r>
      <w:r>
        <w:rPr>
          <w:rFonts w:hint="eastAsia" w:ascii="黑体" w:hAnsi="黑体" w:eastAsia="黑体"/>
          <w:color w:val="000000"/>
          <w:sz w:val="32"/>
          <w:szCs w:val="32"/>
          <w:highlight w:val="none"/>
        </w:rPr>
      </w:r>
      <w:r/>
    </w:p>
    <w:p>
      <w:pPr>
        <w:pStyle w:val="969"/>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69"/>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致：南京名东工程项目管理有限公司</w:t>
      </w:r>
      <w:r>
        <w:rPr>
          <w:rFonts w:hint="eastAsia" w:ascii="宋体" w:hAnsi="宋体"/>
          <w:color w:val="000000"/>
          <w:sz w:val="24"/>
          <w:szCs w:val="21"/>
          <w:highlight w:val="none"/>
        </w:rPr>
      </w:r>
      <w:r/>
    </w:p>
    <w:p>
      <w:pPr>
        <w:pStyle w:val="109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磋商文件，我方正式提</w:t>
      </w:r>
      <w:r>
        <w:rPr>
          <w:rFonts w:hint="eastAsia" w:ascii="宋体" w:hAnsi="宋体" w:cs="宋体"/>
          <w:color w:val="000000"/>
          <w:highlight w:val="none"/>
        </w:rPr>
        <w:t xml:space="preserve">交磋商响应函，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1.按磋商文件规定的各项要求，向买方提供所需服务（包含与服务相关的货物）。</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4.我们同意从规定的磋商日期起遵循本响应文件，并在规定的磋商有效期期满之前均具有约束力。</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8.我方为：</w:t>
      </w:r>
      <w:r>
        <w:rPr>
          <w:rFonts w:ascii="Wingdings" w:hAnsi="Wingdings" w:eastAsia="Wingdings" w:cs="Wingdings"/>
          <w:color w:val="000000"/>
          <w:sz w:val="24"/>
          <w:szCs w:val="21"/>
          <w:highlight w:val="none"/>
        </w:rPr>
        <w:t xml:space="preserve">¨</w:t>
      </w:r>
      <w:r>
        <w:rPr>
          <w:rFonts w:hint="eastAsia" w:ascii="宋体" w:hAnsi="宋体"/>
          <w:color w:val="000000"/>
          <w:sz w:val="24"/>
          <w:szCs w:val="21"/>
          <w:highlight w:val="none"/>
        </w:rPr>
        <w:t xml:space="preserve">民营企业 </w:t>
      </w:r>
      <w:r>
        <w:rPr>
          <w:rFonts w:ascii="Wingdings" w:hAnsi="Wingdings" w:eastAsia="Wingdings" w:cs="Wingdings"/>
          <w:color w:val="000000"/>
          <w:sz w:val="24"/>
          <w:szCs w:val="21"/>
          <w:highlight w:val="none"/>
        </w:rPr>
        <w:t xml:space="preserve">¨</w:t>
      </w:r>
      <w:r>
        <w:rPr>
          <w:rFonts w:hint="eastAsia" w:ascii="宋体" w:hAnsi="宋体"/>
          <w:color w:val="000000"/>
          <w:sz w:val="24"/>
          <w:szCs w:val="21"/>
          <w:highlight w:val="none"/>
        </w:rPr>
        <w:t xml:space="preserve">非民营企业 </w:t>
      </w:r>
      <w:r>
        <w:rPr>
          <w:rFonts w:ascii="Wingdings" w:hAnsi="Wingdings" w:eastAsia="Wingdings" w:cs="Wingdings"/>
          <w:color w:val="000000"/>
          <w:sz w:val="24"/>
          <w:szCs w:val="21"/>
          <w:highlight w:val="none"/>
        </w:rPr>
        <w:t xml:space="preserve">¨</w:t>
      </w:r>
      <w:r>
        <w:rPr>
          <w:rFonts w:hint="eastAsia" w:ascii="宋体" w:hAnsi="宋体"/>
          <w:color w:val="000000"/>
          <w:sz w:val="24"/>
          <w:szCs w:val="21"/>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ascii="宋体" w:hAnsi="宋体"/>
          <w:color w:val="000000"/>
          <w:sz w:val="24"/>
          <w:szCs w:val="21"/>
          <w:highlight w:val="none"/>
        </w:rPr>
        <w:t xml:space="preserve">内</w:t>
      </w:r>
      <w:r>
        <w:rPr>
          <w:rFonts w:hint="eastAsia" w:ascii="宋体" w:hAnsi="宋体"/>
          <w:color w:val="000000"/>
          <w:sz w:val="24"/>
          <w:szCs w:val="21"/>
          <w:highlight w:val="none"/>
          <w:lang w:val="zh-CN"/>
        </w:rPr>
        <w:t xml:space="preserve">打“√”</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9"/>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9</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p>
    <w:p>
      <w:pPr>
        <w:pStyle w:val="109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9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09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109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109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109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969"/>
        <w:ind w:right="180"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109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9"/>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69"/>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69"/>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69"/>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69"/>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9"/>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五、磋商报价表</w:t>
      </w:r>
      <w:r>
        <w:rPr>
          <w:rFonts w:hint="eastAsia" w:ascii="黑体" w:hAnsi="黑体" w:eastAsia="黑体"/>
          <w:color w:val="000000"/>
          <w:sz w:val="32"/>
          <w:szCs w:val="32"/>
          <w:highlight w:val="none"/>
        </w:rPr>
      </w:r>
      <w:r/>
    </w:p>
    <w:p>
      <w:pPr>
        <w:pStyle w:val="969"/>
        <w:jc w:val="center"/>
        <w:keepNext/>
        <w:pageBreakBefore w:val="0"/>
        <w:spacing w:line="48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磋商报价表</w:t>
      </w:r>
      <w:r>
        <w:rPr>
          <w:rFonts w:hint="eastAsia" w:ascii="方正小标宋简体" w:hAnsi="方正小标宋简体" w:eastAsia="方正小标宋简体" w:cs="方正小标宋简体"/>
          <w:color w:val="000000"/>
          <w:sz w:val="32"/>
          <w:szCs w:val="32"/>
          <w:highlight w:val="none"/>
        </w:rPr>
      </w:r>
      <w:r/>
    </w:p>
    <w:p>
      <w:pPr>
        <w:pStyle w:val="969"/>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 </w:t>
      </w:r>
      <w:r>
        <w:rPr>
          <w:rFonts w:hint="eastAsia" w:ascii="宋体" w:hAnsi="宋体"/>
          <w:color w:val="000000"/>
          <w:sz w:val="24"/>
          <w:szCs w:val="24"/>
          <w:highlight w:val="none"/>
        </w:rPr>
      </w:r>
      <w:r/>
    </w:p>
    <w:p>
      <w:pPr>
        <w:pStyle w:val="969"/>
        <w:keepNext/>
        <w:pageBreakBefore w:val="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rPr>
      </w:r>
      <w:r/>
    </w:p>
    <w:p>
      <w:pPr>
        <w:pStyle w:val="969"/>
        <w:keepNext/>
        <w:pageBreakBefore w:val="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69"/>
              <w:jc w:val="center"/>
              <w:keepNext/>
              <w:pageBreakBefore w:val="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93"/>
              <w:ind w:firstLine="0"/>
              <w:keepNext/>
              <w:pageBreakBefore w:val="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69"/>
        <w:keepNext/>
        <w:pageBreakBefore w:val="0"/>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969"/>
        <w:ind w:firstLine="480"/>
        <w:keepNext/>
        <w:pageBreakBefore w:val="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969"/>
        <w:ind w:firstLine="480"/>
        <w:keepNext/>
        <w:pageBreakBefore w:val="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85"/>
        <w:keepNext/>
        <w:pageBreakBefore w:val="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69"/>
        <w:keepNext/>
        <w:pageBreakBefore w:val="0"/>
        <w:rPr>
          <w:rFonts w:hint="eastAsia"/>
          <w:color w:val="000000"/>
          <w:highlight w:val="none"/>
        </w:rPr>
      </w:pPr>
      <w:r>
        <w:rPr>
          <w:rFonts w:hint="eastAsia"/>
          <w:color w:val="000000"/>
          <w:highlight w:val="none"/>
        </w:rPr>
      </w:r>
      <w:r/>
    </w:p>
    <w:p>
      <w:pPr>
        <w:pStyle w:val="969"/>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9"/>
        <w:keepNext/>
        <w:pageBreakBefore w:val="0"/>
        <w:spacing w:line="360" w:lineRule="auto"/>
        <w:rPr>
          <w:rFonts w:ascii="宋体" w:hAnsi="宋体"/>
          <w:color w:val="000000"/>
          <w:sz w:val="24"/>
          <w:highlight w:val="none"/>
        </w:rPr>
      </w:pPr>
      <w:r>
        <w:rPr>
          <w:rFonts w:ascii="宋体" w:hAnsi="宋体"/>
          <w:color w:val="000000"/>
          <w:sz w:val="24"/>
          <w:highlight w:val="none"/>
        </w:rPr>
      </w:r>
      <w:r/>
    </w:p>
    <w:p>
      <w:pPr>
        <w:pStyle w:val="1035"/>
        <w:jc w:val="both"/>
        <w:keepNext/>
        <w:pageBreakBefore w:val="0"/>
        <w:spacing w:before="0" w:beforeAutospacing="0" w:after="0" w:afterAutospacing="0" w:line="360" w:lineRule="auto"/>
        <w:rPr>
          <w:rFonts w:hint="eastAsia" w:ascii="黑体" w:hAnsi="黑体" w:eastAsia="黑体" w:cs="Times New Roman"/>
          <w:iCs/>
          <w:color w:val="000000"/>
          <w:sz w:val="32"/>
          <w:szCs w:val="32"/>
          <w:highlight w:val="none"/>
        </w:rPr>
      </w:pPr>
      <w:r>
        <w:rPr>
          <w:rFonts w:hint="eastAsia" w:ascii="黑体" w:hAnsi="黑体" w:eastAsia="黑体" w:cs="Times New Roman"/>
          <w:i/>
          <w:color w:val="000000"/>
          <w:sz w:val="32"/>
          <w:szCs w:val="32"/>
          <w:highlight w:val="none"/>
          <w:u w:val="single"/>
        </w:rPr>
        <w:br w:type="page" w:clear="all"/>
      </w:r>
      <w:bookmarkEnd w:id="123"/>
      <w:r/>
      <w:bookmarkEnd w:id="124"/>
      <w:r/>
      <w:bookmarkEnd w:id="132"/>
      <w:r>
        <w:rPr>
          <w:rFonts w:hint="eastAsia" w:ascii="黑体" w:hAnsi="黑体" w:eastAsia="黑体" w:cs="Times New Roman"/>
          <w:color w:val="000000"/>
          <w:sz w:val="32"/>
          <w:szCs w:val="32"/>
          <w:highlight w:val="none"/>
          <w:lang w:eastAsia="zh-CN"/>
        </w:rPr>
        <w:t xml:space="preserve">六</w:t>
      </w:r>
      <w:r>
        <w:rPr>
          <w:rFonts w:hint="eastAsia" w:ascii="黑体" w:hAnsi="黑体" w:eastAsia="黑体" w:cs="Times New Roman"/>
          <w:color w:val="000000"/>
          <w:sz w:val="32"/>
          <w:szCs w:val="32"/>
          <w:highlight w:val="none"/>
        </w:rPr>
        <w:t xml:space="preserve">、</w:t>
      </w:r>
      <w:r>
        <w:rPr>
          <w:rFonts w:hint="eastAsia" w:ascii="黑体" w:hAnsi="黑体" w:eastAsia="黑体" w:cs="Times New Roman"/>
          <w:iCs/>
          <w:color w:val="000000"/>
          <w:sz w:val="32"/>
          <w:szCs w:val="32"/>
          <w:highlight w:val="none"/>
        </w:rPr>
        <w:t xml:space="preserve">技术要求响应及偏离表</w:t>
      </w:r>
      <w:r>
        <w:rPr>
          <w:rFonts w:hint="eastAsia" w:ascii="黑体" w:hAnsi="黑体" w:eastAsia="黑体" w:cs="Times New Roman"/>
          <w:iCs/>
          <w:color w:val="000000"/>
          <w:sz w:val="32"/>
          <w:szCs w:val="32"/>
          <w:highlight w:val="none"/>
        </w:rPr>
      </w:r>
      <w:r/>
    </w:p>
    <w:p>
      <w:pPr>
        <w:pStyle w:val="969"/>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35"/>
        <w:jc w:val="both"/>
        <w:keepNext/>
        <w:pageBreakBefore w:val="0"/>
        <w:spacing w:before="0" w:beforeAutospacing="0" w:after="0" w:afterAutospacing="0"/>
        <w:rPr>
          <w:color w:val="000000"/>
          <w:highlight w:val="none"/>
        </w:rPr>
      </w:pPr>
      <w:r>
        <w:rPr>
          <w:color w:val="000000"/>
          <w:highlight w:val="none"/>
        </w:rPr>
      </w:r>
      <w:r/>
    </w:p>
    <w:p>
      <w:pPr>
        <w:pStyle w:val="969"/>
        <w:ind w:right="180"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69"/>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5"/>
        <w:ind w:firstLine="480"/>
        <w:jc w:val="both"/>
        <w:keepNext/>
        <w:pageBreakBefore w:val="0"/>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035"/>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1.供应商须对磋商文件技术要求中的实质性要求（斜体下划线内容或打“★”内容）及其他要求做出明确响应，否则视为无效响应。</w:t>
      </w:r>
      <w:r>
        <w:rPr>
          <w:rFonts w:hint="eastAsia"/>
          <w:color w:val="000000"/>
          <w:highlight w:val="none"/>
        </w:rPr>
      </w:r>
      <w:r/>
    </w:p>
    <w:p>
      <w:pPr>
        <w:pStyle w:val="1035"/>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969"/>
        <w:jc w:val="center"/>
        <w:keepNext/>
        <w:pageBreakBefore w:val="0"/>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969"/>
        <w:keepNext/>
        <w:pageBreakBefore w:val="0"/>
        <w:rPr>
          <w:rFonts w:hint="eastAsia" w:ascii="黑体" w:hAnsi="黑体" w:eastAsia="黑体"/>
          <w:iCs/>
          <w:color w:val="000000"/>
          <w:sz w:val="32"/>
          <w:szCs w:val="32"/>
          <w:highlight w:val="none"/>
        </w:rPr>
      </w:pPr>
      <w:r/>
      <w:bookmarkStart w:id="136" w:name="_Hlt26955054"/>
      <w:r/>
      <w:bookmarkEnd w:id="136"/>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eastAsia="zh-CN"/>
        </w:rPr>
        <w:t xml:space="preserve">七</w:t>
      </w:r>
      <w:r>
        <w:rPr>
          <w:rFonts w:hint="eastAsia" w:ascii="黑体" w:hAnsi="黑体" w:eastAsia="黑体"/>
          <w:iCs/>
          <w:color w:val="000000"/>
          <w:sz w:val="32"/>
          <w:szCs w:val="32"/>
          <w:highlight w:val="none"/>
        </w:rPr>
        <w:t xml:space="preserve">、商务要求响应及偏离表</w:t>
      </w:r>
      <w:r>
        <w:rPr>
          <w:rFonts w:hint="eastAsia" w:ascii="黑体" w:hAnsi="黑体" w:eastAsia="黑体"/>
          <w:iCs/>
          <w:color w:val="000000"/>
          <w:sz w:val="32"/>
          <w:szCs w:val="32"/>
          <w:highlight w:val="none"/>
        </w:rPr>
      </w:r>
      <w:r/>
    </w:p>
    <w:p>
      <w:pPr>
        <w:pStyle w:val="969"/>
        <w:jc w:val="center"/>
        <w:keepNext/>
        <w:pageBreakBefore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69"/>
              <w:jc w:val="center"/>
              <w:keepNext/>
              <w:pageBreakBefore w:val="0"/>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9"/>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35"/>
        <w:jc w:val="both"/>
        <w:keepNext/>
        <w:pageBreakBefore w:val="0"/>
        <w:spacing w:before="0" w:beforeAutospacing="0" w:after="0" w:afterAutospacing="0"/>
        <w:rPr>
          <w:color w:val="000000"/>
          <w:highlight w:val="none"/>
        </w:rPr>
      </w:pPr>
      <w:r>
        <w:rPr>
          <w:color w:val="000000"/>
          <w:highlight w:val="none"/>
        </w:rPr>
      </w:r>
      <w:r/>
    </w:p>
    <w:p>
      <w:pPr>
        <w:pStyle w:val="969"/>
        <w:ind w:right="180"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69"/>
        <w:ind w:firstLine="480"/>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5"/>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1035"/>
        <w:ind w:firstLine="480"/>
        <w:jc w:val="both"/>
        <w:keepNext/>
        <w:pageBreakBefore w:val="0"/>
        <w:spacing w:before="0" w:beforeAutospacing="0" w:after="0" w:afterAutospacing="0" w:line="360" w:lineRule="auto"/>
        <w:rPr>
          <w:color w:val="000000"/>
          <w:highlight w:val="none"/>
        </w:rPr>
      </w:pPr>
      <w:r>
        <w:rPr>
          <w:rFonts w:hint="eastAsia"/>
          <w:color w:val="000000"/>
          <w:highlight w:val="none"/>
        </w:rPr>
        <w:t xml:space="preserve">1.供应商须对磋商文件商务要求中的实质性要求（斜体下划线内容或打“★”内容）做出明确响应，否则视为无效响应。</w:t>
      </w:r>
      <w:r>
        <w:rPr>
          <w:color w:val="000000"/>
          <w:highlight w:val="none"/>
        </w:rPr>
      </w:r>
      <w:r/>
    </w:p>
    <w:p>
      <w:pPr>
        <w:pStyle w:val="1035"/>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969"/>
        <w:keepNext/>
        <w:pageBreakBefore w:val="0"/>
        <w:rPr>
          <w:color w:val="000000"/>
          <w:highlight w:val="none"/>
        </w:rPr>
      </w:pPr>
      <w:r>
        <w:rPr>
          <w:color w:val="000000"/>
          <w:highlight w:val="none"/>
        </w:rPr>
      </w:r>
      <w:r/>
    </w:p>
    <w:p>
      <w:pPr>
        <w:pStyle w:val="969"/>
        <w:jc w:val="center"/>
        <w:keepNext/>
        <w:pageBreakBefore w:val="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5"/>
        <w:keepNext/>
        <w:pageBreakBefore w:val="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9"/>
        <w:keepNext/>
        <w:pageBreakBefore w:val="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6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eastAsia="zh-CN"/>
        </w:rPr>
        <w:t xml:space="preserve">八</w:t>
      </w:r>
      <w:r>
        <w:rPr>
          <w:rFonts w:hint="eastAsia" w:ascii="黑体" w:hAnsi="黑体" w:eastAsia="黑体"/>
          <w:iCs/>
          <w:color w:val="000000"/>
          <w:sz w:val="32"/>
          <w:szCs w:val="32"/>
          <w:highlight w:val="none"/>
        </w:rPr>
        <w:t xml:space="preserve">、中小企业声明函</w:t>
      </w:r>
      <w:r>
        <w:rPr>
          <w:rFonts w:hint="eastAsia" w:ascii="黑体" w:hAnsi="黑体" w:eastAsia="黑体"/>
          <w:iCs/>
          <w:color w:val="000000"/>
          <w:sz w:val="32"/>
          <w:szCs w:val="32"/>
          <w:highlight w:val="none"/>
        </w:rPr>
      </w:r>
      <w:r/>
    </w:p>
    <w:p>
      <w:pPr>
        <w:pStyle w:val="969"/>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969"/>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969"/>
        <w:ind w:firstLine="480"/>
        <w:keepNext/>
        <w:pageBreakBefore w:val="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969"/>
        <w:ind w:firstLine="36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85"/>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keepNext/>
        <w:pageBreakBefore w:val="0"/>
        <w:spacing w:line="360" w:lineRule="auto"/>
        <w:rPr>
          <w:rFonts w:hint="eastAsia"/>
          <w:color w:val="000000"/>
          <w:highlight w:val="none"/>
        </w:rPr>
      </w:pPr>
      <w:r>
        <w:rPr>
          <w:rFonts w:hint="eastAsia"/>
          <w:color w:val="000000"/>
          <w:highlight w:val="none"/>
        </w:rPr>
      </w:r>
      <w:r/>
    </w:p>
    <w:p>
      <w:pPr>
        <w:pStyle w:val="969"/>
        <w:ind w:right="180" w:firstLine="360"/>
        <w:jc w:val="center"/>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969"/>
        <w:ind w:firstLine="6000"/>
        <w:keepNext/>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69"/>
        <w:ind w:firstLine="480"/>
        <w:keepNext/>
        <w:pageBreakBefore w:val="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highlight w:val="none"/>
        </w:rPr>
      </w:r>
      <w:r/>
    </w:p>
    <w:p>
      <w:pPr>
        <w:pStyle w:val="969"/>
        <w:jc w:val="left"/>
        <w:keepNext/>
        <w:pageBreakBefore w:val="0"/>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lang w:eastAsia="zh-CN"/>
        </w:rPr>
        <w:t xml:space="preserve">九</w:t>
      </w:r>
      <w:r>
        <w:rPr>
          <w:rFonts w:hint="eastAsia" w:ascii="黑体" w:hAnsi="黑体" w:eastAsia="黑体"/>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969"/>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969"/>
        <w:ind w:firstLine="480"/>
        <w:keepNext/>
        <w:pageBreakBefore w:val="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1085"/>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keepNext/>
        <w:pageBreakBefore w:val="0"/>
        <w:spacing w:line="360" w:lineRule="auto"/>
        <w:rPr>
          <w:rFonts w:hint="eastAsia"/>
          <w:color w:val="000000"/>
          <w:highlight w:val="none"/>
        </w:rPr>
      </w:pPr>
      <w:r>
        <w:rPr>
          <w:rFonts w:hint="eastAsia"/>
          <w:color w:val="000000"/>
          <w:highlight w:val="none"/>
        </w:rPr>
      </w:r>
      <w:r/>
    </w:p>
    <w:p>
      <w:pPr>
        <w:pStyle w:val="969"/>
        <w:ind w:right="180" w:firstLine="360"/>
        <w:jc w:val="center"/>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969"/>
        <w:ind w:firstLine="6000"/>
        <w:keepNext/>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1.供应商如不提供此声明函，价格将不做相应扣除。</w:t>
      </w:r>
      <w:r>
        <w:rPr>
          <w:rFonts w:hint="eastAsia" w:ascii="宋体" w:hAnsi="宋体"/>
          <w:color w:val="000000"/>
          <w:sz w:val="24"/>
          <w:highlight w:val="none"/>
        </w:rPr>
      </w:r>
      <w:r/>
    </w:p>
    <w:p>
      <w:pPr>
        <w:pStyle w:val="969"/>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2.成交供应商为残疾人福利性单位的，此声明函将随成交结果同时公告，接受社会监督。</w:t>
      </w:r>
      <w:r>
        <w:rPr>
          <w:rFonts w:ascii="宋体" w:hAnsi="宋体"/>
          <w:color w:val="000000"/>
          <w:sz w:val="24"/>
          <w:highlight w:val="none"/>
        </w:rPr>
      </w:r>
      <w:r/>
    </w:p>
    <w:p>
      <w:pPr>
        <w:pStyle w:val="969"/>
        <w:ind w:firstLine="480"/>
        <w:keepNext/>
        <w:pageBreakBefore w:val="0"/>
        <w:spacing w:line="480" w:lineRule="exact"/>
        <w:rPr>
          <w:rFonts w:ascii="宋体" w:hAnsi="宋体"/>
          <w:color w:val="000000"/>
          <w:sz w:val="24"/>
          <w:highlight w:val="none"/>
        </w:rPr>
      </w:pPr>
      <w:r>
        <w:rPr>
          <w:rFonts w:ascii="宋体" w:hAnsi="宋体"/>
          <w:color w:val="000000"/>
          <w:sz w:val="24"/>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9"/>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9"/>
        <w:jc w:val="left"/>
        <w:keepNext/>
        <w:pageBreakBefore w:val="0"/>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969"/>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969"/>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969"/>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969"/>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.若我们联合成交，</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969"/>
        <w:ind w:firstLine="480"/>
        <w:keepNext/>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9"/>
        <w:ind w:firstLine="645"/>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9"/>
        <w:ind w:firstLine="645"/>
        <w:keepNext/>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69"/>
        <w:ind w:firstLine="645"/>
        <w:jc w:val="righ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69"/>
        <w:ind w:firstLine="5280"/>
        <w:keepNext/>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969"/>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69"/>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3.除另有说明外，本磋商文件要求加盖电子公章之处，加盖牵头单位的电子公章即可。</w:t>
      </w:r>
      <w:r>
        <w:rPr>
          <w:rFonts w:hint="eastAsia" w:ascii="宋体" w:hAnsi="宋体"/>
          <w:color w:val="000000"/>
          <w:sz w:val="24"/>
          <w:highlight w:val="none"/>
        </w:rPr>
      </w:r>
      <w:r/>
    </w:p>
    <w:p>
      <w:pPr>
        <w:pStyle w:val="981"/>
        <w:ind w:firstLine="480"/>
        <w:keepNext/>
        <w:pageBreakBefore w:val="0"/>
        <w:rPr>
          <w:rFonts w:hint="eastAsia"/>
          <w:color w:val="000000"/>
          <w:sz w:val="24"/>
          <w:highlight w:val="none"/>
        </w:rPr>
      </w:pPr>
      <w:r>
        <w:rPr>
          <w:rFonts w:hint="eastAsia"/>
          <w:color w:val="000000"/>
          <w:sz w:val="24"/>
          <w:highlight w:val="none"/>
        </w:rPr>
      </w:r>
      <w:r/>
    </w:p>
    <w:p>
      <w:pPr>
        <w:pStyle w:val="969"/>
        <w:keepNext/>
        <w:pageBreakBefore w:val="0"/>
        <w:rPr>
          <w:rFonts w:hint="eastAsia"/>
          <w:color w:val="000000"/>
          <w:highlight w:val="none"/>
        </w:rPr>
      </w:pPr>
      <w:r>
        <w:rPr>
          <w:rFonts w:hint="eastAsia"/>
          <w:color w:val="000000"/>
          <w:highlight w:val="none"/>
        </w:rPr>
      </w:r>
      <w:r/>
    </w:p>
    <w:p>
      <w:pPr>
        <w:pStyle w:val="969"/>
        <w:ind w:firstLine="645"/>
        <w:keepNext/>
        <w:pageBreakBefore w:val="0"/>
        <w:spacing w:line="560" w:lineRule="exact"/>
        <w:rPr>
          <w:rFonts w:ascii="宋体" w:hAnsi="宋体"/>
          <w:color w:val="000000"/>
          <w:sz w:val="24"/>
          <w:highlight w:val="none"/>
        </w:rPr>
      </w:pPr>
      <w:r>
        <w:rPr>
          <w:rFonts w:ascii="宋体" w:hAnsi="宋体"/>
          <w:color w:val="000000"/>
          <w:sz w:val="24"/>
          <w:highlight w:val="none"/>
        </w:rPr>
      </w:r>
      <w:r/>
    </w:p>
    <w:p>
      <w:pPr>
        <w:pStyle w:val="969"/>
        <w:ind w:firstLine="645"/>
        <w:keepNext/>
        <w:pageBreakBefore w:val="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69"/>
        <w:jc w:val="left"/>
        <w:keepLines w:val="0"/>
        <w:keepNext/>
        <w:pageBreakBefore w:val="0"/>
        <w:widowControl w:val="off"/>
        <w:rPr>
          <w:rFonts w:hint="eastAsia" w:ascii="黑体" w:hAnsi="黑体" w:eastAsia="黑体"/>
          <w:iCs/>
          <w:color w:val="000000"/>
          <w:sz w:val="32"/>
          <w:szCs w:val="32"/>
          <w:highlight w:val="none"/>
          <w:lang w:val="en-US" w:eastAsia="zh-CN"/>
        </w:rPr>
        <w:outlineLvl w:val="0"/>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附件十</w:t>
      </w:r>
      <w:r>
        <w:rPr>
          <w:rFonts w:hint="eastAsia" w:ascii="黑体" w:hAnsi="黑体" w:eastAsia="黑体"/>
          <w:iCs/>
          <w:color w:val="000000"/>
          <w:sz w:val="32"/>
          <w:szCs w:val="32"/>
          <w:highlight w:val="none"/>
          <w:lang w:eastAsia="zh-CN"/>
        </w:rPr>
        <w:t xml:space="preserve">一</w:t>
      </w:r>
      <w:r>
        <w:rPr>
          <w:rFonts w:hint="eastAsia" w:ascii="黑体" w:hAnsi="黑体" w:eastAsia="黑体"/>
          <w:iCs/>
          <w:color w:val="000000"/>
          <w:sz w:val="32"/>
          <w:szCs w:val="32"/>
          <w:highlight w:val="none"/>
        </w:rPr>
        <w:t xml:space="preserve">、</w:t>
      </w:r>
      <w:bookmarkStart w:id="137" w:name="_Toc29801"/>
      <w:r>
        <w:rPr>
          <w:rFonts w:hint="eastAsia" w:ascii="黑体" w:hAnsi="黑体" w:eastAsia="黑体"/>
          <w:iCs/>
          <w:color w:val="000000"/>
          <w:sz w:val="32"/>
          <w:szCs w:val="32"/>
          <w:highlight w:val="none"/>
          <w:lang w:val="en-US" w:eastAsia="zh-CN"/>
        </w:rPr>
        <w:t xml:space="preserve">南京市政府采购供应商信用承诺书</w:t>
      </w:r>
      <w:r>
        <w:rPr>
          <w:rFonts w:hint="eastAsia" w:ascii="黑体" w:hAnsi="黑体" w:eastAsia="黑体"/>
          <w:iCs/>
          <w:color w:val="000000"/>
          <w:sz w:val="32"/>
          <w:szCs w:val="32"/>
          <w:highlight w:val="none"/>
          <w:lang w:val="en-US" w:eastAsia="zh-CN"/>
        </w:rPr>
      </w:r>
      <w:r/>
    </w:p>
    <w:p>
      <w:pPr>
        <w:pStyle w:val="969"/>
        <w:jc w:val="both"/>
        <w:keepLines w:val="0"/>
        <w:keepNext/>
        <w:pageBreakBefore w:val="0"/>
        <w:widowControl w:val="off"/>
        <w:rPr>
          <w:rFonts w:hint="eastAsia" w:ascii="黑体" w:hAnsi="黑体" w:eastAsia="黑体"/>
          <w:iCs/>
          <w:color w:val="000000"/>
          <w:sz w:val="32"/>
          <w:szCs w:val="32"/>
          <w:highlight w:val="none"/>
        </w:rPr>
        <w:outlineLvl w:val="0"/>
      </w:pPr>
      <w:r>
        <w:rPr>
          <w:rFonts w:hint="eastAsia" w:ascii="黑体" w:hAnsi="黑体" w:eastAsia="黑体"/>
          <w:iCs/>
          <w:color w:val="000000"/>
          <w:sz w:val="32"/>
          <w:szCs w:val="32"/>
          <w:highlight w:val="none"/>
        </w:rPr>
      </w:r>
      <w:r/>
    </w:p>
    <w:p>
      <w:pPr>
        <w:pStyle w:val="969"/>
        <w:jc w:val="center"/>
        <w:keepLines w:val="0"/>
        <w:keepNext/>
        <w:pageBreakBefore w:val="0"/>
        <w:widowControl w:val="off"/>
        <w:rPr>
          <w:rFonts w:hint="eastAsia" w:ascii="方正小标宋简体" w:hAnsi="方正小标宋简体" w:eastAsia="方正小标宋简体" w:cs="方正小标宋简体"/>
          <w:color w:val="000000"/>
          <w:sz w:val="44"/>
          <w:szCs w:val="52"/>
          <w:lang w:val="en-US" w:eastAsia="zh-CN"/>
        </w:rPr>
        <w:outlineLvl w:val="0"/>
      </w:pPr>
      <w:r>
        <w:rPr>
          <w:rFonts w:hint="eastAsia" w:ascii="方正小标宋简体" w:hAnsi="方正小标宋简体" w:eastAsia="方正小标宋简体" w:cs="方正小标宋简体"/>
          <w:color w:val="000000"/>
          <w:sz w:val="44"/>
          <w:szCs w:val="52"/>
          <w:lang w:val="en-US" w:eastAsia="zh-CN"/>
        </w:rPr>
        <w:t xml:space="preserve">南京市政府采购供应商信用承诺书</w:t>
      </w:r>
      <w:bookmarkEnd w:id="137"/>
      <w:r>
        <w:rPr>
          <w:rFonts w:hint="eastAsia" w:ascii="方正小标宋简体" w:hAnsi="方正小标宋简体" w:eastAsia="方正小标宋简体" w:cs="方正小标宋简体"/>
          <w:color w:val="000000"/>
          <w:sz w:val="44"/>
          <w:szCs w:val="52"/>
          <w:lang w:val="en-US" w:eastAsia="zh-CN"/>
        </w:rPr>
      </w:r>
      <w:r/>
    </w:p>
    <w:p>
      <w:pPr>
        <w:pStyle w:val="969"/>
        <w:jc w:val="right"/>
        <w:keepNext/>
        <w:pageBreakBefore w:val="0"/>
        <w:rPr>
          <w:rFonts w:ascii="方正小标宋简体" w:hAnsi="方正小标宋简体" w:eastAsia="方正小标宋简体" w:cs="方正小标宋简体"/>
          <w:color w:val="000000"/>
          <w:sz w:val="22"/>
          <w:szCs w:val="28"/>
          <w:lang w:val="en-US" w:eastAsia="zh-CN"/>
        </w:rPr>
        <w:outlineLvl w:val="0"/>
      </w:pPr>
      <w:r/>
      <w:bookmarkStart w:id="138" w:name="_Toc10381"/>
      <w:r>
        <w:rPr>
          <w:rFonts w:hint="eastAsia" w:ascii="方正小标宋简体" w:hAnsi="方正小标宋简体" w:eastAsia="方正小标宋简体" w:cs="方正小标宋简体"/>
          <w:color w:val="000000"/>
          <w:sz w:val="22"/>
          <w:szCs w:val="28"/>
          <w:lang w:val="en-US" w:eastAsia="zh-CN"/>
        </w:rPr>
        <w:t xml:space="preserve">XXXX年XX月XX日</w:t>
      </w:r>
      <w:bookmarkEnd w:id="138"/>
      <w:r>
        <w:rPr>
          <w:rFonts w:ascii="方正小标宋简体" w:hAnsi="方正小标宋简体" w:eastAsia="方正小标宋简体" w:cs="方正小标宋简体"/>
          <w:color w:val="000000"/>
          <w:sz w:val="22"/>
          <w:szCs w:val="28"/>
          <w:lang w:val="en-US" w:eastAsia="zh-CN"/>
        </w:rPr>
      </w:r>
      <w:r/>
    </w:p>
    <w:p>
      <w:pPr>
        <w:pStyle w:val="969"/>
        <w:jc w:val="center"/>
        <w:keepNext/>
        <w:pageBreakBefore w:val="0"/>
        <w:rPr>
          <w:rFonts w:hint="eastAsia" w:eastAsia="宋体"/>
          <w:color w:val="000000"/>
          <w:lang w:val="en-US" w:eastAsia="zh-CN"/>
        </w:rPr>
      </w:pPr>
      <w:r>
        <w:rPr>
          <w:rFonts w:hint="eastAsia" w:eastAsia="宋体"/>
          <w:color w:val="000000"/>
          <w:lang w:val="en-US" w:eastAsia="zh-CN"/>
        </w:rPr>
      </w:r>
      <w:r/>
    </w:p>
    <w:tbl>
      <w:tblPr>
        <w:tblStyle w:val="104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pStyle w:val="969"/>
              <w:ind w:left="-420" w:firstLine="0"/>
              <w:jc w:val="center"/>
              <w:keepNext/>
              <w:pageBreakBefore w:val="0"/>
              <w:tabs>
                <w:tab w:val="left" w:pos="2520" w:leader="none"/>
              </w:tabs>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   单位名称</w:t>
            </w:r>
            <w:r>
              <w:rPr>
                <w:rFonts w:eastAsia="宋体"/>
                <w:color w:val="000000"/>
                <w:sz w:val="24"/>
                <w:szCs w:val="32"/>
                <w:vertAlign w:val="baseline"/>
                <w:lang w:val="en-US" w:eastAsia="zh-CN"/>
              </w:rPr>
            </w:r>
            <w:r/>
          </w:p>
        </w:tc>
        <w:tc>
          <w:tcPr>
            <w:tcW w:w="2284" w:type="dxa"/>
            <w:vAlign w:val="center"/>
            <w:textDirection w:val="lrTb"/>
            <w:noWrap w:val="false"/>
          </w:tcPr>
          <w:p>
            <w:pPr>
              <w:pStyle w:val="969"/>
              <w:jc w:val="center"/>
              <w:keepNext/>
              <w:pageBreakBefore w:val="0"/>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2321" w:type="dxa"/>
            <w:vAlign w:val="center"/>
            <w:textDirection w:val="lrTb"/>
            <w:noWrap w:val="false"/>
          </w:tcPr>
          <w:p>
            <w:pPr>
              <w:pStyle w:val="969"/>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统一社会信用代码</w:t>
            </w:r>
            <w:r>
              <w:rPr>
                <w:rFonts w:eastAsia="宋体"/>
                <w:color w:val="000000"/>
                <w:sz w:val="24"/>
                <w:szCs w:val="32"/>
                <w:vertAlign w:val="baseline"/>
                <w:lang w:val="en-US" w:eastAsia="zh-CN"/>
              </w:rPr>
            </w:r>
            <w:r/>
          </w:p>
        </w:tc>
        <w:tc>
          <w:tcPr>
            <w:tcW w:w="2843" w:type="dxa"/>
            <w:vAlign w:val="center"/>
            <w:textDirection w:val="lrTb"/>
            <w:noWrap w:val="false"/>
          </w:tcPr>
          <w:p>
            <w:pPr>
              <w:pStyle w:val="969"/>
              <w:ind w:right="-678"/>
              <w:jc w:val="center"/>
              <w:keepNext/>
              <w:pageBreakBefore w:val="0"/>
              <w:tabs>
                <w:tab w:val="left" w:pos="2320" w:leader="none"/>
              </w:tabs>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67"/>
        </w:trPr>
        <w:tc>
          <w:tcPr>
            <w:tcW w:w="2148" w:type="dxa"/>
            <w:vAlign w:val="center"/>
            <w:textDirection w:val="lrTb"/>
            <w:noWrap w:val="false"/>
          </w:tcPr>
          <w:p>
            <w:pPr>
              <w:pStyle w:val="969"/>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法定代表人</w:t>
            </w:r>
            <w:r>
              <w:rPr>
                <w:rFonts w:eastAsia="宋体"/>
                <w:color w:val="000000"/>
                <w:sz w:val="24"/>
                <w:szCs w:val="32"/>
                <w:vertAlign w:val="baseline"/>
                <w:lang w:val="en-US" w:eastAsia="zh-CN"/>
              </w:rPr>
            </w:r>
            <w:r/>
          </w:p>
        </w:tc>
        <w:tc>
          <w:tcPr>
            <w:tcW w:w="2284" w:type="dxa"/>
            <w:vAlign w:val="center"/>
            <w:textDirection w:val="lrTb"/>
            <w:noWrap w:val="false"/>
          </w:tcPr>
          <w:p>
            <w:pPr>
              <w:pStyle w:val="969"/>
              <w:jc w:val="center"/>
              <w:keepNext/>
              <w:pageBreakBefore w:val="0"/>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2321" w:type="dxa"/>
            <w:vAlign w:val="center"/>
            <w:textDirection w:val="lrTb"/>
            <w:noWrap w:val="false"/>
          </w:tcPr>
          <w:p>
            <w:pPr>
              <w:pStyle w:val="969"/>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联系人</w:t>
            </w:r>
            <w:r>
              <w:rPr>
                <w:rFonts w:eastAsia="宋体"/>
                <w:color w:val="000000"/>
                <w:sz w:val="24"/>
                <w:szCs w:val="32"/>
                <w:vertAlign w:val="baseline"/>
                <w:lang w:val="en-US" w:eastAsia="zh-CN"/>
              </w:rPr>
            </w:r>
            <w:r/>
          </w:p>
        </w:tc>
        <w:tc>
          <w:tcPr>
            <w:tcW w:w="2843" w:type="dxa"/>
            <w:vAlign w:val="center"/>
            <w:textDirection w:val="lrTb"/>
            <w:noWrap w:val="false"/>
          </w:tcPr>
          <w:p>
            <w:pPr>
              <w:pStyle w:val="969"/>
              <w:jc w:val="center"/>
              <w:keepNext/>
              <w:pageBreakBefore w:val="0"/>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67"/>
        </w:trPr>
        <w:tc>
          <w:tcPr>
            <w:tcW w:w="2148" w:type="dxa"/>
            <w:vAlign w:val="center"/>
            <w:textDirection w:val="lrTb"/>
            <w:noWrap w:val="false"/>
          </w:tcPr>
          <w:p>
            <w:pPr>
              <w:pStyle w:val="969"/>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联系地址</w:t>
            </w:r>
            <w:r>
              <w:rPr>
                <w:rFonts w:eastAsia="宋体"/>
                <w:color w:val="000000"/>
                <w:sz w:val="24"/>
                <w:szCs w:val="32"/>
                <w:vertAlign w:val="baseline"/>
                <w:lang w:val="en-US" w:eastAsia="zh-CN"/>
              </w:rPr>
            </w:r>
            <w:r/>
          </w:p>
        </w:tc>
        <w:tc>
          <w:tcPr>
            <w:tcW w:w="2284" w:type="dxa"/>
            <w:vAlign w:val="center"/>
            <w:textDirection w:val="lrTb"/>
            <w:noWrap w:val="false"/>
          </w:tcPr>
          <w:p>
            <w:pPr>
              <w:pStyle w:val="969"/>
              <w:jc w:val="center"/>
              <w:keepNext/>
              <w:pageBreakBefore w:val="0"/>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2321" w:type="dxa"/>
            <w:vAlign w:val="center"/>
            <w:textDirection w:val="lrTb"/>
            <w:noWrap w:val="false"/>
          </w:tcPr>
          <w:p>
            <w:pPr>
              <w:pStyle w:val="969"/>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联系电话</w:t>
            </w:r>
            <w:r>
              <w:rPr>
                <w:rFonts w:eastAsia="宋体"/>
                <w:color w:val="000000"/>
                <w:sz w:val="24"/>
                <w:szCs w:val="32"/>
                <w:vertAlign w:val="baseline"/>
                <w:lang w:val="en-US" w:eastAsia="zh-CN"/>
              </w:rPr>
            </w:r>
            <w:r/>
          </w:p>
        </w:tc>
        <w:tc>
          <w:tcPr>
            <w:tcW w:w="2843" w:type="dxa"/>
            <w:vAlign w:val="center"/>
            <w:textDirection w:val="lrTb"/>
            <w:noWrap w:val="false"/>
          </w:tcPr>
          <w:p>
            <w:pPr>
              <w:pStyle w:val="969"/>
              <w:jc w:val="center"/>
              <w:keepNext/>
              <w:pageBreakBefore w:val="0"/>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560"/>
        </w:trPr>
        <w:tc>
          <w:tcPr>
            <w:tcW w:w="2148" w:type="dxa"/>
            <w:vAlign w:val="center"/>
            <w:textDirection w:val="lrTb"/>
            <w:noWrap w:val="false"/>
          </w:tcPr>
          <w:p>
            <w:pPr>
              <w:pStyle w:val="969"/>
              <w:jc w:val="center"/>
              <w:keepNext/>
              <w:pageBreakBefore w:val="0"/>
              <w:rPr>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信用承诺</w:t>
            </w:r>
            <w:r>
              <w:rPr>
                <w:color w:val="000000"/>
                <w:sz w:val="24"/>
                <w:szCs w:val="32"/>
                <w:vertAlign w:val="baseline"/>
                <w:lang w:val="en-US" w:eastAsia="zh-CN"/>
              </w:rPr>
            </w:r>
            <w:r/>
          </w:p>
        </w:tc>
        <w:tc>
          <w:tcPr>
            <w:gridSpan w:val="3"/>
            <w:tcW w:w="7448" w:type="dxa"/>
            <w:vAlign w:val="center"/>
            <w:textDirection w:val="lrTb"/>
            <w:noWrap w:val="false"/>
          </w:tcPr>
          <w:p>
            <w:pPr>
              <w:pStyle w:val="969"/>
              <w:ind w:firstLine="420"/>
              <w:jc w:val="both"/>
              <w:keepNext/>
              <w:pageBreakBefore w:val="0"/>
              <w:rPr>
                <w:rFonts w:hint="eastAsia"/>
                <w:color w:val="000000"/>
                <w:vertAlign w:val="baseline"/>
                <w:lang w:val="en-US" w:eastAsia="zh-CN"/>
              </w:rPr>
              <w:framePr w:vAnchor="margin" w:hAnchor="page" w:xAlign="center" w:y="1"/>
            </w:pPr>
            <w:r>
              <w:rPr>
                <w:rFonts w:hint="eastAsia" w:eastAsia="宋体"/>
                <w:color w:val="000000"/>
                <w:vertAlign w:val="baseline"/>
                <w:lang w:val="en-US" w:eastAsia="zh-CN"/>
              </w:rPr>
              <w:t xml:space="preserve">我公司自愿参加贵中心</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公司</w:t>
            </w:r>
            <w:r>
              <w:rPr>
                <w:rFonts w:hint="eastAsia"/>
                <w:color w:val="000000"/>
                <w:vertAlign w:val="baseline"/>
                <w:lang w:val="en-US" w:eastAsia="zh-CN"/>
              </w:rPr>
              <w:t xml:space="preserve">）</w:t>
            </w:r>
            <w:r>
              <w:rPr>
                <w:rFonts w:hint="eastAsia" w:eastAsia="宋体"/>
                <w:color w:val="000000"/>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vertAlign w:val="baseline"/>
                <w:lang w:val="en-US" w:eastAsia="zh-CN"/>
              </w:rPr>
              <w:t xml:space="preserve">二</w:t>
            </w:r>
            <w:r>
              <w:rPr>
                <w:rFonts w:hint="eastAsia" w:eastAsia="宋体"/>
                <w:color w:val="000000"/>
                <w:vertAlign w:val="baseline"/>
                <w:lang w:val="en-US" w:eastAsia="zh-CN"/>
              </w:rPr>
              <w:t xml:space="preserve">条规定的条件，包括</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具有独立承担民事责任的能力</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具有良好的商业信誉和健全的财务会计制度</w:t>
            </w:r>
            <w:r>
              <w:rPr>
                <w:rFonts w:hint="eastAsia"/>
                <w:color w:val="000000"/>
                <w:vertAlign w:val="baseline"/>
                <w:lang w:val="en-US" w:eastAsia="zh-CN"/>
              </w:rPr>
              <w:t xml:space="preserve">；</w:t>
            </w:r>
            <w:r>
              <w:rPr>
                <w:rFonts w:hint="eastAsia" w:eastAsia="宋体"/>
                <w:color w:val="000000"/>
                <w:vertAlign w:val="baseline"/>
                <w:lang w:val="en-US" w:eastAsia="zh-CN"/>
              </w:rPr>
              <w:t xml:space="preserve">有履行合同所必需的设备和专业技术能力</w:t>
            </w:r>
            <w:r>
              <w:rPr>
                <w:rFonts w:hint="eastAsia"/>
                <w:color w:val="000000"/>
                <w:vertAlign w:val="baseline"/>
                <w:lang w:val="en-US" w:eastAsia="zh-CN"/>
              </w:rPr>
              <w:t xml:space="preserve">；</w:t>
            </w:r>
            <w:r>
              <w:rPr>
                <w:rFonts w:hint="eastAsia" w:eastAsia="宋体"/>
                <w:color w:val="000000"/>
                <w:vertAlign w:val="baseline"/>
                <w:lang w:val="en-US" w:eastAsia="zh-CN"/>
              </w:rPr>
              <w:t xml:space="preserve">有依法缴纳税收和社会保障资金的良好记录</w:t>
            </w:r>
            <w:r>
              <w:rPr>
                <w:rFonts w:hint="eastAsia"/>
                <w:color w:val="000000"/>
                <w:vertAlign w:val="baseline"/>
                <w:lang w:val="en-US" w:eastAsia="zh-CN"/>
              </w:rPr>
              <w:t xml:space="preserve">；</w:t>
            </w:r>
            <w:r>
              <w:rPr>
                <w:rFonts w:hint="eastAsia" w:eastAsia="宋体"/>
                <w:color w:val="000000"/>
                <w:vertAlign w:val="baseline"/>
                <w:lang w:val="en-US" w:eastAsia="zh-CN"/>
              </w:rPr>
              <w:t xml:space="preserve">参加政府采购活动前三年内，在经营活动中没有重大违法记录</w:t>
            </w:r>
            <w:r>
              <w:rPr>
                <w:rFonts w:hint="eastAsia"/>
                <w:color w:val="000000"/>
                <w:vertAlign w:val="baseline"/>
                <w:lang w:val="en-US" w:eastAsia="zh-CN"/>
              </w:rPr>
              <w:t xml:space="preserve">；</w:t>
            </w:r>
            <w:r>
              <w:rPr>
                <w:rFonts w:hint="eastAsia" w:eastAsia="宋体"/>
                <w:color w:val="000000"/>
                <w:vertAlign w:val="baseline"/>
                <w:lang w:val="en-US" w:eastAsia="zh-CN"/>
              </w:rPr>
              <w:t xml:space="preserve">符合法律、行政法规和采购文件规定的其他条件</w:t>
            </w:r>
            <w:r>
              <w:rPr>
                <w:rFonts w:hint="eastAsia"/>
                <w:color w:val="000000"/>
                <w:vertAlign w:val="baseline"/>
                <w:lang w:val="en-US" w:eastAsia="zh-CN"/>
              </w:rPr>
              <w:t xml:space="preserve">。</w:t>
            </w:r>
            <w:r>
              <w:rPr>
                <w:rFonts w:hint="eastAsia" w:eastAsia="宋体"/>
                <w:color w:val="000000"/>
                <w:vertAlign w:val="baseline"/>
                <w:lang w:val="en-US" w:eastAsia="zh-CN"/>
              </w:rPr>
              <w:t xml:space="preserve">如有弄虚作假或其他违法违规行为，愿承担一切法律责任，接受各级政府采购监管部门和有权机关的审查和处罚</w:t>
            </w:r>
            <w:r>
              <w:rPr>
                <w:rFonts w:hint="eastAsia"/>
                <w:color w:val="000000"/>
                <w:vertAlign w:val="baseline"/>
                <w:lang w:val="en-US" w:eastAsia="zh-CN"/>
              </w:rPr>
              <w:t xml:space="preserve">。</w:t>
            </w:r>
            <w:r>
              <w:rPr>
                <w:rFonts w:hint="eastAsia"/>
                <w:color w:val="000000"/>
                <w:vertAlign w:val="baseline"/>
                <w:lang w:val="en-US" w:eastAsia="zh-CN"/>
              </w:rPr>
            </w:r>
            <w:r/>
          </w:p>
          <w:p>
            <w:pPr>
              <w:pStyle w:val="969"/>
              <w:ind w:firstLine="420"/>
              <w:jc w:val="both"/>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969"/>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t xml:space="preserve">供应商名称（盖章）：</w:t>
            </w:r>
            <w:r>
              <w:rPr>
                <w:rFonts w:hint="eastAsia"/>
                <w:color w:val="000000"/>
                <w:vertAlign w:val="baseline"/>
                <w:lang w:val="en-US" w:eastAsia="zh-CN"/>
              </w:rPr>
            </w:r>
            <w:r/>
          </w:p>
          <w:p>
            <w:pPr>
              <w:pStyle w:val="969"/>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969"/>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t xml:space="preserve">法定代表人（签字）：</w:t>
            </w:r>
            <w:r>
              <w:rPr>
                <w:rFonts w:hint="eastAsia"/>
                <w:color w:val="000000"/>
                <w:vertAlign w:val="baseline"/>
                <w:lang w:val="en-US" w:eastAsia="zh-CN"/>
              </w:rPr>
            </w:r>
            <w:r/>
          </w:p>
          <w:p>
            <w:pPr>
              <w:pStyle w:val="969"/>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969"/>
              <w:ind w:firstLine="420"/>
              <w:jc w:val="center"/>
              <w:keepNext/>
              <w:pageBreakBefore w:val="0"/>
              <w:rPr>
                <w:color w:val="000000"/>
                <w:vertAlign w:val="baseline"/>
                <w:lang w:val="en-US" w:eastAsia="zh-CN"/>
              </w:rPr>
              <w:framePr w:vAnchor="margin" w:hAnchor="page" w:xAlign="center" w:y="1"/>
            </w:pPr>
            <w:r>
              <w:rPr>
                <w:rFonts w:hint="eastAsia"/>
                <w:color w:val="000000"/>
                <w:vertAlign w:val="baseline"/>
                <w:lang w:val="en-US" w:eastAsia="zh-CN"/>
              </w:rPr>
              <w:t xml:space="preserve">XXXX年XX月XX日</w:t>
            </w:r>
            <w:r>
              <w:rPr>
                <w:color w:val="000000"/>
                <w:vertAlign w:val="baseline"/>
                <w:lang w:val="en-US" w:eastAsia="zh-CN"/>
              </w:rPr>
            </w:r>
            <w:r/>
          </w:p>
        </w:tc>
      </w:tr>
    </w:tbl>
    <w:p>
      <w:pPr>
        <w:pStyle w:val="969"/>
        <w:jc w:val="center"/>
        <w:keepNext/>
        <w:pageBreakBefore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969"/>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9"/>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69"/>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9"/>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69"/>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69"/>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9"/>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keepNext/>
        <w:pageBreakBefore w:val="0"/>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969"/>
        <w:keepNext/>
        <w:pageBreakBefore w:val="0"/>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969"/>
        <w:ind w:firstLine="480"/>
        <w:keepNext/>
        <w:pageBreakBefore w:val="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69"/>
        <w:ind w:firstLine="480"/>
        <w:keepNext/>
        <w:pageBreakBefore w:val="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69"/>
        <w:ind w:firstLine="480"/>
        <w:keepNext/>
        <w:pageBreakBefore w:val="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rPr>
          <w:rFonts w:hint="eastAsia" w:ascii="宋体" w:hAnsi="宋体" w:cs="仿宋"/>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969"/>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rPr>
                              <w:rFonts w:hint="eastAsia"/>
                            </w:rPr>
                          </w:pPr>
                          <w:r>
                            <w:rPr>
                              <w:rFonts w:hint="eastAsia"/>
                            </w:rPr>
                          </w:r>
                          <w:r/>
                        </w:p>
                        <w:p>
                          <w:pPr>
                            <w:pStyle w:val="9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rPr>
                        <w:rFonts w:hint="eastAsia"/>
                      </w:rPr>
                    </w:pPr>
                    <w:r>
                      <w:rPr>
                        <w:rFonts w:hint="eastAsia"/>
                      </w:rPr>
                    </w:r>
                    <w:r/>
                  </w:p>
                  <w:p>
                    <w:pPr>
                      <w:pStyle w:val="9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- 41 -</w:t>
                          </w:r>
                          <w:r>
                            <w:rPr>
                              <w:rFonts w:hint="eastAsia"/>
                            </w:rPr>
                            <w:fldChar w:fldCharType="end"/>
                          </w:r>
                          <w:r>
                            <w:rPr>
                              <w:rFonts w:hint="eastAsia"/>
                            </w:rPr>
                          </w:r>
                          <w:r/>
                        </w:p>
                        <w:p>
                          <w:pPr>
                            <w:pStyle w:val="96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- 41 -</w:t>
                    </w:r>
                    <w:r>
                      <w:rPr>
                        <w:rFonts w:hint="eastAsia"/>
                      </w:rPr>
                      <w:fldChar w:fldCharType="end"/>
                    </w:r>
                    <w:r>
                      <w:rPr>
                        <w:rFonts w:hint="eastAsia"/>
                      </w:rPr>
                    </w:r>
                    <w:r/>
                  </w:p>
                  <w:p>
                    <w:pPr>
                      <w:pStyle w:val="96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rPr>
                              <w:rFonts w:hint="eastAsia"/>
                            </w:rPr>
                          </w:pPr>
                          <w:r>
                            <w:rPr>
                              <w:rFonts w:hint="eastAsia"/>
                            </w:rPr>
                          </w:r>
                          <w:r/>
                        </w:p>
                        <w:p>
                          <w:pPr>
                            <w:pStyle w:val="96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rPr>
                        <w:rFonts w:hint="eastAsia"/>
                      </w:rPr>
                    </w:pPr>
                    <w:r>
                      <w:rPr>
                        <w:rFonts w:hint="eastAsia"/>
                      </w:rPr>
                    </w:r>
                    <w:r/>
                  </w:p>
                  <w:p>
                    <w:pPr>
                      <w:pStyle w:val="96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rPr>
                              <w:rFonts w:hint="eastAsia"/>
                            </w:rPr>
                          </w:r>
                          <w:r/>
                        </w:p>
                        <w:p>
                          <w:pPr>
                            <w:pStyle w:val="96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rPr>
                        <w:rFonts w:hint="eastAsia"/>
                      </w:rPr>
                    </w:r>
                    <w:r/>
                  </w:p>
                  <w:p>
                    <w:pPr>
                      <w:pStyle w:val="9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69"/>
        <w:ind w:left="1440" w:hanging="360"/>
      </w:pPr>
      <w:rPr>
        <w:rFonts w:ascii="Courier New" w:hAnsi="Courier New" w:eastAsia="Courier New" w:cs="Courier New"/>
      </w:rPr>
    </w:lvl>
    <w:lvl w:ilvl="2">
      <w:start w:val="1"/>
      <w:numFmt w:val="bullet"/>
      <w:isLgl w:val="false"/>
      <w:suff w:val="tab"/>
      <w:lvlText w:val="§"/>
      <w:lvlJc w:val="left"/>
      <w:pPr>
        <w:pStyle w:val="969"/>
        <w:ind w:left="2160" w:hanging="360"/>
      </w:pPr>
      <w:rPr>
        <w:rFonts w:ascii="Wingdings" w:hAnsi="Wingdings" w:eastAsia="Wingdings" w:cs="Wingdings"/>
      </w:rPr>
    </w:lvl>
    <w:lvl w:ilvl="3">
      <w:start w:val="1"/>
      <w:numFmt w:val="bullet"/>
      <w:isLgl w:val="false"/>
      <w:suff w:val="tab"/>
      <w:lvlText w:val="·"/>
      <w:lvlJc w:val="left"/>
      <w:pPr>
        <w:pStyle w:val="969"/>
        <w:ind w:left="2880" w:hanging="360"/>
      </w:pPr>
      <w:rPr>
        <w:rFonts w:ascii="Symbol" w:hAnsi="Symbol" w:eastAsia="Symbol" w:cs="Symbol"/>
      </w:rPr>
    </w:lvl>
    <w:lvl w:ilvl="4">
      <w:start w:val="1"/>
      <w:numFmt w:val="bullet"/>
      <w:isLgl w:val="false"/>
      <w:suff w:val="tab"/>
      <w:lvlText w:val="o"/>
      <w:lvlJc w:val="left"/>
      <w:pPr>
        <w:pStyle w:val="969"/>
        <w:ind w:left="3600" w:hanging="360"/>
      </w:pPr>
      <w:rPr>
        <w:rFonts w:ascii="Courier New" w:hAnsi="Courier New" w:eastAsia="Courier New" w:cs="Courier New"/>
      </w:rPr>
    </w:lvl>
    <w:lvl w:ilvl="5">
      <w:start w:val="1"/>
      <w:numFmt w:val="bullet"/>
      <w:isLgl w:val="false"/>
      <w:suff w:val="tab"/>
      <w:lvlText w:val="§"/>
      <w:lvlJc w:val="left"/>
      <w:pPr>
        <w:pStyle w:val="969"/>
        <w:ind w:left="4320" w:hanging="360"/>
      </w:pPr>
      <w:rPr>
        <w:rFonts w:ascii="Wingdings" w:hAnsi="Wingdings" w:eastAsia="Wingdings" w:cs="Wingdings"/>
      </w:rPr>
    </w:lvl>
    <w:lvl w:ilvl="6">
      <w:start w:val="1"/>
      <w:numFmt w:val="bullet"/>
      <w:isLgl w:val="false"/>
      <w:suff w:val="tab"/>
      <w:lvlText w:val="·"/>
      <w:lvlJc w:val="left"/>
      <w:pPr>
        <w:pStyle w:val="969"/>
        <w:ind w:left="5040" w:hanging="360"/>
      </w:pPr>
      <w:rPr>
        <w:rFonts w:ascii="Symbol" w:hAnsi="Symbol" w:eastAsia="Symbol" w:cs="Symbol"/>
      </w:rPr>
    </w:lvl>
    <w:lvl w:ilvl="7">
      <w:start w:val="1"/>
      <w:numFmt w:val="bullet"/>
      <w:isLgl w:val="false"/>
      <w:suff w:val="tab"/>
      <w:lvlText w:val="o"/>
      <w:lvlJc w:val="left"/>
      <w:pPr>
        <w:pStyle w:val="969"/>
        <w:ind w:left="5760" w:hanging="360"/>
      </w:pPr>
      <w:rPr>
        <w:rFonts w:ascii="Courier New" w:hAnsi="Courier New" w:eastAsia="Courier New" w:cs="Courier New"/>
      </w:rPr>
    </w:lvl>
    <w:lvl w:ilvl="8">
      <w:start w:val="1"/>
      <w:numFmt w:val="bullet"/>
      <w:isLgl w:val="false"/>
      <w:suff w:val="tab"/>
      <w:lvlText w:val="§"/>
      <w:lvlJc w:val="left"/>
      <w:pPr>
        <w:pStyle w:val="969"/>
        <w:ind w:left="6480" w:hanging="360"/>
      </w:pPr>
      <w:rPr>
        <w:rFonts w:ascii="Wingdings" w:hAnsi="Wingdings" w:eastAsia="Wingdings" w:cs="Wingdings"/>
      </w:rPr>
    </w:lvl>
  </w:abstractNum>
  <w:abstractNum w:abstractNumId="1">
    <w:multiLevelType w:val="hybridMultilevel"/>
    <w:lvl w:ilvl="0">
      <w:start w:val="1"/>
      <w:numFmt w:val="upperLetter"/>
      <w:pStyle w:val="1050"/>
      <w:isLgl w:val="false"/>
      <w:suff w:val="tab"/>
      <w:lvlText w:val="附录%1."/>
      <w:lvlJc w:val="left"/>
      <w:pPr>
        <w:pStyle w:val="9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6"/>
      <w:isLgl w:val="false"/>
      <w:suff w:val="tab"/>
      <w:lvlText w:val="%1."/>
      <w:lvlJc w:val="left"/>
      <w:pPr>
        <w:pStyle w:val="969"/>
        <w:ind w:left="709" w:hanging="709"/>
        <w:tabs>
          <w:tab w:val="num" w:pos="709" w:leader="none"/>
        </w:tabs>
      </w:pPr>
      <w:rPr>
        <w:rFonts w:hint="eastAsia"/>
      </w:rPr>
    </w:lvl>
    <w:lvl w:ilvl="1">
      <w:start w:val="1"/>
      <w:numFmt w:val="decimal"/>
      <w:isLgl w:val="false"/>
      <w:suff w:val="tab"/>
      <w:lvlText w:val="%1.%2"/>
      <w:lvlJc w:val="left"/>
      <w:pPr>
        <w:pStyle w:val="969"/>
        <w:ind w:left="709" w:hanging="709"/>
        <w:tabs>
          <w:tab w:val="num" w:pos="709" w:leader="none"/>
        </w:tabs>
      </w:pPr>
      <w:rPr>
        <w:rFonts w:hint="eastAsia"/>
      </w:rPr>
    </w:lvl>
    <w:lvl w:ilvl="2">
      <w:start w:val="1"/>
      <w:numFmt w:val="decimal"/>
      <w:isLgl w:val="false"/>
      <w:suff w:val="tab"/>
      <w:lvlText w:val="%1.%2.%3."/>
      <w:lvlJc w:val="left"/>
      <w:pPr>
        <w:pStyle w:val="969"/>
        <w:ind w:left="425" w:hanging="425"/>
        <w:tabs>
          <w:tab w:val="num" w:pos="425" w:leader="none"/>
        </w:tabs>
      </w:pPr>
      <w:rPr>
        <w:rFonts w:hint="eastAsia"/>
      </w:rPr>
    </w:lvl>
    <w:lvl w:ilvl="3">
      <w:start w:val="1"/>
      <w:numFmt w:val="decimal"/>
      <w:isLgl w:val="false"/>
      <w:suff w:val="tab"/>
      <w:lvlText w:val="%1.%2.%3.%4."/>
      <w:lvlJc w:val="left"/>
      <w:pPr>
        <w:pStyle w:val="969"/>
        <w:ind w:left="851" w:hanging="851"/>
        <w:tabs>
          <w:tab w:val="num" w:pos="851" w:leader="none"/>
        </w:tabs>
      </w:pPr>
      <w:rPr>
        <w:rFonts w:hint="eastAsia"/>
      </w:rPr>
    </w:lvl>
    <w:lvl w:ilvl="4">
      <w:start w:val="1"/>
      <w:numFmt w:val="decimal"/>
      <w:isLgl w:val="false"/>
      <w:suff w:val="tab"/>
      <w:lvlText w:val="%1.%2.%3.%4.%5."/>
      <w:lvlJc w:val="left"/>
      <w:pPr>
        <w:pStyle w:val="969"/>
        <w:ind w:left="992" w:hanging="992"/>
        <w:tabs>
          <w:tab w:val="num" w:pos="992" w:leader="none"/>
        </w:tabs>
      </w:pPr>
      <w:rPr>
        <w:rFonts w:hint="eastAsia"/>
      </w:rPr>
    </w:lvl>
    <w:lvl w:ilvl="5">
      <w:start w:val="1"/>
      <w:numFmt w:val="decimal"/>
      <w:isLgl w:val="false"/>
      <w:suff w:val="tab"/>
      <w:lvlText w:val="%1.%2.%3.%4.%5.%6."/>
      <w:lvlJc w:val="left"/>
      <w:pPr>
        <w:pStyle w:val="969"/>
        <w:ind w:left="1134" w:hanging="1134"/>
        <w:tabs>
          <w:tab w:val="num" w:pos="1134" w:leader="none"/>
        </w:tabs>
      </w:pPr>
      <w:rPr>
        <w:rFonts w:hint="eastAsia"/>
      </w:rPr>
    </w:lvl>
    <w:lvl w:ilvl="6">
      <w:start w:val="1"/>
      <w:numFmt w:val="decimal"/>
      <w:isLgl w:val="false"/>
      <w:suff w:val="tab"/>
      <w:lvlText w:val="%1.%2.%3.%4.%5.%6.%7."/>
      <w:lvlJc w:val="left"/>
      <w:pPr>
        <w:pStyle w:val="969"/>
        <w:ind w:left="1276" w:hanging="1276"/>
        <w:tabs>
          <w:tab w:val="num" w:pos="1276" w:leader="none"/>
        </w:tabs>
      </w:pPr>
      <w:rPr>
        <w:rFonts w:hint="eastAsia"/>
      </w:rPr>
    </w:lvl>
    <w:lvl w:ilvl="7">
      <w:start w:val="1"/>
      <w:numFmt w:val="decimal"/>
      <w:isLgl w:val="false"/>
      <w:suff w:val="tab"/>
      <w:lvlText w:val="%1.%2.%3.%4.%5.%6.%7.%8."/>
      <w:lvlJc w:val="left"/>
      <w:pPr>
        <w:pStyle w:val="969"/>
        <w:ind w:left="1418" w:hanging="1418"/>
        <w:tabs>
          <w:tab w:val="num" w:pos="1418" w:leader="none"/>
        </w:tabs>
      </w:pPr>
      <w:rPr>
        <w:rFonts w:hint="eastAsia"/>
      </w:rPr>
    </w:lvl>
    <w:lvl w:ilvl="8">
      <w:start w:val="1"/>
      <w:numFmt w:val="decimal"/>
      <w:isLgl w:val="false"/>
      <w:suff w:val="tab"/>
      <w:lvlText w:val="%1.%2.%3.%4.%5.%6.%7.%8.%9."/>
      <w:lvlJc w:val="left"/>
      <w:pPr>
        <w:pStyle w:val="96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69"/>
        <w:ind w:left="0" w:firstLine="0"/>
      </w:pPr>
      <w:rPr>
        <w:rFonts w:hint="eastAsia"/>
      </w:rPr>
    </w:lvl>
    <w:lvl w:ilvl="1">
      <w:start w:val="1"/>
      <w:numFmt w:val="decimal"/>
      <w:isLgl w:val="false"/>
      <w:suff w:val="nothing"/>
      <w:lvlText w:val="%2、"/>
      <w:lvlJc w:val="left"/>
      <w:pPr>
        <w:pStyle w:val="969"/>
        <w:ind w:left="0" w:firstLine="0"/>
      </w:pPr>
      <w:rPr>
        <w:rFonts w:hint="eastAsia"/>
      </w:rPr>
    </w:lvl>
    <w:lvl w:ilvl="2">
      <w:start w:val="1"/>
      <w:numFmt w:val="decimal"/>
      <w:isLgl w:val="false"/>
      <w:suff w:val="nothing"/>
      <w:lvlText w:val="%2.%3 "/>
      <w:lvlJc w:val="left"/>
      <w:pPr>
        <w:pStyle w:val="969"/>
        <w:ind w:left="0" w:firstLine="0"/>
      </w:pPr>
      <w:rPr>
        <w:rFonts w:hint="eastAsia"/>
      </w:rPr>
    </w:lvl>
    <w:lvl w:ilvl="3">
      <w:start w:val="1"/>
      <w:numFmt w:val="decimal"/>
      <w:isLgl w:val="false"/>
      <w:suff w:val="nothing"/>
      <w:lvlText w:val="%2.%3.%4 "/>
      <w:lvlJc w:val="left"/>
      <w:pPr>
        <w:pStyle w:val="969"/>
        <w:ind w:left="0" w:firstLine="0"/>
      </w:pPr>
      <w:rPr>
        <w:rFonts w:hint="eastAsia"/>
      </w:rPr>
    </w:lvl>
    <w:lvl w:ilvl="4">
      <w:start w:val="1"/>
      <w:numFmt w:val="decimal"/>
      <w:isLgl w:val="false"/>
      <w:suff w:val="nothing"/>
      <w:lvlText w:val="%2.%3.%4.%5 "/>
      <w:lvlJc w:val="left"/>
      <w:pPr>
        <w:pStyle w:val="969"/>
        <w:ind w:left="0" w:firstLine="0"/>
      </w:pPr>
      <w:rPr>
        <w:rFonts w:hint="eastAsia"/>
      </w:rPr>
    </w:lvl>
    <w:lvl w:ilvl="5">
      <w:start w:val="1"/>
      <w:numFmt w:val="decimal"/>
      <w:pStyle w:val="975"/>
      <w:isLgl w:val="false"/>
      <w:suff w:val="nothing"/>
      <w:lvlText w:val=""/>
      <w:lvlJc w:val="left"/>
      <w:pPr>
        <w:pStyle w:val="969"/>
        <w:ind w:left="0" w:firstLine="0"/>
      </w:pPr>
      <w:rPr>
        <w:rFonts w:hint="eastAsia"/>
      </w:rPr>
    </w:lvl>
    <w:lvl w:ilvl="6">
      <w:start w:val="1"/>
      <w:numFmt w:val="decimal"/>
      <w:pStyle w:val="976"/>
      <w:isLgl w:val="false"/>
      <w:suff w:val="nothing"/>
      <w:lvlText w:val=""/>
      <w:lvlJc w:val="left"/>
      <w:pPr>
        <w:pStyle w:val="969"/>
        <w:ind w:left="0" w:firstLine="0"/>
      </w:pPr>
      <w:rPr>
        <w:rFonts w:hint="eastAsia"/>
      </w:rPr>
    </w:lvl>
    <w:lvl w:ilvl="7">
      <w:start w:val="1"/>
      <w:numFmt w:val="decimal"/>
      <w:pStyle w:val="977"/>
      <w:isLgl w:val="false"/>
      <w:suff w:val="nothing"/>
      <w:lvlText w:val=""/>
      <w:lvlJc w:val="left"/>
      <w:pPr>
        <w:pStyle w:val="969"/>
        <w:ind w:left="0" w:firstLine="0"/>
      </w:pPr>
      <w:rPr>
        <w:rFonts w:hint="eastAsia"/>
      </w:rPr>
    </w:lvl>
    <w:lvl w:ilvl="8">
      <w:start w:val="1"/>
      <w:numFmt w:val="decimal"/>
      <w:pStyle w:val="978"/>
      <w:isLgl w:val="false"/>
      <w:suff w:val="nothing"/>
      <w:lvlText w:val=""/>
      <w:lvlJc w:val="left"/>
      <w:pPr>
        <w:pStyle w:val="969"/>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9"/>
    <w:next w:val="96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9"/>
    <w:next w:val="96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9"/>
    <w:next w:val="96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9"/>
    <w:next w:val="96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9"/>
    <w:next w:val="96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9"/>
    <w:next w:val="96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9"/>
    <w:next w:val="96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9"/>
    <w:next w:val="96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9"/>
    <w:next w:val="96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List Paragraph"/>
    <w:basedOn w:val="969"/>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9"/>
    <w:next w:val="969"/>
    <w:link w:val="812"/>
    <w:uiPriority w:val="10"/>
    <w:qFormat/>
    <w:pPr>
      <w:contextualSpacing/>
      <w:spacing w:before="300" w:after="200"/>
    </w:pPr>
    <w:rPr>
      <w:sz w:val="48"/>
      <w:szCs w:val="48"/>
    </w:rPr>
  </w:style>
  <w:style w:type="character" w:styleId="812">
    <w:name w:val="Title Char"/>
    <w:link w:val="811"/>
    <w:uiPriority w:val="10"/>
    <w:rPr>
      <w:sz w:val="48"/>
      <w:szCs w:val="48"/>
    </w:rPr>
  </w:style>
  <w:style w:type="paragraph" w:styleId="813">
    <w:name w:val="Subtitle"/>
    <w:basedOn w:val="969"/>
    <w:next w:val="969"/>
    <w:link w:val="814"/>
    <w:uiPriority w:val="11"/>
    <w:qFormat/>
    <w:pPr>
      <w:spacing w:before="200" w:after="200"/>
    </w:pPr>
    <w:rPr>
      <w:sz w:val="24"/>
      <w:szCs w:val="24"/>
    </w:rPr>
  </w:style>
  <w:style w:type="character" w:styleId="814">
    <w:name w:val="Subtitle Char"/>
    <w:link w:val="813"/>
    <w:uiPriority w:val="11"/>
    <w:rPr>
      <w:sz w:val="24"/>
      <w:szCs w:val="24"/>
    </w:rPr>
  </w:style>
  <w:style w:type="paragraph" w:styleId="815">
    <w:name w:val="Quote"/>
    <w:basedOn w:val="969"/>
    <w:next w:val="969"/>
    <w:link w:val="816"/>
    <w:uiPriority w:val="29"/>
    <w:qFormat/>
    <w:pPr>
      <w:ind w:left="720" w:right="720"/>
    </w:pPr>
    <w:rPr>
      <w:i/>
    </w:rPr>
  </w:style>
  <w:style w:type="character" w:styleId="816">
    <w:name w:val="Quote Char"/>
    <w:link w:val="815"/>
    <w:uiPriority w:val="29"/>
    <w:rPr>
      <w:i/>
    </w:rPr>
  </w:style>
  <w:style w:type="paragraph" w:styleId="817">
    <w:name w:val="Intense Quote"/>
    <w:basedOn w:val="969"/>
    <w:next w:val="96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paragraph" w:styleId="819">
    <w:name w:val="Header"/>
    <w:basedOn w:val="969"/>
    <w:link w:val="820"/>
    <w:uiPriority w:val="99"/>
    <w:unhideWhenUsed/>
    <w:pPr>
      <w:spacing w:after="0" w:line="240" w:lineRule="auto"/>
      <w:tabs>
        <w:tab w:val="center" w:pos="7143" w:leader="none"/>
        <w:tab w:val="right" w:pos="14287" w:leader="none"/>
      </w:tabs>
    </w:pPr>
  </w:style>
  <w:style w:type="character" w:styleId="820">
    <w:name w:val="Header Char"/>
    <w:link w:val="819"/>
    <w:uiPriority w:val="99"/>
  </w:style>
  <w:style w:type="paragraph" w:styleId="821">
    <w:name w:val="Footer"/>
    <w:basedOn w:val="969"/>
    <w:link w:val="824"/>
    <w:uiPriority w:val="99"/>
    <w:unhideWhenUsed/>
    <w:pPr>
      <w:spacing w:after="0" w:line="240" w:lineRule="auto"/>
      <w:tabs>
        <w:tab w:val="center" w:pos="7143" w:leader="none"/>
        <w:tab w:val="right" w:pos="14287" w:leader="none"/>
      </w:tabs>
    </w:pPr>
  </w:style>
  <w:style w:type="character" w:styleId="822">
    <w:name w:val="Footer Char"/>
    <w:link w:val="821"/>
    <w:uiPriority w:val="99"/>
  </w:style>
  <w:style w:type="paragraph" w:styleId="823">
    <w:name w:val="Caption"/>
    <w:basedOn w:val="969"/>
    <w:next w:val="969"/>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81"/>
    <w:link w:val="969"/>
    <w:qFormat/>
    <w:pPr>
      <w:jc w:val="both"/>
      <w:widowControl w:val="off"/>
    </w:pPr>
    <w:rPr>
      <w:sz w:val="21"/>
      <w:szCs w:val="22"/>
      <w:lang w:val="en-US" w:eastAsia="zh-CN" w:bidi="ar-SA"/>
    </w:rPr>
  </w:style>
  <w:style w:type="paragraph" w:styleId="970">
    <w:name w:val="标题 1"/>
    <w:basedOn w:val="969"/>
    <w:next w:val="969"/>
    <w:link w:val="986"/>
    <w:qFormat/>
    <w:pPr>
      <w:jc w:val="center"/>
      <w:keepNext/>
      <w:outlineLvl w:val="0"/>
    </w:pPr>
    <w:rPr>
      <w:rFonts w:ascii="楷体_GB2312" w:hAnsi="Times New Roman" w:eastAsia="楷体_GB2312" w:cs="Times New Roman"/>
      <w:sz w:val="28"/>
      <w:szCs w:val="28"/>
    </w:rPr>
  </w:style>
  <w:style w:type="paragraph" w:styleId="971">
    <w:name w:val="标题 2"/>
    <w:basedOn w:val="969"/>
    <w:next w:val="988"/>
    <w:link w:val="987"/>
    <w:qFormat/>
    <w:pPr>
      <w:jc w:val="center"/>
      <w:keepLines/>
      <w:keepNext/>
      <w:spacing w:before="260" w:after="260" w:line="416" w:lineRule="auto"/>
      <w:outlineLvl w:val="1"/>
    </w:pPr>
    <w:rPr>
      <w:rFonts w:ascii="Arial" w:hAnsi="Arial" w:eastAsia="幼圆" w:cs="Arial"/>
      <w:b/>
      <w:bCs/>
      <w:sz w:val="44"/>
      <w:szCs w:val="44"/>
    </w:rPr>
  </w:style>
  <w:style w:type="paragraph" w:styleId="972">
    <w:name w:val="标题 3"/>
    <w:basedOn w:val="969"/>
    <w:next w:val="988"/>
    <w:link w:val="9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3">
    <w:name w:val="标题 4"/>
    <w:basedOn w:val="969"/>
    <w:next w:val="969"/>
    <w:link w:val="991"/>
    <w:qFormat/>
    <w:pPr>
      <w:keepLines/>
      <w:keepNext/>
      <w:spacing w:before="280" w:after="290" w:line="376" w:lineRule="auto"/>
      <w:outlineLvl w:val="3"/>
    </w:pPr>
    <w:rPr>
      <w:rFonts w:ascii="Arial" w:hAnsi="Arial" w:eastAsia="黑体" w:cs="Arial"/>
      <w:b/>
      <w:bCs/>
      <w:sz w:val="28"/>
      <w:szCs w:val="28"/>
    </w:rPr>
  </w:style>
  <w:style w:type="paragraph" w:styleId="974">
    <w:name w:val="标题 5"/>
    <w:basedOn w:val="969"/>
    <w:next w:val="988"/>
    <w:link w:val="992"/>
    <w:qFormat/>
    <w:pPr>
      <w:keepNext/>
      <w:outlineLvl w:val="4"/>
    </w:pPr>
    <w:rPr>
      <w:rFonts w:ascii="宋体" w:hAnsi="Times New Roman" w:eastAsia="宋体" w:cs="Times New Roman"/>
      <w:color w:val="000000"/>
      <w:sz w:val="28"/>
      <w:szCs w:val="28"/>
    </w:rPr>
  </w:style>
  <w:style w:type="paragraph" w:styleId="975">
    <w:name w:val="标题 6"/>
    <w:basedOn w:val="969"/>
    <w:next w:val="969"/>
    <w:link w:val="9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6">
    <w:name w:val="标题 7"/>
    <w:basedOn w:val="969"/>
    <w:next w:val="969"/>
    <w:link w:val="9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7">
    <w:name w:val="标题 8"/>
    <w:basedOn w:val="969"/>
    <w:next w:val="969"/>
    <w:link w:val="9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8">
    <w:name w:val="标题 9"/>
    <w:basedOn w:val="969"/>
    <w:next w:val="969"/>
    <w:link w:val="996"/>
    <w:qFormat/>
    <w:pPr>
      <w:numPr>
        <w:ilvl w:val="8"/>
        <w:numId w:val="1"/>
      </w:numPr>
      <w:keepLines/>
      <w:keepNext/>
      <w:spacing w:before="240" w:after="64" w:line="320" w:lineRule="auto"/>
      <w:outlineLvl w:val="8"/>
    </w:pPr>
    <w:rPr>
      <w:rFonts w:ascii="Arial" w:hAnsi="Arial" w:eastAsia="黑体" w:cs="Times New Roman"/>
      <w:szCs w:val="21"/>
    </w:rPr>
  </w:style>
  <w:style w:type="character" w:styleId="979">
    <w:name w:val="默认段落字体"/>
    <w:next w:val="979"/>
    <w:link w:val="969"/>
    <w:uiPriority w:val="1"/>
    <w:unhideWhenUsed/>
  </w:style>
  <w:style w:type="table" w:styleId="980">
    <w:name w:val="普通表格"/>
    <w:next w:val="980"/>
    <w:link w:val="969"/>
    <w:uiPriority w:val="99"/>
    <w:unhideWhenUsed/>
    <w:tblPr/>
  </w:style>
  <w:style w:type="paragraph" w:styleId="981">
    <w:name w:val="正文首行缩进 2"/>
    <w:basedOn w:val="982"/>
    <w:next w:val="969"/>
    <w:link w:val="985"/>
    <w:pPr>
      <w:ind w:left="0" w:firstLine="420"/>
      <w:spacing w:after="0" w:line="360" w:lineRule="auto"/>
    </w:pPr>
    <w:rPr>
      <w:rFonts w:ascii="宋体" w:hAnsi="宋体" w:eastAsia="宋体" w:cs="Times New Roman"/>
      <w:szCs w:val="20"/>
    </w:rPr>
  </w:style>
  <w:style w:type="paragraph" w:styleId="982">
    <w:name w:val="正文文本缩进"/>
    <w:basedOn w:val="969"/>
    <w:next w:val="984"/>
    <w:link w:val="983"/>
    <w:unhideWhenUsed/>
    <w:pPr>
      <w:ind w:left="420"/>
      <w:spacing w:after="120"/>
    </w:pPr>
  </w:style>
  <w:style w:type="character" w:styleId="983">
    <w:name w:val="正文文本缩进 Char"/>
    <w:basedOn w:val="979"/>
    <w:next w:val="983"/>
    <w:link w:val="982"/>
    <w:uiPriority w:val="99"/>
    <w:semiHidden/>
  </w:style>
  <w:style w:type="paragraph" w:styleId="984">
    <w:name w:val="寄信人地址"/>
    <w:basedOn w:val="969"/>
    <w:next w:val="984"/>
    <w:link w:val="969"/>
    <w:qFormat/>
    <w:rPr>
      <w:rFonts w:ascii="Arial" w:hAnsi="Arial" w:eastAsia="宋体" w:cs="宋体"/>
    </w:rPr>
  </w:style>
  <w:style w:type="character" w:styleId="985">
    <w:name w:val="正文首行缩进 2 Char"/>
    <w:next w:val="985"/>
    <w:link w:val="981"/>
    <w:rPr>
      <w:rFonts w:ascii="宋体" w:hAnsi="宋体" w:eastAsia="宋体" w:cs="Times New Roman"/>
      <w:szCs w:val="20"/>
    </w:rPr>
  </w:style>
  <w:style w:type="character" w:styleId="986">
    <w:name w:val="标题 1 Char"/>
    <w:next w:val="986"/>
    <w:link w:val="970"/>
    <w:rPr>
      <w:rFonts w:ascii="楷体_GB2312" w:hAnsi="Times New Roman" w:eastAsia="楷体_GB2312" w:cs="Times New Roman"/>
      <w:sz w:val="28"/>
      <w:szCs w:val="28"/>
    </w:rPr>
  </w:style>
  <w:style w:type="character" w:styleId="987">
    <w:name w:val="标题 2 Char"/>
    <w:next w:val="987"/>
    <w:link w:val="971"/>
    <w:rPr>
      <w:rFonts w:ascii="Arial" w:hAnsi="Arial" w:eastAsia="幼圆" w:cs="Arial"/>
      <w:b/>
      <w:bCs/>
      <w:sz w:val="44"/>
      <w:szCs w:val="44"/>
    </w:rPr>
  </w:style>
  <w:style w:type="paragraph" w:styleId="988">
    <w:name w:val="正文缩进"/>
    <w:basedOn w:val="969"/>
    <w:next w:val="988"/>
    <w:link w:val="989"/>
    <w:pPr>
      <w:ind w:firstLine="420"/>
    </w:pPr>
    <w:rPr>
      <w:szCs w:val="21"/>
    </w:rPr>
  </w:style>
  <w:style w:type="character" w:styleId="989">
    <w:name w:val="正文缩进 Char"/>
    <w:next w:val="989"/>
    <w:link w:val="988"/>
    <w:rPr>
      <w:szCs w:val="21"/>
    </w:rPr>
  </w:style>
  <w:style w:type="character" w:styleId="990">
    <w:name w:val="标题 3 Char"/>
    <w:next w:val="990"/>
    <w:link w:val="972"/>
    <w:rPr>
      <w:rFonts w:ascii="Times New Roman" w:hAnsi="Times New Roman" w:eastAsia="宋体" w:cs="Times New Roman"/>
      <w:b/>
      <w:bCs/>
      <w:sz w:val="32"/>
      <w:szCs w:val="32"/>
    </w:rPr>
  </w:style>
  <w:style w:type="character" w:styleId="991">
    <w:name w:val="标题 4 Char"/>
    <w:next w:val="991"/>
    <w:link w:val="973"/>
    <w:rPr>
      <w:rFonts w:ascii="Arial" w:hAnsi="Arial" w:eastAsia="黑体" w:cs="Arial"/>
      <w:b/>
      <w:bCs/>
      <w:sz w:val="28"/>
      <w:szCs w:val="28"/>
    </w:rPr>
  </w:style>
  <w:style w:type="character" w:styleId="992">
    <w:name w:val="标题 5 Char"/>
    <w:next w:val="992"/>
    <w:link w:val="974"/>
    <w:rPr>
      <w:rFonts w:ascii="宋体" w:hAnsi="Times New Roman" w:eastAsia="宋体" w:cs="Times New Roman"/>
      <w:color w:val="000000"/>
      <w:sz w:val="28"/>
      <w:szCs w:val="28"/>
    </w:rPr>
  </w:style>
  <w:style w:type="character" w:styleId="993">
    <w:name w:val="标题 6 Char"/>
    <w:next w:val="993"/>
    <w:link w:val="975"/>
    <w:rPr>
      <w:rFonts w:ascii="Arial" w:hAnsi="Arial" w:eastAsia="黑体" w:cs="Times New Roman"/>
      <w:b/>
      <w:bCs/>
      <w:sz w:val="24"/>
      <w:szCs w:val="24"/>
    </w:rPr>
  </w:style>
  <w:style w:type="character" w:styleId="994">
    <w:name w:val="标题 7 Char"/>
    <w:next w:val="994"/>
    <w:link w:val="976"/>
    <w:rPr>
      <w:rFonts w:ascii="Times New Roman" w:hAnsi="Times New Roman" w:eastAsia="宋体" w:cs="Times New Roman"/>
      <w:b/>
      <w:bCs/>
      <w:sz w:val="24"/>
      <w:szCs w:val="24"/>
    </w:rPr>
  </w:style>
  <w:style w:type="character" w:styleId="995">
    <w:name w:val="标题 8 Char"/>
    <w:next w:val="995"/>
    <w:link w:val="977"/>
    <w:rPr>
      <w:rFonts w:ascii="Arial" w:hAnsi="Arial" w:eastAsia="黑体" w:cs="Times New Roman"/>
      <w:sz w:val="24"/>
      <w:szCs w:val="24"/>
    </w:rPr>
  </w:style>
  <w:style w:type="character" w:styleId="996">
    <w:name w:val="标题 9 Char"/>
    <w:next w:val="996"/>
    <w:link w:val="978"/>
    <w:rPr>
      <w:rFonts w:ascii="Arial" w:hAnsi="Arial" w:eastAsia="黑体" w:cs="Times New Roman"/>
      <w:szCs w:val="21"/>
    </w:rPr>
  </w:style>
  <w:style w:type="paragraph" w:styleId="997">
    <w:name w:val="列表 3"/>
    <w:basedOn w:val="969"/>
    <w:next w:val="997"/>
    <w:link w:val="969"/>
    <w:pPr>
      <w:ind w:left="100" w:hanging="200"/>
    </w:pPr>
    <w:rPr>
      <w:rFonts w:ascii="Times New Roman" w:hAnsi="Times New Roman" w:eastAsia="宋体" w:cs="Times New Roman"/>
      <w:szCs w:val="21"/>
    </w:rPr>
  </w:style>
  <w:style w:type="paragraph" w:styleId="998">
    <w:name w:val="目录 7"/>
    <w:basedOn w:val="969"/>
    <w:next w:val="969"/>
    <w:link w:val="969"/>
    <w:semiHidden/>
    <w:pPr>
      <w:ind w:left="1260"/>
      <w:jc w:val="left"/>
    </w:pPr>
    <w:rPr>
      <w:rFonts w:ascii="Times New Roman" w:hAnsi="Times New Roman" w:eastAsia="宋体" w:cs="Times New Roman"/>
      <w:szCs w:val="21"/>
    </w:rPr>
  </w:style>
  <w:style w:type="paragraph" w:styleId="999">
    <w:name w:val="文档结构图"/>
    <w:basedOn w:val="969"/>
    <w:next w:val="999"/>
    <w:link w:val="1000"/>
    <w:semiHidden/>
    <w:pPr>
      <w:shd w:val="clear" w:color="auto" w:fill="000080"/>
    </w:pPr>
    <w:rPr>
      <w:rFonts w:ascii="Times New Roman" w:hAnsi="Times New Roman" w:eastAsia="宋体" w:cs="Times New Roman"/>
      <w:szCs w:val="21"/>
    </w:rPr>
  </w:style>
  <w:style w:type="character" w:styleId="1000">
    <w:name w:val="文档结构图 Char"/>
    <w:next w:val="1000"/>
    <w:link w:val="999"/>
    <w:semiHidden/>
    <w:rPr>
      <w:rFonts w:ascii="Times New Roman" w:hAnsi="Times New Roman" w:eastAsia="宋体" w:cs="Times New Roman"/>
      <w:szCs w:val="21"/>
      <w:shd w:val="clear" w:color="auto" w:fill="000080"/>
    </w:rPr>
  </w:style>
  <w:style w:type="paragraph" w:styleId="1001">
    <w:name w:val="批注文字"/>
    <w:basedOn w:val="969"/>
    <w:next w:val="1001"/>
    <w:link w:val="1002"/>
    <w:unhideWhenUsed/>
    <w:pPr>
      <w:jc w:val="left"/>
    </w:pPr>
  </w:style>
  <w:style w:type="character" w:styleId="1002">
    <w:name w:val="批注文字 Char"/>
    <w:basedOn w:val="979"/>
    <w:next w:val="1002"/>
    <w:link w:val="1001"/>
    <w:uiPriority w:val="99"/>
    <w:semiHidden/>
  </w:style>
  <w:style w:type="paragraph" w:styleId="1003">
    <w:name w:val="正文文本 3"/>
    <w:basedOn w:val="969"/>
    <w:next w:val="1003"/>
    <w:link w:val="1004"/>
    <w:rPr>
      <w:rFonts w:ascii="仿宋_GB2312" w:hAnsi="Arial" w:eastAsia="仿宋_GB2312" w:cs="Times New Roman"/>
      <w:sz w:val="32"/>
      <w:szCs w:val="32"/>
    </w:rPr>
  </w:style>
  <w:style w:type="character" w:styleId="1004">
    <w:name w:val="正文文本 3 Char"/>
    <w:next w:val="1004"/>
    <w:link w:val="1003"/>
    <w:rPr>
      <w:rFonts w:ascii="仿宋_GB2312" w:hAnsi="Arial" w:eastAsia="仿宋_GB2312" w:cs="Times New Roman"/>
      <w:sz w:val="32"/>
      <w:szCs w:val="32"/>
    </w:rPr>
  </w:style>
  <w:style w:type="paragraph" w:styleId="1005">
    <w:name w:val="正文文本"/>
    <w:basedOn w:val="969"/>
    <w:next w:val="1005"/>
    <w:link w:val="1006"/>
    <w:rPr>
      <w:rFonts w:ascii="楷体_GB2312" w:hAnsi="Arial" w:eastAsia="楷体_GB2312" w:cs="Times New Roman"/>
      <w:sz w:val="28"/>
      <w:szCs w:val="28"/>
    </w:rPr>
  </w:style>
  <w:style w:type="character" w:styleId="1006">
    <w:name w:val="正文文本 Char"/>
    <w:next w:val="1006"/>
    <w:link w:val="1005"/>
    <w:rPr>
      <w:rFonts w:ascii="楷体_GB2312" w:hAnsi="Arial" w:eastAsia="楷体_GB2312" w:cs="Times New Roman"/>
      <w:sz w:val="28"/>
      <w:szCs w:val="28"/>
    </w:rPr>
  </w:style>
  <w:style w:type="paragraph" w:styleId="1007">
    <w:name w:val="列表 2"/>
    <w:basedOn w:val="969"/>
    <w:next w:val="1007"/>
    <w:link w:val="969"/>
    <w:pPr>
      <w:ind w:left="100" w:hanging="200"/>
    </w:pPr>
    <w:rPr>
      <w:rFonts w:ascii="Times New Roman" w:hAnsi="Times New Roman" w:eastAsia="宋体" w:cs="Times New Roman"/>
      <w:szCs w:val="21"/>
    </w:rPr>
  </w:style>
  <w:style w:type="paragraph" w:styleId="1008">
    <w:name w:val="索引 4"/>
    <w:basedOn w:val="969"/>
    <w:next w:val="969"/>
    <w:link w:val="969"/>
    <w:semiHidden/>
    <w:qFormat/>
    <w:pPr>
      <w:ind w:left="1260"/>
    </w:pPr>
    <w:rPr>
      <w:rFonts w:ascii="Calibri" w:hAnsi="Calibri" w:eastAsia="Calibri" w:cs="宋体"/>
      <w:sz w:val="20"/>
      <w:lang w:val="zh-CN"/>
    </w:rPr>
  </w:style>
  <w:style w:type="paragraph" w:styleId="1009">
    <w:name w:val="目录 5"/>
    <w:basedOn w:val="969"/>
    <w:next w:val="969"/>
    <w:link w:val="969"/>
    <w:semiHidden/>
    <w:pPr>
      <w:ind w:left="840"/>
      <w:jc w:val="left"/>
    </w:pPr>
    <w:rPr>
      <w:rFonts w:ascii="Times New Roman" w:hAnsi="Times New Roman" w:eastAsia="宋体" w:cs="Times New Roman"/>
      <w:szCs w:val="21"/>
    </w:rPr>
  </w:style>
  <w:style w:type="paragraph" w:styleId="1010">
    <w:name w:val="目录 3"/>
    <w:basedOn w:val="969"/>
    <w:next w:val="969"/>
    <w:link w:val="969"/>
    <w:semiHidden/>
    <w:pPr>
      <w:ind w:left="420"/>
      <w:jc w:val="left"/>
    </w:pPr>
    <w:rPr>
      <w:rFonts w:ascii="Times New Roman" w:hAnsi="Times New Roman" w:eastAsia="宋体" w:cs="Times New Roman"/>
      <w:i/>
      <w:iCs/>
      <w:szCs w:val="24"/>
    </w:rPr>
  </w:style>
  <w:style w:type="paragraph" w:styleId="1011">
    <w:name w:val="纯文本"/>
    <w:basedOn w:val="969"/>
    <w:next w:val="1011"/>
    <w:link w:val="1012"/>
    <w:rPr>
      <w:rFonts w:ascii="宋体" w:hAnsi="Courier New" w:eastAsia="宋体" w:cs="Courier New"/>
      <w:szCs w:val="21"/>
    </w:rPr>
  </w:style>
  <w:style w:type="character" w:styleId="1012">
    <w:name w:val="纯文本 Char"/>
    <w:next w:val="1012"/>
    <w:link w:val="1011"/>
    <w:rPr>
      <w:rFonts w:ascii="宋体" w:hAnsi="Courier New" w:eastAsia="宋体" w:cs="Courier New"/>
      <w:szCs w:val="21"/>
    </w:rPr>
  </w:style>
  <w:style w:type="paragraph" w:styleId="1013">
    <w:name w:val="目录 8"/>
    <w:basedOn w:val="969"/>
    <w:next w:val="969"/>
    <w:link w:val="969"/>
    <w:semiHidden/>
    <w:pPr>
      <w:ind w:left="1470"/>
      <w:jc w:val="left"/>
    </w:pPr>
    <w:rPr>
      <w:rFonts w:ascii="Times New Roman" w:hAnsi="Times New Roman" w:eastAsia="宋体" w:cs="Times New Roman"/>
      <w:szCs w:val="21"/>
    </w:rPr>
  </w:style>
  <w:style w:type="paragraph" w:styleId="1014">
    <w:name w:val="日期"/>
    <w:basedOn w:val="969"/>
    <w:next w:val="969"/>
    <w:link w:val="1015"/>
    <w:rPr>
      <w:rFonts w:ascii="Times New Roman" w:hAnsi="Times New Roman" w:eastAsia="宋体" w:cs="Times New Roman"/>
      <w:sz w:val="24"/>
      <w:szCs w:val="24"/>
    </w:rPr>
  </w:style>
  <w:style w:type="character" w:styleId="1015">
    <w:name w:val="日期 Char"/>
    <w:next w:val="1015"/>
    <w:link w:val="1014"/>
    <w:rPr>
      <w:rFonts w:ascii="Times New Roman" w:hAnsi="Times New Roman" w:eastAsia="宋体" w:cs="Times New Roman"/>
      <w:sz w:val="24"/>
      <w:szCs w:val="24"/>
    </w:rPr>
  </w:style>
  <w:style w:type="paragraph" w:styleId="1016">
    <w:name w:val="正文文本缩进 2"/>
    <w:basedOn w:val="969"/>
    <w:next w:val="1016"/>
    <w:link w:val="1017"/>
    <w:pPr>
      <w:ind w:left="630" w:firstLine="645"/>
    </w:pPr>
    <w:rPr>
      <w:rFonts w:ascii="Arial" w:hAnsi="Arial" w:eastAsia="仿宋_GB2312" w:cs="Arial"/>
      <w:sz w:val="32"/>
      <w:szCs w:val="32"/>
    </w:rPr>
  </w:style>
  <w:style w:type="character" w:styleId="1017">
    <w:name w:val="正文文本缩进 2 Char"/>
    <w:next w:val="1017"/>
    <w:link w:val="1016"/>
    <w:rPr>
      <w:rFonts w:ascii="Arial" w:hAnsi="Arial" w:eastAsia="仿宋_GB2312" w:cs="Arial"/>
      <w:sz w:val="32"/>
      <w:szCs w:val="32"/>
    </w:rPr>
  </w:style>
  <w:style w:type="paragraph" w:styleId="1018">
    <w:name w:val="批注框文本"/>
    <w:basedOn w:val="969"/>
    <w:next w:val="1018"/>
    <w:link w:val="1019"/>
    <w:semiHidden/>
    <w:rPr>
      <w:rFonts w:ascii="Times New Roman" w:hAnsi="Times New Roman" w:eastAsia="宋体" w:cs="Times New Roman"/>
      <w:sz w:val="18"/>
      <w:szCs w:val="18"/>
    </w:rPr>
  </w:style>
  <w:style w:type="character" w:styleId="1019">
    <w:name w:val="批注框文本 Char"/>
    <w:next w:val="1019"/>
    <w:link w:val="1018"/>
    <w:semiHidden/>
    <w:rPr>
      <w:rFonts w:ascii="Times New Roman" w:hAnsi="Times New Roman" w:eastAsia="宋体" w:cs="Times New Roman"/>
      <w:sz w:val="18"/>
      <w:szCs w:val="18"/>
    </w:rPr>
  </w:style>
  <w:style w:type="paragraph" w:styleId="1020">
    <w:name w:val="页脚"/>
    <w:basedOn w:val="969"/>
    <w:next w:val="1020"/>
    <w:link w:val="1021"/>
    <w:pPr>
      <w:jc w:val="left"/>
      <w:tabs>
        <w:tab w:val="center" w:pos="4153" w:leader="none"/>
        <w:tab w:val="right" w:pos="8306" w:leader="none"/>
      </w:tabs>
    </w:pPr>
    <w:rPr>
      <w:rFonts w:ascii="Times New Roman" w:hAnsi="Times New Roman" w:eastAsia="宋体" w:cs="Times New Roman"/>
      <w:sz w:val="18"/>
      <w:szCs w:val="18"/>
    </w:rPr>
  </w:style>
  <w:style w:type="character" w:styleId="1021">
    <w:name w:val="页脚 Char"/>
    <w:next w:val="1021"/>
    <w:link w:val="1020"/>
    <w:rPr>
      <w:rFonts w:ascii="Times New Roman" w:hAnsi="Times New Roman" w:eastAsia="宋体" w:cs="Times New Roman"/>
      <w:sz w:val="18"/>
      <w:szCs w:val="18"/>
    </w:rPr>
  </w:style>
  <w:style w:type="paragraph" w:styleId="1022">
    <w:name w:val="页眉"/>
    <w:basedOn w:val="969"/>
    <w:next w:val="1022"/>
    <w:link w:val="10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3">
    <w:name w:val="页眉 Char"/>
    <w:next w:val="1023"/>
    <w:link w:val="1022"/>
    <w:rPr>
      <w:rFonts w:ascii="Times New Roman" w:hAnsi="Times New Roman" w:eastAsia="宋体" w:cs="Times New Roman"/>
      <w:sz w:val="18"/>
      <w:szCs w:val="18"/>
    </w:rPr>
  </w:style>
  <w:style w:type="paragraph" w:styleId="1024">
    <w:name w:val="目录 1"/>
    <w:basedOn w:val="969"/>
    <w:next w:val="969"/>
    <w:link w:val="9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5">
    <w:name w:val="目录 4"/>
    <w:basedOn w:val="969"/>
    <w:next w:val="969"/>
    <w:link w:val="969"/>
    <w:semiHidden/>
    <w:pPr>
      <w:ind w:left="630"/>
      <w:jc w:val="left"/>
    </w:pPr>
    <w:rPr>
      <w:rFonts w:ascii="Times New Roman" w:hAnsi="Times New Roman" w:eastAsia="宋体" w:cs="Times New Roman"/>
      <w:szCs w:val="21"/>
    </w:rPr>
  </w:style>
  <w:style w:type="paragraph" w:styleId="1026">
    <w:name w:val="列表"/>
    <w:basedOn w:val="969"/>
    <w:next w:val="1026"/>
    <w:link w:val="969"/>
    <w:pPr>
      <w:ind w:left="200" w:hanging="200"/>
    </w:pPr>
    <w:rPr>
      <w:rFonts w:ascii="Times New Roman" w:hAnsi="Times New Roman" w:eastAsia="宋体" w:cs="Times New Roman"/>
      <w:szCs w:val="21"/>
    </w:rPr>
  </w:style>
  <w:style w:type="paragraph" w:styleId="1027">
    <w:name w:val="目录 6"/>
    <w:basedOn w:val="969"/>
    <w:next w:val="969"/>
    <w:link w:val="969"/>
    <w:semiHidden/>
    <w:pPr>
      <w:ind w:left="1050"/>
      <w:jc w:val="left"/>
    </w:pPr>
    <w:rPr>
      <w:rFonts w:ascii="Times New Roman" w:hAnsi="Times New Roman" w:eastAsia="宋体" w:cs="Times New Roman"/>
      <w:szCs w:val="21"/>
    </w:rPr>
  </w:style>
  <w:style w:type="paragraph" w:styleId="1028">
    <w:name w:val="正文文本缩进 3"/>
    <w:basedOn w:val="969"/>
    <w:next w:val="1028"/>
    <w:link w:val="1029"/>
    <w:pPr>
      <w:ind w:left="645" w:firstLine="645"/>
    </w:pPr>
    <w:rPr>
      <w:rFonts w:ascii="Arial" w:hAnsi="Arial" w:eastAsia="仿宋_GB2312" w:cs="Arial"/>
      <w:color w:val="ffff00"/>
      <w:sz w:val="32"/>
      <w:szCs w:val="32"/>
    </w:rPr>
  </w:style>
  <w:style w:type="character" w:styleId="1029">
    <w:name w:val="正文文本缩进 3 Char"/>
    <w:next w:val="1029"/>
    <w:link w:val="1028"/>
    <w:rPr>
      <w:rFonts w:ascii="Arial" w:hAnsi="Arial" w:eastAsia="仿宋_GB2312" w:cs="Arial"/>
      <w:color w:val="ffff00"/>
      <w:sz w:val="32"/>
      <w:szCs w:val="32"/>
    </w:rPr>
  </w:style>
  <w:style w:type="paragraph" w:styleId="1030">
    <w:name w:val="图表目录"/>
    <w:basedOn w:val="969"/>
    <w:next w:val="969"/>
    <w:link w:val="969"/>
    <w:semiHidden/>
    <w:pPr>
      <w:ind w:left="840" w:hanging="420"/>
    </w:pPr>
    <w:rPr>
      <w:rFonts w:ascii="Times New Roman" w:hAnsi="Times New Roman" w:eastAsia="宋体" w:cs="Times New Roman"/>
      <w:szCs w:val="21"/>
    </w:rPr>
  </w:style>
  <w:style w:type="paragraph" w:styleId="1031">
    <w:name w:val="目录 2"/>
    <w:basedOn w:val="969"/>
    <w:next w:val="969"/>
    <w:link w:val="969"/>
    <w:semiHidden/>
    <w:pPr>
      <w:ind w:left="210"/>
      <w:jc w:val="left"/>
    </w:pPr>
    <w:rPr>
      <w:rFonts w:ascii="Times New Roman" w:hAnsi="Times New Roman" w:eastAsia="宋体" w:cs="Times New Roman"/>
      <w:smallCaps/>
      <w:szCs w:val="24"/>
    </w:rPr>
  </w:style>
  <w:style w:type="paragraph" w:styleId="1032">
    <w:name w:val="目录 9"/>
    <w:basedOn w:val="969"/>
    <w:next w:val="969"/>
    <w:link w:val="969"/>
    <w:semiHidden/>
    <w:pPr>
      <w:ind w:left="1680"/>
      <w:jc w:val="left"/>
    </w:pPr>
    <w:rPr>
      <w:rFonts w:ascii="Times New Roman" w:hAnsi="Times New Roman" w:eastAsia="宋体" w:cs="Times New Roman"/>
      <w:szCs w:val="21"/>
    </w:rPr>
  </w:style>
  <w:style w:type="paragraph" w:styleId="1033">
    <w:name w:val="正文文本 2"/>
    <w:basedOn w:val="969"/>
    <w:next w:val="1033"/>
    <w:link w:val="1034"/>
    <w:pPr>
      <w:jc w:val="center"/>
      <w:widowControl/>
    </w:pPr>
    <w:rPr>
      <w:rFonts w:ascii="楷体_GB2312" w:hAnsi="Times New Roman" w:eastAsia="楷体_GB2312" w:cs="Times New Roman"/>
      <w:sz w:val="28"/>
      <w:szCs w:val="28"/>
    </w:rPr>
  </w:style>
  <w:style w:type="character" w:styleId="1034">
    <w:name w:val="正文文本 2 Char"/>
    <w:next w:val="1034"/>
    <w:link w:val="1033"/>
    <w:rPr>
      <w:rFonts w:ascii="楷体_GB2312" w:hAnsi="Times New Roman" w:eastAsia="楷体_GB2312" w:cs="Times New Roman"/>
      <w:sz w:val="28"/>
      <w:szCs w:val="28"/>
    </w:rPr>
  </w:style>
  <w:style w:type="paragraph" w:styleId="1035">
    <w:name w:val="普通(网站)"/>
    <w:basedOn w:val="969"/>
    <w:next w:val="1035"/>
    <w:link w:val="969"/>
    <w:uiPriority w:val="99"/>
    <w:pPr>
      <w:jc w:val="left"/>
      <w:spacing w:before="100" w:beforeAutospacing="1" w:after="100" w:afterAutospacing="1"/>
      <w:widowControl/>
    </w:pPr>
    <w:rPr>
      <w:rFonts w:ascii="宋体" w:hAnsi="宋体" w:eastAsia="宋体" w:cs="宋体"/>
      <w:sz w:val="24"/>
      <w:szCs w:val="24"/>
    </w:rPr>
  </w:style>
  <w:style w:type="paragraph" w:styleId="1036">
    <w:name w:val="索引 1"/>
    <w:basedOn w:val="969"/>
    <w:next w:val="969"/>
    <w:link w:val="969"/>
    <w:semiHidden/>
    <w:pPr>
      <w:spacing w:line="240" w:lineRule="atLeast"/>
    </w:pPr>
    <w:rPr>
      <w:rFonts w:ascii="Times New Roman" w:hAnsi="Times New Roman" w:eastAsia="宋体" w:cs="Times New Roman"/>
      <w:b/>
      <w:bCs/>
      <w:szCs w:val="21"/>
    </w:rPr>
  </w:style>
  <w:style w:type="paragraph" w:styleId="1037">
    <w:name w:val="批注主题"/>
    <w:basedOn w:val="1001"/>
    <w:next w:val="1001"/>
    <w:link w:val="1038"/>
    <w:semiHidden/>
    <w:rPr>
      <w:rFonts w:ascii="Times New Roman" w:hAnsi="Times New Roman" w:eastAsia="宋体" w:cs="Times New Roman"/>
      <w:b/>
      <w:bCs/>
      <w:szCs w:val="21"/>
    </w:rPr>
  </w:style>
  <w:style w:type="character" w:styleId="1038">
    <w:name w:val="批注主题 Char"/>
    <w:next w:val="1038"/>
    <w:link w:val="1037"/>
    <w:semiHidden/>
    <w:rPr>
      <w:rFonts w:ascii="Times New Roman" w:hAnsi="Times New Roman" w:eastAsia="宋体" w:cs="Times New Roman"/>
      <w:b/>
      <w:bCs/>
      <w:szCs w:val="21"/>
    </w:rPr>
  </w:style>
  <w:style w:type="paragraph" w:styleId="1039">
    <w:name w:val="正文首行缩进"/>
    <w:basedOn w:val="969"/>
    <w:next w:val="1039"/>
    <w:link w:val="1040"/>
    <w:pPr>
      <w:ind w:firstLine="200"/>
      <w:spacing w:line="360" w:lineRule="auto"/>
    </w:pPr>
    <w:rPr>
      <w:rFonts w:ascii="仿宋_GB2312" w:hAnsi="Times New Roman" w:eastAsia="仿宋_GB2312" w:cs="Times New Roman"/>
      <w:sz w:val="30"/>
      <w:szCs w:val="30"/>
    </w:rPr>
  </w:style>
  <w:style w:type="character" w:styleId="1040">
    <w:name w:val="正文首行缩进 Char"/>
    <w:next w:val="1040"/>
    <w:link w:val="1039"/>
    <w:rPr>
      <w:rFonts w:ascii="仿宋_GB2312" w:hAnsi="Times New Roman" w:eastAsia="仿宋_GB2312" w:cs="Times New Roman"/>
      <w:sz w:val="30"/>
      <w:szCs w:val="30"/>
    </w:rPr>
  </w:style>
  <w:style w:type="table" w:styleId="1041">
    <w:name w:val="网格型"/>
    <w:basedOn w:val="980"/>
    <w:next w:val="1041"/>
    <w:link w:val="969"/>
    <w:pPr>
      <w:jc w:val="both"/>
      <w:widowControl w:val="off"/>
    </w:pPr>
    <w:rPr>
      <w:rFonts w:ascii="Times New Roman" w:hAnsi="Times New Roman" w:eastAsia="宋体" w:cs="Times New Roman"/>
      <w:sz w:val="20"/>
      <w:szCs w:val="20"/>
    </w:rPr>
    <w:tblPr/>
  </w:style>
  <w:style w:type="character" w:styleId="1042">
    <w:name w:val="要点"/>
    <w:next w:val="1042"/>
    <w:link w:val="969"/>
    <w:qFormat/>
    <w:rPr>
      <w:b/>
      <w:bCs/>
    </w:rPr>
  </w:style>
  <w:style w:type="character" w:styleId="1043">
    <w:name w:val="页码"/>
    <w:next w:val="1043"/>
    <w:link w:val="969"/>
  </w:style>
  <w:style w:type="character" w:styleId="1044">
    <w:name w:val="已访问的超链接"/>
    <w:next w:val="1044"/>
    <w:link w:val="969"/>
    <w:rPr>
      <w:color w:val="800080"/>
      <w:u w:val="single"/>
    </w:rPr>
  </w:style>
  <w:style w:type="character" w:styleId="1045">
    <w:name w:val="超链接"/>
    <w:next w:val="1045"/>
    <w:link w:val="969"/>
    <w:rPr>
      <w:color w:val="0000ff"/>
      <w:u w:val="single"/>
    </w:rPr>
  </w:style>
  <w:style w:type="character" w:styleId="1046">
    <w:name w:val="批注引用"/>
    <w:next w:val="1046"/>
    <w:link w:val="969"/>
    <w:semiHidden/>
    <w:rPr>
      <w:sz w:val="21"/>
      <w:szCs w:val="21"/>
    </w:rPr>
  </w:style>
  <w:style w:type="character" w:styleId="1047">
    <w:name w:val="font41"/>
    <w:next w:val="1047"/>
    <w:link w:val="969"/>
    <w:rPr>
      <w:rFonts w:hint="eastAsia" w:ascii="宋体" w:hAnsi="宋体" w:eastAsia="宋体" w:cs="宋体"/>
      <w:b/>
      <w:i w:val="0"/>
      <w:color w:val="000000"/>
      <w:sz w:val="24"/>
      <w:szCs w:val="24"/>
      <w:u w:val="none"/>
    </w:rPr>
  </w:style>
  <w:style w:type="character" w:styleId="1048">
    <w:name w:val="font11"/>
    <w:next w:val="1048"/>
    <w:link w:val="969"/>
    <w:rPr>
      <w:rFonts w:ascii="Times New Roman" w:hAnsi="Times New Roman" w:cs="Times New Roman"/>
      <w:i w:val="0"/>
      <w:color w:val="000000"/>
      <w:sz w:val="22"/>
      <w:szCs w:val="22"/>
      <w:u w:val="none"/>
    </w:rPr>
  </w:style>
  <w:style w:type="character" w:styleId="1049">
    <w:name w:val="二级目录 Char"/>
    <w:next w:val="1049"/>
    <w:link w:val="1050"/>
    <w:rPr>
      <w:b/>
      <w:sz w:val="30"/>
      <w:szCs w:val="28"/>
    </w:rPr>
  </w:style>
  <w:style w:type="paragraph" w:styleId="1050">
    <w:name w:val="二级目录"/>
    <w:next w:val="969"/>
    <w:link w:val="1049"/>
    <w:pPr>
      <w:numPr>
        <w:ilvl w:val="0"/>
        <w:numId w:val="2"/>
      </w:numPr>
      <w:tabs>
        <w:tab w:val="left" w:pos="907" w:leader="none"/>
        <w:tab w:val="left" w:pos="1145" w:leader="none"/>
      </w:tabs>
      <w:outlineLvl w:val="1"/>
    </w:pPr>
    <w:rPr>
      <w:b/>
      <w:sz w:val="30"/>
      <w:szCs w:val="28"/>
      <w:lang w:val="en-US" w:eastAsia="zh-CN" w:bidi="ar-SA"/>
    </w:rPr>
  </w:style>
  <w:style w:type="character" w:styleId="1051">
    <w:name w:val="font61"/>
    <w:next w:val="1051"/>
    <w:link w:val="969"/>
    <w:rPr>
      <w:rFonts w:hint="eastAsia" w:ascii="宋体" w:hAnsi="宋体" w:eastAsia="宋体" w:cs="宋体"/>
      <w:i w:val="0"/>
      <w:color w:val="000000"/>
      <w:sz w:val="22"/>
      <w:szCs w:val="22"/>
      <w:u w:val="none"/>
    </w:rPr>
  </w:style>
  <w:style w:type="character" w:styleId="1052">
    <w:name w:val="font81"/>
    <w:next w:val="1052"/>
    <w:link w:val="969"/>
    <w:rPr>
      <w:rFonts w:hint="eastAsia" w:ascii="宋体" w:hAnsi="宋体" w:eastAsia="宋体" w:cs="宋体"/>
      <w:i w:val="0"/>
      <w:color w:val="000000"/>
      <w:sz w:val="22"/>
      <w:szCs w:val="22"/>
      <w:u w:val="none"/>
    </w:rPr>
  </w:style>
  <w:style w:type="character" w:styleId="1053">
    <w:name w:val="font161"/>
    <w:next w:val="1053"/>
    <w:link w:val="969"/>
    <w:rPr>
      <w:rFonts w:ascii="Times New Roman" w:hAnsi="Times New Roman" w:cs="Times New Roman"/>
      <w:b/>
      <w:i w:val="0"/>
      <w:color w:val="000000"/>
      <w:sz w:val="22"/>
      <w:szCs w:val="22"/>
      <w:u w:val="none"/>
    </w:rPr>
  </w:style>
  <w:style w:type="character" w:styleId="1054">
    <w:name w:val="font101"/>
    <w:next w:val="1054"/>
    <w:link w:val="969"/>
    <w:rPr>
      <w:rFonts w:ascii="微软雅黑" w:hAnsi="微软雅黑" w:eastAsia="微软雅黑" w:cs="微软雅黑"/>
      <w:i w:val="0"/>
      <w:color w:val="000000"/>
      <w:sz w:val="22"/>
      <w:szCs w:val="22"/>
      <w:u w:val="none"/>
    </w:rPr>
  </w:style>
  <w:style w:type="character" w:styleId="1055">
    <w:name w:val="font31"/>
    <w:next w:val="1055"/>
    <w:link w:val="969"/>
    <w:rPr>
      <w:rFonts w:hint="eastAsia" w:ascii="宋体" w:hAnsi="宋体" w:eastAsia="宋体" w:cs="宋体"/>
      <w:b/>
      <w:i w:val="0"/>
      <w:color w:val="000000"/>
      <w:sz w:val="22"/>
      <w:szCs w:val="22"/>
      <w:u w:val="none"/>
    </w:rPr>
  </w:style>
  <w:style w:type="character" w:styleId="1056">
    <w:name w:val="列出段落 Char,Bullet List Char,numbered Char,FooterText Char,List Paragraph1 Char,Paragraphe de liste1 Char"/>
    <w:next w:val="1056"/>
    <w:link w:val="1057"/>
    <w:rPr>
      <w:rFonts w:ascii="Calibri" w:hAnsi="Calibri"/>
      <w:sz w:val="24"/>
      <w:szCs w:val="24"/>
      <w:lang w:eastAsia="en-US" w:bidi="en-US"/>
    </w:rPr>
  </w:style>
  <w:style w:type="paragraph" w:styleId="1057">
    <w:name w:val="列出段落1"/>
    <w:basedOn w:val="969"/>
    <w:next w:val="1057"/>
    <w:link w:val="1056"/>
    <w:qFormat/>
    <w:pPr>
      <w:contextualSpacing/>
      <w:ind w:left="720"/>
      <w:jc w:val="left"/>
      <w:widowControl/>
    </w:pPr>
    <w:rPr>
      <w:rFonts w:ascii="Calibri" w:hAnsi="Calibri"/>
      <w:sz w:val="24"/>
      <w:szCs w:val="24"/>
      <w:lang w:eastAsia="en-US" w:bidi="en-US"/>
    </w:rPr>
  </w:style>
  <w:style w:type="character" w:styleId="1058">
    <w:name w:val="font5 Char"/>
    <w:next w:val="1058"/>
    <w:link w:val="969"/>
    <w:rPr>
      <w:rFonts w:ascii="宋体" w:hAnsi="宋体" w:eastAsia="宋体"/>
      <w:sz w:val="28"/>
      <w:szCs w:val="28"/>
      <w:lang w:val="en-US" w:eastAsia="zh-CN" w:bidi="ar-SA"/>
    </w:rPr>
  </w:style>
  <w:style w:type="character" w:styleId="1059">
    <w:name w:val="font121"/>
    <w:next w:val="1059"/>
    <w:link w:val="969"/>
    <w:rPr>
      <w:rFonts w:ascii="Times New Roman" w:hAnsi="Times New Roman" w:cs="Times New Roman"/>
      <w:b/>
      <w:i w:val="0"/>
      <w:color w:val="000000"/>
      <w:sz w:val="24"/>
      <w:szCs w:val="24"/>
      <w:u w:val="none"/>
    </w:rPr>
  </w:style>
  <w:style w:type="character" w:styleId="1060">
    <w:name w:val="font132"/>
    <w:next w:val="1060"/>
    <w:link w:val="969"/>
    <w:rPr>
      <w:rFonts w:ascii="Times New Roman" w:hAnsi="Times New Roman" w:cs="Times New Roman"/>
      <w:i w:val="0"/>
      <w:color w:val="000000"/>
      <w:sz w:val="22"/>
      <w:szCs w:val="22"/>
      <w:u w:val="none"/>
    </w:rPr>
  </w:style>
  <w:style w:type="character" w:styleId="1061">
    <w:name w:val="font21"/>
    <w:next w:val="1061"/>
    <w:link w:val="969"/>
    <w:rPr>
      <w:rFonts w:ascii="Times New Roman" w:hAnsi="Times New Roman" w:cs="Times New Roman"/>
      <w:b/>
      <w:i w:val="0"/>
      <w:color w:val="000000"/>
      <w:sz w:val="22"/>
      <w:szCs w:val="22"/>
      <w:u w:val="none"/>
    </w:rPr>
  </w:style>
  <w:style w:type="character" w:styleId="1062">
    <w:name w:val="font91"/>
    <w:next w:val="1062"/>
    <w:link w:val="969"/>
    <w:rPr>
      <w:rFonts w:hint="eastAsia" w:ascii="宋体" w:hAnsi="宋体" w:eastAsia="宋体" w:cs="宋体"/>
      <w:i w:val="0"/>
      <w:color w:val="000000"/>
      <w:sz w:val="22"/>
      <w:szCs w:val="22"/>
      <w:u w:val="none"/>
    </w:rPr>
  </w:style>
  <w:style w:type="character" w:styleId="1063">
    <w:name w:val="font71"/>
    <w:next w:val="1063"/>
    <w:link w:val="969"/>
    <w:rPr>
      <w:rFonts w:hint="eastAsia" w:ascii="宋体" w:hAnsi="宋体" w:eastAsia="宋体" w:cs="宋体"/>
      <w:b/>
      <w:i w:val="0"/>
      <w:color w:val="000000"/>
      <w:sz w:val="24"/>
      <w:szCs w:val="24"/>
      <w:u w:val="none"/>
    </w:rPr>
  </w:style>
  <w:style w:type="character" w:styleId="1064">
    <w:name w:val="font13"/>
    <w:next w:val="1064"/>
    <w:link w:val="969"/>
    <w:rPr>
      <w:rFonts w:hint="eastAsia" w:ascii="宋体" w:hAnsi="宋体" w:eastAsia="宋体" w:cs="宋体"/>
      <w:b/>
      <w:i w:val="0"/>
      <w:color w:val="000000"/>
      <w:sz w:val="24"/>
      <w:szCs w:val="24"/>
      <w:u w:val="none"/>
    </w:rPr>
  </w:style>
  <w:style w:type="paragraph" w:styleId="1065">
    <w:name w:val=" Char Char Char Char Char Char Char Char"/>
    <w:basedOn w:val="969"/>
    <w:next w:val="1065"/>
    <w:link w:val="969"/>
    <w:pPr>
      <w:jc w:val="left"/>
      <w:spacing w:after="160" w:line="240" w:lineRule="exact"/>
      <w:widowControl/>
    </w:pPr>
    <w:rPr>
      <w:rFonts w:ascii="Verdana" w:hAnsi="Verdana" w:eastAsia="宋体" w:cs="Times New Roman"/>
      <w:sz w:val="20"/>
      <w:szCs w:val="20"/>
      <w:lang w:eastAsia="en-US"/>
    </w:rPr>
  </w:style>
  <w:style w:type="paragraph" w:styleId="1066">
    <w:name w:val="xl27"/>
    <w:basedOn w:val="969"/>
    <w:next w:val="1066"/>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7">
    <w:name w:val="Table Text"/>
    <w:basedOn w:val="969"/>
    <w:next w:val="1067"/>
    <w:link w:val="969"/>
    <w:semiHidden/>
    <w:qFormat/>
    <w:pPr>
      <w:jc w:val="left"/>
      <w:widowControl/>
    </w:pPr>
    <w:rPr>
      <w:rFonts w:ascii="Arial" w:hAnsi="Arial" w:eastAsia="Arial" w:cs="Arial"/>
      <w:color w:val="000000"/>
      <w:szCs w:val="21"/>
      <w:lang w:eastAsia="en-US"/>
    </w:rPr>
  </w:style>
  <w:style w:type="paragraph" w:styleId="1068">
    <w:name w:val="table_1stline"/>
    <w:basedOn w:val="969"/>
    <w:next w:val="1068"/>
    <w:link w:val="969"/>
    <w:pPr>
      <w:jc w:val="left"/>
      <w:spacing w:before="120"/>
      <w:widowControl/>
    </w:pPr>
    <w:rPr>
      <w:rFonts w:ascii="Times New Roman" w:hAnsi="Times New Roman" w:eastAsia="宋体" w:cs="Times New Roman"/>
      <w:bCs/>
      <w:sz w:val="20"/>
      <w:szCs w:val="20"/>
      <w:lang w:val="de-DE" w:eastAsia="de-DE"/>
    </w:rPr>
  </w:style>
  <w:style w:type="paragraph" w:styleId="1069">
    <w:name w:val="正文文本12"/>
    <w:basedOn w:val="969"/>
    <w:next w:val="1069"/>
    <w:link w:val="969"/>
    <w:uiPriority w:val="1"/>
    <w:qFormat/>
    <w:pPr>
      <w:ind w:left="120"/>
    </w:pPr>
    <w:rPr>
      <w:rFonts w:ascii="宋体" w:hAnsi="宋体" w:eastAsia="宋体" w:cs="宋体"/>
      <w:sz w:val="21"/>
      <w:szCs w:val="21"/>
      <w:lang w:val="zh-CN" w:eastAsia="zh-CN" w:bidi="zh-CN"/>
    </w:rPr>
  </w:style>
  <w:style w:type="paragraph" w:styleId="1070">
    <w:name w:val="xl30"/>
    <w:basedOn w:val="969"/>
    <w:next w:val="1070"/>
    <w:link w:val="969"/>
    <w:pPr>
      <w:jc w:val="center"/>
      <w:spacing w:before="100" w:beforeAutospacing="1" w:after="100" w:afterAutospacing="1"/>
      <w:widowControl/>
    </w:pPr>
    <w:rPr>
      <w:rFonts w:ascii="宋体" w:hAnsi="宋体" w:eastAsia="宋体" w:cs="Times New Roman"/>
      <w:b/>
      <w:bCs/>
      <w:sz w:val="36"/>
      <w:szCs w:val="36"/>
    </w:rPr>
  </w:style>
  <w:style w:type="paragraph" w:styleId="1071">
    <w:name w:val="Char Char Char Char Char Char Char Char"/>
    <w:basedOn w:val="969"/>
    <w:next w:val="1071"/>
    <w:link w:val="969"/>
    <w:pPr>
      <w:jc w:val="left"/>
      <w:spacing w:after="160" w:line="240" w:lineRule="exact"/>
      <w:widowControl/>
    </w:pPr>
    <w:rPr>
      <w:rFonts w:ascii="Verdana" w:hAnsi="Verdana" w:eastAsia="宋体" w:cs="Times New Roman"/>
      <w:sz w:val="20"/>
      <w:szCs w:val="20"/>
      <w:lang w:eastAsia="en-US"/>
    </w:rPr>
  </w:style>
  <w:style w:type="paragraph" w:styleId="1072">
    <w:name w:val="标题3"/>
    <w:basedOn w:val="969"/>
    <w:next w:val="969"/>
    <w:link w:val="969"/>
    <w:pPr>
      <w:ind w:firstLine="624"/>
      <w:spacing w:line="590" w:lineRule="atLeast"/>
    </w:pPr>
    <w:rPr>
      <w:rFonts w:ascii="方正黑体_GBK" w:hAnsi="Times New Roman" w:eastAsia="方正黑体_GBK" w:cs="Times New Roman"/>
      <w:sz w:val="32"/>
      <w:szCs w:val="32"/>
    </w:rPr>
  </w:style>
  <w:style w:type="paragraph" w:styleId="1073">
    <w:name w:val="正文文本 211"/>
    <w:basedOn w:val="969"/>
    <w:next w:val="1073"/>
    <w:link w:val="969"/>
    <w:uiPriority w:val="99"/>
    <w:qFormat/>
    <w:pPr>
      <w:jc w:val="center"/>
    </w:pPr>
    <w:rPr>
      <w:b/>
      <w:bCs/>
      <w:sz w:val="20"/>
      <w:szCs w:val="20"/>
    </w:rPr>
  </w:style>
  <w:style w:type="paragraph" w:styleId="1074">
    <w:name w:val="Char Char Char Char"/>
    <w:basedOn w:val="999"/>
    <w:next w:val="1074"/>
    <w:link w:val="969"/>
    <w:pPr>
      <w:spacing w:line="360" w:lineRule="auto"/>
    </w:pPr>
    <w:rPr>
      <w:rFonts w:ascii="Tahoma" w:hAnsi="Tahoma"/>
      <w:sz w:val="24"/>
      <w:szCs w:val="24"/>
    </w:rPr>
  </w:style>
  <w:style w:type="paragraph" w:styleId="1075">
    <w:name w:val="table_lines"/>
    <w:basedOn w:val="969"/>
    <w:next w:val="1075"/>
    <w:link w:val="969"/>
    <w:pPr>
      <w:jc w:val="left"/>
      <w:widowControl/>
    </w:pPr>
    <w:rPr>
      <w:rFonts w:ascii="Times New Roman" w:hAnsi="Times New Roman" w:eastAsia="宋体" w:cs="Times New Roman"/>
      <w:sz w:val="20"/>
      <w:szCs w:val="20"/>
      <w:lang w:val="de-DE" w:eastAsia="de-DE"/>
    </w:rPr>
  </w:style>
  <w:style w:type="paragraph" w:styleId="1076">
    <w:name w:val="普通 (Web)"/>
    <w:basedOn w:val="969"/>
    <w:next w:val="1076"/>
    <w:link w:val="969"/>
    <w:pPr>
      <w:jc w:val="left"/>
      <w:spacing w:before="100" w:beforeAutospacing="1" w:after="100" w:afterAutospacing="1"/>
      <w:widowControl/>
    </w:pPr>
    <w:rPr>
      <w:rFonts w:ascii="宋体" w:hAnsi="宋体" w:eastAsia="宋体" w:cs="Times New Roman"/>
      <w:sz w:val="24"/>
      <w:szCs w:val="24"/>
    </w:rPr>
  </w:style>
  <w:style w:type="paragraph" w:styleId="1077">
    <w:name w:val="font6"/>
    <w:basedOn w:val="969"/>
    <w:next w:val="1077"/>
    <w:link w:val="969"/>
    <w:pPr>
      <w:jc w:val="left"/>
      <w:spacing w:before="100" w:beforeAutospacing="1" w:after="100" w:afterAutospacing="1"/>
      <w:widowControl/>
    </w:pPr>
    <w:rPr>
      <w:rFonts w:hint="eastAsia" w:ascii="宋体" w:hAnsi="宋体" w:eastAsia="宋体" w:cs="Times New Roman"/>
      <w:sz w:val="28"/>
      <w:szCs w:val="28"/>
      <w:u w:val="single"/>
    </w:rPr>
  </w:style>
  <w:style w:type="paragraph" w:styleId="1078">
    <w:name w:val="正文文本缩进1"/>
    <w:basedOn w:val="969"/>
    <w:next w:val="1079"/>
    <w:link w:val="969"/>
    <w:unhideWhenUsed/>
    <w:qFormat/>
    <w:pPr>
      <w:ind w:left="420"/>
      <w:spacing w:after="120"/>
    </w:pPr>
  </w:style>
  <w:style w:type="paragraph" w:styleId="1079">
    <w:name w:val="正文文本首行缩进 2"/>
    <w:basedOn w:val="1078"/>
    <w:next w:val="1079"/>
    <w:link w:val="969"/>
    <w:qFormat/>
    <w:pPr>
      <w:ind w:left="0" w:firstLine="420"/>
      <w:spacing w:after="0" w:line="360" w:lineRule="auto"/>
    </w:pPr>
    <w:rPr>
      <w:rFonts w:ascii="宋体" w:hAnsi="宋体"/>
      <w:sz w:val="20"/>
      <w:szCs w:val="20"/>
      <w:lang w:val="en-US" w:eastAsia="en-US"/>
    </w:rPr>
  </w:style>
  <w:style w:type="paragraph" w:styleId="1080">
    <w:name w:val="附录1"/>
    <w:next w:val="1080"/>
    <w:link w:val="9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1">
    <w:name w:val="标题1"/>
    <w:basedOn w:val="969"/>
    <w:next w:val="969"/>
    <w:link w:val="9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2">
    <w:name w:val="4"/>
    <w:basedOn w:val="969"/>
    <w:next w:val="1028"/>
    <w:link w:val="969"/>
    <w:pPr>
      <w:ind w:firstLine="420"/>
      <w:spacing w:line="360" w:lineRule="auto"/>
    </w:pPr>
    <w:rPr>
      <w:rFonts w:ascii="Times New Roman" w:hAnsi="Times New Roman" w:eastAsia="宋体" w:cs="Times New Roman"/>
      <w:color w:val="ff0000"/>
      <w:sz w:val="24"/>
      <w:szCs w:val="24"/>
    </w:rPr>
  </w:style>
  <w:style w:type="paragraph" w:styleId="1083">
    <w:name w:val="font5"/>
    <w:basedOn w:val="969"/>
    <w:next w:val="1083"/>
    <w:link w:val="969"/>
    <w:pPr>
      <w:jc w:val="left"/>
      <w:spacing w:before="100" w:beforeAutospacing="1" w:after="100" w:afterAutospacing="1"/>
      <w:widowControl/>
    </w:pPr>
    <w:rPr>
      <w:rFonts w:hint="eastAsia" w:ascii="宋体" w:hAnsi="宋体" w:eastAsia="宋体" w:cs="Times New Roman"/>
      <w:sz w:val="28"/>
      <w:szCs w:val="28"/>
    </w:rPr>
  </w:style>
  <w:style w:type="paragraph" w:styleId="1084">
    <w:name w:val="xl26"/>
    <w:basedOn w:val="969"/>
    <w:next w:val="1084"/>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5">
    <w:name w:val="索引 41"/>
    <w:basedOn w:val="969"/>
    <w:next w:val="969"/>
    <w:link w:val="969"/>
    <w:semiHidden/>
    <w:qFormat/>
    <w:pPr>
      <w:ind w:left="1260"/>
    </w:pPr>
    <w:rPr>
      <w:rFonts w:ascii="Calibri" w:hAnsi="Calibri" w:eastAsia="Calibri" w:cs="宋体"/>
      <w:sz w:val="20"/>
      <w:lang w:val="zh-CN"/>
    </w:rPr>
  </w:style>
  <w:style w:type="paragraph" w:styleId="1086">
    <w:name w:val="样式1"/>
    <w:basedOn w:val="969"/>
    <w:next w:val="1086"/>
    <w:link w:val="969"/>
    <w:pPr>
      <w:numPr>
        <w:ilvl w:val="0"/>
        <w:numId w:val="3"/>
      </w:numPr>
      <w:tabs>
        <w:tab w:val="left" w:pos="709" w:leader="none"/>
      </w:tabs>
    </w:pPr>
    <w:rPr>
      <w:rFonts w:ascii="宋体" w:hAnsi="宋体" w:eastAsia="宋体" w:cs="Times New Roman"/>
      <w:szCs w:val="21"/>
    </w:rPr>
  </w:style>
  <w:style w:type="paragraph" w:styleId="1087">
    <w:name w:val="Char"/>
    <w:basedOn w:val="969"/>
    <w:next w:val="1087"/>
    <w:link w:val="969"/>
    <w:pPr>
      <w:ind w:firstLine="200"/>
      <w:tabs>
        <w:tab w:val="left" w:pos="360" w:leader="none"/>
      </w:tabs>
    </w:pPr>
    <w:rPr>
      <w:rFonts w:ascii="Times New Roman" w:hAnsi="Times New Roman" w:eastAsia="宋体" w:cs="Times New Roman"/>
      <w:sz w:val="28"/>
      <w:szCs w:val="30"/>
    </w:rPr>
  </w:style>
  <w:style w:type="paragraph" w:styleId="1088">
    <w:name w:val="图标"/>
    <w:basedOn w:val="969"/>
    <w:next w:val="969"/>
    <w:link w:val="9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9">
    <w:name w:val="Default"/>
    <w:next w:val="1089"/>
    <w:link w:val="969"/>
    <w:qFormat/>
    <w:pPr>
      <w:widowControl w:val="off"/>
    </w:pPr>
    <w:rPr>
      <w:rFonts w:ascii="华文中宋" w:hAnsi="Times New Roman" w:eastAsia="华文中宋" w:cs="华文中宋"/>
      <w:color w:val="000000"/>
      <w:sz w:val="24"/>
      <w:szCs w:val="24"/>
    </w:rPr>
  </w:style>
  <w:style w:type="paragraph" w:styleId="1090">
    <w:name w:val="font7"/>
    <w:basedOn w:val="969"/>
    <w:next w:val="1090"/>
    <w:link w:val="969"/>
    <w:pPr>
      <w:jc w:val="left"/>
      <w:spacing w:before="100" w:beforeAutospacing="1" w:after="100" w:afterAutospacing="1"/>
      <w:widowControl/>
    </w:pPr>
    <w:rPr>
      <w:rFonts w:hint="eastAsia" w:ascii="宋体" w:hAnsi="宋体" w:eastAsia="宋体" w:cs="Times New Roman"/>
      <w:sz w:val="18"/>
      <w:szCs w:val="18"/>
    </w:rPr>
  </w:style>
  <w:style w:type="paragraph" w:styleId="1091">
    <w:name w:val=" Char Char Char Char"/>
    <w:basedOn w:val="999"/>
    <w:next w:val="1091"/>
    <w:link w:val="969"/>
    <w:pPr>
      <w:spacing w:line="360" w:lineRule="auto"/>
    </w:pPr>
    <w:rPr>
      <w:rFonts w:ascii="Tahoma" w:hAnsi="Tahoma"/>
      <w:sz w:val="24"/>
      <w:szCs w:val="24"/>
    </w:rPr>
  </w:style>
  <w:style w:type="paragraph" w:styleId="1092">
    <w:name w:val="xl28"/>
    <w:basedOn w:val="969"/>
    <w:next w:val="1092"/>
    <w:link w:val="9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3">
    <w:name w:val="普通正文"/>
    <w:basedOn w:val="969"/>
    <w:next w:val="1093"/>
    <w:link w:val="969"/>
    <w:pPr>
      <w:ind w:firstLine="480"/>
      <w:jc w:val="left"/>
      <w:spacing w:before="120" w:after="120" w:line="360" w:lineRule="auto"/>
    </w:pPr>
    <w:rPr>
      <w:rFonts w:ascii="Arial" w:hAnsi="Arial" w:eastAsia="宋体" w:cs="Times New Roman"/>
      <w:sz w:val="24"/>
      <w:szCs w:val="24"/>
    </w:rPr>
  </w:style>
  <w:style w:type="paragraph" w:styleId="1094">
    <w:name w:val="正文文本1"/>
    <w:basedOn w:val="969"/>
    <w:next w:val="969"/>
    <w:link w:val="969"/>
    <w:semiHidden/>
    <w:qFormat/>
    <w:rPr>
      <w:rFonts w:ascii="Arial" w:hAnsi="Arial" w:eastAsia="Arial" w:cs="Arial"/>
      <w:sz w:val="21"/>
      <w:szCs w:val="21"/>
      <w:lang w:val="en-US" w:eastAsia="en-US" w:bidi="ar-SA"/>
    </w:rPr>
  </w:style>
  <w:style w:type="paragraph" w:styleId="1095">
    <w:name w:val=" Char"/>
    <w:basedOn w:val="999"/>
    <w:next w:val="1095"/>
    <w:link w:val="969"/>
    <w:rPr>
      <w:rFonts w:ascii="Tahoma" w:hAnsi="Tahoma"/>
      <w:sz w:val="24"/>
      <w:szCs w:val="24"/>
    </w:rPr>
  </w:style>
  <w:style w:type="paragraph" w:styleId="1096">
    <w:name w:val=" Char Char Char Char Char Char Char Char Char Char"/>
    <w:basedOn w:val="969"/>
    <w:next w:val="1096"/>
    <w:link w:val="969"/>
    <w:pPr>
      <w:spacing w:line="360" w:lineRule="auto"/>
    </w:pPr>
    <w:rPr>
      <w:rFonts w:ascii="Times New Roman" w:hAnsi="Times New Roman" w:eastAsia="宋体" w:cs="Times New Roman"/>
      <w:sz w:val="24"/>
      <w:szCs w:val="20"/>
    </w:rPr>
  </w:style>
  <w:style w:type="paragraph" w:styleId="1097">
    <w:name w:val="表格文字"/>
    <w:basedOn w:val="969"/>
    <w:next w:val="1094"/>
    <w:link w:val="969"/>
    <w:pPr>
      <w:ind w:firstLine="200"/>
      <w:jc w:val="left"/>
      <w:spacing w:line="360" w:lineRule="auto"/>
    </w:pPr>
    <w:rPr>
      <w:rFonts w:ascii="Arial" w:hAnsi="Arial"/>
      <w:sz w:val="24"/>
    </w:rPr>
  </w:style>
  <w:style w:type="paragraph" w:styleId="1098">
    <w:name w:val="Normal Indent1"/>
    <w:next w:val="1098"/>
    <w:link w:val="969"/>
    <w:qFormat/>
    <w:pPr>
      <w:ind w:firstLine="420"/>
      <w:spacing w:line="360" w:lineRule="auto"/>
    </w:pPr>
    <w:rPr>
      <w:rFonts w:ascii="Times New Roman" w:hAnsi="Times New Roman" w:eastAsia="宋体" w:cs="Times New Roman"/>
      <w:lang w:val="en-US" w:eastAsia="zh-CN" w:bidi="ar-SA"/>
    </w:rPr>
  </w:style>
  <w:style w:type="paragraph" w:styleId="1099">
    <w:name w:val="列出段落"/>
    <w:basedOn w:val="969"/>
    <w:next w:val="1099"/>
    <w:link w:val="969"/>
    <w:qFormat/>
    <w:pPr>
      <w:contextualSpacing/>
      <w:ind w:left="720"/>
      <w:jc w:val="left"/>
      <w:widowControl/>
    </w:pPr>
    <w:rPr>
      <w:rFonts w:ascii="Calibri" w:hAnsi="Calibri" w:eastAsia="宋体" w:cs="Times New Roman"/>
      <w:sz w:val="24"/>
      <w:szCs w:val="24"/>
      <w:lang w:eastAsia="en-US" w:bidi="en-US"/>
    </w:rPr>
  </w:style>
  <w:style w:type="paragraph" w:styleId="1100">
    <w:name w:val="修订"/>
    <w:next w:val="1100"/>
    <w:link w:val="969"/>
    <w:uiPriority w:val="99"/>
    <w:semiHidden/>
    <w:rPr>
      <w:rFonts w:ascii="Times New Roman" w:hAnsi="Times New Roman"/>
      <w:sz w:val="21"/>
      <w:szCs w:val="21"/>
      <w:lang w:val="en-US" w:eastAsia="zh-CN" w:bidi="ar-SA"/>
    </w:rPr>
  </w:style>
  <w:style w:type="paragraph" w:styleId="1101">
    <w:name w:val="xl29"/>
    <w:basedOn w:val="969"/>
    <w:next w:val="1101"/>
    <w:link w:val="9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02">
    <w:name w:val="无间隔"/>
    <w:next w:val="1102"/>
    <w:link w:val="969"/>
    <w:uiPriority w:val="99"/>
    <w:qFormat/>
    <w:pPr>
      <w:jc w:val="both"/>
      <w:widowControl w:val="off"/>
    </w:pPr>
    <w:rPr>
      <w:rFonts w:ascii="Times New Roman" w:hAnsi="Times New Roman"/>
      <w:sz w:val="21"/>
      <w:szCs w:val="21"/>
      <w:lang w:val="en-US" w:eastAsia="zh-CN" w:bidi="ar-SA"/>
    </w:rPr>
  </w:style>
  <w:style w:type="paragraph" w:styleId="1103">
    <w:name w:val="xl24"/>
    <w:basedOn w:val="969"/>
    <w:next w:val="1103"/>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4">
    <w:name w:val="纯文本1"/>
    <w:basedOn w:val="969"/>
    <w:next w:val="1104"/>
    <w:link w:val="969"/>
    <w:qFormat/>
    <w:rPr>
      <w:rFonts w:ascii="宋体" w:hAnsi="Courier New" w:cs="Courier New"/>
    </w:rPr>
  </w:style>
  <w:style w:type="paragraph" w:styleId="1105">
    <w:name w:val="Body Text(ch)"/>
    <w:basedOn w:val="969"/>
    <w:next w:val="1005"/>
    <w:link w:val="969"/>
    <w:pPr>
      <w:spacing w:after="120"/>
    </w:pPr>
    <w:rPr>
      <w:rFonts w:ascii="宋体" w:hAnsi="Arial" w:eastAsia="宋体" w:cs="Times New Roman"/>
      <w:bCs/>
      <w:iCs/>
      <w:szCs w:val="24"/>
    </w:rPr>
  </w:style>
  <w:style w:type="paragraph" w:styleId="1106">
    <w:name w:val="xl25"/>
    <w:basedOn w:val="969"/>
    <w:next w:val="1106"/>
    <w:link w:val="969"/>
    <w:pPr>
      <w:jc w:val="center"/>
      <w:spacing w:before="100" w:beforeAutospacing="1" w:after="100" w:afterAutospacing="1"/>
      <w:widowControl/>
    </w:pPr>
    <w:rPr>
      <w:rFonts w:ascii="Arial Unicode MS" w:hAnsi="Arial Unicode MS" w:eastAsia="Arial Unicode MS" w:cs="Arial Unicode MS"/>
      <w:sz w:val="24"/>
      <w:szCs w:val="24"/>
    </w:rPr>
  </w:style>
  <w:style w:type="table" w:styleId="1107">
    <w:name w:val="普通表格1"/>
    <w:next w:val="1107"/>
    <w:link w:val="969"/>
    <w:uiPriority w:val="99"/>
    <w:unhideWhenUsed/>
    <w:qFormat/>
    <w:rPr>
      <w:lang w:val="en-US" w:eastAsia="zh-CN" w:bidi="ar-SA"/>
    </w:rPr>
    <w:tblPr/>
  </w:style>
  <w:style w:type="table" w:styleId="1108">
    <w:name w:val="网格型1"/>
    <w:basedOn w:val="1107"/>
    <w:next w:val="1108"/>
    <w:link w:val="969"/>
    <w:qFormat/>
    <w:pPr>
      <w:jc w:val="both"/>
      <w:widowControl w:val="off"/>
    </w:pPr>
    <w:tblPr/>
  </w:style>
  <w:style w:type="table" w:styleId="1109">
    <w:name w:val="Table Normal"/>
    <w:next w:val="1109"/>
    <w:link w:val="969"/>
    <w:qFormat/>
    <w:rPr>
      <w:lang w:val="en-US" w:eastAsia="zh-CN" w:bidi="ar-SA"/>
    </w:rPr>
    <w:tblPr/>
  </w:style>
  <w:style w:type="character" w:styleId="1110" w:default="1">
    <w:name w:val="Default Paragraph Font"/>
    <w:uiPriority w:val="1"/>
    <w:semiHidden/>
    <w:unhideWhenUsed/>
  </w:style>
  <w:style w:type="numbering" w:styleId="1111" w:default="1">
    <w:name w:val="No List"/>
    <w:uiPriority w:val="99"/>
    <w:semiHidden/>
    <w:unhideWhenUsed/>
  </w:style>
  <w:style w:type="table" w:styleId="1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5</cp:revision>
  <dcterms:created xsi:type="dcterms:W3CDTF">2023-03-27T15:28:00Z</dcterms:created>
  <dcterms:modified xsi:type="dcterms:W3CDTF">2026-09-18T07:21:40Z</dcterms:modified>
</cp:coreProperties>
</file>