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120" w:after="12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right="0"/>
        <w:jc w:val="both"/>
        <w:spacing w:before="120" w:after="12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项目名称：江苏省扬州市中级人民法院新审判法庭数字审委会设备系统</w:t>
      </w:r>
      <w:r/>
    </w:p>
    <w:p>
      <w:pPr>
        <w:ind w:right="0"/>
        <w:jc w:val="both"/>
        <w:spacing w:before="120" w:after="12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项目编号：JSZC-321000-JZCG-G2026-0090</w:t>
      </w:r>
      <w:r/>
    </w:p>
    <w:p>
      <w:pPr>
        <w:ind w:left="2800" w:right="0" w:hanging="28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rFonts w:ascii="宋体" w:hAnsi="宋体" w:eastAsia="宋体" w:cs="宋体"/>
          <w:b/>
          <w:color w:val="000000"/>
          <w:sz w:val="28"/>
        </w:rPr>
        <w:t xml:space="preserve"> </w:t>
      </w:r>
      <w:r/>
    </w:p>
    <w:p>
      <w:pPr>
        <w:ind w:left="2295" w:right="0" w:hanging="156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hint="eastAsia" w:ascii="Arial" w:hAnsi="Arial" w:cs="Arial"/>
          <w:b/>
          <w:color w:val="000000"/>
          <w:sz w:val="32"/>
          <w:lang w:val="en-US" w:eastAsia="zh-CN"/>
        </w:rPr>
        <w:t xml:space="preserve">2026</w:t>
      </w:r>
      <w:r>
        <w:rPr>
          <w:rFonts w:ascii="宋体" w:hAnsi="宋体" w:eastAsia="宋体" w:cs="宋体"/>
          <w:b/>
          <w:color w:val="000000"/>
          <w:sz w:val="32"/>
        </w:rPr>
        <w:t xml:space="preserve">年</w:t>
      </w:r>
      <w:r>
        <w:rPr>
          <w:rFonts w:hint="eastAsia" w:ascii="Arial" w:hAnsi="Arial" w:cs="Arial"/>
          <w:b/>
          <w:color w:val="000000"/>
          <w:sz w:val="32"/>
          <w:lang w:val="en-US" w:eastAsia="zh-CN"/>
        </w:rPr>
        <w:t xml:space="preserve">08</w:t>
      </w:r>
      <w:r>
        <w:rPr>
          <w:rFonts w:ascii="宋体" w:hAnsi="宋体" w:eastAsia="宋体" w:cs="宋体"/>
          <w:b/>
          <w:color w:val="000000"/>
          <w:sz w:val="32"/>
        </w:rPr>
        <w:t xml:space="preserve">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lang w:val="en-US" w:eastAsia="zh-CN"/>
        </w:rPr>
        <w:t xml:space="preserve">2</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lang w:val="en-US" w:eastAsia="zh-CN"/>
        </w:rPr>
        <w:t xml:space="preserve">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rPr>
          <w:rFonts w:hint="eastAsia" w:ascii="黑体" w:hAnsi="黑体" w:eastAsia="黑体" w:cs="黑体"/>
          <w:color w:val="000000"/>
          <w:sz w:val="36"/>
          <w:lang w:val="en-US" w:eastAsia="zh-CN"/>
        </w:rPr>
        <w:t xml:space="preserve">34</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65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69</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934"/>
      </w:pPr>
      <w:r>
        <w:rPr>
          <w:rFonts w:ascii="黑体" w:hAnsi="黑体" w:eastAsia="黑体" w:cs="黑体"/>
          <w:color w:val="000000"/>
          <w:sz w:val="44"/>
        </w:rPr>
        <w:t xml:space="preserve">第一章投标邀请</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受[江苏省扬州市中级人民法院]的委托，扬州市公共资源交易中心就[江苏省扬州市中级人民法院新审判法庭数字审委会设备系统](JSZC-321000-JZCG-G2026-0090)项目进行公开招标采购，欢迎符合条件的供应商投标。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 (江苏省扬州市中级人民法院新审判法庭数字审委会设备系统)</w:t>
      </w:r>
      <w:r>
        <w:rPr>
          <w:rFonts w:ascii="宋体" w:hAnsi="宋体" w:eastAsia="宋体" w:cs="宋体"/>
          <w:color w:val="000000"/>
          <w:sz w:val="24"/>
        </w:rPr>
        <w:t xml:space="preserve"> 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ff0000"/>
          <w:sz w:val="24"/>
          <w:u w:val="single"/>
          <w:lang w:val="en-US" w:eastAsia="zh-CN"/>
        </w:rPr>
        <w:t xml:space="preserve">2026</w:t>
      </w:r>
      <w:r>
        <w:rPr>
          <w:rFonts w:ascii="宋体" w:hAnsi="宋体" w:eastAsia="宋体" w:cs="宋体"/>
          <w:color w:val="ff0000"/>
          <w:sz w:val="24"/>
          <w:u w:val="single"/>
        </w:rPr>
        <w:t xml:space="preserve">年</w:t>
      </w:r>
      <w:r>
        <w:rPr>
          <w:rFonts w:hint="eastAsia" w:ascii="宋体" w:hAnsi="宋体" w:cs="宋体"/>
          <w:color w:val="ff0000"/>
          <w:sz w:val="24"/>
          <w:u w:val="single"/>
          <w:lang w:val="en-US" w:eastAsia="zh-CN"/>
        </w:rPr>
        <w:t xml:space="preserve">09</w:t>
      </w:r>
      <w:r>
        <w:rPr>
          <w:rFonts w:ascii="宋体" w:hAnsi="宋体" w:eastAsia="宋体" w:cs="宋体"/>
          <w:color w:val="ff0000"/>
          <w:sz w:val="24"/>
          <w:u w:val="single"/>
        </w:rPr>
        <w:t xml:space="preserve">月</w:t>
      </w:r>
      <w:r>
        <w:rPr>
          <w:rFonts w:hint="eastAsia" w:ascii="宋体" w:hAnsi="宋体" w:cs="宋体"/>
          <w:color w:val="ff0000"/>
          <w:sz w:val="24"/>
          <w:u w:val="single"/>
          <w:lang w:val="en-US" w:eastAsia="zh-CN"/>
        </w:rPr>
        <w:t xml:space="preserve">16</w:t>
      </w:r>
      <w:r>
        <w:rPr>
          <w:rFonts w:ascii="宋体" w:hAnsi="宋体" w:eastAsia="宋体" w:cs="宋体"/>
          <w:color w:val="ff0000"/>
          <w:sz w:val="24"/>
          <w:u w:val="single"/>
        </w:rPr>
        <w:t xml:space="preserve">日09点30分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1.项目编号：JSZC-321000-JZCG-G2026-0090</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2.项目名称：江苏省扬州市中级人民法院新审判法庭数字审委会设备系统采购</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4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364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8"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193</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4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409"/>
        <w:gridCol w:w="34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9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5"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193</w:t>
            </w:r>
            <w:r/>
          </w:p>
        </w:tc>
      </w:tr>
    </w:tbl>
    <w:p>
      <w:pPr>
        <w:ind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5.采购需求(简介)：</w:t>
      </w:r>
      <w:r>
        <w:rPr>
          <w:rFonts w:hint="eastAsia"/>
          <w:bCs/>
          <w:iCs/>
          <w:sz w:val="24"/>
          <w:szCs w:val="24"/>
        </w:rPr>
        <w:t xml:space="preserve">本次信息化项目主要是审判支撑部分，建设审判委员会会议室系统，主要内容包括：无纸化会议系统、发言扩声系统、视频控制系统、会议智慧运维系统、语音转写系统等，项目实施路径清晰、资源分配精准。</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bCs/>
          <w:iCs/>
          <w:sz w:val="24"/>
          <w:szCs w:val="24"/>
        </w:rPr>
        <w:t xml:space="preserve">自签订合同之日起，</w:t>
      </w:r>
      <w:r>
        <w:rPr>
          <w:rFonts w:hint="eastAsia"/>
          <w:bCs/>
          <w:iCs/>
          <w:sz w:val="24"/>
          <w:szCs w:val="24"/>
          <w:lang w:val="en-US" w:eastAsia="zh-CN"/>
        </w:rPr>
        <w:t xml:space="preserve">15</w:t>
      </w:r>
      <w:r>
        <w:rPr>
          <w:rFonts w:hint="eastAsia"/>
          <w:bCs/>
          <w:iCs/>
          <w:sz w:val="24"/>
          <w:szCs w:val="24"/>
        </w:rPr>
        <w:t xml:space="preserve">天内设备全部到货或部署，</w:t>
      </w:r>
      <w:r>
        <w:rPr>
          <w:rFonts w:hint="eastAsia"/>
          <w:bCs/>
          <w:iCs/>
          <w:sz w:val="24"/>
          <w:szCs w:val="24"/>
          <w:lang w:val="en-US" w:eastAsia="zh-CN"/>
        </w:rPr>
        <w:t xml:space="preserve">25</w:t>
      </w:r>
      <w:r>
        <w:rPr>
          <w:rFonts w:hint="eastAsia"/>
          <w:bCs/>
          <w:iCs/>
          <w:sz w:val="24"/>
          <w:szCs w:val="24"/>
        </w:rPr>
        <w:t xml:space="preserve">天内完工</w:t>
      </w:r>
      <w:r>
        <w:rPr>
          <w:rFonts w:hint="eastAsia"/>
          <w:bCs/>
          <w:iCs/>
          <w:sz w:val="24"/>
          <w:szCs w:val="24"/>
          <w:lang w:eastAsia="zh-CN"/>
        </w:rPr>
        <w:t xml:space="preserve">。</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3.落实政府采购政策需满足的资格要求：无</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tbl>
      <w:tblPr>
        <w:tblStyle w:val="74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2677"/>
        <w:gridCol w:w="441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1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1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w:t>
            </w:r>
            <w:r>
              <w:rPr>
                <w:rFonts w:ascii="宋体" w:hAnsi="宋体" w:eastAsia="宋体" w:cs="宋体"/>
                <w:color w:val="000000"/>
                <w:sz w:val="24"/>
              </w:rPr>
              <w:t xml:space="preserve"> </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4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27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（二）本项目的特定资格要求</w:t>
      </w:r>
      <w:r/>
    </w:p>
    <w:tbl>
      <w:tblPr>
        <w:tblStyle w:val="74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260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7" w:type="dxa"/>
            <w:vAlign w:val="top"/>
            <w:textDirection w:val="lrTb"/>
            <w:noWrap w:val="false"/>
          </w:tcPr>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无</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ff0000"/>
          <w:sz w:val="24"/>
          <w:u w:val="single"/>
        </w:rPr>
        <w:t xml:space="preserve">2026年</w:t>
      </w:r>
      <w:r>
        <w:rPr>
          <w:rFonts w:hint="eastAsia" w:ascii="宋体" w:hAnsi="宋体" w:cs="宋体"/>
          <w:color w:val="ff0000"/>
          <w:sz w:val="24"/>
          <w:u w:val="single"/>
          <w:lang w:val="en-US" w:eastAsia="zh-CN"/>
        </w:rPr>
        <w:t xml:space="preserve">09</w:t>
      </w:r>
      <w:r>
        <w:rPr>
          <w:rFonts w:ascii="宋体" w:hAnsi="宋体" w:eastAsia="宋体" w:cs="宋体"/>
          <w:color w:val="ff0000"/>
          <w:sz w:val="24"/>
          <w:u w:val="single"/>
        </w:rPr>
        <w:t xml:space="preserve">月</w:t>
      </w:r>
      <w:r>
        <w:rPr>
          <w:rFonts w:hint="eastAsia" w:ascii="宋体" w:hAnsi="宋体" w:cs="宋体"/>
          <w:color w:val="ff0000"/>
          <w:sz w:val="24"/>
          <w:u w:val="single"/>
          <w:lang w:val="en-US" w:eastAsia="zh-CN"/>
        </w:rPr>
        <w:t xml:space="preserve">16</w:t>
      </w:r>
      <w:r>
        <w:rPr>
          <w:rFonts w:ascii="宋体" w:hAnsi="宋体" w:eastAsia="宋体" w:cs="宋体"/>
          <w:color w:val="ff0000"/>
          <w:sz w:val="24"/>
          <w:u w:val="single"/>
        </w:rPr>
        <w:t xml:space="preserve">日09点30分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w:t>
      </w:r>
      <w:r>
        <w:rPr>
          <w:rFonts w:ascii="宋体" w:hAnsi="宋体" w:eastAsia="宋体" w:cs="宋体"/>
          <w:color w:val="000000"/>
          <w:sz w:val="24"/>
          <w:u w:val="single"/>
        </w:rPr>
        <w:t xml:space="preserve">江苏省扬州市中级人民法院</w:t>
      </w:r>
      <w:r/>
    </w:p>
    <w:p>
      <w:pPr>
        <w:ind w:left="0" w:right="0" w:firstLine="78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ascii="宋体" w:hAnsi="宋体" w:eastAsia="宋体" w:cs="宋体"/>
          <w:color w:val="000000"/>
          <w:sz w:val="24"/>
          <w:u w:val="single"/>
        </w:rPr>
        <w:t xml:space="preserve">江苏省扬州市邗江区扬子江中路730号行政楼4楼</w:t>
      </w:r>
      <w:r/>
    </w:p>
    <w:p>
      <w:pPr>
        <w:ind w:left="0" w:right="0" w:firstLine="78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潘玉明</w:t>
      </w:r>
      <w:r/>
    </w:p>
    <w:p>
      <w:pPr>
        <w:ind w:left="0" w:right="0" w:firstLine="787"/>
        <w:jc w:val="both"/>
        <w:spacing w:before="0" w:after="0" w:line="400" w:lineRule="atLeast"/>
        <w:rPr>
          <w:rFonts w:hint="eastAsia" w:ascii="宋体" w:hAnsi="宋体" w:eastAsia="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ascii="宋体" w:hAnsi="宋体" w:eastAsia="宋体" w:cs="宋体"/>
          <w:color w:val="000000"/>
          <w:sz w:val="24"/>
          <w:u w:val="single"/>
        </w:rPr>
        <w:t xml:space="preserve">0514-8292230</w:t>
      </w:r>
      <w:r>
        <w:rPr>
          <w:rFonts w:hint="eastAsia" w:ascii="宋体" w:hAnsi="宋体" w:cs="宋体"/>
          <w:color w:val="000000"/>
          <w:sz w:val="24"/>
          <w:u w:val="single"/>
          <w:lang w:val="en-US" w:eastAsia="zh-CN"/>
        </w:rPr>
        <w:t xml:space="preserve">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2.扬州市公共资源交易中心信息</w:t>
      </w:r>
      <w:r/>
    </w:p>
    <w:p>
      <w:pPr>
        <w:ind w:left="0" w:right="0" w:firstLine="78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ascii="宋体" w:hAnsi="宋体" w:eastAsia="宋体" w:cs="宋体"/>
          <w:color w:val="000000"/>
          <w:sz w:val="24"/>
          <w:u w:val="single"/>
        </w:rPr>
        <w:t xml:space="preserve">扬州市文昌东路9号市民中心1号楼5楼</w:t>
      </w:r>
      <w:r>
        <w:rPr>
          <w:rFonts w:hint="eastAsia" w:ascii="宋体" w:hAnsi="宋体" w:cs="宋体"/>
          <w:color w:val="000000"/>
          <w:sz w:val="24"/>
          <w:u w:val="single"/>
          <w:lang w:val="en-US" w:eastAsia="zh-CN"/>
        </w:rPr>
        <w:t xml:space="preserve">1529</w:t>
      </w:r>
      <w:r>
        <w:rPr>
          <w:rFonts w:ascii="宋体" w:hAnsi="宋体" w:eastAsia="宋体" w:cs="宋体"/>
          <w:color w:val="000000"/>
          <w:sz w:val="24"/>
          <w:u w:val="single"/>
        </w:rPr>
        <w:t xml:space="preserve">室</w:t>
      </w:r>
      <w:r/>
    </w:p>
    <w:p>
      <w:pPr>
        <w:ind w:left="0" w:right="0" w:firstLine="787"/>
        <w:jc w:val="both"/>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cs="宋体"/>
          <w:color w:val="000000"/>
          <w:sz w:val="24"/>
          <w:u w:val="single"/>
          <w:lang w:val="en-US" w:eastAsia="zh-CN"/>
        </w:rPr>
        <w:t xml:space="preserve">姜涛</w:t>
      </w:r>
      <w:r/>
    </w:p>
    <w:p>
      <w:pPr>
        <w:ind w:left="0" w:right="0" w:firstLine="787"/>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cs="宋体"/>
          <w:color w:val="000000"/>
          <w:sz w:val="24"/>
          <w:u w:val="single"/>
          <w:lang w:val="en-US" w:eastAsia="zh-CN"/>
        </w:rPr>
        <w:t xml:space="preserve">0514-82087195</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2.有关本次招标的事项若存在变动或修改，敬请及时关注扬州市公共资源交易中心在“江苏政府采购网”、“扬州市政府采购网”发布的更正公告。</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3.本次招标不收取投标保证金。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pStyle w:val="934"/>
      </w:pPr>
      <w:r>
        <w:rPr>
          <w:rFonts w:ascii="黑体" w:hAnsi="黑体" w:eastAsia="黑体" w:cs="黑体"/>
          <w:b/>
          <w:color w:val="000000"/>
          <w:sz w:val="44"/>
        </w:rPr>
        <w:t xml:space="preserve">第二章投标人须知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3、适用法律和标准</w:t>
      </w:r>
      <w:r/>
    </w:p>
    <w:p>
      <w:pPr>
        <w:ind w:left="0" w:right="0" w:firstLine="42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2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3.2在本项目政府采购活动过程中，如果所执行的标准有更新的，按照最新标准执行。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ind w:left="0" w:right="0" w:firstLine="32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7.3招标文件的修改将在江苏政府采购网、扬州市政府采购网公布，补充文件将作为招标文件的组成部分，并对投标人具有约束力。</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证明投标人及投标标的符合招标文件规定的文件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10.1投标人应按照招标文件要求提交证明文件，证明其投标标的符合招标文件规定。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13</w:t>
      </w:r>
      <w:r>
        <w:rPr>
          <w:rFonts w:ascii="黑体" w:hAnsi="黑体" w:eastAsia="黑体" w:cs="黑体"/>
          <w:color w:val="000000"/>
          <w:sz w:val="28"/>
        </w:rPr>
        <w:t xml:space="preserve">、服务承诺、培训计划、人员安排及其他</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13.2投标人需根据招标文件要求提供培训计划。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13.3投标人需根据招标文件要求提供所投标的的主要组成部分、功能设计、实现思路及关键技术等。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14</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15</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16</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w:t>
      </w:r>
      <w:r>
        <w:rPr>
          <w:rFonts w:ascii="Arial" w:hAnsi="Arial" w:eastAsia="Arial" w:cs="Arial"/>
          <w:b/>
          <w:color w:val="000000"/>
          <w:sz w:val="28"/>
        </w:rPr>
        <w:t xml:space="preserve">7</w:t>
      </w:r>
      <w:r>
        <w:rPr>
          <w:rFonts w:ascii="黑体" w:hAnsi="黑体" w:eastAsia="黑体" w:cs="黑体"/>
          <w:color w:val="000000"/>
          <w:sz w:val="28"/>
        </w:rPr>
        <w:t xml:space="preserve">、电子投标文件的递交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17.1投标人应当按照《操作手册》规定，在投标截止时间前制作并上传电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子投标文件。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18、投标截止时间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18.1投标人上传电子投标文件的时间不得迟于招标公告中规定的投标截止时间。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18.2交易中心可以按照规定，通过修改招标文件酌情延长投标截止日期，在此情况下，投标人的所有权利和义务以及投标人受制的截止日期均应以延长后新的截止日期为准。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20.1.1电子投标文件的撤回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20.1.2投标人撤回电子投标文件，则认为其不再参与本项目投标活动。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20.2.2在投标截止时间之后，投标人不得对其电子投标文件作任何修改。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20.3在投标截止时间至招标文件中规定的投标有效期满之间的这段时间内，投标人不得撤回其投标。</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22、评标委员会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22.1开标后，交易中心将立即组织评标委员会（以下简称评委会）进行评标。22.2评委会由采购人代表和有关技术、经济等方面的专家组成，且人员构成符合政府采购有关规定。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22.3评委会独立工作，负责评审所有投标文件并确定中标候选人。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23、评标过程的保密与公正</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23.1凡是与审查、澄清、评价和比较投标的有关资料以及授标建议等，采购人、评委、交易中心均不得向投标人或与评标无关的其他人员透露。</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23.2在评标过程中，投标人不得以任何行为影响评标过程，否则其投标文件将被作为无效投标文件。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23.3交易中心和评委会不向未中标的投标人解释未中标原因，也不公布评标过程中的相关细节。</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23.4采用综合评分法的项目，未中标的投标人可于中标结果公告期限届满之日起通过苏采云系统查看自己的评审得分及排序情况。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24、投标文件的澄清</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评委会并非对每个投标人都做澄清要求。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25.7投标人在开、评标全过程中应保持通讯畅通，及时登录苏采云系统查阅、答复相关信息，并安排专人与交易中心及评委会联系。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6</w:t>
      </w:r>
      <w:r>
        <w:rPr>
          <w:rFonts w:ascii="黑体" w:hAnsi="黑体" w:eastAsia="黑体" w:cs="黑体"/>
          <w:color w:val="000000"/>
          <w:sz w:val="28"/>
        </w:rPr>
        <w:t xml:space="preserve">、无效投标条款和废标条款</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26.1.2投标人未按照招标文件要求上传电子投标文件的。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26.1.3投标人同一采购包提交两个（含两个）以上不同的投标报价的。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26.1.5投标人的报价超过了采购预算或最高限价的。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26.1.7不符合招标文件中规定的实质性要求的</w:t>
      </w:r>
      <w:r>
        <w:rPr>
          <w:rFonts w:ascii="宋体" w:hAnsi="宋体" w:eastAsia="宋体" w:cs="宋体"/>
          <w:b/>
          <w:color w:val="ff0000"/>
          <w:sz w:val="24"/>
        </w:rPr>
        <w:t xml:space="preserve">（本招标文件中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26.1.9投标文件含有采购人不能接受的附加条件的。</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 异常低价投标（响应）</w:t>
      </w:r>
      <w:r/>
    </w:p>
    <w:p>
      <w:pPr>
        <w:ind w:left="0" w:right="0" w:firstLine="480"/>
        <w:jc w:val="both"/>
        <w:spacing w:before="0" w:after="0" w:line="47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26.1.10.1</w:t>
      </w:r>
      <w:r>
        <w:rPr>
          <w:rFonts w:ascii="宋体" w:hAnsi="宋体" w:eastAsia="宋体" w:cs="宋体"/>
          <w:color w:val="383838"/>
          <w:sz w:val="24"/>
          <w:highlight w:val="whit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26.1.10.2</w:t>
      </w:r>
      <w:r>
        <w:rPr>
          <w:rFonts w:ascii="宋体" w:hAnsi="宋体" w:eastAsia="宋体" w:cs="宋体"/>
          <w:color w:val="383838"/>
          <w:sz w:val="24"/>
          <w:highlight w:val="whit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26.1.10.3投标（响应）报价低于采购项目最高限价 45% 的，即投标（响应）报价&lt;采购项目最高限价×45% ；</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26.1.10.4评审委员会认定的供应商报价过低、有可能影响产品质量或者不能诚信履约的其他情形。</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26.1.10.5</w:t>
      </w:r>
      <w:r>
        <w:rPr>
          <w:rFonts w:ascii="宋体" w:hAnsi="宋体" w:eastAsia="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26.1.12 投标文件未按照招标文件要求加盖CA电子公章的。</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26.1.13 投标人所投标产品不符合招标文件中所列国家强制性标准的。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26.1.14其他法律、法规及本招标文件规定的属无效投标的情形。</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26.2废标条款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26.2.1符合专业条件的供应商或者对招标文件作出实质响应的供应商不足三家的。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26.2.2出现影响采购公正的违法、违规行为的。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26.2.3因重大变故，采购任务取消的。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26.2.4评委会认定招标文件存在歧义、重大缺陷导致评审工作无法进</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26.2.5因苏采云系统系统故障原因造成开标不成功的。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26.3.1如出现投标截止时间结束后参加投标的供应商或者在评标期间对招标文件作出实质响应的供应商不足三家情况，按政府采购相关规定执行。</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28、质疑处理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28.2.2对采购过程提出质疑的，为各采购程序环节结束之日；</w:t>
      </w:r>
      <w:r>
        <w:rPr>
          <w:rFonts w:ascii="宋体" w:hAnsi="宋体" w:eastAsia="宋体" w:cs="宋体"/>
          <w:color w:val="000000"/>
          <w:sz w:val="24"/>
        </w:rPr>
        <w:br/>
      </w:r>
      <w:r>
        <w:rPr>
          <w:rFonts w:ascii="宋体" w:hAnsi="宋体" w:eastAsia="宋体" w:cs="宋体"/>
          <w:color w:val="000000"/>
          <w:sz w:val="24"/>
        </w:rPr>
        <w:t xml:space="preserve">28.2.3对中标或者成交结果提出质疑的，为中标或者成交结果公告期限届满之日。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质疑接收人及联系方式详见招标文件第一章。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31、政府采购履约资金扶持政策</w:t>
      </w:r>
      <w:r/>
    </w:p>
    <w:p>
      <w:pPr>
        <w:ind w:left="0" w:right="0" w:firstLine="55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Style w:val="985"/>
          <w:rFonts w:ascii="黑体" w:hAnsi="黑体" w:eastAsia="黑体" w:cs="黑体"/>
        </w:rPr>
        <w:t xml:space="preserve">第三章合同文本</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财政部 政府采购货物买卖合同（试行）</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范本</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合同编号</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甲方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乙方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签订时间</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使 用 说 明</w:t>
      </w:r>
      <w:r/>
    </w:p>
    <w:p>
      <w:pPr>
        <w:ind w:left="0" w:right="0" w:firstLine="6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3.本合同标准文本各条款中，如涉及填写多家供应商、制造商，多种采购标的、分包主要内容等信息的，可根据采购项目具体情况添加信息项。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08"/>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第一节 政府采购合同协议书</w:t>
      </w:r>
      <w:r/>
    </w:p>
    <w:p>
      <w:pPr>
        <w:pStyle w:val="708"/>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甲方（全称）：</w:t>
      </w:r>
      <w:r>
        <w:rPr>
          <w:rFonts w:ascii="宋体" w:hAnsi="宋体" w:eastAsia="宋体" w:cs="宋体"/>
          <w:color w:val="000000"/>
          <w:sz w:val="21"/>
          <w:u w:val="single"/>
        </w:rPr>
        <w:t xml:space="preserve">     </w:t>
      </w:r>
      <w:r>
        <w:rPr>
          <w:rFonts w:ascii="宋体" w:hAnsi="宋体" w:eastAsia="宋体" w:cs="宋体"/>
          <w:color w:val="000000"/>
          <w:sz w:val="21"/>
        </w:rPr>
        <w:t xml:space="preserve">（采购人、受采购人委托签订合同的单位或采购文件约定的合同甲方）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乙方1（全称）：</w:t>
      </w:r>
      <w:r>
        <w:rPr>
          <w:rFonts w:ascii="宋体" w:hAnsi="宋体" w:eastAsia="宋体" w:cs="宋体"/>
          <w:color w:val="000000"/>
          <w:sz w:val="21"/>
          <w:u w:val="single"/>
        </w:rPr>
        <w:t xml:space="preserve">     </w:t>
      </w:r>
      <w:r>
        <w:rPr>
          <w:rFonts w:ascii="宋体" w:hAnsi="宋体" w:eastAsia="宋体" w:cs="宋体"/>
          <w:color w:val="000000"/>
          <w:sz w:val="21"/>
        </w:rPr>
        <w:t xml:space="preserve">（供应商）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乙方2（全称）：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乙方3（全称）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7"/>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项目信息</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（1）采购项目名称：</w:t>
      </w:r>
      <w:r>
        <w:rPr>
          <w:rFonts w:ascii="宋体" w:hAnsi="宋体" w:eastAsia="宋体" w:cs="宋体"/>
          <w:color w:val="000000"/>
          <w:sz w:val="21"/>
          <w:u w:val="single"/>
        </w:rPr>
        <w:t xml:space="preserve">           </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采购项目编号：</w:t>
      </w:r>
      <w:r>
        <w:rPr>
          <w:rFonts w:ascii="宋体" w:hAnsi="宋体" w:eastAsia="宋体" w:cs="宋体"/>
          <w:color w:val="000000"/>
          <w:sz w:val="21"/>
          <w:u w:val="single"/>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（2）采购计划编号：</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（3）项目内容：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采购标的及数量（台/套/个/架/组等）：</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采购标的的技术要求、商务要求具体见附件。</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①</w:t>
      </w:r>
      <w:r>
        <w:rPr>
          <w:rFonts w:ascii="宋体" w:hAnsi="宋体" w:eastAsia="宋体" w:cs="宋体"/>
          <w:color w:val="000000"/>
          <w:sz w:val="21"/>
        </w:rPr>
        <w:t xml:space="preserve">涉及信息类产品，请填写该产品关键部件的品牌、型号：</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标的名称：</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Arial" w:hAnsi="Arial" w:eastAsia="Arial" w:cs="Arial"/>
          <w:color w:val="000000"/>
          <w:sz w:val="21"/>
        </w:rPr>
        <w:t xml:space="preserve">②</w:t>
      </w:r>
      <w:r>
        <w:rPr>
          <w:rFonts w:ascii="宋体" w:hAnsi="宋体" w:eastAsia="宋体" w:cs="宋体"/>
          <w:color w:val="000000"/>
          <w:sz w:val="21"/>
        </w:rPr>
        <w:t xml:space="preserve">涉及车辆采购，请填写是否属于新能源汽车：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数量：</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（4）政府采购组织形式：</w:t>
      </w:r>
      <w:r>
        <w:rPr>
          <w:rFonts w:ascii="Wingdings" w:hAnsi="Wingdings" w:eastAsia="Wingdings" w:cs="Wingdings"/>
          <w:color w:val="000000"/>
          <w:sz w:val="21"/>
        </w:rPr>
        <w:t xml:space="preserve">¨</w:t>
      </w:r>
      <w:r>
        <w:rPr>
          <w:rFonts w:ascii="宋体" w:hAnsi="宋体" w:eastAsia="宋体" w:cs="宋体"/>
          <w:color w:val="000000"/>
          <w:sz w:val="21"/>
        </w:rPr>
        <w:t xml:space="preserve">政府集中采购</w:t>
      </w:r>
      <w:r>
        <w:rPr>
          <w:rFonts w:ascii="Wingdings" w:hAnsi="Wingdings" w:eastAsia="Wingdings" w:cs="Wingdings"/>
          <w:color w:val="000000"/>
          <w:sz w:val="21"/>
        </w:rPr>
        <w:t xml:space="preserve">¨</w:t>
      </w:r>
      <w:r>
        <w:rPr>
          <w:rFonts w:ascii="宋体" w:hAnsi="宋体" w:eastAsia="宋体" w:cs="宋体"/>
          <w:color w:val="000000"/>
          <w:sz w:val="21"/>
        </w:rPr>
        <w:t xml:space="preserve">部门集中采购</w:t>
      </w:r>
      <w:r>
        <w:rPr>
          <w:rFonts w:ascii="Wingdings" w:hAnsi="Wingdings" w:eastAsia="Wingdings" w:cs="Wingdings"/>
          <w:color w:val="000000"/>
          <w:sz w:val="21"/>
        </w:rPr>
        <w:t xml:space="preserve">¨</w:t>
      </w:r>
      <w:r>
        <w:rPr>
          <w:rFonts w:ascii="宋体" w:hAnsi="宋体" w:eastAsia="宋体" w:cs="宋体"/>
          <w:color w:val="000000"/>
          <w:sz w:val="21"/>
        </w:rPr>
        <w:t xml:space="preserve">分散采购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（5）政府采购方式：</w:t>
      </w:r>
      <w:r>
        <w:rPr>
          <w:rFonts w:ascii="Wingdings" w:hAnsi="Wingdings" w:eastAsia="Wingdings" w:cs="Wingdings"/>
          <w:color w:val="000000"/>
          <w:sz w:val="21"/>
        </w:rPr>
        <w:t xml:space="preserve">¨</w:t>
      </w:r>
      <w:r>
        <w:rPr>
          <w:rFonts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ascii="宋体" w:hAnsi="宋体" w:eastAsia="宋体" w:cs="宋体"/>
          <w:color w:val="000000"/>
          <w:sz w:val="21"/>
        </w:rPr>
        <w:t xml:space="preserve">竞争性磋商</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询价 </w:t>
      </w:r>
      <w:r>
        <w:rPr>
          <w:rFonts w:ascii="Wingdings" w:hAnsi="Wingdings" w:eastAsia="Wingdings" w:cs="Wingdings"/>
          <w:color w:val="000000"/>
          <w:sz w:val="21"/>
        </w:rPr>
        <w:t xml:space="preserve">¨</w:t>
      </w:r>
      <w:r>
        <w:rPr>
          <w:rFonts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（注：在框架协议采购的第二阶段，可选择使用该合同文本）</w:t>
      </w:r>
      <w:r/>
    </w:p>
    <w:p>
      <w:pPr>
        <w:numPr>
          <w:ilvl w:val="0"/>
          <w:numId w:val="8"/>
        </w:num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中标（成交）采购标的制造商是否为中小企业：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31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本合同是否为专门面向中小企业的采购合同（中小企业预留合同）：</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若本项目不专门面向中小企业采购，是否给予小微企业评审优惠：</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中标（成交）采购标的制造商是否为残疾人福利性单位：</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中标（成交）采购标的制造商是否为监狱企业：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（7）合同是否分包：</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分包主要内容：</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分包供应商/制造商名称（如供应商和制造商不同，请分别填写）：</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分包供应商/制造商类型（如果供应商和制造商不同，只填写制造商类型）：</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大型企业</w:t>
      </w:r>
      <w:r>
        <w:rPr>
          <w:rFonts w:ascii="Wingdings" w:hAnsi="Wingdings" w:eastAsia="Wingdings" w:cs="Wingdings"/>
          <w:color w:val="000000"/>
          <w:sz w:val="21"/>
        </w:rPr>
        <w:t xml:space="preserve">¨</w:t>
      </w:r>
      <w:r>
        <w:rPr>
          <w:rFonts w:ascii="宋体" w:hAnsi="宋体" w:eastAsia="宋体" w:cs="宋体"/>
          <w:color w:val="000000"/>
          <w:sz w:val="21"/>
        </w:rPr>
        <w:t xml:space="preserve">中型企业</w:t>
      </w:r>
      <w:r>
        <w:rPr>
          <w:rFonts w:ascii="Wingdings" w:hAnsi="Wingdings" w:eastAsia="Wingdings" w:cs="Wingdings"/>
          <w:color w:val="000000"/>
          <w:sz w:val="21"/>
        </w:rPr>
        <w:t xml:space="preserve">¨</w:t>
      </w:r>
      <w:r>
        <w:rPr>
          <w:rFonts w:ascii="宋体" w:hAnsi="宋体" w:eastAsia="宋体" w:cs="宋体"/>
          <w:color w:val="000000"/>
          <w:sz w:val="21"/>
        </w:rPr>
        <w:t xml:space="preserve">小微型企业</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残疾人福利性单位 </w:t>
      </w:r>
      <w:r>
        <w:rPr>
          <w:rFonts w:ascii="Wingdings" w:hAnsi="Wingdings" w:eastAsia="Wingdings" w:cs="Wingdings"/>
          <w:color w:val="000000"/>
          <w:sz w:val="21"/>
        </w:rPr>
        <w:t xml:space="preserve">¨</w:t>
      </w:r>
      <w:r>
        <w:rPr>
          <w:rFonts w:ascii="宋体" w:hAnsi="宋体" w:eastAsia="宋体" w:cs="宋体"/>
          <w:color w:val="000000"/>
          <w:sz w:val="21"/>
        </w:rPr>
        <w:t xml:space="preserve">监狱企业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(8)中标（成交）供应商是否为外商投资企业：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73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外商投资企业类型：</w:t>
      </w:r>
      <w:r>
        <w:rPr>
          <w:rFonts w:ascii="Wingdings" w:hAnsi="Wingdings" w:eastAsia="Wingdings" w:cs="Wingdings"/>
          <w:color w:val="000000"/>
          <w:sz w:val="21"/>
        </w:rPr>
        <w:t xml:space="preserve">¨</w:t>
      </w:r>
      <w:r>
        <w:rPr>
          <w:rFonts w:ascii="宋体" w:hAnsi="宋体" w:eastAsia="宋体" w:cs="宋体"/>
          <w:color w:val="000000"/>
          <w:sz w:val="21"/>
        </w:rPr>
        <w:t xml:space="preserve">全部由外国投资者投资</w:t>
      </w:r>
      <w:r>
        <w:rPr>
          <w:rFonts w:ascii="Wingdings" w:hAnsi="Wingdings" w:eastAsia="Wingdings" w:cs="Wingdings"/>
          <w:color w:val="000000"/>
          <w:sz w:val="21"/>
        </w:rPr>
        <w:t xml:space="preserve">¨</w:t>
      </w:r>
      <w:r>
        <w:rPr>
          <w:rFonts w:ascii="宋体" w:hAnsi="宋体" w:eastAsia="宋体" w:cs="宋体"/>
          <w:color w:val="000000"/>
          <w:sz w:val="21"/>
        </w:rPr>
        <w:t xml:space="preserve">部分由外国投资者投资</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（9）是否涉及进口产品：</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国别：</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numPr>
          <w:ilvl w:val="0"/>
          <w:numId w:val="9"/>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是否涉及节能产品：</w:t>
      </w:r>
      <w:r/>
    </w:p>
    <w:p>
      <w:pPr>
        <w:ind w:left="0" w:right="0" w:firstLine="105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是，《节能产品政府采购品目清单》的底级品目名称：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是否涉及环境标志产品：</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是，《环境标志产品政府采购品目清单》的底级品目名称：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1"/>
        </w:rPr>
        <w:t xml:space="preserve">                   </w:t>
      </w:r>
      <w:r>
        <w:rPr>
          <w:rFonts w:ascii="宋体" w:hAnsi="宋体" w:eastAsia="宋体" w:cs="宋体"/>
          <w:color w:val="000000"/>
          <w:sz w:val="21"/>
        </w:rPr>
        <w:t xml:space="preserve">是否涉及绿色产品：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是，绿色产品政府采购相关政策确定的底级品目名称：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rPr>
          <w:rFonts w:ascii="Wingdings" w:hAnsi="Wingdings" w:eastAsia="Wingdings" w:cs="Wingdings"/>
          <w:color w:val="000000"/>
          <w:sz w:val="21"/>
        </w:rPr>
        <w:t xml:space="preserve">¨</w:t>
      </w:r>
      <w:r>
        <w:rPr>
          <w:rFonts w:ascii="宋体" w:hAnsi="宋体" w:eastAsia="宋体" w:cs="宋体"/>
          <w:color w:val="000000"/>
          <w:sz w:val="21"/>
        </w:rPr>
        <w:t xml:space="preserve">不涉及</w:t>
      </w:r>
      <w:r/>
    </w:p>
    <w:p>
      <w:pPr>
        <w:ind w:left="0" w:right="0" w:firstLine="52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2.合同金额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（1）合同金额小写：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分包金额（如有）小写：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（注：固定单价合同应填写单价和最高限价）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（2）合同定价方式（采用组合定价方式的，可以勾选多项）：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固定总价 </w:t>
      </w:r>
      <w:r>
        <w:rPr>
          <w:rFonts w:ascii="Wingdings" w:hAnsi="Wingdings" w:eastAsia="Wingdings" w:cs="Wingdings"/>
          <w:color w:val="000000"/>
          <w:sz w:val="21"/>
        </w:rPr>
        <w:t xml:space="preserve">¨</w:t>
      </w:r>
      <w:r>
        <w:rPr>
          <w:rFonts w:ascii="宋体" w:hAnsi="宋体" w:eastAsia="宋体" w:cs="宋体"/>
          <w:color w:val="000000"/>
          <w:sz w:val="21"/>
        </w:rPr>
        <w:t xml:space="preserve">固定单价 </w:t>
      </w:r>
      <w:r>
        <w:rPr>
          <w:rFonts w:ascii="Wingdings" w:hAnsi="Wingdings" w:eastAsia="Wingdings" w:cs="Wingdings"/>
          <w:color w:val="000000"/>
          <w:sz w:val="21"/>
        </w:rPr>
        <w:t xml:space="preserve">¨</w:t>
      </w:r>
      <w:r>
        <w:rPr>
          <w:rFonts w:ascii="宋体" w:hAnsi="宋体" w:eastAsia="宋体" w:cs="宋体"/>
          <w:color w:val="000000"/>
          <w:sz w:val="21"/>
        </w:rPr>
        <w:t xml:space="preserve">固定费率 </w:t>
      </w:r>
      <w:r>
        <w:rPr>
          <w:rFonts w:ascii="Wingdings" w:hAnsi="Wingdings" w:eastAsia="Wingdings" w:cs="Wingdings"/>
          <w:color w:val="000000"/>
          <w:sz w:val="21"/>
        </w:rPr>
        <w:t xml:space="preserve">¨</w:t>
      </w:r>
      <w:r>
        <w:rPr>
          <w:rFonts w:ascii="宋体" w:hAnsi="宋体" w:eastAsia="宋体" w:cs="宋体"/>
          <w:color w:val="000000"/>
          <w:sz w:val="21"/>
        </w:rPr>
        <w:t xml:space="preserve">成本补偿 </w:t>
      </w:r>
      <w:r>
        <w:rPr>
          <w:rFonts w:ascii="Wingdings" w:hAnsi="Wingdings" w:eastAsia="Wingdings" w:cs="Wingdings"/>
          <w:color w:val="000000"/>
          <w:sz w:val="21"/>
        </w:rPr>
        <w:t xml:space="preserve">¨</w:t>
      </w:r>
      <w:r>
        <w:rPr>
          <w:rFonts w:ascii="宋体" w:hAnsi="宋体" w:eastAsia="宋体" w:cs="宋体"/>
          <w:color w:val="000000"/>
          <w:sz w:val="21"/>
        </w:rPr>
        <w:t xml:space="preserve">绩效激励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（3）付款方式（按项目实际勾选填写）：</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全额付款：</w:t>
      </w:r>
      <w:r>
        <w:rPr>
          <w:rFonts w:ascii="宋体" w:hAnsi="宋体" w:eastAsia="宋体" w:cs="宋体"/>
          <w:color w:val="000000"/>
          <w:sz w:val="21"/>
          <w:u w:val="single"/>
        </w:rPr>
        <w:t xml:space="preserve">（应明确一次性支付合同款项的条件）</w:t>
      </w:r>
      <w:r/>
    </w:p>
    <w:p>
      <w:pPr>
        <w:ind w:left="0" w:right="0" w:firstLine="630"/>
        <w:jc w:val="both"/>
        <w:spacing w:before="0" w:after="0" w:line="400" w:lineRule="atLeast"/>
        <w:rPr>
          <w:rFonts w:ascii="宋体" w:hAnsi="宋体" w:eastAsia="宋体" w:cs="宋体"/>
          <w:color w:val="000000"/>
          <w:sz w:val="21"/>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u w:val="single"/>
        </w:rPr>
        <w:t xml:space="preserve">þ</w:t>
      </w:r>
      <w:r>
        <w:rPr>
          <w:rFonts w:ascii="宋体" w:hAnsi="宋体" w:eastAsia="宋体" w:cs="宋体"/>
          <w:color w:val="000000"/>
          <w:sz w:val="21"/>
          <w:u w:val="single"/>
        </w:rPr>
        <w:t xml:space="preserve">分期付款：</w:t>
      </w:r>
      <w:r>
        <w:rPr>
          <w:rFonts w:hint="eastAsia" w:ascii="宋体" w:hAnsi="宋体" w:eastAsia="宋体" w:cs="宋体"/>
          <w:b/>
          <w:bCs/>
          <w:color w:val="000000"/>
          <w:sz w:val="21"/>
          <w:u w:val="single"/>
        </w:rPr>
        <w:t xml:space="preserve">合同签订，甲方自收到乙方开具的发票后，10个工作日内支付合同总价的30%；项目</w:t>
      </w:r>
      <w:r>
        <w:rPr>
          <w:rFonts w:hint="eastAsia" w:ascii="宋体" w:hAnsi="宋体" w:eastAsia="宋体" w:cs="宋体"/>
          <w:b/>
          <w:bCs/>
          <w:color w:val="000000"/>
          <w:sz w:val="21"/>
          <w:u w:val="single"/>
          <w:lang w:val="en-US" w:eastAsia="zh-CN"/>
        </w:rPr>
        <w:t xml:space="preserve">试运行结束</w:t>
      </w:r>
      <w:r>
        <w:rPr>
          <w:rFonts w:hint="eastAsia" w:ascii="宋体" w:hAnsi="宋体" w:eastAsia="宋体" w:cs="宋体"/>
          <w:b/>
          <w:bCs/>
          <w:color w:val="000000"/>
          <w:sz w:val="21"/>
          <w:u w:val="single"/>
        </w:rPr>
        <w:t xml:space="preserve">，甲方自收到乙方开具的发票后，10个工作日内支付合同总价的</w:t>
      </w:r>
      <w:r>
        <w:rPr>
          <w:rFonts w:hint="eastAsia" w:ascii="宋体" w:hAnsi="宋体" w:eastAsia="宋体" w:cs="宋体"/>
          <w:b/>
          <w:bCs/>
          <w:color w:val="000000"/>
          <w:sz w:val="21"/>
          <w:u w:val="single"/>
          <w:lang w:val="en-US" w:eastAsia="zh-CN"/>
        </w:rPr>
        <w:t xml:space="preserve">3</w:t>
      </w:r>
      <w:r>
        <w:rPr>
          <w:rFonts w:hint="eastAsia" w:ascii="宋体" w:hAnsi="宋体" w:eastAsia="宋体" w:cs="宋体"/>
          <w:b/>
          <w:bCs/>
          <w:color w:val="000000"/>
          <w:sz w:val="21"/>
          <w:u w:val="single"/>
        </w:rPr>
        <w:t xml:space="preserve">0%；项目验收合格后，甲方自收到乙方开具的发票后支付合同总价的</w:t>
      </w:r>
      <w:r>
        <w:rPr>
          <w:rFonts w:hint="eastAsia" w:ascii="宋体" w:hAnsi="宋体" w:eastAsia="宋体" w:cs="宋体"/>
          <w:b/>
          <w:bCs/>
          <w:color w:val="000000"/>
          <w:sz w:val="21"/>
          <w:u w:val="single"/>
          <w:lang w:val="en-US" w:eastAsia="zh-CN"/>
        </w:rPr>
        <w:t xml:space="preserve">40</w:t>
      </w:r>
      <w:r>
        <w:rPr>
          <w:rFonts w:hint="eastAsia" w:ascii="宋体" w:hAnsi="宋体" w:eastAsia="宋体" w:cs="宋体"/>
          <w:b/>
          <w:bCs/>
          <w:color w:val="000000"/>
          <w:sz w:val="21"/>
          <w:u w:val="single"/>
        </w:rPr>
        <w:t xml:space="preserve">%</w:t>
      </w:r>
      <w:r>
        <w:rPr>
          <w:rFonts w:hint="eastAsia" w:ascii="宋体" w:hAnsi="宋体" w:cs="宋体"/>
          <w:b/>
          <w:bCs/>
          <w:color w:val="000000"/>
          <w:sz w:val="21"/>
          <w:u w:val="single"/>
          <w:lang w:eastAsia="zh-CN"/>
        </w:rPr>
        <w:t xml:space="preserve">。</w:t>
      </w:r>
      <w:r>
        <w:rPr>
          <w:rFonts w:ascii="宋体" w:hAnsi="宋体" w:eastAsia="宋体" w:cs="宋体"/>
          <w:b/>
          <w:bCs/>
          <w:color w:val="000000"/>
          <w:sz w:val="21"/>
          <w:u w:val="single"/>
        </w:rPr>
        <w:t xml:space="preserve">其中涉及预付款的：</w:t>
      </w:r>
      <w:r>
        <w:rPr>
          <w:rFonts w:hint="eastAsia" w:ascii="宋体" w:hAnsi="宋体" w:eastAsia="宋体" w:cs="宋体"/>
          <w:b/>
          <w:bCs/>
          <w:color w:val="000000"/>
          <w:sz w:val="21"/>
          <w:u w:val="single"/>
        </w:rPr>
        <w:t xml:space="preserve">合同签订，甲方自收到乙方开具的发票后，10个工作日内支付合同总价的30%</w:t>
      </w:r>
      <w:r>
        <w:rPr>
          <w:rFonts w:hint="eastAsia" w:ascii="宋体" w:hAnsi="宋体" w:eastAsia="宋体" w:cs="宋体"/>
          <w:b/>
          <w:bCs/>
          <w:color w:val="000000"/>
          <w:sz w:val="21"/>
          <w:u w:val="single"/>
          <w:lang w:eastAsia="zh-CN"/>
        </w:rPr>
        <w:t xml:space="preserve">。</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成本补偿：</w:t>
      </w:r>
      <w:r>
        <w:rPr>
          <w:rFonts w:ascii="宋体" w:hAnsi="宋体" w:eastAsia="宋体" w:cs="宋体"/>
          <w:color w:val="000000"/>
          <w:sz w:val="21"/>
          <w:u w:val="single"/>
        </w:rPr>
        <w:t xml:space="preserve">（应明确按照成本补偿方式的支付方式和支付条件）</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绩效激励：</w:t>
      </w:r>
      <w:r>
        <w:rPr>
          <w:rFonts w:ascii="宋体" w:hAnsi="宋体" w:eastAsia="宋体" w:cs="宋体"/>
          <w:color w:val="000000"/>
          <w:sz w:val="21"/>
          <w:u w:val="single"/>
        </w:rPr>
        <w:t xml:space="preserve">（应明确按照绩效激励方式的支付方式和支付条件）</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（1）起始日期：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日，完成日期：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（2）履约地点：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（3）履约担保：是否收取履约保证金：</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宋体" w:hAnsi="宋体" w:eastAsia="宋体" w:cs="宋体"/>
          <w:color w:val="000000"/>
          <w:sz w:val="21"/>
        </w:rPr>
        <w:t xml:space="preserve">收取履约保证金形式：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收取履约保证金金额：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履约担保期限：</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（4）分期履行要求：</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（5）风险处置措施和替代方案：</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合同验收</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验收组织方式：</w:t>
      </w:r>
      <w:r>
        <w:rPr>
          <w:rFonts w:ascii="Wingdings" w:hAnsi="Wingdings" w:eastAsia="Wingdings" w:cs="Wingdings"/>
          <w:color w:val="000000"/>
          <w:sz w:val="21"/>
        </w:rPr>
        <w:t xml:space="preserve">¨</w:t>
      </w:r>
      <w:r>
        <w:rPr>
          <w:rFonts w:ascii="宋体" w:hAnsi="宋体" w:eastAsia="宋体" w:cs="宋体"/>
          <w:color w:val="000000"/>
          <w:sz w:val="21"/>
        </w:rPr>
        <w:t xml:space="preserve">自行组织 </w:t>
      </w:r>
      <w:r>
        <w:rPr>
          <w:rFonts w:ascii="Wingdings" w:hAnsi="Wingdings" w:eastAsia="Wingdings" w:cs="Wingdings"/>
          <w:color w:val="000000"/>
          <w:sz w:val="21"/>
        </w:rPr>
        <w:t xml:space="preserve">¨</w:t>
      </w:r>
      <w:r>
        <w:rPr>
          <w:rFonts w:ascii="宋体" w:hAnsi="宋体" w:eastAsia="宋体" w:cs="宋体"/>
          <w:color w:val="000000"/>
          <w:sz w:val="21"/>
        </w:rPr>
        <w:t xml:space="preserve">委托第三方组织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验收主体：</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是否邀请本项目的其他供应商参加验收：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是否邀请专家参加验收：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是否邀请服务对象参加验收：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是否邀请第三方检测机构参加验收：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是否进行抽查检测：</w:t>
      </w:r>
      <w:r>
        <w:rPr>
          <w:rFonts w:ascii="Wingdings" w:hAnsi="Wingdings" w:eastAsia="Wingdings" w:cs="Wingdings"/>
          <w:color w:val="000000"/>
          <w:sz w:val="21"/>
        </w:rPr>
        <w:t xml:space="preserve">¨</w:t>
      </w:r>
      <w:r>
        <w:rPr>
          <w:rFonts w:ascii="宋体" w:hAnsi="宋体" w:eastAsia="宋体" w:cs="宋体"/>
          <w:color w:val="000000"/>
          <w:sz w:val="21"/>
        </w:rPr>
        <w:t xml:space="preserve">是，抽查比例：</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是否存在破坏性检测：</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宋体" w:hAnsi="宋体" w:eastAsia="宋体" w:cs="宋体"/>
          <w:color w:val="000000"/>
          <w:sz w:val="21"/>
          <w:u w:val="single"/>
        </w:rPr>
        <w:t xml:space="preserve">（应明确对被破坏的检测产品的处理方式）</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验收组织的其他事项：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（2）履约验收时间：</w:t>
      </w:r>
      <w:r>
        <w:rPr>
          <w:rFonts w:ascii="宋体" w:hAnsi="宋体" w:eastAsia="宋体" w:cs="宋体"/>
          <w:color w:val="000000"/>
          <w:sz w:val="21"/>
          <w:u w:val="single"/>
        </w:rPr>
        <w:t xml:space="preserve">（计划于何时验收/供应商提出验收申请之日起   日内组织验收）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（3）履约验收方式：</w:t>
      </w:r>
      <w:r>
        <w:rPr>
          <w:rFonts w:ascii="Wingdings" w:hAnsi="Wingdings" w:eastAsia="Wingdings" w:cs="Wingdings"/>
          <w:color w:val="000000"/>
          <w:sz w:val="21"/>
        </w:rPr>
        <w:t xml:space="preserve">¨</w:t>
      </w:r>
      <w:r>
        <w:rPr>
          <w:rFonts w:ascii="宋体" w:hAnsi="宋体" w:eastAsia="宋体" w:cs="宋体"/>
          <w:color w:val="000000"/>
          <w:sz w:val="21"/>
        </w:rPr>
        <w:t xml:space="preserve">一次性验收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分期/分项验收：</w:t>
      </w:r>
      <w:r>
        <w:rPr>
          <w:rFonts w:ascii="宋体" w:hAnsi="宋体" w:eastAsia="宋体" w:cs="宋体"/>
          <w:color w:val="000000"/>
          <w:sz w:val="21"/>
          <w:u w:val="single"/>
        </w:rPr>
        <w:t xml:space="preserve"> （应明确分期/分项验收的工作安排）</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（4）履约验收程序：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（5）履约验收的内容：</w:t>
      </w:r>
      <w:r>
        <w:rPr>
          <w:rFonts w:ascii="宋体" w:hAnsi="宋体" w:eastAsia="宋体" w:cs="宋体"/>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（6）履约验收标准：</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（7）是否以采购活动中供应商提供的样品作为参考：</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（8）履约验收其他事项：</w:t>
      </w:r>
      <w:r>
        <w:rPr>
          <w:rFonts w:ascii="宋体" w:hAnsi="宋体" w:eastAsia="宋体" w:cs="宋体"/>
          <w:color w:val="000000"/>
          <w:sz w:val="21"/>
          <w:u w:val="single"/>
        </w:rPr>
        <w:t xml:space="preserve">      （产权过户登记等）</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组成合同的文件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（1）政府采购合同协议书及其变更、补充协议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（2）政府采购合同专用条款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（3）政府采购合同通用条款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（4）中标（成交）通知书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（5）投标（响应）文件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（6）采购文件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（7）有关技术文件，图纸</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（8）国家法律、行政法规和规章制度规定或合同约定的作为合同组成部分的其他文件</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合同生效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本合同自</w:t>
      </w:r>
      <w:r>
        <w:rPr>
          <w:rFonts w:ascii="宋体" w:hAnsi="宋体" w:eastAsia="宋体" w:cs="宋体"/>
          <w:color w:val="000000"/>
          <w:sz w:val="21"/>
          <w:u w:val="single"/>
        </w:rPr>
        <w:t xml:space="preserve">                             </w:t>
      </w:r>
      <w:r>
        <w:rPr>
          <w:rFonts w:ascii="宋体" w:hAnsi="宋体" w:eastAsia="宋体" w:cs="宋体"/>
          <w:color w:val="000000"/>
          <w:sz w:val="21"/>
        </w:rPr>
        <w:t xml:space="preserve">生效。</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合同份数</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本合同一式</w:t>
      </w:r>
      <w:r>
        <w:rPr>
          <w:rFonts w:ascii="宋体" w:hAnsi="宋体" w:eastAsia="宋体" w:cs="宋体"/>
          <w:color w:val="000000"/>
          <w:sz w:val="21"/>
          <w:u w:val="single"/>
        </w:rPr>
        <w:t xml:space="preserve">    </w:t>
      </w:r>
      <w:r>
        <w:rPr>
          <w:rFonts w:ascii="宋体" w:hAnsi="宋体" w:eastAsia="宋体" w:cs="宋体"/>
          <w:color w:val="000000"/>
          <w:sz w:val="21"/>
        </w:rPr>
        <w:t xml:space="preserve">份，甲方执</w:t>
      </w:r>
      <w:r>
        <w:rPr>
          <w:rFonts w:ascii="宋体" w:hAnsi="宋体" w:eastAsia="宋体" w:cs="宋体"/>
          <w:color w:val="000000"/>
          <w:sz w:val="21"/>
          <w:u w:val="single"/>
        </w:rPr>
        <w:t xml:space="preserve">    </w:t>
      </w:r>
      <w:r>
        <w:rPr>
          <w:rFonts w:ascii="宋体" w:hAnsi="宋体" w:eastAsia="宋体" w:cs="宋体"/>
          <w:color w:val="000000"/>
          <w:sz w:val="21"/>
        </w:rPr>
        <w:t xml:space="preserve">份，乙方执</w:t>
      </w:r>
      <w:r>
        <w:rPr>
          <w:rFonts w:ascii="宋体" w:hAnsi="宋体" w:eastAsia="宋体" w:cs="宋体"/>
          <w:color w:val="000000"/>
          <w:sz w:val="21"/>
          <w:u w:val="single"/>
        </w:rPr>
        <w:t xml:space="preserve">    </w:t>
      </w:r>
      <w:r>
        <w:rPr>
          <w:rFonts w:ascii="宋体" w:hAnsi="宋体" w:eastAsia="宋体" w:cs="宋体"/>
          <w:color w:val="000000"/>
          <w:sz w:val="21"/>
        </w:rPr>
        <w:t xml:space="preserve">份，均具有同等法律效力。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合同订立时间：</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合同订立地点：</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附件：具体标的及其技术要求和商务要求、联合协议、分包意向协议等</w:t>
      </w:r>
      <w:r/>
    </w:p>
    <w:p>
      <w:pPr>
        <w:pStyle w:val="708"/>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7"/>
        <w:gridCol w:w="1965"/>
        <w:gridCol w:w="951"/>
        <w:gridCol w:w="2686"/>
      </w:tblGrid>
      <w:tr>
        <w:trPr>
          <w:trHeight w:val="49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甲方</w:t>
            </w:r>
            <w:r>
              <w:rPr>
                <w:rFonts w:ascii="宋体" w:hAnsi="宋体" w:eastAsia="宋体" w:cs="宋体"/>
                <w:color w:val="000000"/>
                <w:sz w:val="21"/>
              </w:rPr>
              <w:t xml:space="preserve">（采购人、受采购人委托签订合同的单位或采购文件约定的合同甲方）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乙方</w:t>
            </w:r>
            <w:r>
              <w:rPr>
                <w:rFonts w:ascii="宋体" w:hAnsi="宋体" w:eastAsia="宋体" w:cs="宋体"/>
                <w:color w:val="000000"/>
                <w:sz w:val="21"/>
              </w:rPr>
              <w:t xml:space="preserve">（供应商）</w:t>
            </w:r>
            <w:r/>
          </w:p>
        </w:tc>
      </w:tr>
      <w:tr>
        <w:trPr>
          <w:trHeight w:val="9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11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10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开户银行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银行账号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586"/>
        </w:trPr>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23" w:type="dxa"/>
            <w:vAlign w:val="center"/>
            <w:textDirection w:val="lrTb"/>
            <w:noWrap w:val="false"/>
          </w:tcPr>
          <w:p>
            <w:pPr>
              <w:ind w:left="0" w:right="0" w:firstLine="0"/>
              <w:jc w:val="center"/>
              <w:spacing w:before="156"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注：涉及联合体或其他合同主体的信息应按上表格式加列。</w:t>
            </w:r>
            <w:r/>
          </w:p>
        </w:tc>
      </w:tr>
    </w:tbl>
    <w:p>
      <w:pPr>
        <w:pStyle w:val="708"/>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br w:type="page" w:clear="all"/>
      </w:r>
      <w:r/>
    </w:p>
    <w:p>
      <w:pPr>
        <w:pStyle w:val="708"/>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第二节 政府采购合同通用条款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 定义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（1）采购人（以下称甲方）是指使用财政性资金，通过政府采购方式向供应商购买货物及其相关服务的国家机关、事业单位、团体组织。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（2）供应商（以下称乙方）是指参加政府采购活动并且中标（成交），向采购人提供合同约定的货物及其相关服务的法人、非法人组织或者自然人。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（3）其他合同主体是指除采购人和供应商以外，依法参与合同缔结或履行，享有权利、承担义务的合同当事人。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1.2本合同下列术语应解释为：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（2）“合同价款”系指根据本合同规定乙方在全面履行合同义务后甲方应支付给乙方的价款。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（3）“货物”系指乙方根据本合同规定须向甲方提供的各种形态和种类的物品，包括原材料、设备、产品（包括软件）及相关的其备品备件、工具、手册及其他技术资料和材料等。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（7）其他术语解释，见【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numPr>
          <w:ilvl w:val="0"/>
          <w:numId w:val="12"/>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合同标的及金额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 履行合同的时间、地点和方式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乙方应当在约定的时间、地点，按照约定方式履行合同。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 甲方的权利和义务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 甲方有权要求乙方对缺陷部分予以修复，并按合同约定享有货物保修及其他合同约定的权利。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 甲方应当按照合同约定及时对交付的货物进行验收，未在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约定的期限内对乙方履约提出任何异议或者向乙方作出任何说明的，视为验收通过。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 甲方应当根据合同约定及时向乙方支付合同价款，不得以内部人员变更、履行内部付款流程等为由，拒绝或迟延支付。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 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约定应由甲方承担的其他义务和责任。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 乙方的权利和义务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签署合同后，乙方应确定项目负责人（或项目联系人），负责与本合同有关的事务。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5.3乙方有权根据合同约定向甲方收取合同价款。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约定应由乙方承担的其他义务和责任。</w:t>
      </w:r>
      <w:r/>
    </w:p>
    <w:p>
      <w:pPr>
        <w:numPr>
          <w:ilvl w:val="0"/>
          <w:numId w:val="13"/>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 甲乙双方应当按照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约定顺序履行合同义务；如果没有先后顺序的，应当同时履行。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 货物包装、运输、保险和交付要求</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本合同涉及商品包装、快递包装的，除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另有约定外，包装应适应远距离运输、防潮、防震、防锈和防野蛮装卸等要求，确保货物安全无损地运抵</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约定的指定现场。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另有约定外，乙方负责办理将货物运抵本合同规定的交货地点，并装卸、交付至甲方的一切运输事项，相关费用应包含在合同价款中。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货物保险要求按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 乙方在运输到达之前应提前通知甲方，并提示货物运输装卸的注意事项，甲方配合乙方做好货物的接收工作。</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 质量标准和保证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 质量标准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（2）采用中华人民共和国法定计量单位。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（3）乙方所提供的货物应符合国家有关安全、环保、卫生的规定。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 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规定或乙方书面承诺（两者以较长的为准）的质量保证期内，本保证保持有效。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（2）在质量保证期内所发现的缺陷，甲方应尽快以书面形式通知乙方。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（3）乙方收到通知后，应在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规定的响应时间内以合理的速度免费维修或更换有缺陷的货物或部件。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 权利瑕疵担保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 乙方保证对其出售的货物享有合法的权利。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 乙方保证在交付的货物上不存在抵押权等担保物权。</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 如甲方使用上述货物构成对第三人侵权的，则由乙方承担全部责任。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 知识产权保护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 保密义务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 合同价款支付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 合同价款支付按照国库集中支付制度及财政管理相关规定执行。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 履约保证金</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乙方应当以支票、汇票、本票或者金融机构、担保机构出具的保函等非现金形式提交。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如果乙方出现</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甲方在项目通过验收后按照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规定的时间内将履约保证金退还乙方；逾期退还的，乙方可要求甲方支付违约金，违约金按照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 售后服务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除项目不涉及或采购活动中明确约定无须承担外，乙方还应提供下列服务：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（1）货物的现场移动、安装、调试、启动监督及技术支持；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（2）提供货物组装和维修所需的专用工具和辅助材料；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约定的期限内对所有的货物实施运行监督、维修，但前提条件是该服务并不能免除乙方在质量保证期内所承担的义务；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（4）在制造商所在地或指定现场就货物的安装、启动、运营、维护、废弃处置等对甲方操作人员进行培训；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（5）依照法律、行政法规的规定或者按照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约定，货物在有效使用年限届满后应予回收的，乙方负有自行或者委托第三人对货物予以回收的义务；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规定由乙方提供的其他服务。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乙方提供的售后服务的费用已包含在合同价款中，甲方不再另行支付。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 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15.1质量瑕疵的违约责任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乙方提供的产品不符合合同约定的质量标准或存在产品质量缺陷，甲方有权要求乙方根据</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要求及时修理、重作、更换，并承担由此给甲方造成的损失。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 迟延交货的违约责任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规定执行。如果涉及公共利益，且赔偿金额无法弥补公共利益损失，甲方可要求继续履行或者采取其他补救措施。</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迟延支付的违约责任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甲方存在迟延支付乙方合同款项的，应当承担</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规定的逾期付款利息。</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15.4其他违约责任根据项目实际需要按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 合同变更、中止与终止</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16.1合同的变更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16.2合同的中止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（1）合同履行过程中因供应商就采购文件、采购过程或结果提起投诉的，甲方认为有必要的，可以中止合同的履行。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（4）甲方不得以行政区划调整、政府换届、机构或者职能调整以及相关责任人更替为由中止合同。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16.3合同的终止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（1）合同因有效期限届满而终止；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（2）乙方未按合同约定履行，构成根本性违约的，甲方有权终止合同，并追究乙方的违约责任。</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16.4 </w:t>
      </w:r>
      <w:r>
        <w:rPr>
          <w:rFonts w:ascii="宋体" w:hAnsi="宋体" w:eastAsia="宋体" w:cs="宋体"/>
          <w:color w:val="000000"/>
          <w:sz w:val="21"/>
        </w:rPr>
        <w:t xml:space="preserve">涉及国家利益、社会公共利益的情形</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 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乙方不得将合同转包给其他供应商。涉及合同分包的，乙方应根据采购文件和投标（响应）文件规定进行合同分包。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 不可抗力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不可抗力是指合同双方不能预见、不能避免且不能克服的客观情况。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 任何一方对由于不可抗力造成的部分或全部不能履行合同不承担违约责任。但迟延履行后发生不可抗力的，不能免除责任。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 解决争议的方法</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 选择仲裁的，应在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中明确仲裁机构及仲裁地；通过诉讼方式解决的，可以在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中进一步约定选择与争议有实际联系的地点的人民法院管辖，但管辖法院的约定不得违反级别管辖和专属管辖的规定。</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 如甲乙双方有争议的事项不影响合同其他部分的履行，在争议解决期间，合同其他部分应当继续履行。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 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 本合同应当按照规定执行政府采购政策。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 法律适用</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 本合同的订立、生效、解释、履行及与本合同有关的争议解决，均适用法律、行政法规。</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 本合同条款与法律、行政法规的强制性规定不一致的，双方当事人应按照法律、行政法规的强制性规定修改本合同的相关条款。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 通知</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22.3本合同一方给另一方的通知均应采用书面形式，传真或快递送到本合同中规定的对方的地址和办理签收手续。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22.4通知以送达之日或通知书中规定的生效之日起生效，两者中以较迟之日为准。</w:t>
      </w:r>
      <w:r/>
    </w:p>
    <w:p>
      <w:p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 合同未尽事项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23.1合同未尽事项见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23.2 合同附件与合同正文具有同等的法律效力。</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08"/>
        <w:ind w:left="0" w:right="0" w:firstLine="0"/>
        <w:jc w:val="center"/>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第三节 政府采购合同专用条款</w:t>
      </w:r>
      <w:r/>
    </w:p>
    <w:tbl>
      <w:tblPr>
        <w:tblStyle w:val="74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636"/>
        <w:gridCol w:w="4836"/>
      </w:tblGrid>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联合体具体要求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第1.2（7）项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其他术语解释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履约验收中甲方提出异议或作出说明的期限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第4.6款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约定甲方承担的其他义务和责任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约定乙方承担的其他义务和责任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第6.1款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履行合同义务的顺序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包装特殊要求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指定现场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运输特殊要求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第8.2（1）项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42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货物质量缺陷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第11.1款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其他应当保密的信息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合同价款支付时间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履约保证金不予退还的情形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履约保证金退还时间及逾期退还的违约金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运行监督、维修期限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第14.1（5）项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货物回收的约定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乙方提供的其他服务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修理、重作、更换相关具体规定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第15.2（2）项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迟延交货赔偿费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逾期付款利息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8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其他违约责任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第19.2款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解决争议的方法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因本合同及合同有关事项发生的争议，按下列第</w:t>
            </w:r>
            <w:r>
              <w:rPr>
                <w:rFonts w:ascii="宋体" w:hAnsi="宋体" w:eastAsia="宋体" w:cs="宋体"/>
                <w:color w:val="000000"/>
                <w:sz w:val="21"/>
                <w:u w:val="single"/>
              </w:rPr>
              <w:t xml:space="preserve">   </w:t>
            </w:r>
            <w:r>
              <w:rPr>
                <w:rFonts w:ascii="宋体" w:hAnsi="宋体" w:eastAsia="宋体" w:cs="宋体"/>
                <w:color w:val="000000"/>
                <w:sz w:val="21"/>
              </w:rPr>
              <w:t xml:space="preserve">种方式解决：</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w:t>
            </w:r>
            <w:r>
              <w:rPr>
                <w:rFonts w:ascii="宋体" w:hAnsi="宋体" w:eastAsia="宋体" w:cs="宋体"/>
                <w:color w:val="000000"/>
                <w:sz w:val="21"/>
                <w:u w:val="single"/>
              </w:rPr>
              <w:t xml:space="preserve">                    </w:t>
            </w:r>
            <w:r>
              <w:rPr>
                <w:rFonts w:ascii="宋体" w:hAnsi="宋体" w:eastAsia="宋体" w:cs="宋体"/>
                <w:color w:val="000000"/>
                <w:sz w:val="21"/>
              </w:rPr>
              <w:t xml:space="preserve">仲裁委员会申请仲裁，仲裁地点为</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w:t>
            </w:r>
            <w:r>
              <w:rPr>
                <w:rFonts w:ascii="宋体" w:hAnsi="宋体" w:eastAsia="宋体" w:cs="宋体"/>
                <w:color w:val="000000"/>
                <w:sz w:val="21"/>
                <w:u w:val="single"/>
              </w:rPr>
              <w:t xml:space="preserve">                    </w:t>
            </w:r>
            <w:r>
              <w:rPr>
                <w:rFonts w:ascii="宋体" w:hAnsi="宋体" w:eastAsia="宋体" w:cs="宋体"/>
                <w:color w:val="000000"/>
                <w:sz w:val="21"/>
              </w:rPr>
              <w:t xml:space="preserve">人民法院起诉。</w:t>
            </w:r>
            <w:r/>
          </w:p>
        </w:tc>
      </w:tr>
      <w:tr>
        <w:trPr>
          <w:trHeight w:val="7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第23.1款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其他专用条款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楷体" w:hAnsi="楷体" w:eastAsia="楷体" w:cs="楷体"/>
          <w:b/>
          <w:color w:val="000000"/>
          <w:spacing w:val="-20"/>
          <w:sz w:val="48"/>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rPr>
          <w:rFonts w:ascii="黑体" w:hAnsi="黑体" w:eastAsia="黑体" w:cs="黑体"/>
          <w:color w:val="000000"/>
          <w:sz w:val="44"/>
        </w:rPr>
      </w:pPr>
      <w:r>
        <w:rPr>
          <w:rFonts w:ascii="黑体" w:hAnsi="黑体" w:eastAsia="黑体" w:cs="黑体"/>
          <w:color w:val="000000"/>
          <w:sz w:val="44"/>
        </w:rPr>
        <w:br w:type="page" w:clear="all"/>
      </w:r>
      <w:r/>
    </w:p>
    <w:p>
      <w:pPr>
        <w:pStyle w:val="934"/>
      </w:pPr>
      <w:r>
        <w:rPr>
          <w:rFonts w:ascii="黑体" w:hAnsi="黑体" w:eastAsia="黑体" w:cs="黑体"/>
          <w:color w:val="000000"/>
          <w:sz w:val="44"/>
        </w:rPr>
        <w:t xml:space="preserve">第四章 采购需求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500" w:hanging="84"/>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w:t>
      </w:r>
      <w:r>
        <w:rPr>
          <w:rFonts w:ascii="宋体" w:hAnsi="宋体" w:cs="宋体"/>
          <w:b/>
          <w:sz w:val="24"/>
        </w:rPr>
        <w:t xml:space="preserve">目属性:货物类项目</w:t>
      </w:r>
      <w:r/>
    </w:p>
    <w:p>
      <w:pPr>
        <w:ind w:firstLine="480"/>
        <w:spacing w:line="400" w:lineRule="exact"/>
        <w:rPr>
          <w:bCs/>
          <w:iCs/>
          <w:sz w:val="24"/>
          <w:szCs w:val="24"/>
        </w:rPr>
      </w:pPr>
      <w:r>
        <w:rPr>
          <w:bCs/>
          <w:iCs/>
          <w:sz w:val="24"/>
          <w:szCs w:val="24"/>
        </w:rPr>
        <w:t xml:space="preserve">1. 如本项目采购产品被财政部、国家发改委、生态环境部等列入“节能产品政府采购品目清单”强制采购范围，投标文件中必须提供国家确定的认证机构出具的、处于有效期之内的该节能产品认证证书。</w:t>
      </w:r>
      <w:r>
        <w:rPr>
          <w:rFonts w:hint="eastAsia"/>
          <w:b/>
          <w:bCs w:val="0"/>
          <w:iCs/>
          <w:sz w:val="24"/>
          <w:szCs w:val="24"/>
        </w:rPr>
        <w:t xml:space="preserve">本项目强制节能产品有</w:t>
      </w:r>
      <w:r>
        <w:rPr>
          <w:rFonts w:hint="eastAsia"/>
          <w:b/>
          <w:bCs w:val="0"/>
          <w:iCs/>
          <w:sz w:val="24"/>
          <w:szCs w:val="24"/>
          <w:lang w:eastAsia="zh-CN"/>
        </w:rPr>
        <w:t xml:space="preserve">：</w:t>
      </w:r>
      <w:r>
        <w:rPr>
          <w:rFonts w:hint="eastAsia"/>
          <w:b/>
          <w:bCs w:val="0"/>
          <w:iCs/>
          <w:color w:val="ff0000"/>
          <w:sz w:val="24"/>
          <w:szCs w:val="24"/>
          <w:lang w:val="en-US" w:eastAsia="zh-CN"/>
        </w:rPr>
        <w:t xml:space="preserve">平板电脑，有线控制面板，书记员控制终端。</w:t>
      </w:r>
      <w:r/>
    </w:p>
    <w:p>
      <w:pPr>
        <w:ind w:firstLine="480"/>
        <w:spacing w:line="400" w:lineRule="exact"/>
        <w:rPr>
          <w:rFonts w:hint="eastAsia"/>
          <w:bCs/>
          <w:iCs/>
          <w:sz w:val="24"/>
          <w:szCs w:val="24"/>
        </w:rPr>
      </w:pPr>
      <w:r>
        <w:rPr>
          <w:bCs/>
          <w:iCs/>
          <w:sz w:val="24"/>
          <w:szCs w:val="24"/>
        </w:rPr>
        <w:t xml:space="preserve">2. 供应商对于投标产品的包装应按照“财办库〔2020〕123号《关于印发《商品包装政府采购需求标准（试行）》、《快递包装政府采购需求标准（试行）》的通知》”执行。</w:t>
      </w:r>
      <w:r/>
    </w:p>
    <w:p>
      <w:pPr>
        <w:ind w:firstLine="480"/>
        <w:spacing w:line="400" w:lineRule="exact"/>
        <w:rPr>
          <w:bCs/>
          <w:iCs/>
          <w:sz w:val="24"/>
          <w:szCs w:val="24"/>
        </w:rPr>
      </w:pPr>
      <w:r>
        <w:rPr>
          <w:rFonts w:hint="eastAsia"/>
          <w:bCs/>
          <w:iCs/>
          <w:sz w:val="24"/>
          <w:szCs w:val="24"/>
        </w:rPr>
        <w:t xml:space="preserve">3.采购需求中</w:t>
      </w:r>
      <w:r>
        <w:rPr>
          <w:rFonts w:hint="eastAsia"/>
          <w:b/>
          <w:bCs w:val="0"/>
          <w:i/>
          <w:iCs w:val="0"/>
          <w:color w:val="ff0000"/>
          <w:sz w:val="24"/>
          <w:szCs w:val="24"/>
          <w:u w:val="single"/>
        </w:rPr>
        <w:t xml:space="preserve">斜体且有下划线</w:t>
      </w:r>
      <w:r>
        <w:rPr>
          <w:rFonts w:hint="eastAsia"/>
          <w:bCs/>
          <w:iCs/>
          <w:sz w:val="24"/>
          <w:szCs w:val="24"/>
        </w:rPr>
        <w:t xml:space="preserve">部分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ind w:firstLine="480"/>
        <w:spacing w:line="400" w:lineRule="exact"/>
        <w:rPr>
          <w:rFonts w:hint="eastAsia" w:ascii="宋体" w:hAnsi="宋体"/>
          <w:sz w:val="24"/>
          <w:szCs w:val="24"/>
        </w:rPr>
      </w:pPr>
      <w:r>
        <w:rPr>
          <w:bCs/>
          <w:iCs/>
          <w:sz w:val="24"/>
          <w:szCs w:val="24"/>
        </w:rPr>
        <w:t xml:space="preserve">4.</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技术要求响应及偏离表</w:t>
      </w:r>
      <w:r>
        <w:rPr>
          <w:rFonts w:ascii="宋体" w:hAnsi="宋体"/>
          <w:sz w:val="24"/>
          <w:szCs w:val="24"/>
        </w:rPr>
        <w:t xml:space="preserve">之下。</w:t>
      </w:r>
      <w:r/>
    </w:p>
    <w:p>
      <w:pPr>
        <w:ind w:firstLine="480"/>
        <w:spacing w:line="400" w:lineRule="exact"/>
        <w:rPr>
          <w:rFonts w:hint="eastAsia" w:eastAsia="宋体"/>
          <w:sz w:val="24"/>
          <w:szCs w:val="24"/>
          <w:lang w:val="en-US" w:eastAsia="zh-CN"/>
        </w:rPr>
      </w:pPr>
      <w:r>
        <w:rPr>
          <w:bCs/>
          <w:iCs/>
          <w:sz w:val="24"/>
          <w:szCs w:val="24"/>
        </w:rPr>
        <w:t xml:space="preserve">5.</w:t>
      </w:r>
      <w:r>
        <w:rPr>
          <w:rFonts w:hint="eastAsia" w:ascii="宋体" w:hAnsi="宋体"/>
          <w:sz w:val="24"/>
          <w:szCs w:val="24"/>
        </w:rPr>
        <w:t xml:space="preserve"> 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商务要求响应及偏离表</w:t>
      </w:r>
      <w:r>
        <w:rPr>
          <w:rFonts w:ascii="宋体" w:hAnsi="宋体"/>
          <w:sz w:val="24"/>
          <w:szCs w:val="24"/>
        </w:rPr>
        <w:t xml:space="preserve">之下。</w:t>
      </w:r>
      <w:r>
        <w:rPr>
          <w:rFonts w:hint="eastAsia" w:ascii="宋体" w:hAnsi="宋体"/>
          <w:sz w:val="24"/>
          <w:szCs w:val="24"/>
          <w:lang w:val="en-US" w:eastAsia="zh-CN"/>
        </w:rPr>
        <w:t xml:space="preserve"> </w:t>
      </w:r>
      <w:r/>
    </w:p>
    <w:p>
      <w:pPr>
        <w:ind w:firstLine="48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48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ascii="宋体" w:hAnsi="宋体" w:cs="宋体"/>
          <w:sz w:val="24"/>
        </w:rPr>
        <w:t xml:space="preserve">. 采购标的清单</w:t>
      </w:r>
      <w:r/>
    </w:p>
    <w:tbl>
      <w:tblPr>
        <w:tblStyle w:val="744"/>
        <w:tblW w:w="0" w:type="auto"/>
        <w:tblInd w:w="70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3313"/>
        <w:gridCol w:w="3855"/>
      </w:tblGrid>
      <w:tr>
        <w:trPr/>
        <w:tc>
          <w:tcPr>
            <w:tcMar>
              <w:left w:w="108" w:type="dxa"/>
              <w:top w:w="0" w:type="dxa"/>
              <w:right w:w="108" w:type="dxa"/>
              <w:bottom w:w="0" w:type="dxa"/>
            </w:tcMar>
            <w:tcW w:w="117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采购包号</w:t>
            </w:r>
            <w:r/>
          </w:p>
        </w:tc>
        <w:tc>
          <w:tcPr>
            <w:tcMar>
              <w:left w:w="108" w:type="dxa"/>
              <w:top w:w="0" w:type="dxa"/>
              <w:right w:w="108" w:type="dxa"/>
              <w:bottom w:w="0" w:type="dxa"/>
            </w:tcMar>
            <w:tcW w:w="331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采购标的</w:t>
            </w:r>
            <w:r/>
          </w:p>
        </w:tc>
        <w:tc>
          <w:tcPr>
            <w:tcMar>
              <w:left w:w="108" w:type="dxa"/>
              <w:top w:w="0" w:type="dxa"/>
              <w:right w:w="108" w:type="dxa"/>
              <w:bottom w:w="0" w:type="dxa"/>
            </w:tcMar>
            <w:tcW w:w="38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对应中小企业划分标准所属行业</w:t>
            </w:r>
            <w:r/>
          </w:p>
        </w:tc>
      </w:tr>
      <w:tr>
        <w:trPr>
          <w:trHeight w:val="291"/>
        </w:trPr>
        <w:tc>
          <w:tcPr>
            <w:tcMar>
              <w:left w:w="108" w:type="dxa"/>
              <w:top w:w="0" w:type="dxa"/>
              <w:right w:w="108" w:type="dxa"/>
              <w:bottom w:w="0" w:type="dxa"/>
            </w:tcMar>
            <w:tcW w:w="1174"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Mar>
              <w:left w:w="108" w:type="dxa"/>
              <w:top w:w="0" w:type="dxa"/>
              <w:right w:w="108" w:type="dxa"/>
              <w:bottom w:w="0" w:type="dxa"/>
            </w:tcMar>
            <w:tcW w:w="3313"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新</w:t>
            </w:r>
            <w:r>
              <w:rPr>
                <w:rFonts w:ascii="宋体" w:hAnsi="宋体" w:cs="宋体"/>
                <w:sz w:val="24"/>
              </w:rPr>
              <w:t xml:space="preserve">审判法庭</w:t>
            </w:r>
            <w:r>
              <w:rPr>
                <w:rFonts w:hint="eastAsia" w:ascii="宋体" w:hAnsi="宋体" w:cs="宋体"/>
                <w:sz w:val="24"/>
              </w:rPr>
              <w:t xml:space="preserve">数字</w:t>
            </w:r>
            <w:r>
              <w:rPr>
                <w:rFonts w:ascii="宋体" w:hAnsi="宋体" w:cs="宋体"/>
                <w:sz w:val="24"/>
              </w:rPr>
              <w:t xml:space="preserve">审</w:t>
            </w:r>
            <w:r>
              <w:rPr>
                <w:rFonts w:hint="eastAsia" w:ascii="宋体" w:hAnsi="宋体" w:cs="宋体"/>
                <w:sz w:val="24"/>
              </w:rPr>
              <w:t xml:space="preserve">委会设备系统采购</w:t>
            </w:r>
            <w:r>
              <w:rPr>
                <w:rFonts w:ascii="宋体" w:hAnsi="宋体" w:cs="宋体"/>
                <w:sz w:val="24"/>
              </w:rPr>
              <w:t xml:space="preserve">项目</w:t>
            </w:r>
            <w:r>
              <w:rPr>
                <w:rFonts w:hint="eastAsia" w:ascii="宋体" w:hAnsi="宋体" w:cs="宋体"/>
                <w:sz w:val="24"/>
              </w:rPr>
              <w:t xml:space="preserve"> </w:t>
            </w:r>
            <w:r/>
          </w:p>
        </w:tc>
        <w:tc>
          <w:tcPr>
            <w:tcMar>
              <w:left w:w="108" w:type="dxa"/>
              <w:top w:w="0" w:type="dxa"/>
              <w:right w:w="108" w:type="dxa"/>
              <w:bottom w:w="0" w:type="dxa"/>
            </w:tcMar>
            <w:tcW w:w="3855"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工业</w:t>
            </w:r>
            <w:r/>
          </w:p>
        </w:tc>
      </w:tr>
    </w:tbl>
    <w:p>
      <w:pPr>
        <w:ind w:firstLine="480"/>
        <w:pBdr>
          <w:top w:val="none" w:color="000000" w:sz="0" w:space="0"/>
          <w:left w:val="none" w:color="000000" w:sz="0" w:space="0"/>
          <w:bottom w:val="none" w:color="000000" w:sz="0" w:space="0"/>
          <w:right w:val="none" w:color="000000" w:sz="0" w:space="0"/>
        </w:pBdr>
      </w:pPr>
      <w:r/>
      <w:r/>
    </w:p>
    <w:p>
      <w:pPr>
        <w:ind w:firstLine="48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w:t>
      </w:r>
      <w:r>
        <w:rPr>
          <w:rFonts w:ascii="宋体" w:hAnsi="宋体" w:cs="宋体"/>
          <w:sz w:val="24"/>
          <w:szCs w:val="24"/>
        </w:rPr>
        <w:t xml:space="preserve">．核心产品</w:t>
      </w:r>
      <w:r/>
    </w:p>
    <w:tbl>
      <w:tblPr>
        <w:tblStyle w:val="74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95"/>
        <w:gridCol w:w="3268"/>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8" w:type="dxa"/>
            <w:vAlign w:val="center"/>
            <w:textDirection w:val="lrTb"/>
            <w:noWrap w:val="false"/>
          </w:tcPr>
          <w:p>
            <w:pPr>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核心产品</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8" w:type="dxa"/>
            <w:vAlign w:val="top"/>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全数字多媒体会议控制主机</w:t>
            </w:r>
            <w:r>
              <w:rPr>
                <w:rFonts w:hint="eastAsia" w:ascii="宋体" w:hAnsi="宋体" w:cs="宋体"/>
                <w:sz w:val="24"/>
              </w:rPr>
              <w:t xml:space="preserve"> </w:t>
            </w:r>
            <w:r/>
          </w:p>
        </w:tc>
      </w:tr>
    </w:tbl>
    <w:p>
      <w:pPr>
        <w:ind w:left="500" w:hanging="84"/>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二、政府采购中实施本国产品标准及相关政策</w:t>
      </w:r>
      <w:r/>
    </w:p>
    <w:p>
      <w:pPr>
        <w:ind w:firstLine="480"/>
        <w:spacing w:line="400" w:lineRule="exact"/>
        <w:rPr>
          <w:bCs/>
          <w:iCs/>
          <w:sz w:val="24"/>
          <w:szCs w:val="24"/>
        </w:rPr>
      </w:pPr>
      <w:r>
        <w:rPr>
          <w:rFonts w:eastAsia="宋体"/>
          <w:bCs/>
          <w:iCs/>
          <w:sz w:val="24"/>
          <w:szCs w:val="24"/>
        </w:rPr>
        <w:t xml:space="preserve">1.</w:t>
      </w:r>
      <w:r>
        <w:rPr>
          <w:rFonts w:hint="eastAsia" w:eastAsia="宋体"/>
          <w:bCs/>
          <w:iCs/>
          <w:sz w:val="24"/>
          <w:szCs w:val="24"/>
          <w:lang w:val="en-US" w:eastAsia="zh-CN"/>
        </w:rPr>
        <w:t xml:space="preserve">根据《国务院办公厅关于在政府采购中实施本国产品标准及相关政策的通知》（国办发〔2025〕34号）规定，</w:t>
      </w:r>
      <w:r>
        <w:rPr>
          <w:rFonts w:eastAsia="宋体"/>
          <w:bCs/>
          <w:iCs/>
          <w:sz w:val="24"/>
          <w:szCs w:val="24"/>
        </w:rPr>
        <w:t xml:space="preserve">本项目对采购本国产品给予政策支持，具体内容见招</w:t>
      </w:r>
      <w:r>
        <w:rPr>
          <w:bCs/>
          <w:iCs/>
          <w:sz w:val="24"/>
          <w:szCs w:val="24"/>
        </w:rPr>
        <w:t xml:space="preserve">标文件“第五章 评标方法与评标标准”。</w:t>
      </w:r>
      <w:r/>
    </w:p>
    <w:p>
      <w:pPr>
        <w:ind w:firstLine="480"/>
        <w:spacing w:line="400" w:lineRule="exact"/>
        <w:rPr>
          <w:bCs/>
          <w:iCs/>
          <w:sz w:val="24"/>
          <w:szCs w:val="24"/>
        </w:rPr>
      </w:pPr>
      <w:r>
        <w:rPr>
          <w:bCs/>
          <w:i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00" w:lineRule="exact"/>
        <w:rPr>
          <w:bCs/>
          <w:iCs/>
          <w:sz w:val="24"/>
          <w:szCs w:val="24"/>
        </w:rPr>
      </w:pPr>
      <w:r>
        <w:rPr>
          <w:bCs/>
          <w:i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500" w:hanging="84"/>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三、项目背景</w:t>
      </w:r>
      <w:r/>
    </w:p>
    <w:p>
      <w:pPr>
        <w:ind w:firstLine="480"/>
        <w:spacing w:line="400" w:lineRule="exact"/>
        <w:rPr>
          <w:rFonts w:hint="eastAsia"/>
          <w:bCs/>
          <w:iCs/>
          <w:sz w:val="24"/>
          <w:szCs w:val="24"/>
        </w:rPr>
      </w:pPr>
      <w:r/>
      <w:bookmarkStart w:id="0" w:name="_Hlk219828467"/>
      <w:r>
        <w:rPr>
          <w:rFonts w:hint="eastAsia"/>
          <w:bCs/>
          <w:iCs/>
          <w:sz w:val="24"/>
          <w:szCs w:val="24"/>
        </w:rPr>
        <w:t xml:space="preserve">扬州市中级人民法院和广陵区人民法院启动新审判法庭建设项目，需推进配套信息化建设工作。新审判法庭信息化建设总体规</w:t>
      </w:r>
      <w:r>
        <w:rPr>
          <w:rFonts w:hint="eastAsia"/>
          <w:bCs/>
          <w:iCs/>
          <w:sz w:val="24"/>
          <w:szCs w:val="24"/>
        </w:rPr>
        <w:t xml:space="preserve">划以智慧审判、智慧政务、智慧支撑三大系统为核心，构建诉讼服务中心、执行指挥中心、大数据及网络安全中心和安全保障中心，并配套16个子系统，为审判执行工作提质增效提供坚实的信息化支撑。具体设计需求包括智慧审判、智慧政务、智慧支撑三部分。其中智慧审判包括智慧融合法庭、大要案审判庭、智慧诉讼服务、智慧执行指挥、智慧审案管理、案件信息发布。智慧政务包括智慧案件合议、智慧政务联络、智慧文库档案、固定资产管理。智慧支撑包括计算机网络系统、数据中心机房、办案云桌面、智慧司法安防、智慧法院数字孪生平台、大数据网络安全平台等。</w:t>
      </w:r>
      <w:bookmarkEnd w:id="0"/>
      <w:r/>
      <w:r/>
    </w:p>
    <w:p>
      <w:pPr>
        <w:ind w:firstLine="480"/>
        <w:spacing w:line="400" w:lineRule="exact"/>
        <w:rPr>
          <w:rFonts w:hint="eastAsia"/>
          <w:bCs/>
          <w:iCs/>
          <w:sz w:val="24"/>
          <w:szCs w:val="24"/>
        </w:rPr>
      </w:pPr>
      <w:r/>
      <w:bookmarkStart w:id="1" w:name="_Toc14691"/>
      <w:r>
        <w:rPr>
          <w:rFonts w:hint="eastAsia"/>
          <w:bCs/>
          <w:iCs/>
          <w:sz w:val="24"/>
          <w:szCs w:val="24"/>
        </w:rPr>
        <w:t xml:space="preserve">本次信息化项目主要是审判支撑部分，建设审判委员会会议室系统，主要内容包括：无纸化会议系统、发言扩声系统、视频控制系统、会议智慧运维系统、语音转写系统等，项目实施路径清晰、资源分配精准。</w:t>
      </w:r>
      <w:r/>
    </w:p>
    <w:p>
      <w:pPr>
        <w:ind w:left="500" w:hanging="84"/>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四、建设依据</w:t>
      </w:r>
      <w:bookmarkEnd w:id="1"/>
      <w:r/>
      <w:r/>
    </w:p>
    <w:p>
      <w:pPr>
        <w:ind w:firstLine="480"/>
        <w:spacing w:line="400" w:lineRule="exact"/>
        <w:rPr>
          <w:rFonts w:hint="eastAsia"/>
          <w:bCs/>
          <w:iCs/>
          <w:sz w:val="24"/>
          <w:szCs w:val="24"/>
        </w:rPr>
      </w:pPr>
      <w:r>
        <w:rPr>
          <w:rFonts w:hint="eastAsia"/>
          <w:bCs/>
          <w:iCs/>
          <w:sz w:val="24"/>
          <w:szCs w:val="24"/>
        </w:rPr>
        <w:t xml:space="preserve">本方案依据国家和本地区的有关标准和规范进行起草，引用参考了如下文件:</w:t>
      </w:r>
      <w:r/>
    </w:p>
    <w:p>
      <w:pPr>
        <w:ind w:firstLine="480"/>
        <w:spacing w:line="400" w:lineRule="exact"/>
        <w:rPr>
          <w:rFonts w:hint="eastAsia"/>
          <w:bCs/>
          <w:iCs/>
          <w:sz w:val="24"/>
          <w:szCs w:val="24"/>
        </w:rPr>
      </w:pPr>
      <w:r>
        <w:rPr>
          <w:rFonts w:hint="eastAsia"/>
          <w:bCs/>
          <w:iCs/>
          <w:sz w:val="24"/>
          <w:szCs w:val="24"/>
        </w:rPr>
        <w:t xml:space="preserve">（一）政策依据</w:t>
      </w:r>
      <w:r/>
    </w:p>
    <w:p>
      <w:pPr>
        <w:ind w:firstLine="480"/>
        <w:spacing w:line="400" w:lineRule="exact"/>
        <w:rPr>
          <w:rFonts w:hint="eastAsia"/>
          <w:bCs/>
          <w:iCs/>
          <w:sz w:val="24"/>
          <w:szCs w:val="24"/>
        </w:rPr>
      </w:pPr>
      <w:r>
        <w:rPr>
          <w:rFonts w:hint="eastAsia"/>
          <w:bCs/>
          <w:iCs/>
          <w:sz w:val="24"/>
          <w:szCs w:val="24"/>
        </w:rPr>
        <w:t xml:space="preserve">中央网络安全和信息化委员会2021年印发的《“十四五”国家信息化规划》</w:t>
      </w:r>
      <w:r/>
    </w:p>
    <w:p>
      <w:pPr>
        <w:ind w:firstLine="480"/>
        <w:spacing w:line="400" w:lineRule="exact"/>
        <w:rPr>
          <w:rFonts w:hint="eastAsia"/>
          <w:bCs/>
          <w:iCs/>
          <w:sz w:val="24"/>
          <w:szCs w:val="24"/>
        </w:rPr>
      </w:pPr>
      <w:r>
        <w:rPr>
          <w:rFonts w:hint="eastAsia"/>
          <w:bCs/>
          <w:iCs/>
          <w:sz w:val="24"/>
          <w:szCs w:val="24"/>
        </w:rPr>
        <w:t xml:space="preserve">最高人民法院2019年印发的《关于深化人民法院司法体制综合配套改革的意见——人民法院第五个五年改革纲要（2019—2023）的通知》</w:t>
      </w:r>
      <w:r/>
    </w:p>
    <w:p>
      <w:pPr>
        <w:ind w:firstLine="480"/>
        <w:spacing w:line="400" w:lineRule="exact"/>
        <w:rPr>
          <w:rFonts w:hint="eastAsia"/>
          <w:bCs/>
          <w:iCs/>
          <w:sz w:val="24"/>
          <w:szCs w:val="24"/>
        </w:rPr>
      </w:pPr>
      <w:r>
        <w:rPr>
          <w:rFonts w:hint="eastAsia"/>
          <w:bCs/>
          <w:iCs/>
          <w:sz w:val="24"/>
          <w:szCs w:val="24"/>
        </w:rPr>
        <w:t xml:space="preserve">最高人民法院印发的《关于建设一站式多元解纷机制、一站式诉讼服务中心的意见》（法发〔2019〕19号）</w:t>
      </w:r>
      <w:r/>
    </w:p>
    <w:p>
      <w:pPr>
        <w:ind w:firstLine="480"/>
        <w:spacing w:line="400" w:lineRule="exact"/>
        <w:rPr>
          <w:rFonts w:hint="eastAsia"/>
          <w:bCs/>
          <w:iCs/>
          <w:sz w:val="24"/>
          <w:szCs w:val="24"/>
        </w:rPr>
      </w:pPr>
      <w:r>
        <w:rPr>
          <w:rFonts w:hint="eastAsia"/>
          <w:bCs/>
          <w:iCs/>
          <w:sz w:val="24"/>
          <w:szCs w:val="24"/>
        </w:rPr>
        <w:t xml:space="preserve">最高人民法院印发的《人民法院“六专四室”建设规范》的通知（法发〔2020〕47号）</w:t>
      </w:r>
      <w:r/>
    </w:p>
    <w:p>
      <w:pPr>
        <w:ind w:firstLine="480"/>
        <w:spacing w:line="400" w:lineRule="exact"/>
        <w:rPr>
          <w:rFonts w:hint="eastAsia"/>
          <w:bCs/>
          <w:iCs/>
          <w:sz w:val="24"/>
          <w:szCs w:val="24"/>
        </w:rPr>
      </w:pPr>
      <w:r>
        <w:rPr>
          <w:rFonts w:hint="eastAsia"/>
          <w:bCs/>
          <w:iCs/>
          <w:sz w:val="24"/>
          <w:szCs w:val="24"/>
        </w:rPr>
        <w:t xml:space="preserve">最高人民法院印发的《人民法院信息化建设五年发展规划（2020-2024）》（法发〔2020〕104号）</w:t>
      </w:r>
      <w:r/>
    </w:p>
    <w:p>
      <w:pPr>
        <w:ind w:firstLine="480"/>
        <w:spacing w:line="400" w:lineRule="exact"/>
        <w:rPr>
          <w:rFonts w:hint="eastAsia"/>
          <w:bCs/>
          <w:iCs/>
          <w:sz w:val="24"/>
          <w:szCs w:val="24"/>
        </w:rPr>
      </w:pPr>
      <w:r>
        <w:rPr>
          <w:rFonts w:hint="eastAsia"/>
          <w:bCs/>
          <w:iCs/>
          <w:sz w:val="24"/>
          <w:szCs w:val="24"/>
        </w:rPr>
        <w:t xml:space="preserve">中共江苏省委办公厅印发的《法治江苏建设规划（2021-2025年）》</w:t>
      </w:r>
      <w:r/>
    </w:p>
    <w:p>
      <w:pPr>
        <w:ind w:firstLine="480"/>
        <w:spacing w:line="400" w:lineRule="exact"/>
        <w:rPr>
          <w:rFonts w:hint="eastAsia"/>
          <w:bCs/>
          <w:iCs/>
          <w:sz w:val="24"/>
          <w:szCs w:val="24"/>
        </w:rPr>
      </w:pPr>
      <w:r>
        <w:rPr>
          <w:rFonts w:hint="eastAsia"/>
          <w:bCs/>
          <w:iCs/>
          <w:sz w:val="24"/>
          <w:szCs w:val="24"/>
        </w:rPr>
        <w:t xml:space="preserve">江苏省高级人民法院2021年印发的《江苏法院信息化建设五年发展规划》（2021-2025）</w:t>
      </w:r>
      <w:r/>
    </w:p>
    <w:p>
      <w:pPr>
        <w:ind w:firstLine="480"/>
        <w:spacing w:line="400" w:lineRule="exact"/>
        <w:rPr>
          <w:rFonts w:hint="eastAsia"/>
          <w:bCs/>
          <w:iCs/>
          <w:sz w:val="24"/>
          <w:szCs w:val="24"/>
        </w:rPr>
      </w:pPr>
      <w:r>
        <w:rPr>
          <w:rFonts w:hint="eastAsia"/>
          <w:bCs/>
          <w:iCs/>
          <w:sz w:val="24"/>
          <w:szCs w:val="24"/>
        </w:rPr>
        <w:t xml:space="preserve">江苏省高级人民法院2022年印发的《江苏智慧法院建设白皮书》（2018-2022）</w:t>
      </w:r>
      <w:r/>
    </w:p>
    <w:p>
      <w:pPr>
        <w:ind w:firstLine="480"/>
        <w:spacing w:line="400" w:lineRule="exact"/>
        <w:rPr>
          <w:rFonts w:hint="eastAsia"/>
          <w:bCs/>
          <w:iCs/>
          <w:sz w:val="24"/>
          <w:szCs w:val="24"/>
        </w:rPr>
      </w:pPr>
      <w:r>
        <w:rPr>
          <w:rFonts w:hint="eastAsia"/>
          <w:bCs/>
          <w:iCs/>
          <w:sz w:val="24"/>
          <w:szCs w:val="24"/>
        </w:rPr>
        <w:t xml:space="preserve">（二）技术规范类依据</w:t>
      </w:r>
      <w:r/>
    </w:p>
    <w:p>
      <w:pPr>
        <w:ind w:firstLine="480"/>
        <w:spacing w:line="400" w:lineRule="exact"/>
        <w:rPr>
          <w:rFonts w:hint="eastAsia"/>
          <w:bCs/>
          <w:iCs/>
          <w:sz w:val="24"/>
          <w:szCs w:val="24"/>
        </w:rPr>
      </w:pPr>
      <w:r>
        <w:rPr>
          <w:rFonts w:hint="eastAsia"/>
          <w:bCs/>
          <w:iCs/>
          <w:sz w:val="24"/>
          <w:szCs w:val="24"/>
        </w:rPr>
        <w:t xml:space="preserve">《视频显示系统工程技术规范》（GB50464-2008）</w:t>
      </w:r>
      <w:r/>
    </w:p>
    <w:p>
      <w:pPr>
        <w:ind w:firstLine="480"/>
        <w:spacing w:line="400" w:lineRule="exact"/>
        <w:rPr>
          <w:rFonts w:hint="eastAsia"/>
          <w:bCs/>
          <w:iCs/>
          <w:sz w:val="24"/>
          <w:szCs w:val="24"/>
        </w:rPr>
      </w:pPr>
      <w:r>
        <w:rPr>
          <w:rFonts w:hint="eastAsia"/>
          <w:bCs/>
          <w:iCs/>
          <w:sz w:val="24"/>
          <w:szCs w:val="24"/>
        </w:rPr>
        <w:t xml:space="preserve">《建筑物防雷设计规范》（GB50057-2010）</w:t>
      </w:r>
      <w:r/>
    </w:p>
    <w:p>
      <w:pPr>
        <w:ind w:firstLine="480"/>
        <w:spacing w:line="400" w:lineRule="exact"/>
        <w:rPr>
          <w:rFonts w:hint="eastAsia"/>
          <w:bCs/>
          <w:iCs/>
          <w:sz w:val="24"/>
          <w:szCs w:val="24"/>
        </w:rPr>
      </w:pPr>
      <w:r>
        <w:rPr>
          <w:rFonts w:hint="eastAsia"/>
          <w:bCs/>
          <w:iCs/>
          <w:sz w:val="24"/>
          <w:szCs w:val="24"/>
        </w:rPr>
        <w:t xml:space="preserve">《建筑物电子信息系统防雷技术规范》（GB50343-2012）</w:t>
      </w:r>
      <w:r/>
    </w:p>
    <w:p>
      <w:pPr>
        <w:ind w:firstLine="480"/>
        <w:spacing w:line="400" w:lineRule="exact"/>
        <w:rPr>
          <w:rFonts w:hint="eastAsia"/>
          <w:bCs/>
          <w:iCs/>
          <w:sz w:val="24"/>
          <w:szCs w:val="24"/>
        </w:rPr>
      </w:pPr>
      <w:r>
        <w:rPr>
          <w:rFonts w:hint="eastAsia"/>
          <w:bCs/>
          <w:iCs/>
          <w:sz w:val="24"/>
          <w:szCs w:val="24"/>
        </w:rPr>
        <w:t xml:space="preserve">《电磁环境控制限值》（GB8702-2014）</w:t>
      </w:r>
      <w:r/>
    </w:p>
    <w:p>
      <w:pPr>
        <w:ind w:firstLine="480"/>
        <w:spacing w:line="400" w:lineRule="exact"/>
        <w:rPr>
          <w:rFonts w:hint="eastAsia"/>
          <w:bCs/>
          <w:iCs/>
          <w:sz w:val="24"/>
          <w:szCs w:val="24"/>
        </w:rPr>
      </w:pPr>
      <w:r>
        <w:rPr>
          <w:rFonts w:hint="eastAsia"/>
          <w:bCs/>
          <w:iCs/>
          <w:sz w:val="24"/>
          <w:szCs w:val="24"/>
        </w:rPr>
        <w:t xml:space="preserve">《智能建筑设计标准》（GB50314-2015）</w:t>
      </w:r>
      <w:r/>
    </w:p>
    <w:p>
      <w:pPr>
        <w:ind w:firstLine="480"/>
        <w:spacing w:line="400" w:lineRule="exact"/>
        <w:rPr>
          <w:rFonts w:hint="eastAsia"/>
          <w:bCs/>
          <w:iCs/>
          <w:sz w:val="24"/>
          <w:szCs w:val="24"/>
        </w:rPr>
      </w:pPr>
      <w:r>
        <w:rPr>
          <w:rFonts w:hint="eastAsia"/>
          <w:bCs/>
          <w:iCs/>
          <w:sz w:val="24"/>
          <w:szCs w:val="24"/>
        </w:rPr>
        <w:t xml:space="preserve">《数据中心设计规范》（GB50174-2017）</w:t>
      </w:r>
      <w:r/>
    </w:p>
    <w:p>
      <w:pPr>
        <w:ind w:firstLine="480"/>
        <w:spacing w:line="400" w:lineRule="exact"/>
        <w:rPr>
          <w:rFonts w:hint="eastAsia"/>
          <w:bCs/>
          <w:iCs/>
          <w:sz w:val="24"/>
          <w:szCs w:val="24"/>
        </w:rPr>
      </w:pPr>
      <w:r>
        <w:rPr>
          <w:rFonts w:hint="eastAsia"/>
          <w:bCs/>
          <w:iCs/>
          <w:sz w:val="24"/>
          <w:szCs w:val="24"/>
        </w:rPr>
        <w:t xml:space="preserve">《安全防范工程技术规范》（GB50348-2018）</w:t>
      </w:r>
      <w:r/>
    </w:p>
    <w:p>
      <w:pPr>
        <w:ind w:firstLine="480"/>
        <w:spacing w:line="400" w:lineRule="exact"/>
        <w:rPr>
          <w:rFonts w:hint="eastAsia"/>
          <w:bCs/>
          <w:iCs/>
          <w:sz w:val="24"/>
          <w:szCs w:val="24"/>
        </w:rPr>
      </w:pPr>
      <w:r>
        <w:rPr>
          <w:rFonts w:hint="eastAsia"/>
          <w:bCs/>
          <w:iCs/>
          <w:sz w:val="24"/>
          <w:szCs w:val="24"/>
        </w:rPr>
        <w:t xml:space="preserve">《视频显示系统工程测量规范》（GB/T50525-2010）</w:t>
      </w:r>
      <w:r/>
    </w:p>
    <w:p>
      <w:pPr>
        <w:ind w:firstLine="480"/>
        <w:spacing w:line="400" w:lineRule="exact"/>
        <w:rPr>
          <w:rFonts w:hint="eastAsia"/>
          <w:bCs/>
          <w:iCs/>
          <w:sz w:val="24"/>
          <w:szCs w:val="24"/>
        </w:rPr>
      </w:pPr>
      <w:r>
        <w:rPr>
          <w:rFonts w:hint="eastAsia"/>
          <w:bCs/>
          <w:iCs/>
          <w:sz w:val="24"/>
          <w:szCs w:val="24"/>
        </w:rPr>
        <w:t xml:space="preserve">《计算机场地安全要求》（GB/T9361-2011）</w:t>
      </w:r>
      <w:r/>
    </w:p>
    <w:p>
      <w:pPr>
        <w:ind w:firstLine="480"/>
        <w:spacing w:line="400" w:lineRule="exact"/>
        <w:rPr>
          <w:rFonts w:hint="eastAsia"/>
          <w:bCs/>
          <w:iCs/>
          <w:sz w:val="24"/>
          <w:szCs w:val="24"/>
        </w:rPr>
      </w:pPr>
      <w:r>
        <w:rPr>
          <w:rFonts w:hint="eastAsia"/>
          <w:bCs/>
          <w:iCs/>
          <w:sz w:val="24"/>
          <w:szCs w:val="24"/>
        </w:rPr>
        <w:t xml:space="preserve">《信息安全技术网络安全等级保护基本要求》（GB/T22239-2019）</w:t>
      </w:r>
      <w:r/>
    </w:p>
    <w:p>
      <w:pPr>
        <w:ind w:firstLine="480"/>
        <w:spacing w:line="400" w:lineRule="exact"/>
        <w:rPr>
          <w:rFonts w:hint="eastAsia"/>
          <w:bCs/>
          <w:iCs/>
          <w:sz w:val="24"/>
          <w:szCs w:val="24"/>
        </w:rPr>
      </w:pPr>
      <w:r>
        <w:rPr>
          <w:rFonts w:hint="eastAsia"/>
          <w:bCs/>
          <w:iCs/>
          <w:sz w:val="24"/>
          <w:szCs w:val="24"/>
        </w:rPr>
        <w:t xml:space="preserve">《信息安全技术网络安全等级保护安全设计技术要求》（GB/T25070-2019）</w:t>
      </w:r>
      <w:r/>
    </w:p>
    <w:p>
      <w:pPr>
        <w:ind w:firstLine="480"/>
        <w:spacing w:line="400" w:lineRule="exact"/>
        <w:rPr>
          <w:rFonts w:hint="eastAsia"/>
          <w:bCs/>
          <w:iCs/>
          <w:sz w:val="24"/>
          <w:szCs w:val="24"/>
        </w:rPr>
      </w:pPr>
      <w:r>
        <w:rPr>
          <w:rFonts w:hint="eastAsia"/>
          <w:bCs/>
          <w:iCs/>
          <w:sz w:val="24"/>
          <w:szCs w:val="24"/>
        </w:rPr>
        <w:t xml:space="preserve">《信息安全技术网络安全等级保护测评要求》（GB/T28448-2019）</w:t>
      </w:r>
      <w:r/>
    </w:p>
    <w:p>
      <w:pPr>
        <w:ind w:firstLine="480"/>
        <w:spacing w:line="400" w:lineRule="exact"/>
        <w:rPr>
          <w:rFonts w:hint="eastAsia"/>
          <w:bCs/>
          <w:iCs/>
          <w:sz w:val="24"/>
          <w:szCs w:val="24"/>
        </w:rPr>
      </w:pPr>
      <w:r>
        <w:rPr>
          <w:rFonts w:hint="eastAsia"/>
          <w:bCs/>
          <w:iCs/>
          <w:sz w:val="24"/>
          <w:szCs w:val="24"/>
        </w:rPr>
        <w:t xml:space="preserve">《信息安全技术信息系统密码应用基本要求》（GB/T39786-2021）</w:t>
      </w:r>
      <w:r/>
    </w:p>
    <w:p>
      <w:pPr>
        <w:ind w:firstLine="480"/>
        <w:spacing w:line="400" w:lineRule="exact"/>
        <w:rPr>
          <w:rFonts w:hint="eastAsia"/>
          <w:bCs/>
          <w:iCs/>
          <w:sz w:val="24"/>
          <w:szCs w:val="24"/>
        </w:rPr>
      </w:pPr>
      <w:r>
        <w:rPr>
          <w:rFonts w:hint="eastAsia"/>
          <w:bCs/>
          <w:iCs/>
          <w:sz w:val="24"/>
          <w:szCs w:val="24"/>
        </w:rPr>
        <w:t xml:space="preserve">《信息安全技术 信息系统密码应用测评要求》（GB/T43206-2023）</w:t>
      </w:r>
      <w:r/>
    </w:p>
    <w:p>
      <w:pPr>
        <w:ind w:firstLine="480"/>
        <w:spacing w:line="400" w:lineRule="exact"/>
        <w:rPr>
          <w:rFonts w:hint="eastAsia"/>
          <w:bCs/>
          <w:iCs/>
          <w:sz w:val="24"/>
          <w:szCs w:val="24"/>
        </w:rPr>
      </w:pPr>
      <w:r>
        <w:rPr>
          <w:rFonts w:hint="eastAsia"/>
          <w:bCs/>
          <w:iCs/>
          <w:sz w:val="24"/>
          <w:szCs w:val="24"/>
        </w:rPr>
        <w:t xml:space="preserve">《信息安全技术—SM9密码算法使用规范》（GB/T 41389-2022）</w:t>
      </w:r>
      <w:r/>
    </w:p>
    <w:p>
      <w:pPr>
        <w:ind w:firstLine="480"/>
        <w:spacing w:line="400" w:lineRule="exact"/>
        <w:rPr>
          <w:rFonts w:hint="eastAsia"/>
          <w:bCs/>
          <w:iCs/>
          <w:sz w:val="24"/>
          <w:szCs w:val="24"/>
        </w:rPr>
      </w:pPr>
      <w:r>
        <w:rPr>
          <w:rFonts w:hint="eastAsia"/>
          <w:bCs/>
          <w:iCs/>
          <w:sz w:val="24"/>
          <w:szCs w:val="24"/>
        </w:rPr>
        <w:t xml:space="preserve">《科技法庭建设规范》（FYB/T 54001-2024）</w:t>
      </w:r>
      <w:r/>
    </w:p>
    <w:p>
      <w:pPr>
        <w:ind w:firstLine="480"/>
        <w:spacing w:line="400" w:lineRule="exact"/>
        <w:rPr>
          <w:rFonts w:hint="eastAsia"/>
          <w:bCs/>
          <w:iCs/>
          <w:sz w:val="24"/>
          <w:szCs w:val="24"/>
        </w:rPr>
      </w:pPr>
      <w:r>
        <w:rPr>
          <w:rFonts w:hint="eastAsia"/>
          <w:bCs/>
          <w:iCs/>
          <w:sz w:val="24"/>
          <w:szCs w:val="24"/>
        </w:rPr>
        <w:t xml:space="preserve">《安全隔离与信息交换平台使用和管理要求》（FYB/T 59006-2020）</w:t>
      </w:r>
      <w:r/>
    </w:p>
    <w:p>
      <w:pPr>
        <w:ind w:firstLine="480"/>
        <w:spacing w:line="400" w:lineRule="exact"/>
        <w:rPr>
          <w:rFonts w:hint="eastAsia"/>
          <w:bCs/>
          <w:iCs/>
          <w:sz w:val="24"/>
          <w:szCs w:val="24"/>
        </w:rPr>
      </w:pPr>
      <w:r>
        <w:rPr>
          <w:rFonts w:hint="eastAsia"/>
          <w:bCs/>
          <w:iCs/>
          <w:sz w:val="24"/>
          <w:szCs w:val="24"/>
        </w:rPr>
        <w:t xml:space="preserve">《安全防范系统雷电浪涌防护技术要求》（GA/T670-2006）</w:t>
      </w:r>
      <w:r/>
    </w:p>
    <w:p>
      <w:pPr>
        <w:ind w:firstLine="480"/>
        <w:spacing w:line="400" w:lineRule="exact"/>
        <w:rPr>
          <w:rFonts w:hint="eastAsia"/>
          <w:bCs/>
          <w:iCs/>
          <w:sz w:val="24"/>
          <w:szCs w:val="24"/>
        </w:rPr>
      </w:pPr>
      <w:r>
        <w:rPr>
          <w:rFonts w:hint="eastAsia"/>
          <w:bCs/>
          <w:iCs/>
          <w:sz w:val="24"/>
          <w:szCs w:val="24"/>
        </w:rPr>
        <w:t xml:space="preserve">《安全防范视频监控矩阵设备通用技术要求》（GA/T646-2016）</w:t>
      </w:r>
      <w:r/>
    </w:p>
    <w:p>
      <w:pPr>
        <w:ind w:firstLine="480"/>
        <w:spacing w:line="400" w:lineRule="exact"/>
        <w:rPr>
          <w:rFonts w:hint="eastAsia"/>
          <w:bCs/>
          <w:iCs/>
          <w:sz w:val="24"/>
          <w:szCs w:val="24"/>
        </w:rPr>
      </w:pPr>
      <w:r>
        <w:rPr>
          <w:rFonts w:hint="eastAsia"/>
          <w:bCs/>
          <w:iCs/>
          <w:sz w:val="24"/>
          <w:szCs w:val="24"/>
        </w:rPr>
        <w:t xml:space="preserve">《环境信息网络建设规范》（HJ460-2009）</w:t>
      </w:r>
      <w:r/>
    </w:p>
    <w:p>
      <w:pPr>
        <w:ind w:firstLine="480"/>
        <w:spacing w:line="400" w:lineRule="exact"/>
        <w:rPr>
          <w:rFonts w:hint="eastAsia"/>
          <w:bCs/>
          <w:iCs/>
          <w:sz w:val="24"/>
          <w:szCs w:val="24"/>
        </w:rPr>
      </w:pPr>
      <w:r>
        <w:rPr>
          <w:rFonts w:hint="eastAsia"/>
          <w:bCs/>
          <w:iCs/>
          <w:sz w:val="24"/>
          <w:szCs w:val="24"/>
        </w:rPr>
        <w:t xml:space="preserve">《生态环境信息化标准体系指南》（HJ511-2024）</w:t>
      </w:r>
      <w:r/>
    </w:p>
    <w:p>
      <w:pPr>
        <w:ind w:firstLine="480"/>
        <w:spacing w:line="400" w:lineRule="exact"/>
        <w:rPr>
          <w:rFonts w:hint="eastAsia"/>
          <w:bCs/>
          <w:iCs/>
          <w:sz w:val="24"/>
          <w:szCs w:val="24"/>
        </w:rPr>
      </w:pPr>
      <w:r>
        <w:rPr>
          <w:rFonts w:hint="eastAsia"/>
          <w:bCs/>
          <w:iCs/>
          <w:sz w:val="24"/>
          <w:szCs w:val="24"/>
        </w:rPr>
        <w:t xml:space="preserve">参考国家标准、行业标准等修订后的最新标准作为依据。除上述规范标准以外，还须遵循国家、行业及地方现行的相关规范和标准要求。</w:t>
      </w:r>
      <w:r/>
    </w:p>
    <w:p>
      <w:pPr>
        <w:ind w:left="500" w:hanging="84"/>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bookmarkStart w:id="2" w:name="_Toc10206"/>
      <w:r>
        <w:rPr>
          <w:rFonts w:hint="eastAsia" w:ascii="宋体" w:hAnsi="宋体" w:cs="宋体"/>
          <w:b/>
          <w:bCs/>
          <w:sz w:val="24"/>
          <w:szCs w:val="24"/>
        </w:rPr>
        <w:t xml:space="preserve">五、建设原则</w:t>
      </w:r>
      <w:bookmarkEnd w:id="2"/>
      <w:r/>
      <w:r/>
    </w:p>
    <w:p>
      <w:pPr>
        <w:ind w:firstLine="480"/>
        <w:spacing w:line="400" w:lineRule="exact"/>
        <w:rPr>
          <w:rFonts w:hint="eastAsia"/>
          <w:bCs/>
          <w:iCs/>
          <w:sz w:val="24"/>
          <w:szCs w:val="24"/>
        </w:rPr>
      </w:pPr>
      <w:r>
        <w:rPr>
          <w:rFonts w:hint="eastAsia"/>
          <w:bCs/>
          <w:iCs/>
          <w:sz w:val="24"/>
          <w:szCs w:val="24"/>
        </w:rPr>
        <w:t xml:space="preserve">1、突出智能运用</w:t>
      </w:r>
      <w:r/>
    </w:p>
    <w:p>
      <w:pPr>
        <w:ind w:firstLine="480"/>
        <w:spacing w:line="400" w:lineRule="exact"/>
        <w:rPr>
          <w:rFonts w:hint="eastAsia"/>
          <w:bCs/>
          <w:iCs/>
          <w:sz w:val="24"/>
          <w:szCs w:val="24"/>
        </w:rPr>
      </w:pPr>
      <w:r>
        <w:rPr>
          <w:rFonts w:hint="eastAsia"/>
          <w:bCs/>
          <w:iCs/>
          <w:sz w:val="24"/>
          <w:szCs w:val="24"/>
        </w:rPr>
        <w:t xml:space="preserve">充分考量扬州市中级人民法院信息技术迭代升级与司法信息需求快速增长的发展趋势，本项目技术架构设计秉持适度超前原则，深度融合大数据、物联网、人工智能等前沿技术理念与应用成果，精准适配智慧法院办案模式的科技发展要求，确保系统能够满足未来十五至二十年扬州法院信息化建设的长远需求。核心设备优先选用符合安全可靠标准的集成化、数字化主流产品，着力打造技术领先、运行成熟、安全稳定的信息化支撑体系，全面契合智慧法院建设的未来发展方向。</w:t>
      </w:r>
      <w:r/>
    </w:p>
    <w:p>
      <w:pPr>
        <w:ind w:firstLine="480"/>
        <w:spacing w:line="400" w:lineRule="exact"/>
        <w:rPr>
          <w:rFonts w:hint="eastAsia"/>
          <w:bCs/>
          <w:iCs/>
          <w:sz w:val="24"/>
          <w:szCs w:val="24"/>
        </w:rPr>
      </w:pPr>
      <w:r>
        <w:rPr>
          <w:rFonts w:hint="eastAsia"/>
          <w:bCs/>
          <w:iCs/>
          <w:sz w:val="24"/>
          <w:szCs w:val="24"/>
        </w:rPr>
        <w:t xml:space="preserve">2、强化可靠运行</w:t>
      </w:r>
      <w:r/>
    </w:p>
    <w:p>
      <w:pPr>
        <w:ind w:firstLine="480"/>
        <w:spacing w:line="400" w:lineRule="exact"/>
        <w:rPr>
          <w:rFonts w:hint="eastAsia"/>
          <w:bCs/>
          <w:iCs/>
          <w:sz w:val="24"/>
          <w:szCs w:val="24"/>
        </w:rPr>
      </w:pPr>
      <w:r>
        <w:rPr>
          <w:rFonts w:hint="eastAsia"/>
          <w:bCs/>
          <w:iCs/>
          <w:sz w:val="24"/>
          <w:szCs w:val="24"/>
        </w:rPr>
        <w:t xml:space="preserve">优先选用经实践检验的成熟实用技术与设备，最大化适配项目当前及未来业务拓展需求，确保系统耐久可靠、高效实用。系统需具备全面完善的管理功能，可充分满足各项业务的管理应用需求；操作环境需实现全流程适配，界面设计简洁友好，联机帮助功能健全完备、精准有效，切实提升操作便捷性与使用体验。</w:t>
      </w:r>
      <w:r/>
    </w:p>
    <w:p>
      <w:pPr>
        <w:ind w:firstLine="480"/>
        <w:spacing w:line="400" w:lineRule="exact"/>
        <w:rPr>
          <w:rFonts w:hint="eastAsia"/>
          <w:bCs/>
          <w:iCs/>
          <w:sz w:val="24"/>
          <w:szCs w:val="24"/>
        </w:rPr>
      </w:pPr>
      <w:r>
        <w:rPr>
          <w:rFonts w:hint="eastAsia"/>
          <w:bCs/>
          <w:iCs/>
          <w:sz w:val="24"/>
          <w:szCs w:val="24"/>
        </w:rPr>
        <w:t xml:space="preserve">3、满足开放扩展</w:t>
      </w:r>
      <w:r/>
    </w:p>
    <w:p>
      <w:pPr>
        <w:ind w:firstLine="480"/>
        <w:spacing w:line="400" w:lineRule="exact"/>
        <w:rPr>
          <w:rFonts w:hint="eastAsia"/>
          <w:bCs/>
          <w:iCs/>
          <w:sz w:val="24"/>
          <w:szCs w:val="24"/>
        </w:rPr>
      </w:pPr>
      <w:r>
        <w:rPr>
          <w:rFonts w:hint="eastAsia"/>
          <w:bCs/>
          <w:iCs/>
          <w:sz w:val="24"/>
          <w:szCs w:val="24"/>
        </w:rPr>
        <w:t xml:space="preserve">为了满足系统所选用的技术和设备的协同运行能力以及法院信息化工作发展需求的不断扩展，必须追求系统的开放性，采用开放的技术标准。系统设计中各子系统均提供了标准化和开放性的接口协议，保证了各子系统之间的网络化与集成化实现。总体结构应具有兼容性和可扩展性，可以包容不同类型的产品，便于升级换代，使整个信息化系统可以随着技术的发展与进步，不断得到充实、完善、改进和提高。</w:t>
      </w:r>
      <w:r/>
    </w:p>
    <w:p>
      <w:pPr>
        <w:ind w:firstLine="480"/>
        <w:spacing w:line="400" w:lineRule="exact"/>
        <w:rPr>
          <w:rFonts w:hint="eastAsia"/>
          <w:bCs/>
          <w:iCs/>
          <w:sz w:val="24"/>
          <w:szCs w:val="24"/>
        </w:rPr>
      </w:pPr>
      <w:r>
        <w:rPr>
          <w:rFonts w:hint="eastAsia"/>
          <w:bCs/>
          <w:iCs/>
          <w:sz w:val="24"/>
          <w:szCs w:val="24"/>
        </w:rPr>
        <w:t xml:space="preserve">4、保证安全冗余</w:t>
      </w:r>
      <w:r/>
    </w:p>
    <w:p>
      <w:pPr>
        <w:ind w:firstLine="480"/>
        <w:spacing w:line="400" w:lineRule="exact"/>
        <w:rPr>
          <w:rFonts w:hint="eastAsia"/>
          <w:bCs/>
          <w:iCs/>
          <w:sz w:val="24"/>
          <w:szCs w:val="24"/>
        </w:rPr>
      </w:pPr>
      <w:r>
        <w:rPr>
          <w:rFonts w:hint="eastAsia"/>
          <w:bCs/>
          <w:iCs/>
          <w:sz w:val="24"/>
          <w:szCs w:val="24"/>
        </w:rPr>
        <w:t xml:space="preserve">项目信息化系统必须具有高度的安全性和稳定性，包括系统自身安全和信息传递的安全，以及运行的可靠性。对网络系统、数据系统的数据交换、存储和访问等应有有效的安全措施，防止数据被破坏、窃取、丢失等事故发生。安全级别控制健全，防止截取操作，能有效审计用户操作，以便追查事故原因。整个信息化系统需要通过信息安全测评，通过查漏补缺来确保系统的安全性。</w:t>
      </w:r>
      <w:r/>
    </w:p>
    <w:p>
      <w:pPr>
        <w:ind w:firstLine="480"/>
        <w:spacing w:line="400" w:lineRule="exact"/>
        <w:rPr>
          <w:rFonts w:hint="eastAsia"/>
          <w:bCs/>
          <w:iCs/>
          <w:sz w:val="24"/>
          <w:szCs w:val="24"/>
        </w:rPr>
      </w:pPr>
      <w:r>
        <w:rPr>
          <w:rFonts w:hint="eastAsia"/>
          <w:bCs/>
          <w:iCs/>
          <w:sz w:val="24"/>
          <w:szCs w:val="24"/>
        </w:rPr>
        <w:t xml:space="preserve">5、提升数据共享</w:t>
      </w:r>
      <w:r/>
    </w:p>
    <w:p>
      <w:pPr>
        <w:ind w:firstLine="480"/>
        <w:spacing w:line="400" w:lineRule="exact"/>
        <w:rPr>
          <w:rFonts w:hint="eastAsia"/>
          <w:bCs/>
          <w:iCs/>
          <w:sz w:val="24"/>
          <w:szCs w:val="24"/>
          <w:highlight w:val="none"/>
        </w:rPr>
      </w:pPr>
      <w:r>
        <w:rPr>
          <w:rFonts w:hint="eastAsia"/>
          <w:bCs/>
          <w:iCs/>
          <w:sz w:val="24"/>
          <w:szCs w:val="24"/>
        </w:rPr>
        <w:t xml:space="preserve">进一步强化数据资源整合共享，统筹管理数据资源，建立数据资产；加大纵向、横向的数据交换力度，获取更加全面的数据资源。通过部门间互联互通、数据共享、协同联动，实现跨部门数据流动，提升公共服务的整体效能，需要着力于培育数据共享、业</w:t>
      </w:r>
      <w:r>
        <w:rPr>
          <w:rFonts w:hint="eastAsia"/>
          <w:bCs/>
          <w:iCs/>
          <w:sz w:val="24"/>
          <w:szCs w:val="24"/>
          <w:highlight w:val="none"/>
        </w:rPr>
        <w:t xml:space="preserve">务协同机制，强化业务协同联动，打破信息孤岛，推动信息互联互通、开放共享，发挥数据流在法院办案过程中的基础性作用，使共享协同在提升司法机关公共管理能力，提高国家治理水平、创新公共服务、优化公共政策等方面发挥重要作用。</w:t>
      </w:r>
      <w:r/>
    </w:p>
    <w:p>
      <w:pPr>
        <w:ind w:left="500" w:hanging="84"/>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bookmarkStart w:id="3" w:name="_Toc31880"/>
      <w:r>
        <w:rPr>
          <w:rFonts w:hint="eastAsia" w:ascii="宋体" w:hAnsi="宋体" w:cs="宋体"/>
          <w:b/>
          <w:bCs/>
          <w:sz w:val="24"/>
          <w:szCs w:val="24"/>
          <w:highlight w:val="none"/>
        </w:rPr>
        <w:t xml:space="preserve">六、建设目标</w:t>
      </w:r>
      <w:bookmarkEnd w:id="3"/>
      <w:r/>
      <w:r/>
    </w:p>
    <w:p>
      <w:pPr>
        <w:ind w:firstLine="480"/>
        <w:spacing w:line="400" w:lineRule="exact"/>
        <w:rPr>
          <w:rFonts w:hint="eastAsia"/>
          <w:bCs/>
          <w:iCs/>
          <w:sz w:val="24"/>
          <w:szCs w:val="24"/>
          <w:highlight w:val="none"/>
        </w:rPr>
      </w:pPr>
      <w:r>
        <w:rPr>
          <w:rFonts w:hint="eastAsia"/>
          <w:bCs/>
          <w:iCs/>
          <w:sz w:val="24"/>
          <w:szCs w:val="24"/>
          <w:highlight w:val="none"/>
        </w:rPr>
        <w:t xml:space="preserve">按照人民法院信息化发展规划要求，积极完善“智慧</w:t>
      </w:r>
      <w:r>
        <w:rPr>
          <w:rFonts w:hint="eastAsia"/>
          <w:bCs/>
          <w:iCs/>
          <w:sz w:val="24"/>
          <w:szCs w:val="24"/>
          <w:highlight w:val="none"/>
        </w:rPr>
        <w:t xml:space="preserve">法院”系列解决方案，形成了“服务诉讼”、“服务审判”、“服务执行”、“服务司法”四类全覆盖法院音视频业务的解决方案，可以有效地辅助法院尽快建成以大数据为核心的人民法院信息化4.0，促进审判体系和审判能力现代化，为人民群众提供更加高效，更加便利，更加全面的司法服务。审判法庭信息化建设项目立足于扬州法院审判工作实际，力求信息化建设同司法审判工作深度融合，通过加强信息化相关平台、技术建设，旨在促进法院现代化建设，更好地服务经济社会高质量发展，为扬州在新时代中国特色社会主义建设征程中“走在前、做示范”提供有力保障。</w:t>
      </w:r>
      <w:r/>
    </w:p>
    <w:p>
      <w:pPr>
        <w:numPr>
          <w:ilvl w:val="0"/>
          <w:numId w:val="14"/>
        </w:numPr>
        <w:ind w:left="500" w:hanging="84"/>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技术及商务要求</w:t>
      </w:r>
      <w:r/>
    </w:p>
    <w:p>
      <w:pPr>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 </w:t>
      </w:r>
      <w:r/>
    </w:p>
    <w:p>
      <w:pPr>
        <w:jc w:val="left"/>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bookmarkStart w:id="4" w:name="_Toc28311"/>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一</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、建设内容</w:t>
      </w:r>
      <w:bookmarkEnd w:id="4"/>
      <w:r/>
      <w:r/>
    </w:p>
    <w:p>
      <w:pPr>
        <w:ind w:firstLine="48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bookmarkStart w:id="5" w:name="_Toc20486"/>
      <w:r/>
      <w:bookmarkStart w:id="6" w:name="_Toc20723"/>
      <w:r/>
      <w:bookmarkStart w:id="7" w:name="_Toc19032"/>
      <w:r/>
      <w:bookmarkStart w:id="8" w:name="_Toc11702"/>
      <w:r/>
      <w:bookmarkStart w:id="9" w:name="_Toc9792"/>
      <w:r/>
      <w:bookmarkStart w:id="10" w:name="_Toc8610"/>
      <w:r/>
      <w:bookmarkStart w:id="11" w:name="OLE_LINK2"/>
      <w:r>
        <w:rPr>
          <w:rFonts w:hint="eastAsia" w:ascii="宋体" w:hAnsi="宋体" w:cs="宋体"/>
          <w:sz w:val="24"/>
          <w:szCs w:val="24"/>
          <w:highlight w:val="none"/>
        </w:rPr>
        <w:t xml:space="preserve">1.</w:t>
      </w:r>
      <w:bookmarkEnd w:id="5"/>
      <w:r/>
      <w:bookmarkEnd w:id="6"/>
      <w:r/>
      <w:bookmarkEnd w:id="7"/>
      <w:r/>
      <w:bookmarkEnd w:id="8"/>
      <w:r/>
      <w:bookmarkEnd w:id="9"/>
      <w:r/>
      <w:bookmarkEnd w:id="10"/>
      <w:r>
        <w:rPr>
          <w:rFonts w:hint="eastAsia"/>
          <w:highlight w:val="none"/>
        </w:rPr>
        <w:t xml:space="preserve"> </w:t>
      </w:r>
      <w:r>
        <w:rPr>
          <w:rFonts w:ascii="宋体" w:hAnsi="宋体" w:cs="宋体"/>
          <w:sz w:val="24"/>
          <w:szCs w:val="24"/>
          <w:highlight w:val="none"/>
        </w:rPr>
        <w:t xml:space="preserve">无纸化</w:t>
      </w:r>
      <w:r>
        <w:rPr>
          <w:rFonts w:hint="eastAsia" w:ascii="宋体" w:hAnsi="宋体" w:cs="宋体"/>
          <w:sz w:val="24"/>
          <w:szCs w:val="24"/>
          <w:highlight w:val="none"/>
        </w:rPr>
        <w:t xml:space="preserve">会议</w:t>
      </w:r>
      <w:r>
        <w:rPr>
          <w:rFonts w:ascii="宋体" w:hAnsi="宋体" w:cs="宋体"/>
          <w:sz w:val="24"/>
          <w:szCs w:val="24"/>
          <w:highlight w:val="none"/>
        </w:rPr>
        <w:t xml:space="preserve">系统</w:t>
      </w:r>
      <w:r/>
    </w:p>
    <w:p>
      <w:pPr>
        <w:ind w:firstLine="48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w:t>
      </w:r>
      <w:r>
        <w:rPr>
          <w:rFonts w:hint="eastAsia"/>
          <w:highlight w:val="none"/>
        </w:rPr>
        <w:t xml:space="preserve"> </w:t>
      </w:r>
      <w:r>
        <w:rPr>
          <w:rFonts w:ascii="宋体" w:hAnsi="宋体" w:cs="宋体"/>
          <w:sz w:val="24"/>
          <w:szCs w:val="24"/>
          <w:highlight w:val="none"/>
        </w:rPr>
        <w:t xml:space="preserve">发言</w:t>
      </w:r>
      <w:r>
        <w:rPr>
          <w:rFonts w:hint="eastAsia" w:ascii="宋体" w:hAnsi="宋体" w:cs="宋体"/>
          <w:sz w:val="24"/>
          <w:szCs w:val="24"/>
          <w:highlight w:val="none"/>
        </w:rPr>
        <w:t xml:space="preserve">扩声系统</w:t>
      </w:r>
      <w:r/>
    </w:p>
    <w:p>
      <w:pPr>
        <w:ind w:firstLine="48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w:t>
      </w:r>
      <w:r>
        <w:rPr>
          <w:rFonts w:hint="eastAsia"/>
          <w:highlight w:val="none"/>
        </w:rPr>
        <w:t xml:space="preserve"> </w:t>
      </w:r>
      <w:r>
        <w:rPr>
          <w:rFonts w:hint="eastAsia" w:ascii="宋体" w:hAnsi="宋体" w:cs="宋体"/>
          <w:sz w:val="24"/>
          <w:szCs w:val="24"/>
          <w:highlight w:val="none"/>
        </w:rPr>
        <w:t xml:space="preserve">视频</w:t>
      </w:r>
      <w:r>
        <w:rPr>
          <w:rFonts w:ascii="宋体" w:hAnsi="宋体" w:cs="宋体"/>
          <w:sz w:val="24"/>
          <w:szCs w:val="24"/>
          <w:highlight w:val="none"/>
        </w:rPr>
        <w:t xml:space="preserve">控制系统</w:t>
      </w:r>
      <w:r/>
    </w:p>
    <w:p>
      <w:pPr>
        <w:ind w:firstLine="48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w:t>
      </w:r>
      <w:r>
        <w:rPr>
          <w:rFonts w:ascii="宋体" w:hAnsi="宋体" w:cs="宋体"/>
          <w:sz w:val="24"/>
          <w:szCs w:val="24"/>
          <w:highlight w:val="none"/>
        </w:rPr>
        <w:t xml:space="preserve">智慧运维控制系统</w:t>
      </w:r>
      <w:r/>
    </w:p>
    <w:p>
      <w:pPr>
        <w:ind w:firstLine="48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w:t>
      </w:r>
      <w:r>
        <w:rPr>
          <w:rFonts w:ascii="宋体" w:hAnsi="宋体" w:cs="宋体"/>
          <w:sz w:val="24"/>
          <w:szCs w:val="24"/>
          <w:highlight w:val="none"/>
        </w:rPr>
        <w:t xml:space="preserve">语音转写系统</w:t>
      </w:r>
      <w:bookmarkEnd w:id="11"/>
      <w:r/>
    </w:p>
    <w:p>
      <w:pPr>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bookmarkStart w:id="12" w:name="_Toc15822"/>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二</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、工期要求</w:t>
      </w:r>
      <w:bookmarkEnd w:id="12"/>
      <w:r/>
      <w:r/>
    </w:p>
    <w:p>
      <w:pPr>
        <w:ind w:firstLine="480"/>
        <w:spacing w:line="400" w:lineRule="exact"/>
        <w:rPr>
          <w:rFonts w:hint="eastAsia"/>
          <w:bCs/>
          <w:iCs/>
          <w:sz w:val="24"/>
          <w:szCs w:val="24"/>
          <w:highlight w:val="none"/>
        </w:rPr>
      </w:pPr>
      <w:r>
        <w:rPr>
          <w:rFonts w:hint="eastAsia"/>
          <w:bCs/>
          <w:iCs/>
          <w:sz w:val="24"/>
          <w:szCs w:val="24"/>
          <w:highlight w:val="none"/>
        </w:rPr>
        <w:t xml:space="preserve">自中标签订合同之日起，</w:t>
      </w:r>
      <w:r>
        <w:rPr>
          <w:rFonts w:hint="eastAsia"/>
          <w:bCs/>
          <w:iCs/>
          <w:sz w:val="24"/>
          <w:szCs w:val="24"/>
          <w:highlight w:val="none"/>
          <w:lang w:val="en-US" w:eastAsia="zh-CN"/>
        </w:rPr>
        <w:t xml:space="preserve">15</w:t>
      </w:r>
      <w:r>
        <w:rPr>
          <w:rFonts w:hint="eastAsia"/>
          <w:bCs/>
          <w:iCs/>
          <w:sz w:val="24"/>
          <w:szCs w:val="24"/>
          <w:highlight w:val="none"/>
        </w:rPr>
        <w:t xml:space="preserve">天内设备全部到货或部署，</w:t>
      </w:r>
      <w:r>
        <w:rPr>
          <w:rFonts w:hint="eastAsia"/>
          <w:bCs/>
          <w:iCs/>
          <w:sz w:val="24"/>
          <w:szCs w:val="24"/>
          <w:highlight w:val="none"/>
          <w:lang w:val="en-US" w:eastAsia="zh-CN"/>
        </w:rPr>
        <w:t xml:space="preserve">25</w:t>
      </w:r>
      <w:r>
        <w:rPr>
          <w:rFonts w:hint="eastAsia"/>
          <w:bCs/>
          <w:iCs/>
          <w:sz w:val="24"/>
          <w:szCs w:val="24"/>
          <w:highlight w:val="none"/>
        </w:rPr>
        <w:t xml:space="preserve">天内完工，连续不间断正常运行三个月后组织验收。</w:t>
      </w:r>
      <w:r/>
    </w:p>
    <w:p>
      <w:pPr>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bookmarkStart w:id="13" w:name="_Toc11604"/>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三</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建设</w:t>
      </w:r>
      <w:bookmarkEnd w:id="13"/>
      <w:r>
        <w:rPr>
          <w:rFonts w:hint="eastAsia" w:ascii="宋体" w:hAnsi="宋体" w:cs="宋体"/>
          <w:b/>
          <w:bCs/>
          <w:sz w:val="24"/>
          <w:szCs w:val="24"/>
          <w:highlight w:val="none"/>
        </w:rPr>
        <w:t xml:space="preserve">要求</w:t>
      </w:r>
      <w:r/>
    </w:p>
    <w:p>
      <w:pPr>
        <w:ind w:firstLine="480"/>
        <w:spacing w:line="400" w:lineRule="exact"/>
        <w:rPr>
          <w:rFonts w:hint="eastAsia"/>
          <w:bCs/>
          <w:iCs/>
          <w:sz w:val="24"/>
          <w:szCs w:val="24"/>
          <w:highlight w:val="none"/>
        </w:rPr>
      </w:pPr>
      <w:r>
        <w:rPr>
          <w:rFonts w:hint="eastAsia"/>
          <w:bCs/>
          <w:iCs/>
          <w:sz w:val="24"/>
          <w:szCs w:val="24"/>
          <w:highlight w:val="none"/>
        </w:rPr>
        <w:t xml:space="preserve">1. 无纸化会议系统</w:t>
      </w:r>
      <w:r/>
    </w:p>
    <w:p>
      <w:pPr>
        <w:ind w:firstLine="480"/>
        <w:spacing w:line="400" w:lineRule="exact"/>
        <w:rPr>
          <w:rFonts w:hint="eastAsia"/>
          <w:bCs/>
          <w:iCs/>
          <w:sz w:val="24"/>
          <w:szCs w:val="24"/>
          <w:highlight w:val="none"/>
        </w:rPr>
      </w:pPr>
      <w:r>
        <w:rPr>
          <w:rFonts w:hint="eastAsia"/>
          <w:bCs/>
          <w:iCs/>
          <w:sz w:val="24"/>
          <w:szCs w:val="24"/>
          <w:highlight w:val="none"/>
        </w:rPr>
        <w:t xml:space="preserve">立足审判委员会会议系统数字化、国产化、安全化、绿色化建设要求，通过全套国产化无纸化会议系统建设及专网搭建，全面升级审判委员会会议办公模式</w:t>
      </w:r>
      <w:r/>
    </w:p>
    <w:p>
      <w:pPr>
        <w:ind w:firstLine="480"/>
        <w:spacing w:line="400" w:lineRule="exact"/>
        <w:rPr>
          <w:rFonts w:hint="eastAsia"/>
          <w:bCs/>
          <w:iCs/>
          <w:sz w:val="24"/>
          <w:szCs w:val="24"/>
          <w:highlight w:val="none"/>
        </w:rPr>
      </w:pPr>
      <w:r>
        <w:rPr>
          <w:rFonts w:hint="eastAsia"/>
          <w:bCs/>
          <w:iCs/>
          <w:sz w:val="24"/>
          <w:szCs w:val="24"/>
          <w:highlight w:val="none"/>
        </w:rPr>
        <w:t xml:space="preserve">2. 发言扩声系统</w:t>
      </w:r>
      <w:r/>
    </w:p>
    <w:p>
      <w:pPr>
        <w:ind w:firstLine="480"/>
        <w:spacing w:line="400" w:lineRule="exact"/>
        <w:rPr>
          <w:rFonts w:hint="eastAsia"/>
          <w:bCs/>
          <w:iCs/>
          <w:sz w:val="24"/>
          <w:szCs w:val="24"/>
          <w:highlight w:val="none"/>
        </w:rPr>
      </w:pPr>
      <w:r>
        <w:rPr>
          <w:rFonts w:hint="eastAsia"/>
          <w:bCs/>
          <w:iCs/>
          <w:sz w:val="24"/>
          <w:szCs w:val="24"/>
          <w:highlight w:val="none"/>
        </w:rPr>
        <w:t xml:space="preserve">通过采用点对点发言模式：配置29只模拟话筒及后级设备，且麦克风拾音距离不少于60厘米（支持多支同时开启且无啸叫、无电流噪声），能够精准拾取并传输每位发言者的声音，有效防止因发言界限模糊引发的音频混杂问题。</w:t>
      </w:r>
      <w:r/>
    </w:p>
    <w:p>
      <w:pPr>
        <w:ind w:firstLine="480"/>
        <w:spacing w:line="400" w:lineRule="exact"/>
        <w:rPr>
          <w:rFonts w:hint="eastAsia"/>
          <w:bCs/>
          <w:iCs/>
          <w:sz w:val="24"/>
          <w:szCs w:val="24"/>
          <w:highlight w:val="none"/>
        </w:rPr>
      </w:pPr>
      <w:r>
        <w:rPr>
          <w:rFonts w:hint="eastAsia"/>
          <w:bCs/>
          <w:iCs/>
          <w:sz w:val="24"/>
          <w:szCs w:val="24"/>
          <w:highlight w:val="none"/>
        </w:rPr>
        <w:t xml:space="preserve">3. 视频控制系统</w:t>
      </w:r>
      <w:r/>
    </w:p>
    <w:p>
      <w:pPr>
        <w:ind w:firstLine="480"/>
        <w:spacing w:line="400" w:lineRule="exact"/>
        <w:rPr>
          <w:rFonts w:hint="eastAsia"/>
          <w:bCs/>
          <w:iCs/>
          <w:sz w:val="24"/>
          <w:szCs w:val="24"/>
          <w:highlight w:val="none"/>
        </w:rPr>
      </w:pPr>
      <w:r/>
      <w:bookmarkStart w:id="14" w:name="OLE_LINK1"/>
      <w:r>
        <w:rPr>
          <w:rFonts w:hint="eastAsia"/>
          <w:bCs/>
          <w:iCs/>
          <w:sz w:val="24"/>
          <w:szCs w:val="24"/>
          <w:highlight w:val="none"/>
        </w:rPr>
        <w:t xml:space="preserve">视频流输入、传输与控制系统是对会场的音视频系统进行分布式控制建设，实现跨区域音视频系统的互控互通。</w:t>
      </w:r>
      <w:bookmarkEnd w:id="14"/>
      <w:r/>
    </w:p>
    <w:p>
      <w:pPr>
        <w:ind w:firstLine="480"/>
        <w:spacing w:line="400" w:lineRule="exact"/>
        <w:rPr>
          <w:rFonts w:hint="eastAsia"/>
          <w:bCs/>
          <w:iCs/>
          <w:sz w:val="24"/>
          <w:szCs w:val="24"/>
          <w:highlight w:val="none"/>
        </w:rPr>
      </w:pPr>
      <w:r>
        <w:rPr>
          <w:rFonts w:hint="eastAsia"/>
          <w:bCs/>
          <w:iCs/>
          <w:sz w:val="24"/>
          <w:szCs w:val="24"/>
          <w:highlight w:val="none"/>
        </w:rPr>
        <w:t xml:space="preserve">4．智慧运维控制系统</w:t>
      </w:r>
      <w:r/>
    </w:p>
    <w:p>
      <w:pPr>
        <w:ind w:firstLine="480"/>
        <w:spacing w:line="400" w:lineRule="exact"/>
        <w:rPr>
          <w:rFonts w:hint="eastAsia"/>
          <w:bCs/>
          <w:iCs/>
          <w:sz w:val="24"/>
          <w:szCs w:val="24"/>
          <w:highlight w:val="none"/>
        </w:rPr>
      </w:pPr>
      <w:r/>
      <w:bookmarkStart w:id="15" w:name="OLE_LINK3"/>
      <w:r>
        <w:rPr>
          <w:rFonts w:hint="eastAsia"/>
          <w:bCs/>
          <w:iCs/>
          <w:sz w:val="24"/>
          <w:szCs w:val="24"/>
          <w:highlight w:val="none"/>
        </w:rPr>
        <w:t xml:space="preserve">通过标准浏览器随时随地访问系统，实现便捷、高效的远程管理与控制。基于稳定的Linux内核构建物模型操作系统，不仅兼容国产银河麒麟操作系统，还具备卓越的安全防护、灵活的系统扩展性和高度稳定的运行环境。</w:t>
      </w:r>
      <w:bookmarkEnd w:id="15"/>
      <w:r/>
    </w:p>
    <w:p>
      <w:pPr>
        <w:ind w:firstLine="480"/>
        <w:spacing w:line="400" w:lineRule="exact"/>
        <w:rPr>
          <w:rFonts w:hint="eastAsia"/>
          <w:bCs/>
          <w:iCs/>
          <w:sz w:val="24"/>
          <w:szCs w:val="24"/>
          <w:highlight w:val="none"/>
        </w:rPr>
      </w:pPr>
      <w:r>
        <w:rPr>
          <w:rFonts w:hint="eastAsia"/>
          <w:bCs/>
          <w:iCs/>
          <w:sz w:val="24"/>
          <w:szCs w:val="24"/>
          <w:highlight w:val="none"/>
        </w:rPr>
        <w:t xml:space="preserve">5．语音转写系统</w:t>
      </w:r>
      <w:r/>
    </w:p>
    <w:p>
      <w:pPr>
        <w:ind w:firstLine="480"/>
        <w:spacing w:line="400" w:lineRule="exact"/>
        <w:rPr>
          <w:rFonts w:hint="eastAsia"/>
          <w:bCs/>
          <w:iCs/>
          <w:sz w:val="24"/>
          <w:szCs w:val="24"/>
          <w:highlight w:val="none"/>
        </w:rPr>
      </w:pPr>
      <w:r>
        <w:rPr>
          <w:rFonts w:hint="eastAsia"/>
          <w:bCs/>
          <w:iCs/>
          <w:sz w:val="24"/>
          <w:szCs w:val="24"/>
          <w:highlight w:val="none"/>
        </w:rPr>
        <w:t xml:space="preserve">文本实时编辑：显示语音转写的文本，书记员可以在该区域进行编辑、删除、复制等操作。方便书记员快速的生成合议纪要</w:t>
      </w:r>
      <w:r/>
    </w:p>
    <w:p>
      <w:pPr>
        <w:ind w:firstLine="480"/>
        <w:spacing w:line="400" w:lineRule="exact"/>
        <w:rPr>
          <w:rFonts w:hint="eastAsia"/>
          <w:bCs/>
          <w:iCs/>
          <w:sz w:val="24"/>
          <w:szCs w:val="24"/>
          <w:highlight w:val="none"/>
        </w:rPr>
      </w:pPr>
      <w:r>
        <w:rPr>
          <w:rFonts w:hint="eastAsia"/>
          <w:bCs/>
          <w:iCs/>
          <w:sz w:val="24"/>
          <w:szCs w:val="24"/>
          <w:highlight w:val="none"/>
        </w:rPr>
        <w:t xml:space="preserve">语音转写：通过智能语音核心技术，对参会者的语音进行实时的文本转写，转写完整度高达100%，安静场景下转写正确率高达百分之95%</w:t>
      </w:r>
      <w:r/>
    </w:p>
    <w:p>
      <w:pPr>
        <w:ind w:firstLine="480"/>
        <w:spacing w:line="400" w:lineRule="exact"/>
        <w:rPr>
          <w:rFonts w:hint="eastAsia"/>
          <w:bCs/>
          <w:iCs/>
          <w:sz w:val="24"/>
          <w:szCs w:val="24"/>
          <w:highlight w:val="none"/>
        </w:rPr>
      </w:pPr>
      <w:r>
        <w:rPr>
          <w:rFonts w:hint="eastAsia"/>
          <w:bCs/>
          <w:iCs/>
          <w:sz w:val="24"/>
          <w:szCs w:val="24"/>
          <w:highlight w:val="none"/>
        </w:rPr>
        <w:t xml:space="preserve">合议角色自动区分：采用软硬一体的解决方案，解决多说话人分离难题，可以准确区分每一位委员的发言内容</w:t>
      </w:r>
      <w:r/>
    </w:p>
    <w:p>
      <w:pPr>
        <w:ind w:firstLine="480"/>
        <w:spacing w:line="400" w:lineRule="exact"/>
        <w:rPr>
          <w:rFonts w:hint="eastAsia"/>
          <w:bCs/>
          <w:iCs/>
          <w:sz w:val="24"/>
          <w:szCs w:val="24"/>
          <w:highlight w:val="none"/>
        </w:rPr>
      </w:pPr>
      <w:r>
        <w:rPr>
          <w:rFonts w:hint="eastAsia"/>
          <w:bCs/>
          <w:iCs/>
          <w:sz w:val="24"/>
          <w:szCs w:val="24"/>
          <w:highlight w:val="none"/>
        </w:rPr>
        <w:t xml:space="preserve">合议笔录智能纠正：语音转写的结果，会自动结合上下文语义，实现笔录快速修订</w:t>
      </w:r>
      <w:r/>
    </w:p>
    <w:p>
      <w:pPr>
        <w:ind w:firstLine="480"/>
        <w:spacing w:line="400" w:lineRule="exact"/>
        <w:rPr>
          <w:rFonts w:hint="eastAsia"/>
          <w:bCs/>
          <w:iCs/>
          <w:sz w:val="24"/>
          <w:szCs w:val="24"/>
          <w:highlight w:val="none"/>
        </w:rPr>
      </w:pPr>
      <w:r>
        <w:rPr>
          <w:rFonts w:hint="eastAsia"/>
          <w:bCs/>
          <w:iCs/>
          <w:sz w:val="24"/>
          <w:szCs w:val="24"/>
          <w:highlight w:val="none"/>
        </w:rPr>
        <w:t xml:space="preserve">合议录音的重点标注：通过对文本重点标注，实现标记回听和重点文本导出</w:t>
      </w:r>
      <w:r/>
    </w:p>
    <w:p>
      <w:pPr>
        <w:ind w:firstLine="480"/>
        <w:spacing w:line="400" w:lineRule="exact"/>
        <w:rPr>
          <w:rFonts w:hint="eastAsia"/>
          <w:bCs/>
          <w:iCs/>
          <w:sz w:val="24"/>
          <w:szCs w:val="24"/>
          <w:highlight w:val="none"/>
        </w:rPr>
      </w:pPr>
      <w:r>
        <w:rPr>
          <w:rFonts w:hint="eastAsia"/>
          <w:bCs/>
          <w:iCs/>
          <w:sz w:val="24"/>
          <w:szCs w:val="24"/>
          <w:highlight w:val="none"/>
        </w:rPr>
        <w:t xml:space="preserve">音频资料的转写和回听：上传音频资料，在合议进行中可以播放该音频且对该音频进行转写</w:t>
      </w:r>
      <w:r/>
    </w:p>
    <w:p>
      <w:pPr>
        <w:ind w:firstLine="480"/>
        <w:spacing w:line="400" w:lineRule="exact"/>
        <w:rPr>
          <w:rFonts w:hint="eastAsia"/>
          <w:bCs/>
          <w:iCs/>
          <w:sz w:val="24"/>
          <w:szCs w:val="24"/>
          <w:highlight w:val="none"/>
        </w:rPr>
      </w:pPr>
      <w:r>
        <w:rPr>
          <w:rFonts w:hint="eastAsia"/>
          <w:bCs/>
          <w:iCs/>
          <w:sz w:val="24"/>
          <w:szCs w:val="24"/>
          <w:highlight w:val="none"/>
        </w:rPr>
        <w:t xml:space="preserve">角色筛选：通过角色筛选，筛选，相关角色的发言文本。提炼重要信息，减少书记员的工作强度</w:t>
      </w:r>
      <w:r/>
    </w:p>
    <w:p>
      <w:pPr>
        <w:ind w:firstLine="480"/>
        <w:spacing w:line="400" w:lineRule="exact"/>
        <w:rPr>
          <w:rFonts w:hint="eastAsia"/>
          <w:bCs/>
          <w:iCs/>
          <w:sz w:val="24"/>
          <w:szCs w:val="24"/>
          <w:highlight w:val="none"/>
        </w:rPr>
      </w:pPr>
      <w:r>
        <w:rPr>
          <w:rFonts w:hint="eastAsia"/>
          <w:bCs/>
          <w:iCs/>
          <w:sz w:val="24"/>
          <w:szCs w:val="24"/>
          <w:highlight w:val="none"/>
        </w:rPr>
        <w:t xml:space="preserve">敏感词屏蔽/语气词过滤：添加敏感词库和语气词库，在语音转写时过滤掉相关敏感词和语气词，增加合议的严谨性</w:t>
      </w:r>
      <w:r/>
    </w:p>
    <w:p>
      <w:pPr>
        <w:ind w:firstLine="480"/>
        <w:spacing w:line="400" w:lineRule="exact"/>
        <w:rPr>
          <w:rFonts w:hint="eastAsia"/>
          <w:bCs/>
          <w:iCs/>
          <w:sz w:val="24"/>
          <w:szCs w:val="24"/>
          <w:highlight w:val="none"/>
        </w:rPr>
      </w:pPr>
      <w:r>
        <w:rPr>
          <w:rFonts w:hint="eastAsia"/>
          <w:bCs/>
          <w:iCs/>
          <w:sz w:val="24"/>
          <w:szCs w:val="24"/>
          <w:highlight w:val="none"/>
        </w:rPr>
        <w:t xml:space="preserve">案件资料自主学习：利用图文识别技术促进机器自我学习，解决合议中人名、地名、证据名、公司名等特定词汇识别准确率问题</w:t>
      </w:r>
      <w:r/>
    </w:p>
    <w:p>
      <w:pPr>
        <w:ind w:firstLine="480"/>
        <w:spacing w:line="400" w:lineRule="exact"/>
        <w:rPr>
          <w:rFonts w:hint="eastAsia"/>
          <w:bCs/>
          <w:iCs/>
          <w:sz w:val="24"/>
          <w:szCs w:val="24"/>
          <w:highlight w:val="none"/>
        </w:rPr>
      </w:pPr>
      <w:r>
        <w:rPr>
          <w:rFonts w:hint="eastAsia"/>
          <w:bCs/>
          <w:iCs/>
          <w:sz w:val="24"/>
          <w:szCs w:val="24"/>
          <w:highlight w:val="none"/>
        </w:rPr>
        <w:t xml:space="preserve">角色分离设置：通过将参会人员与麦克风进行绑定，进行角色分离</w:t>
      </w:r>
      <w:r/>
    </w:p>
    <w:p>
      <w:pPr>
        <w:ind w:firstLine="480"/>
        <w:spacing w:line="400" w:lineRule="exact"/>
        <w:rPr>
          <w:rFonts w:hint="eastAsia"/>
          <w:bCs/>
          <w:iCs/>
          <w:sz w:val="24"/>
          <w:szCs w:val="24"/>
          <w:highlight w:val="none"/>
        </w:rPr>
      </w:pPr>
      <w:r>
        <w:rPr>
          <w:rFonts w:hint="eastAsia"/>
          <w:bCs/>
          <w:iCs/>
          <w:sz w:val="24"/>
          <w:szCs w:val="24"/>
          <w:highlight w:val="none"/>
        </w:rPr>
        <w:t xml:space="preserve">个性化词汇管理：书记员可以通过手动添加个性化词汇如人民、地名、公司名称等，增强语音转写的准确性</w:t>
      </w:r>
      <w:r/>
    </w:p>
    <w:p>
      <w:pPr>
        <w:ind w:firstLine="480"/>
        <w:spacing w:line="400" w:lineRule="exact"/>
        <w:rPr>
          <w:rFonts w:hint="eastAsia"/>
          <w:bCs/>
          <w:iCs/>
          <w:sz w:val="24"/>
          <w:szCs w:val="24"/>
          <w:highlight w:val="none"/>
        </w:rPr>
      </w:pPr>
      <w:r>
        <w:rPr>
          <w:rFonts w:hint="eastAsia"/>
          <w:bCs/>
          <w:iCs/>
          <w:sz w:val="24"/>
          <w:szCs w:val="24"/>
          <w:highlight w:val="none"/>
        </w:rPr>
        <w:t xml:space="preserve">笔录归档和查询：合议结束后笔录会存在后期修改的情况，书记员可以在办公室进入合议管理系统对历史合议进行编辑修改，修改后进行归档，归档后则无法修改</w:t>
      </w:r>
      <w:r/>
    </w:p>
    <w:p>
      <w:pPr>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bookmarkStart w:id="16" w:name="_Toc18068"/>
      <w:r/>
      <w:bookmarkStart w:id="17" w:name="_Toc11434"/>
      <w:r/>
      <w:bookmarkStart w:id="18" w:name="_Toc9667"/>
      <w:r/>
      <w:bookmarkStart w:id="19" w:name="_Toc21887"/>
      <w:r/>
      <w:bookmarkStart w:id="20" w:name="_Toc7972"/>
      <w:r/>
      <w:bookmarkStart w:id="21" w:name="_Toc16237"/>
      <w:r/>
      <w:bookmarkStart w:id="22" w:name="_Toc32080"/>
      <w:r/>
      <w:bookmarkStart w:id="23" w:name="_Toc5581"/>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四</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 采购清单</w:t>
      </w:r>
      <w:bookmarkEnd w:id="16"/>
      <w:r/>
      <w:r/>
    </w:p>
    <w:tbl>
      <w:tblPr>
        <w:tblStyle w:val="717"/>
        <w:tblW w:w="9209" w:type="dxa"/>
        <w:tblInd w:w="0" w:type="dxa"/>
        <w:tblLayout w:type="fixed"/>
        <w:tblCellMar>
          <w:left w:w="108" w:type="dxa"/>
          <w:top w:w="0" w:type="dxa"/>
          <w:right w:w="108" w:type="dxa"/>
          <w:bottom w:w="0" w:type="dxa"/>
        </w:tblCellMar>
        <w:tblLook w:val="04A0" w:firstRow="1" w:lastRow="0" w:firstColumn="1" w:lastColumn="0" w:noHBand="0" w:noVBand="1"/>
      </w:tblPr>
      <w:tblGrid>
        <w:gridCol w:w="457"/>
        <w:gridCol w:w="920"/>
        <w:gridCol w:w="6529"/>
        <w:gridCol w:w="594"/>
        <w:gridCol w:w="709"/>
      </w:tblGrid>
      <w:tr>
        <w:trPr>
          <w:trHeight w:val="640"/>
          <w:tblHeader/>
        </w:trPr>
        <w:tc>
          <w:tcPr>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名称</w:t>
            </w:r>
            <w:r/>
          </w:p>
        </w:tc>
        <w:tc>
          <w:tcPr>
            <w:tcBorders>
              <w:top w:val="single" w:color="auto" w:sz="4" w:space="0"/>
              <w:left w:val="none" w:color="000000" w:sz="4" w:space="0"/>
              <w:bottom w:val="single" w:color="auto" w:sz="4" w:space="0"/>
              <w:right w:val="single" w:color="auto" w:sz="4" w:space="0"/>
            </w:tcBorders>
            <w:tcW w:w="6529" w:type="dxa"/>
            <w:vAlign w:val="center"/>
            <w:textDirection w:val="lrTb"/>
            <w:noWrap w:val="false"/>
          </w:tcPr>
          <w:p>
            <w:pPr>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规格、技术参数</w:t>
            </w:r>
            <w:r/>
          </w:p>
        </w:tc>
        <w:tc>
          <w:tcPr>
            <w:tcBorders>
              <w:top w:val="single" w:color="auto"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单位</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采购数量</w:t>
            </w:r>
            <w:r/>
          </w:p>
        </w:tc>
      </w:tr>
      <w:tr>
        <w:trPr>
          <w:trHeight w:val="280"/>
        </w:trPr>
        <w:tc>
          <w:tcPr>
            <w:gridSpan w:val="5"/>
            <w:tcBorders>
              <w:top w:val="single" w:color="auto" w:sz="4" w:space="0"/>
              <w:left w:val="single" w:color="auto" w:sz="4" w:space="0"/>
              <w:bottom w:val="single" w:color="auto" w:sz="4" w:space="0"/>
              <w:right w:val="single" w:color="auto" w:sz="4" w:space="0"/>
            </w:tcBorders>
            <w:tcW w:w="9209"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一、无纸化系统</w:t>
            </w:r>
            <w:r/>
          </w:p>
        </w:tc>
      </w:tr>
      <w:tr>
        <w:trPr>
          <w:trHeight w:val="208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全数字多媒体会议控制主机</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spacing w:line="400" w:lineRule="exact"/>
              <w:rPr>
                <w:rFonts w:hint="eastAsia" w:ascii="宋体" w:hAnsi="宋体" w:eastAsia="宋体" w:cs="宋体"/>
                <w:i w:val="0"/>
                <w:iCs w:val="0"/>
                <w:sz w:val="24"/>
                <w:szCs w:val="24"/>
                <w:highlight w:val="yellow"/>
                <w:u w:val="none"/>
              </w:rPr>
            </w:pPr>
            <w:r>
              <w:rPr>
                <w:rFonts w:hint="eastAsia" w:eastAsia="宋体"/>
                <w:bCs/>
                <w:iCs/>
                <w:sz w:val="24"/>
                <w:szCs w:val="24"/>
                <w:highlight w:val="none"/>
              </w:rPr>
              <w:t xml:space="preserve">服务器应符合《通用服务器政府采购需求标准（2023年版）》【财库〔2023〕33号】要求。</w:t>
            </w:r>
            <w:r/>
          </w:p>
          <w:p>
            <w:pPr>
              <w:jc w:val="left"/>
              <w:widowControl/>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highlight w:val="none"/>
                <w:u w:val="single"/>
                <w:lang w:bidi="ar"/>
              </w:rPr>
              <w:t xml:space="preserve">1、CPU：配置1颗国产CPU处理器，单颗核数≥16核、线程数≥32，频率≥2.2GHz。</w:t>
            </w:r>
            <w:r/>
          </w:p>
          <w:p>
            <w:pPr>
              <w:jc w:val="left"/>
              <w:widowControl/>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highlight w:val="none"/>
                <w:u w:val="single"/>
                <w:lang w:bidi="ar"/>
              </w:rPr>
              <w:t xml:space="preserve">2、内存：配置DDR4内存，内存≥24G。</w:t>
            </w:r>
            <w:r/>
          </w:p>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color w:val="000000"/>
                <w:sz w:val="24"/>
                <w:szCs w:val="24"/>
                <w:highlight w:val="none"/>
                <w:u w:val="single"/>
                <w:lang w:bidi="ar"/>
              </w:rPr>
              <w:t xml:space="preserve">3、硬盘：配置1块固态硬盘,存储≥512G </w:t>
            </w:r>
            <w:r>
              <w:rPr>
                <w:rFonts w:hint="eastAsia" w:ascii="宋体" w:hAnsi="宋体" w:eastAsia="宋体" w:cs="宋体"/>
                <w:i/>
                <w:iCs/>
                <w:color w:val="000000"/>
                <w:sz w:val="24"/>
                <w:szCs w:val="24"/>
                <w:highlight w:val="none"/>
                <w:u w:val="single"/>
                <w:lang w:bidi="ar"/>
              </w:rPr>
              <w:br/>
            </w:r>
            <w:r>
              <w:rPr>
                <w:rFonts w:hint="eastAsia" w:ascii="宋体" w:hAnsi="宋体" w:eastAsia="宋体" w:cs="宋体"/>
                <w:i/>
                <w:iCs/>
                <w:color w:val="000000"/>
                <w:sz w:val="24"/>
                <w:szCs w:val="24"/>
                <w:highlight w:val="none"/>
                <w:u w:val="single"/>
                <w:lang w:bidi="ar"/>
              </w:rPr>
              <w:t xml:space="preserve">4、配置≥1个千兆电口网卡</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5、板载2个USB3.0 host 端口</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6、板载2个USB2.0 host 端口</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7、</w:t>
            </w:r>
            <w:r>
              <w:rPr>
                <w:rFonts w:hint="eastAsia" w:ascii="宋体" w:hAnsi="宋体" w:eastAsia="宋体" w:cs="宋体"/>
                <w:i/>
                <w:iCs/>
                <w:color w:val="000000"/>
                <w:sz w:val="24"/>
                <w:szCs w:val="24"/>
                <w:highlight w:val="none"/>
                <w:u w:val="single"/>
                <w:lang w:bidi="ar"/>
              </w:rPr>
              <w:t xml:space="preserve">其他未列明参数满足（财库〔2023〕33号）要求。</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4031"/>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操作系统服务器</w:t>
            </w:r>
            <w:r/>
          </w:p>
        </w:tc>
        <w:tc>
          <w:tcPr>
            <w:shd w:val="clear" w:color="auto" w:fill="auto"/>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i w:val="0"/>
                <w:iCs w:val="0"/>
                <w:sz w:val="24"/>
                <w:szCs w:val="24"/>
                <w:highlight w:val="yellow"/>
                <w:u w:val="none"/>
              </w:rPr>
            </w:pPr>
            <w:r>
              <w:rPr>
                <w:rFonts w:hint="eastAsia" w:eastAsia="宋体"/>
                <w:bCs/>
                <w:iCs/>
                <w:sz w:val="24"/>
                <w:szCs w:val="24"/>
                <w:highlight w:val="none"/>
                <w:lang w:val="en-US" w:eastAsia="zh-CN"/>
              </w:rPr>
              <w:t xml:space="preserve">操作系统</w:t>
            </w:r>
            <w:r>
              <w:rPr>
                <w:rFonts w:hint="eastAsia" w:eastAsia="宋体"/>
                <w:bCs/>
                <w:iCs/>
                <w:sz w:val="24"/>
                <w:szCs w:val="24"/>
                <w:highlight w:val="none"/>
              </w:rPr>
              <w:t xml:space="preserve">应符合《</w:t>
            </w:r>
            <w:r>
              <w:rPr>
                <w:rFonts w:hint="eastAsia" w:eastAsia="宋体"/>
                <w:bCs/>
                <w:iCs/>
                <w:sz w:val="24"/>
                <w:szCs w:val="24"/>
                <w:highlight w:val="none"/>
                <w:lang w:val="en-US" w:eastAsia="zh-CN"/>
              </w:rPr>
              <w:t xml:space="preserve">操作系统</w:t>
            </w:r>
            <w:r>
              <w:rPr>
                <w:rFonts w:hint="eastAsia" w:eastAsia="宋体"/>
                <w:bCs/>
                <w:iCs/>
                <w:sz w:val="24"/>
                <w:szCs w:val="24"/>
                <w:highlight w:val="none"/>
              </w:rPr>
              <w:t xml:space="preserve">政府采购需求标准（2023年版）》【财库〔2023〕3</w:t>
            </w:r>
            <w:r>
              <w:rPr>
                <w:rFonts w:hint="eastAsia" w:eastAsia="宋体"/>
                <w:bCs/>
                <w:iCs/>
                <w:sz w:val="24"/>
                <w:szCs w:val="24"/>
                <w:highlight w:val="none"/>
                <w:lang w:val="en-US" w:eastAsia="zh-CN"/>
              </w:rPr>
              <w:t xml:space="preserve">4</w:t>
            </w:r>
            <w:r>
              <w:rPr>
                <w:rFonts w:hint="eastAsia" w:eastAsia="宋体"/>
                <w:bCs/>
                <w:iCs/>
                <w:sz w:val="24"/>
                <w:szCs w:val="24"/>
                <w:highlight w:val="none"/>
              </w:rPr>
              <w:t xml:space="preserve">号】要求。</w:t>
            </w:r>
            <w:r/>
          </w:p>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1、支持ARM架构技术服务器平台；</w:t>
            </w:r>
            <w:r>
              <w:rPr>
                <w:rFonts w:hint="eastAsia" w:ascii="宋体" w:hAnsi="宋体" w:eastAsia="宋体" w:cs="宋体"/>
                <w:i/>
                <w:iCs/>
                <w:sz w:val="24"/>
                <w:szCs w:val="24"/>
                <w:highlight w:val="none"/>
                <w:u w:val="single"/>
              </w:rPr>
              <w:br/>
            </w:r>
            <w:r>
              <w:rPr>
                <w:rFonts w:hint="eastAsia" w:ascii="宋体" w:hAnsi="宋体" w:eastAsia="宋体" w:cs="宋体"/>
                <w:i/>
                <w:iCs/>
                <w:color w:val="000000"/>
                <w:sz w:val="24"/>
                <w:szCs w:val="24"/>
                <w:highlight w:val="none"/>
                <w:u w:val="single"/>
                <w:lang w:bidi="ar"/>
              </w:rPr>
              <w:t xml:space="preserve">2、支持KVM、Docker、LXC等虚拟化方式；支持NTFS、XFS、GFS2、Ext3、Ext4等文件系统；</w:t>
            </w:r>
            <w:r>
              <w:rPr>
                <w:rFonts w:hint="eastAsia" w:ascii="宋体" w:hAnsi="宋体" w:eastAsia="宋体" w:cs="宋体"/>
                <w:i w:val="0"/>
                <w:iCs w:val="0"/>
                <w:sz w:val="24"/>
                <w:szCs w:val="24"/>
                <w:highlight w:val="none"/>
                <w:u w:val="none"/>
              </w:rPr>
              <w:t xml:space="preserve">支持FCoE、iSCSI，支持Ceph块设备，内置支持快速块设备作为慢速块设备缓存以加速IO；支持swap压缩以减少IO并提高性能；支持SSH、SPICE、RDP、VNC协议；</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3、系统默认集成kysec安全管控工具，支持内核统一访问控制安全框架安全管控，内置式一体化安全体系，支持多策略融合的强制访问控制机制；</w:t>
            </w:r>
            <w:r>
              <w:rPr>
                <w:rFonts w:hint="eastAsia" w:ascii="宋体" w:hAnsi="宋体" w:eastAsia="宋体" w:cs="宋体"/>
                <w:sz w:val="24"/>
                <w:szCs w:val="24"/>
                <w:highlight w:val="none"/>
              </w:rPr>
              <w:br/>
            </w:r>
            <w:r>
              <w:rPr>
                <w:rFonts w:hint="eastAsia" w:ascii="宋体" w:hAnsi="宋体" w:eastAsia="宋体" w:cs="宋体"/>
                <w:i/>
                <w:iCs/>
                <w:color w:val="000000"/>
                <w:sz w:val="24"/>
                <w:szCs w:val="24"/>
                <w:highlight w:val="none"/>
                <w:u w:val="single"/>
                <w:lang w:bidi="ar"/>
              </w:rPr>
              <w:t xml:space="preserve">4、支持多种中文输入法，兼容国产数据库、国产浏览器。</w:t>
            </w:r>
            <w:r/>
          </w:p>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w:t>
            </w:r>
            <w:r>
              <w:rPr>
                <w:rFonts w:hint="eastAsia" w:ascii="宋体" w:hAnsi="宋体" w:eastAsia="宋体" w:cs="宋体"/>
                <w:i/>
                <w:iCs/>
                <w:color w:val="000000"/>
                <w:sz w:val="24"/>
                <w:szCs w:val="24"/>
                <w:highlight w:val="none"/>
                <w:u w:val="single"/>
                <w:lang w:bidi="ar"/>
              </w:rPr>
              <w:t xml:space="preserve">其他未列明参数满足（财库〔2023〕3</w:t>
            </w:r>
            <w:r>
              <w:rPr>
                <w:rFonts w:hint="eastAsia" w:ascii="宋体" w:hAnsi="宋体" w:eastAsia="宋体" w:cs="宋体"/>
                <w:i/>
                <w:iCs/>
                <w:color w:val="000000"/>
                <w:sz w:val="24"/>
                <w:szCs w:val="24"/>
                <w:highlight w:val="none"/>
                <w:u w:val="single"/>
                <w:lang w:val="en-US" w:eastAsia="zh-CN" w:bidi="ar"/>
              </w:rPr>
              <w:t xml:space="preserve">4</w:t>
            </w:r>
            <w:r>
              <w:rPr>
                <w:rFonts w:hint="eastAsia" w:ascii="宋体" w:hAnsi="宋体" w:eastAsia="宋体" w:cs="宋体"/>
                <w:i/>
                <w:iCs/>
                <w:color w:val="000000"/>
                <w:sz w:val="24"/>
                <w:szCs w:val="24"/>
                <w:highlight w:val="none"/>
                <w:u w:val="single"/>
                <w:lang w:bidi="ar"/>
              </w:rPr>
              <w:t xml:space="preserve">号）要求。</w:t>
            </w:r>
            <w:r/>
          </w:p>
        </w:tc>
        <w:tc>
          <w:tcPr>
            <w:shd w:val="clear" w:color="000000" w:fill="ffffff"/>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1300"/>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平板电脑</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i w:val="0"/>
                <w:iCs w:val="0"/>
                <w:sz w:val="24"/>
                <w:szCs w:val="24"/>
                <w:highlight w:val="yellow"/>
                <w:u w:val="none"/>
              </w:rPr>
            </w:pPr>
            <w:r>
              <w:rPr>
                <w:rFonts w:hint="eastAsia" w:ascii="宋体" w:hAnsi="宋体" w:eastAsia="宋体" w:cs="宋体"/>
                <w:i w:val="0"/>
                <w:iCs w:val="0"/>
                <w:sz w:val="24"/>
                <w:szCs w:val="24"/>
                <w:highlight w:val="none"/>
                <w:u w:val="none"/>
                <w:lang w:val="en-US" w:eastAsia="zh-CN"/>
              </w:rPr>
              <w:t xml:space="preserve">《微型计算机能效限定值及能效等级》（GB 28380）</w:t>
            </w:r>
            <w:r/>
          </w:p>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1、屏幕尺寸≧1</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英寸</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2、不低于1</w:t>
            </w:r>
            <w:r>
              <w:rPr>
                <w:rFonts w:hint="eastAsia" w:ascii="宋体" w:hAnsi="宋体" w:eastAsia="宋体" w:cs="宋体"/>
                <w:i/>
                <w:iCs/>
                <w:sz w:val="24"/>
                <w:szCs w:val="24"/>
                <w:highlight w:val="none"/>
                <w:u w:val="single"/>
                <w:lang w:val="en-US" w:eastAsia="zh-CN"/>
              </w:rPr>
              <w:t xml:space="preserve">6</w:t>
            </w:r>
            <w:r>
              <w:rPr>
                <w:rFonts w:hint="eastAsia" w:ascii="宋体" w:hAnsi="宋体" w:eastAsia="宋体" w:cs="宋体"/>
                <w:i/>
                <w:iCs/>
                <w:sz w:val="24"/>
                <w:szCs w:val="24"/>
                <w:highlight w:val="none"/>
                <w:u w:val="single"/>
              </w:rPr>
              <w:t xml:space="preserve">G+</w:t>
            </w:r>
            <w:r>
              <w:rPr>
                <w:rFonts w:hint="eastAsia" w:ascii="宋体" w:hAnsi="宋体" w:eastAsia="宋体" w:cs="宋体"/>
                <w:i/>
                <w:iCs/>
                <w:sz w:val="24"/>
                <w:szCs w:val="24"/>
                <w:highlight w:val="none"/>
                <w:u w:val="single"/>
                <w:lang w:val="en-US" w:eastAsia="zh-CN"/>
              </w:rPr>
              <w:t xml:space="preserve">512</w:t>
            </w:r>
            <w:r>
              <w:rPr>
                <w:rFonts w:hint="eastAsia" w:ascii="宋体" w:hAnsi="宋体" w:eastAsia="宋体" w:cs="宋体"/>
                <w:i/>
                <w:iCs/>
                <w:sz w:val="24"/>
                <w:szCs w:val="24"/>
                <w:highlight w:val="none"/>
                <w:u w:val="single"/>
              </w:rPr>
              <w:t xml:space="preserve">G  </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3、国产操作系统 </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4、分辨率≧2200*1440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5、全网通信号</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w:t>
            </w:r>
            <w:r/>
          </w:p>
        </w:tc>
      </w:tr>
      <w:tr>
        <w:trPr>
          <w:trHeight w:val="699"/>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无纸化会议平板支架</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1、全铝合金材质，喷砂氧化工艺。 </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2、可连接平板Type-C接口，为平板拓展出 USB、Type-C以及RJ45接口，同时可以通过底座对平板电脑就行充电。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3、支架自带触控笔收纳笔槽，方便取放。 </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4、具有不少于2个USB 接口，方便平板连接 U 盘、键鼠等外设。 </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5、具有 RJ45 接口，支持千兆速率，为平板提供了有线网络接入能力，可以满足在特殊环境下无法使用无线网络通讯时，有线网络的可靠接入。</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6、具有安全鉴别功能，仅授权的移动终端可以正常使用有线网络，非授权平板接入后有线网络不可用。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7、具有网络信息配置功能，任意授权平板接入底座后，可以将底座事先存好的网络信息配置到平板上。 </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 </w:t>
            </w:r>
            <w:r/>
          </w:p>
        </w:tc>
      </w:tr>
      <w:tr>
        <w:trPr>
          <w:trHeight w:val="208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大屏控制</w:t>
            </w:r>
            <w:r>
              <w:rPr>
                <w:rFonts w:hint="eastAsia" w:ascii="宋体" w:hAnsi="宋体" w:cs="宋体"/>
                <w:sz w:val="24"/>
                <w:szCs w:val="24"/>
                <w:highlight w:val="none"/>
                <w:lang w:val="en-US" w:eastAsia="zh-CN"/>
              </w:rPr>
              <w:t xml:space="preserve">服务器</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服务器应符合《通用服务器政府采购需求标准（2023年版）》【财库〔2023〕33号】要求。</w:t>
            </w:r>
            <w:r/>
          </w:p>
          <w:p>
            <w:pPr>
              <w:jc w:val="left"/>
              <w:widowControl/>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highlight w:val="none"/>
                <w:u w:val="single"/>
                <w:lang w:bidi="ar"/>
              </w:rPr>
              <w:t xml:space="preserve">1、CPU：配置1颗国产CPU处理器，单颗核数≥8核、线程数≥8，频率≥2.5GHz。</w:t>
            </w:r>
            <w:r/>
          </w:p>
          <w:p>
            <w:pPr>
              <w:jc w:val="left"/>
              <w:widowControl/>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highlight w:val="none"/>
                <w:u w:val="single"/>
                <w:lang w:bidi="ar"/>
              </w:rPr>
              <w:t xml:space="preserve">2、内存：配置DDR4内存，内存≥</w:t>
            </w:r>
            <w:r>
              <w:rPr>
                <w:rFonts w:hint="eastAsia" w:ascii="宋体" w:hAnsi="宋体" w:eastAsia="宋体" w:cs="宋体"/>
                <w:i/>
                <w:iCs/>
                <w:color w:val="000000"/>
                <w:sz w:val="24"/>
                <w:szCs w:val="24"/>
                <w:highlight w:val="none"/>
                <w:u w:val="single"/>
                <w:lang w:val="en-US" w:eastAsia="zh-CN" w:bidi="ar"/>
              </w:rPr>
              <w:t xml:space="preserve">16</w:t>
            </w:r>
            <w:r>
              <w:rPr>
                <w:rFonts w:hint="eastAsia" w:ascii="宋体" w:hAnsi="宋体" w:eastAsia="宋体" w:cs="宋体"/>
                <w:i/>
                <w:iCs/>
                <w:color w:val="000000"/>
                <w:sz w:val="24"/>
                <w:szCs w:val="24"/>
                <w:highlight w:val="none"/>
                <w:u w:val="single"/>
                <w:lang w:bidi="ar"/>
              </w:rPr>
              <w:t xml:space="preserve">G。</w:t>
            </w:r>
            <w:r/>
          </w:p>
          <w:p>
            <w:pPr>
              <w:jc w:val="left"/>
              <w:widowControl/>
              <w:rPr>
                <w:rFonts w:hint="eastAsia" w:ascii="宋体" w:hAnsi="宋体" w:eastAsia="宋体" w:cs="宋体"/>
                <w:sz w:val="24"/>
                <w:szCs w:val="24"/>
                <w:highlight w:val="none"/>
              </w:rPr>
            </w:pPr>
            <w:r>
              <w:rPr>
                <w:rFonts w:hint="eastAsia" w:ascii="宋体" w:hAnsi="宋体" w:eastAsia="宋体" w:cs="宋体"/>
                <w:i/>
                <w:iCs/>
                <w:color w:val="000000"/>
                <w:sz w:val="24"/>
                <w:szCs w:val="24"/>
                <w:highlight w:val="none"/>
                <w:u w:val="single"/>
                <w:lang w:bidi="ar"/>
              </w:rPr>
              <w:t xml:space="preserve">3、硬盘：配置1块固态硬盘</w:t>
            </w:r>
            <w:r>
              <w:rPr>
                <w:rFonts w:hint="eastAsia" w:ascii="宋体" w:hAnsi="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bidi="ar"/>
              </w:rPr>
              <w:t xml:space="preserve">存储≥</w:t>
            </w:r>
            <w:r>
              <w:rPr>
                <w:rFonts w:hint="eastAsia" w:ascii="宋体" w:hAnsi="宋体" w:eastAsia="宋体" w:cs="宋体"/>
                <w:i/>
                <w:iCs/>
                <w:color w:val="000000"/>
                <w:sz w:val="24"/>
                <w:szCs w:val="24"/>
                <w:highlight w:val="none"/>
                <w:u w:val="single"/>
                <w:lang w:val="en-US" w:eastAsia="zh-CN" w:bidi="ar"/>
              </w:rPr>
              <w:t xml:space="preserve">1T</w:t>
            </w:r>
            <w:r>
              <w:rPr>
                <w:rFonts w:hint="eastAsia" w:ascii="宋体" w:hAnsi="宋体" w:eastAsia="宋体" w:cs="宋体"/>
                <w:i/>
                <w:iCs/>
                <w:color w:val="000000"/>
                <w:sz w:val="24"/>
                <w:szCs w:val="24"/>
                <w:highlight w:val="none"/>
                <w:u w:val="single"/>
                <w:lang w:bidi="ar"/>
              </w:rPr>
              <w:t xml:space="preserve"> </w:t>
            </w:r>
            <w:r>
              <w:rPr>
                <w:rFonts w:hint="eastAsia" w:ascii="宋体" w:hAnsi="宋体" w:eastAsia="宋体" w:cs="宋体"/>
                <w:i/>
                <w:iCs/>
                <w:color w:val="000000"/>
                <w:sz w:val="24"/>
                <w:szCs w:val="24"/>
                <w:highlight w:val="none"/>
                <w:u w:val="single"/>
                <w:lang w:bidi="ar"/>
              </w:rPr>
              <w:br/>
            </w:r>
            <w:r>
              <w:rPr>
                <w:rFonts w:hint="eastAsia" w:ascii="宋体" w:hAnsi="宋体" w:eastAsia="宋体" w:cs="宋体"/>
                <w:i/>
                <w:iCs/>
                <w:color w:val="000000"/>
                <w:sz w:val="24"/>
                <w:szCs w:val="24"/>
                <w:highlight w:val="none"/>
                <w:u w:val="single"/>
                <w:lang w:bidi="ar"/>
              </w:rPr>
              <w:t xml:space="preserve">4、配置≥1个千兆电口网卡</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5、含国产化操作系统</w:t>
            </w:r>
            <w:r/>
          </w:p>
          <w:p>
            <w:pPr>
              <w:jc w:val="left"/>
              <w:widowControl/>
              <w:rPr>
                <w:rFonts w:hint="eastAsia" w:ascii="宋体" w:hAnsi="宋体" w:eastAsia="宋体" w:cs="宋体"/>
                <w:sz w:val="24"/>
                <w:szCs w:val="24"/>
                <w:highlight w:val="none"/>
              </w:rPr>
            </w:pPr>
            <w:r>
              <w:rPr>
                <w:rFonts w:hint="eastAsia" w:ascii="宋体" w:hAnsi="宋体" w:cs="宋体"/>
                <w:i/>
                <w:iCs/>
                <w:sz w:val="24"/>
                <w:szCs w:val="24"/>
                <w:highlight w:val="none"/>
                <w:u w:val="single"/>
                <w:lang w:val="en-US" w:eastAsia="zh-CN"/>
              </w:rPr>
              <w:t xml:space="preserve">6</w:t>
            </w:r>
            <w:r>
              <w:rPr>
                <w:rFonts w:hint="eastAsia" w:ascii="宋体" w:hAnsi="宋体" w:eastAsia="宋体" w:cs="宋体"/>
                <w:i/>
                <w:iCs/>
                <w:sz w:val="24"/>
                <w:szCs w:val="24"/>
                <w:highlight w:val="none"/>
                <w:u w:val="single"/>
              </w:rPr>
              <w:t xml:space="preserve">、</w:t>
            </w:r>
            <w:r>
              <w:rPr>
                <w:rFonts w:hint="eastAsia" w:ascii="宋体" w:hAnsi="宋体" w:eastAsia="宋体" w:cs="宋体"/>
                <w:i/>
                <w:iCs/>
                <w:color w:val="000000"/>
                <w:sz w:val="24"/>
                <w:szCs w:val="24"/>
                <w:highlight w:val="none"/>
                <w:u w:val="single"/>
                <w:lang w:bidi="ar"/>
              </w:rPr>
              <w:t xml:space="preserve">其他未列明参数满足（财库〔2023〕33号）要求。</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08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大屏控制软件</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lang w:val="en-US" w:eastAsia="zh-CN"/>
              </w:rPr>
              <w:t xml:space="preserve">1</w:t>
            </w:r>
            <w:r>
              <w:rPr>
                <w:rFonts w:hint="eastAsia" w:ascii="宋体" w:hAnsi="宋体" w:eastAsia="宋体" w:cs="宋体"/>
                <w:i/>
                <w:iCs/>
                <w:sz w:val="24"/>
                <w:szCs w:val="24"/>
                <w:highlight w:val="none"/>
                <w:u w:val="single"/>
              </w:rPr>
              <w:t xml:space="preserve">、无纸化投屏控制管理软件，可将任何一路无纸化终端的桌面投放到显示大屏上；支持本地和远程信号的切换；支持同时接收多个客户端的投影请求，遵循先入先出的投影显示模式将客户端的同步内容输出到大屏；没有有输出信号时，可显示当前会议内容以及时间，也可自定义输出内容。</w:t>
            </w:r>
            <w:r>
              <w:rPr>
                <w:rFonts w:hint="eastAsia" w:ascii="宋体" w:hAnsi="宋体" w:eastAsia="宋体" w:cs="宋体"/>
                <w:i/>
                <w:iCs/>
                <w:sz w:val="24"/>
                <w:szCs w:val="24"/>
                <w:highlight w:val="none"/>
                <w:u w:val="singl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、软件具有"交互式大屏控制软件"软件著作权证书（提供软件著作权证书扫描上传）</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r>
      <w:tr>
        <w:trPr>
          <w:trHeight w:val="156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7</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流媒体服务器</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服务器应符合《通用服务器政府采购需求标准（2023年版）》【财库〔2023〕33号】要求。</w:t>
            </w:r>
            <w:r/>
          </w:p>
          <w:p>
            <w:pPr>
              <w:jc w:val="left"/>
              <w:widowControl/>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highlight w:val="none"/>
                <w:u w:val="single"/>
                <w:lang w:bidi="ar"/>
              </w:rPr>
              <w:t xml:space="preserve">1、CPU：配置1颗国产CPU处理器，单颗核数≥8核、线程数≥8，频率≥2.5GHz。</w:t>
            </w:r>
            <w:r/>
          </w:p>
          <w:p>
            <w:pPr>
              <w:jc w:val="left"/>
              <w:widowControl/>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highlight w:val="none"/>
                <w:u w:val="single"/>
                <w:lang w:bidi="ar"/>
              </w:rPr>
              <w:t xml:space="preserve">2、内存：配置DDR4内存，内存≥</w:t>
            </w:r>
            <w:r>
              <w:rPr>
                <w:rFonts w:hint="eastAsia" w:ascii="宋体" w:hAnsi="宋体" w:eastAsia="宋体" w:cs="宋体"/>
                <w:i/>
                <w:iCs/>
                <w:color w:val="000000"/>
                <w:sz w:val="24"/>
                <w:szCs w:val="24"/>
                <w:highlight w:val="none"/>
                <w:u w:val="single"/>
                <w:lang w:val="en-US" w:eastAsia="zh-CN" w:bidi="ar"/>
              </w:rPr>
              <w:t xml:space="preserve">16</w:t>
            </w:r>
            <w:r>
              <w:rPr>
                <w:rFonts w:hint="eastAsia" w:ascii="宋体" w:hAnsi="宋体" w:eastAsia="宋体" w:cs="宋体"/>
                <w:i/>
                <w:iCs/>
                <w:color w:val="000000"/>
                <w:sz w:val="24"/>
                <w:szCs w:val="24"/>
                <w:highlight w:val="none"/>
                <w:u w:val="single"/>
                <w:lang w:bidi="ar"/>
              </w:rPr>
              <w:t xml:space="preserve">G。</w:t>
            </w:r>
            <w:r/>
          </w:p>
          <w:p>
            <w:pPr>
              <w:jc w:val="left"/>
              <w:widowControl/>
              <w:rPr>
                <w:rFonts w:hint="eastAsia" w:ascii="宋体" w:hAnsi="宋体" w:eastAsia="宋体" w:cs="宋体"/>
                <w:sz w:val="24"/>
                <w:szCs w:val="24"/>
                <w:highlight w:val="none"/>
              </w:rPr>
            </w:pPr>
            <w:r>
              <w:rPr>
                <w:rFonts w:hint="eastAsia" w:ascii="宋体" w:hAnsi="宋体" w:eastAsia="宋体" w:cs="宋体"/>
                <w:i/>
                <w:iCs/>
                <w:color w:val="000000"/>
                <w:sz w:val="24"/>
                <w:szCs w:val="24"/>
                <w:highlight w:val="none"/>
                <w:u w:val="single"/>
                <w:lang w:bidi="ar"/>
              </w:rPr>
              <w:t xml:space="preserve">3、硬盘：配置1块固态硬盘,存储≥</w:t>
            </w:r>
            <w:r>
              <w:rPr>
                <w:rFonts w:hint="eastAsia" w:ascii="宋体" w:hAnsi="宋体" w:eastAsia="宋体" w:cs="宋体"/>
                <w:i/>
                <w:iCs/>
                <w:color w:val="000000"/>
                <w:sz w:val="24"/>
                <w:szCs w:val="24"/>
                <w:highlight w:val="none"/>
                <w:u w:val="single"/>
                <w:lang w:val="en-US" w:eastAsia="zh-CN" w:bidi="ar"/>
              </w:rPr>
              <w:t xml:space="preserve">1T</w:t>
            </w:r>
            <w:r>
              <w:rPr>
                <w:rFonts w:hint="eastAsia" w:ascii="宋体" w:hAnsi="宋体" w:eastAsia="宋体" w:cs="宋体"/>
                <w:i/>
                <w:iCs/>
                <w:color w:val="000000"/>
                <w:sz w:val="24"/>
                <w:szCs w:val="24"/>
                <w:highlight w:val="none"/>
                <w:u w:val="single"/>
                <w:lang w:bidi="ar"/>
              </w:rPr>
              <w:t xml:space="preserve"> </w:t>
            </w:r>
            <w:r>
              <w:rPr>
                <w:rFonts w:hint="eastAsia" w:ascii="宋体" w:hAnsi="宋体" w:eastAsia="宋体" w:cs="宋体"/>
                <w:i/>
                <w:iCs/>
                <w:color w:val="000000"/>
                <w:sz w:val="24"/>
                <w:szCs w:val="24"/>
                <w:highlight w:val="none"/>
                <w:u w:val="single"/>
                <w:lang w:bidi="ar"/>
              </w:rPr>
              <w:br/>
            </w:r>
            <w:r>
              <w:rPr>
                <w:rFonts w:hint="eastAsia" w:ascii="宋体" w:hAnsi="宋体" w:eastAsia="宋体" w:cs="宋体"/>
                <w:i/>
                <w:iCs/>
                <w:color w:val="000000"/>
                <w:sz w:val="24"/>
                <w:szCs w:val="24"/>
                <w:highlight w:val="none"/>
                <w:u w:val="single"/>
                <w:lang w:bidi="ar"/>
              </w:rPr>
              <w:t xml:space="preserve">4、配置≥1个千兆电口网卡</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5、含国产化操作系统</w:t>
            </w:r>
            <w:r>
              <w:rPr>
                <w:rFonts w:hint="eastAsia" w:ascii="宋体" w:hAnsi="宋体" w:eastAsia="宋体" w:cs="宋体"/>
                <w:i/>
                <w:iCs/>
                <w:sz w:val="24"/>
                <w:szCs w:val="24"/>
                <w:highlight w:val="none"/>
                <w:u w:val="single"/>
              </w:rPr>
              <w:br/>
            </w:r>
            <w:r>
              <w:rPr>
                <w:rFonts w:hint="eastAsia" w:ascii="宋体" w:hAnsi="宋体" w:cs="宋体"/>
                <w:i/>
                <w:iCs/>
                <w:sz w:val="24"/>
                <w:szCs w:val="24"/>
                <w:highlight w:val="none"/>
                <w:u w:val="single"/>
                <w:lang w:val="en-US" w:eastAsia="zh-CN"/>
              </w:rPr>
              <w:t xml:space="preserve">6、</w:t>
            </w:r>
            <w:r>
              <w:rPr>
                <w:rFonts w:hint="eastAsia" w:ascii="宋体" w:hAnsi="宋体" w:eastAsia="宋体" w:cs="宋体"/>
                <w:i/>
                <w:iCs/>
                <w:color w:val="000000"/>
                <w:sz w:val="24"/>
                <w:szCs w:val="24"/>
                <w:highlight w:val="none"/>
                <w:u w:val="single"/>
                <w:lang w:bidi="ar"/>
              </w:rPr>
              <w:t xml:space="preserve">其他未列明参数满足（财库〔2023〕33号）要求。</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851"/>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流媒体</w:t>
            </w:r>
            <w:r>
              <w:rPr>
                <w:rFonts w:hint="eastAsia" w:ascii="宋体" w:hAnsi="宋体" w:eastAsia="宋体" w:cs="宋体"/>
                <w:sz w:val="24"/>
                <w:szCs w:val="24"/>
                <w:highlight w:val="none"/>
              </w:rPr>
              <w:t xml:space="preserve">软件</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i/>
                <w:iCs/>
                <w:color w:val="000000"/>
                <w:sz w:val="24"/>
                <w:szCs w:val="24"/>
                <w:highlight w:val="none"/>
                <w:u w:val="single"/>
                <w:lang w:eastAsia="zh-CN" w:bidi="ar"/>
              </w:rPr>
            </w:pPr>
            <w:r>
              <w:rPr>
                <w:rFonts w:hint="eastAsia" w:ascii="宋体" w:hAnsi="宋体" w:eastAsia="宋体" w:cs="宋体"/>
                <w:i/>
                <w:iCs/>
                <w:sz w:val="24"/>
                <w:szCs w:val="24"/>
                <w:highlight w:val="none"/>
                <w:u w:val="single"/>
                <w:lang w:val="en-US" w:eastAsia="zh-CN"/>
              </w:rPr>
              <w:t xml:space="preserve">1</w:t>
            </w:r>
            <w:r>
              <w:rPr>
                <w:rFonts w:hint="eastAsia" w:ascii="宋体" w:hAnsi="宋体" w:eastAsia="宋体" w:cs="宋体"/>
                <w:i/>
                <w:iCs/>
                <w:sz w:val="24"/>
                <w:szCs w:val="24"/>
                <w:highlight w:val="none"/>
                <w:u w:val="single"/>
              </w:rPr>
              <w:t xml:space="preserve">、支持流媒体信号分发，支持视频信号的流媒体输出及局域网一体机单元视频的播放</w:t>
            </w:r>
            <w:r>
              <w:rPr>
                <w:rFonts w:hint="eastAsia" w:ascii="宋体" w:hAnsi="宋体" w:eastAsia="宋体" w:cs="宋体"/>
                <w:i/>
                <w:iCs/>
                <w:sz w:val="24"/>
                <w:szCs w:val="24"/>
                <w:highlight w:val="none"/>
                <w:u w:val="single"/>
                <w:lang w:eastAsia="zh-CN"/>
              </w:rPr>
              <w:t xml:space="preserve">。</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r>
      <w:tr>
        <w:trPr>
          <w:trHeight w:val="9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9</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无纸化客户端（标准版）</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前端审委会功能：</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1、会议角色分为委员、列席、秘书、主持人角色，各角色对应的界面功能和权限不同。</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2、根据审委会人员排座，欢迎界面显示法院名称、logo、委员姓名，可切换参会人员，支持免账号进入会议系统。</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3、支持案件议题、汇报材料的自动获取与展示，支持访问一张网，查看电子卷宗。（提供功能截图扫描上传）</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4、支持法律法规的一键查询。</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5、支持汇报材料批注打开和源文件打开两种方式，支持文件协同功能，可对文件进行协同批注和审阅，批注数据同步且有角色分离显示；支持批注页查看，支持批注信息生成个人新文件或者修改原文件。</w:t>
            </w:r>
            <w:r/>
          </w:p>
          <w:p>
            <w:pPr>
              <w:jc w:val="left"/>
              <w:widowControl/>
              <w:rPr>
                <w:rFonts w:hint="eastAsia" w:ascii="宋体" w:hAnsi="宋体" w:eastAsia="宋体" w:cs="宋体"/>
                <w:strike w:val="0"/>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6、支持笔录信息的同传显示，审委会书记员录入笔录，无纸化终端同步显示，委员可查看当前和历史议题的笔录信息，并且可对个人笔录信息进行修改，修改后的笔录信息实时同步回审委会。（提供功能截图扫描上传）</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7、支持交流提示，委员可在会中针对案件进行一对一信息交流，采用国标级加密算法SM4，交流信息在结束会议时前端销毁。（提供功能截图扫描上传）</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8、审委会发起投票后，前端自动同步投票界面进行投票，投票时可动态查看表决结果，投票结束后投票信息及投票人员统一展现，投票结果实时同步回审委会。</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9、支持任一终端发起同屏、大屏，查看外部信号的功能。</w:t>
            </w:r>
            <w:r>
              <w:rPr>
                <w:rFonts w:hint="eastAsia" w:ascii="宋体" w:hAnsi="宋体" w:eastAsia="宋体" w:cs="宋体"/>
                <w:sz w:val="24"/>
                <w:szCs w:val="24"/>
                <w:highlight w:val="none"/>
              </w:rPr>
              <w:br/>
            </w:r>
            <w:bookmarkStart w:id="24" w:name="OLE_LINK6"/>
            <w:r>
              <w:rPr>
                <w:rFonts w:hint="eastAsia" w:ascii="宋体" w:hAnsi="宋体" w:cs="宋体"/>
                <w:sz w:val="24"/>
                <w:szCs w:val="24"/>
                <w:highlight w:val="none"/>
                <w:lang w:eastAsia="zh-CN"/>
              </w:rPr>
              <w:t xml:space="preserve">★</w:t>
            </w:r>
            <w:r>
              <w:rPr>
                <w:rFonts w:hint="eastAsia" w:ascii="宋体" w:hAnsi="宋体" w:eastAsia="宋体" w:cs="宋体"/>
                <w:strike w:val="0"/>
                <w:sz w:val="24"/>
                <w:szCs w:val="24"/>
                <w:highlight w:val="none"/>
              </w:rPr>
              <w:t xml:space="preserve">10</w:t>
            </w:r>
            <w:bookmarkEnd w:id="24"/>
            <w:r>
              <w:rPr>
                <w:rFonts w:hint="eastAsia" w:ascii="宋体" w:hAnsi="宋体" w:eastAsia="宋体" w:cs="宋体"/>
                <w:strike w:val="0"/>
                <w:sz w:val="24"/>
                <w:szCs w:val="24"/>
                <w:highlight w:val="none"/>
              </w:rPr>
              <w:t xml:space="preserve">、为确保无纸化系统会议电子文档管理的安全性、保密性，会议电子文档管理</w:t>
            </w:r>
            <w:r>
              <w:rPr>
                <w:rFonts w:hint="eastAsia" w:ascii="宋体" w:hAnsi="宋体" w:eastAsia="宋体" w:cs="宋体"/>
                <w:strike w:val="0"/>
                <w:sz w:val="24"/>
                <w:szCs w:val="24"/>
                <w:highlight w:val="none"/>
                <w:lang w:val="en-US" w:eastAsia="zh-CN"/>
              </w:rPr>
              <w:t xml:space="preserve">系统（专用版及通用版）需</w:t>
            </w:r>
            <w:r>
              <w:rPr>
                <w:rFonts w:hint="eastAsia" w:ascii="宋体" w:hAnsi="宋体" w:eastAsia="宋体" w:cs="宋体"/>
                <w:strike w:val="0"/>
                <w:sz w:val="24"/>
                <w:szCs w:val="24"/>
                <w:highlight w:val="none"/>
              </w:rPr>
              <w:t xml:space="preserve">通过国家保密科技测试中心测评并获得涉密信息系统产品检测证书</w:t>
            </w:r>
            <w:r>
              <w:rPr>
                <w:rFonts w:hint="eastAsia" w:ascii="宋体" w:hAnsi="宋体" w:cs="宋体"/>
                <w:strike w:val="0"/>
                <w:sz w:val="24"/>
                <w:szCs w:val="24"/>
                <w:highlight w:val="none"/>
                <w:lang w:eastAsia="zh-CN"/>
              </w:rPr>
              <w:t xml:space="preserve">。</w:t>
            </w:r>
            <w:r>
              <w:rPr>
                <w:rFonts w:hint="eastAsia" w:ascii="宋体" w:hAnsi="宋体" w:eastAsia="宋体" w:cs="宋体"/>
                <w:strike w:val="0"/>
                <w:sz w:val="24"/>
                <w:szCs w:val="24"/>
                <w:highlight w:val="none"/>
              </w:rPr>
              <w:t xml:space="preserve">（提供产品检测证书</w:t>
            </w:r>
            <w:bookmarkStart w:id="25" w:name="OLE_LINK7"/>
            <w:r>
              <w:rPr>
                <w:rFonts w:hint="eastAsia" w:ascii="宋体" w:hAnsi="宋体" w:eastAsia="宋体" w:cs="宋体"/>
                <w:strike w:val="0"/>
                <w:sz w:val="24"/>
                <w:szCs w:val="24"/>
                <w:highlight w:val="none"/>
              </w:rPr>
              <w:t xml:space="preserve">扫描上传</w:t>
            </w:r>
            <w:bookmarkEnd w:id="25"/>
            <w:r>
              <w:rPr>
                <w:rFonts w:hint="eastAsia" w:ascii="宋体" w:hAnsi="宋体" w:eastAsia="宋体" w:cs="宋体"/>
                <w:strike w:val="0"/>
                <w:sz w:val="24"/>
                <w:szCs w:val="24"/>
                <w:highlight w:val="none"/>
              </w:rPr>
              <w:t xml:space="preserve">）</w:t>
            </w:r>
            <w:r/>
          </w:p>
          <w:p>
            <w:pPr>
              <w:jc w:val="left"/>
              <w:widowControl/>
              <w:rPr>
                <w:rFonts w:hint="eastAsia" w:ascii="宋体" w:hAnsi="宋体" w:eastAsia="宋体" w:cs="宋体"/>
                <w:sz w:val="24"/>
                <w:szCs w:val="24"/>
                <w:highlight w:val="none"/>
              </w:rPr>
            </w:pPr>
            <w:r>
              <w:rPr>
                <w:rFonts w:hint="eastAsia" w:ascii="宋体" w:hAnsi="宋体" w:eastAsia="宋体" w:cs="宋体"/>
                <w:strike w:val="0"/>
                <w:sz w:val="24"/>
                <w:szCs w:val="24"/>
                <w:highlight w:val="none"/>
                <w:lang w:eastAsia="zh-CN"/>
              </w:rPr>
              <w:t xml:space="preserve">★</w:t>
            </w:r>
            <w:r>
              <w:rPr>
                <w:rFonts w:hint="eastAsia" w:ascii="宋体" w:hAnsi="宋体" w:eastAsia="宋体" w:cs="宋体"/>
                <w:strike w:val="0"/>
                <w:sz w:val="24"/>
                <w:szCs w:val="24"/>
                <w:highlight w:val="none"/>
              </w:rPr>
              <w:t xml:space="preserve">11、提供国家版权局出具</w:t>
            </w:r>
            <w:r>
              <w:rPr>
                <w:rFonts w:hint="eastAsia" w:ascii="宋体" w:hAnsi="宋体" w:eastAsia="宋体" w:cs="宋体"/>
                <w:strike w:val="0"/>
                <w:sz w:val="24"/>
                <w:szCs w:val="24"/>
                <w:highlight w:val="none"/>
                <w:lang w:val="en-US" w:eastAsia="zh-CN"/>
              </w:rPr>
              <w:t xml:space="preserve">的</w:t>
            </w:r>
            <w:r>
              <w:rPr>
                <w:rFonts w:hint="eastAsia" w:ascii="宋体" w:hAnsi="宋体" w:eastAsia="宋体" w:cs="宋体"/>
                <w:strike w:val="0"/>
                <w:sz w:val="24"/>
                <w:szCs w:val="24"/>
                <w:highlight w:val="none"/>
              </w:rPr>
              <w:t xml:space="preserve">软件著作权登记证书</w:t>
            </w:r>
            <w:r>
              <w:rPr>
                <w:rFonts w:hint="eastAsia" w:ascii="宋体" w:hAnsi="宋体" w:cs="宋体"/>
                <w:strike w:val="0"/>
                <w:sz w:val="24"/>
                <w:szCs w:val="24"/>
                <w:highlight w:val="none"/>
                <w:lang w:eastAsia="zh-CN"/>
              </w:rPr>
              <w:t xml:space="preserve">，</w:t>
            </w:r>
            <w:r>
              <w:rPr>
                <w:rFonts w:hint="eastAsia" w:ascii="宋体" w:hAnsi="宋体" w:eastAsia="宋体" w:cs="宋体"/>
                <w:strike w:val="0"/>
                <w:sz w:val="24"/>
                <w:szCs w:val="24"/>
                <w:highlight w:val="none"/>
              </w:rPr>
              <w:t xml:space="preserve">扫描上传</w:t>
            </w:r>
            <w:r>
              <w:rPr>
                <w:rFonts w:hint="eastAsia" w:ascii="宋体" w:hAnsi="宋体" w:eastAsia="宋体" w:cs="宋体"/>
                <w:strike w:val="0"/>
                <w:sz w:val="24"/>
                <w:szCs w:val="24"/>
                <w:highlight w:val="none"/>
                <w:lang w:eastAsia="zh-CN"/>
              </w:rPr>
              <w:t xml:space="preserve">。</w:t>
            </w:r>
            <w:r>
              <w:rPr>
                <w:rFonts w:hint="eastAsia" w:ascii="宋体" w:hAnsi="宋体" w:eastAsia="宋体" w:cs="宋体"/>
                <w:strike w:val="0"/>
                <w:sz w:val="24"/>
                <w:szCs w:val="24"/>
                <w:highlight w:val="none"/>
              </w:rPr>
              <w:br/>
            </w:r>
            <w:r>
              <w:rPr>
                <w:rFonts w:hint="eastAsia" w:ascii="宋体" w:hAnsi="宋体" w:eastAsia="宋体" w:cs="宋体"/>
                <w:sz w:val="24"/>
                <w:szCs w:val="24"/>
                <w:highlight w:val="none"/>
              </w:rPr>
              <w:t xml:space="preserve">前端无纸化功能：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1、支持多种会议角色，各会议角色具有不同的与会权限。</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2、无纸化会议支持手写签到功能，签到信息可查看本场会议基本信息，可查看已签到、未签到人员，签到信息会后可导出。</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3、文件支持批注和源文件两种打开方式；支持文件协同功能，可对文件进行协同批注和审阅，批注数据同步且有角色分离显示；支持批注页查看，支持批注信息生成个人新文件或者修改原文件。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4、支持会中信息交互功能，可查看后台通知的消息，可与其他参会人发送消息，可向后台呼叫服务。</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5、支持会议纪要功能，自动生成会议基本信息，方便会中纪要，会后可导出。</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6、支持任一终端发起同屏、大屏，查看外部信号的功能。</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7、主持人支持切换会议功能；切换议题功能；模块一键定位功能（可全选或多选人员切换指定模块界面）；信号控制功能；发起和展示投票结果的功能。</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w:t>
            </w:r>
            <w:r/>
          </w:p>
        </w:tc>
      </w:tr>
      <w:tr>
        <w:trPr>
          <w:trHeight w:val="2318"/>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智能国产化无纸化会议管理平台（含接口）</w:t>
            </w:r>
            <w:r/>
          </w:p>
        </w:tc>
        <w:tc>
          <w:tcPr>
            <w:shd w:val="clear" w:color="auto" w:fill="auto"/>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后端审委会功能：</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1、会议排座：支持审委会页面排座功能，支持议题排位；支持自动排位，全部排位，拖拽式排位；支持修改参会人员角色身份；会议开始后自动同步到终端显示。</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2、一键拉会：支持审委会页面同步会议功能，审委会开始、结束会议，终端自动获取会议数据，更改会议状态。</w:t>
            </w:r>
            <w:bookmarkStart w:id="26" w:name="OLE_LINK8"/>
            <w:r>
              <w:rPr>
                <w:rFonts w:hint="eastAsia" w:ascii="宋体" w:hAnsi="宋体" w:eastAsia="宋体" w:cs="宋体"/>
                <w:sz w:val="24"/>
                <w:szCs w:val="24"/>
                <w:highlight w:val="none"/>
              </w:rPr>
              <w:t xml:space="preserve">（提供功能截图扫描上传）</w:t>
            </w:r>
            <w:r/>
          </w:p>
          <w:p>
            <w:pPr>
              <w:jc w:val="lef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bookmarkEnd w:id="26"/>
            <w:r>
              <w:rPr>
                <w:rFonts w:hint="eastAsia" w:ascii="宋体" w:hAnsi="宋体" w:eastAsia="宋体" w:cs="宋体"/>
                <w:sz w:val="24"/>
                <w:szCs w:val="24"/>
                <w:highlight w:val="none"/>
              </w:rPr>
              <w:t xml:space="preserve">卷宗查看：支持案件信息接入功能，访问一张网，查看电子卷宗。（提供功能截图扫描上传）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4、汇报材料：支持汇报材料接入功能，可批注和源文件打开。</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5、笔录信息：支持笔录信息同步功能，终端实时展示审委会笔录信息，可对个人笔录进行修改，修改信息回传审委会。</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6、会议表决：支持会中同步会议表决信息，审委会一键开始、结束表决，会议终端同步投票状态，投票时可动态查看表决结果，结束后返回审委会表决结果。</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7、法律法规：支持法律法规接入功能，查看法律法规。</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后端无纸化功能：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1、系统包含会议服务软件和文件管理软件，提供无纸化系统会前、会中、会后的后台操作管理功能。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2、支持会议管理员对参会者进行模拟排位，支持拖动参会者图标安排人员就位且终端实时显示模拟排位后的参会者信息。</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3、管理后台提供自选会议模块组建成会议向导流程模板（模块包含会议、议题、资料、投票、前后屏管理、参会人员、人员中控排座），可创建多套会议向导流程模板。</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4、上传文件采用国标SM4加密算法加密。</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5、系统可自动检测带密码保护的文档，管理员在管理界面输入文件密码后系统自动解密文档，参会人员无需密码可以查看文件，后端也可以不做处理，由参会人员输入密码解开文件查看；可对红头文件进行去红头转换；资料列表可拖拽排序。</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支持大文件上传，可上传2GB以上的视频文件；可自定义资料上传后缀范围、资料上传大小限制，支持全办公文件格式（doc、docx、xls、xlsx、ppt、pptx、pdf、png、jpg、html、htm、mht、tif、tiff、txt）、支持扩展行业用文件格式（ceb、dwg、dxf）；</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7、支持会后管理员对会议信息打包下载，包含签到、资料、批注、会议纪要、投票。</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8、支持按分组的方式配置设备管控策略，策略选项包含开启/关闭护眼模式、唤醒/息屏、禁止开关机、启用音量键、应用管控/取消管控、启用/禁用音量键（提供第三方机构出具的检测报告扫描上传）</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9、支持会议终端(鸿蒙、安卓移动端)管控，实现禁用/启用系统截屏功能、开启/关闭护眼模式、禁用/启用USB调试模式、蓝牙、禁用/启用物理按键等等功能（提供第三方机构出具的检测报告扫描上传）</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10、会议类型参数设置，在包括资料查看权限开关，文件保存方式，水印配置开关等会议参数和MDM设备管控等配置，所有根据该类型创建的会议都会继承这些参数并可以根据需要进行二次调整（提供第三方机构出具的检测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11、提供无纸化平板终端设备安全管控相关的计算机软件著作权登记证书扫描上传。</w:t>
            </w:r>
            <w:r/>
          </w:p>
        </w:tc>
        <w:tc>
          <w:tcPr>
            <w:shd w:val="clear" w:color="auto" w:fill="auto"/>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1751"/>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标准千兆无线路由器</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1、LAN口类型：电口；天线：内置天线；WAN接入口：千兆网口；LAN输出口：千兆网口</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2、频段：双频</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3、无线协议：Wi-Fi7</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4、无线速率≧3000M</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905"/>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审委会软件</w:t>
            </w:r>
            <w:r/>
          </w:p>
        </w:tc>
        <w:tc>
          <w:tcPr>
            <w:shd w:val="clear" w:color="auto" w:fill="auto"/>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1、会议申请：系统需支持案件承办人在审判系统发起议题申请，填写议题基本信息，上传电子材料，关联相关卷宗。</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2、议题审批：案件承办人提起议题申请后，由分管领导进行审批。符合上会条件的议题，自动进入“审委会系统”进行流转。（提供系统功能截图扫描上传）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3、会议准备：系统需支持审委会秘书可查看会议类型、需要讨论的议题、会议时间、主持人、秘书、参加委员、列席人以及院外列席人等信息。</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4、会议控制：秘书具备会议控制权限，审委会秘书可以对会议进行控制，包括会议的开始/结束、会议考勤、引入需要讨论的议题等。</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5、会议签到：系统需支持秘书对出席本次会议的人员进行签到操作，记录各人员的出/缺席情况，如果是缺席的还要注明缺席的事情。</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6、议题浏览/批注：系统需支持参会人员随时查看议题基本信息，并支持对汇报材料进行修订编辑。</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7、会议笔录：需支持根据模板自动生成笔录内容，书记员和秘书可对笔录内容进行编辑和重新生成。（提供系统功能截图扫描上传）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8、会议表决：当讨论发言阶段完成以后，需支持一键发送至各个委员处进行表决的评价投票操作。</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9、投票表决：秘书提起会议表决后，各个参会委员可以查看会议表决结果，同时可同步看到其他委员的投票情况以及评价内容。</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10、决议发布：系统可按照表决结果的情况辅助生成决议报告，并经由秘书确认后发送至各个委员出进行签字确认。</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11、需实现与现有法综系统融合及数据的对接和共享（案件信息及卷宗），满足系统之间互联互通、流程整合、统一登录的要求，综合解决各类系统之间数据重复录入、信息来源不一、不集中、不能互用互访的问题，具备集成接口及标准定义规范，实现对采购单位各项业务信息的高度集成和综合利用。</w:t>
            </w:r>
            <w:r/>
          </w:p>
        </w:tc>
        <w:tc>
          <w:tcPr>
            <w:shd w:val="clear" w:color="auto" w:fill="auto"/>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991"/>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充电柜</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1、支持并兼容各类平板设备数量30台，前置USB多功能充电口，具有移动、管理、储存、温控、USB端口5V2.4A直流快速充电，免适配器，配绿色专用数据线。</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2、三层式设计, 前门带锁为单开门,全封闭式防盗结构，安全存管；内部分舱：前舱为ABS绿色工程塑料隔板平板放置充电、LED充电状态指示、学生接触区域，安全无强电；侧舱为电源管理控制区域，可由专业管理人员控制。</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智能识别IC芯片，能智能充电识别设备并分配所需电流,每路均有过流、过载、短路、漏电保护，采用单个独立变压供电，而非一个总变压器集中供电，充电更稳定更快速更安全更高效，每口单独具备智能LED转灯功能；红灯：充电状态中 ，绿灯：充满/未连接；</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配备4个3寸万向轮（带刹车功能），四角加厚软塑胶防撞角，ABS人体工学把手，顶盖边角圆弧(≥R10)设计,全方位安全呵护，具有抗静电和防划伤，具备温控感应双降温风扇，当移动充电车内温度≥25℃自动启停扇热降温；</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5、配有≥2路备用电源接口，便于连接其他设备；主动式PEC开关电源供电，节约能源；输入宽频交流电110V-240V，国际通用；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6、每个位对应USB数字充电端口，一目了然，对号入座。</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1925"/>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墨水屏电子桌牌</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1、双面≧8.6寸三色电子墨水屏</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2、分辨率≧600×1440、像素密度DPI:181、可视角度接近180°</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3、支持黑、白、红三种颜色显示，具有高对比度</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4、采用MCS_DOVE数字化处理与传输技术,实现全数字信号传输与处理</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5、采用反射式技术接近纸张显示效果无闪烁不造成视觉疲劳</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6、具有双稳态技术特性，断电显示画面不消失,超级省电</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7、支持OTA升级、支持256位AES加密方式</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8、灰阶度黑白红18灰阶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9、直立双面内容横屏/竖屏显示可选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10、采用蓝牙BLE5.0通讯技术,工作频段2.4-2.485GHz 支持NFC</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11、支持服务器web端批量管理控制</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12、支持多帐号多会议室多用户分区管理</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13、支持模版自定义编辑样式可任意调整设计</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14、支持文字、字体、字号可编辑，支持双屏显示不同内容</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15、支持采用3000mAh 3.7V聚合物锂电池Type-C充电接口</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w:t>
            </w:r>
            <w:r/>
          </w:p>
        </w:tc>
      </w:tr>
      <w:tr>
        <w:trPr>
          <w:trHeight w:val="312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墨水屏基站</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1、空旷环境下覆盖半径≧30米;</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2、配置1个彩色指示灯；</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3、内置4路全向天线，整机尺寸≧180*180*33mm</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4、BLE5.0蓝牙工作频段:  2.4GHz+5GHz;</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5、采用BLE5.0私有协议通信方式,蓝牙模块4个,传输速率下行:1M bps上行1M bps;</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6、速率≥1167Mbps，802.11b/g/n/ac;</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7、支持ESL无线漫游、多AP负载均衡；</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8、主频775MHz,存储16M FLASH+128M RAM;</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9、采用2个连接速率10/100M/1000M自适应以太网接口，支持POE供电;</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10、单台基站最高可接入≥5000pcs墨水屏；</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11、内置网页配置界面配置管理;</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12、支持吸顶、挂墙及水平放置安装。</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80"/>
        </w:trPr>
        <w:tc>
          <w:tcPr>
            <w:gridSpan w:val="5"/>
            <w:tcBorders>
              <w:top w:val="single" w:color="auto" w:sz="4" w:space="0"/>
              <w:left w:val="single" w:color="auto" w:sz="4" w:space="0"/>
              <w:bottom w:val="single" w:color="auto" w:sz="4" w:space="0"/>
              <w:right w:val="single" w:color="auto" w:sz="4" w:space="0"/>
            </w:tcBorders>
            <w:tcW w:w="9209"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二、发言系统</w:t>
            </w:r>
            <w:r/>
          </w:p>
        </w:tc>
      </w:tr>
      <w:tr>
        <w:trPr>
          <w:trHeight w:val="286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模拟会议传声器 </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1、收音头：20mm镀金电容式；</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2、指向性：超心型；</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3、灵敏度：-31dB(0dB=1V/Pa,1000Hz)；</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4、频响：20Hz~20000Hz；</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5、输出阻抗：≤200欧姆；</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6、负载阻抗：≥1000欧姆；</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7、最大声压级：138dBSPL(0dBSPL=2×10-5Pa)；</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8、等效噪声级：17dB-A；</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9、供电要求：48V幻象供电；</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10、开关：静音功能；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11、输出连接器：2米连接线，3针XLR插头；</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只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w:t>
            </w:r>
            <w:r/>
          </w:p>
        </w:tc>
      </w:tr>
      <w:tr>
        <w:trPr>
          <w:trHeight w:val="494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混音器</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1、RS232外部控制端口,用于扩展混音器的应用能力,可从外部控制设备(如控制合,电脑,中控)控制混音器设置。</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2、通过设定通道的优先权和摄像机协议,可轻松应用于各种视频会议工程</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3、12个平行输入可以用于麦克风电平信号和线路电平信号。</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4、快速自动开启只有信号输入的通道闸门,动作电平能自动调整</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5、48V幻象供电（可独立选择）</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6、选配型号可增加反馈抑制功能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7、独立的增益和电平控制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8、可调的闸门衰减（0dB到全静音，1dB步進）</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9、可调麦克风闸门电平（自动/手动）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10、每路设有独立的高通滤波器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11、RS485,RS232控制端口</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12、信号电平表（峰值 / 均方根）</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13、可选的 NOMA 功能（开启麦克风数量衰减）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14、随着每支麦克风被启动增益自动衰减</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15、可串接≥13台（最多156输入通道）</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16、无需外加解码器支持语音触发,摄像自动跟踪功能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17、音量高/低（用于开关控制输出电平）</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18、可同中控控制系统配合使用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19、占用1U--19英寸机架（含机架安装适配器）</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台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r>
        <w:trPr>
          <w:trHeight w:val="280"/>
        </w:trPr>
        <w:tc>
          <w:tcPr>
            <w:gridSpan w:val="5"/>
            <w:tcBorders>
              <w:top w:val="single" w:color="auto" w:sz="4" w:space="0"/>
              <w:left w:val="single" w:color="auto" w:sz="4" w:space="0"/>
              <w:bottom w:val="single" w:color="auto" w:sz="4" w:space="0"/>
              <w:right w:val="single" w:color="auto" w:sz="4" w:space="0"/>
            </w:tcBorders>
            <w:tcW w:w="9209" w:type="dxa"/>
            <w:vAlign w:val="center"/>
            <w:textDirection w:val="lrTb"/>
            <w:noWrap/>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三、会议摄像机</w:t>
            </w:r>
            <w:r/>
          </w:p>
        </w:tc>
      </w:tr>
      <w:tr>
        <w:trPr>
          <w:trHeight w:val="30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摄像机</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1、图像传感器采用不小于1/2.8"CMOS 图像传感器，支持4K（3840×2160p）30Hz、4K（3840×2160p）25Hz、1080i/60Hz、1080i/50Hz、1080p60、1080p50、1080p30、1080p25、720p60、720p50等高清信号输出。</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2、支持不小于12倍光学变倍，支持不小于16倍数字变焦。</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3、支持广角镜头，水平视角不小于80°</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4、视频输出接口具备HDBaseT、HDMI、USB接口。</w:t>
            </w:r>
            <w:r>
              <w:rPr>
                <w:rFonts w:hint="eastAsia" w:ascii="宋体" w:hAnsi="宋体" w:eastAsia="宋体" w:cs="宋体"/>
                <w:i/>
                <w:iCs/>
                <w:sz w:val="24"/>
                <w:szCs w:val="24"/>
                <w:highlight w:val="none"/>
                <w:u w:val="singl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5、支持一根网线实现供电、图像显示、摄像机控制多线合一，支持通过一根网线实现信号传输100米长距离传输。（提供公安部授权检测机构或第三方检测机构出具的检验报告扫描上传）</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6、支持RS422控制接口，支持标准VISCA和PELCO协议，支持摄像机通过控制口实现菊花链控制。</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7、支持水平转动范围：≥±170°，垂直转动范围：≥-30°～30°</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8、支持保存不少于255个预置位。</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9、支持HDR高动态功能，支持图像抗闪烁功能</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10、支持终端遥控器通过摄像机反向控制会议终端。</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trHeight w:val="280"/>
        </w:trPr>
        <w:tc>
          <w:tcPr>
            <w:gridSpan w:val="5"/>
            <w:tcBorders>
              <w:top w:val="single" w:color="auto" w:sz="4" w:space="0"/>
              <w:left w:val="single" w:color="auto" w:sz="4" w:space="0"/>
              <w:bottom w:val="single" w:color="auto" w:sz="4" w:space="0"/>
              <w:right w:val="single" w:color="auto" w:sz="4" w:space="0"/>
            </w:tcBorders>
            <w:tcW w:w="9209"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四、扩声系统</w:t>
            </w:r>
            <w:r/>
          </w:p>
        </w:tc>
      </w:tr>
      <w:tr>
        <w:trPr>
          <w:trHeight w:val="2350"/>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全频音柱</w:t>
            </w:r>
            <w:r/>
          </w:p>
        </w:tc>
        <w:tc>
          <w:tcPr>
            <w:shd w:val="clear" w:color="000000" w:fill="ffffff"/>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1、音柱式全频扬声器。</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2、额定功率：≥320W。</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3、峰值功率：≥1280W</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4、阻抗：4Ω</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5、灵敏度（1W@1m）：≥97dB</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6、最大声压级（Pmax@1m）：≥125dB</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7、频率带宽（-10dB）：等同或优于90Hz—18.5KHz</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8、指向性（-6dB）：≥90°H×30°V</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9、单元配置：全频驱动器3″×8</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只</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r>
      <w:tr>
        <w:trPr>
          <w:trHeight w:val="2340"/>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功率放大器</w:t>
            </w:r>
            <w:r/>
          </w:p>
        </w:tc>
        <w:tc>
          <w:tcPr>
            <w:shd w:val="clear" w:color="auto" w:fill="auto"/>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1、双通道大功率专业后级功放；</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2、功放具有过流、中点漂移、过热、欠压、软启动保护功能；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3、支持灵敏度0.775V/1V/1.5V三档选择切换；</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4、具有单声道、立体声和桥接三种工作模式选择；</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5、输出功率：≥8Ω/500W×2,≥4Ω/800W×2,≥8Ω桥接/1500W；</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6、信噪比：&gt;100dB A计权；</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7、失真度：&lt;0.1% A计权；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8、阻尼系数：&gt;200/8Ω；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9、频率响应：20Hz-20KHz,±0.5dB；</w:t>
            </w:r>
            <w:r/>
          </w:p>
        </w:tc>
        <w:tc>
          <w:tcPr>
            <w:shd w:val="clear" w:color="000000" w:fill="ffffff"/>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r>
        <w:trPr>
          <w:trHeight w:val="2860"/>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模拟调音台</w:t>
            </w:r>
            <w:r/>
          </w:p>
        </w:tc>
        <w:tc>
          <w:tcPr>
            <w:shd w:val="clear" w:color="auto" w:fill="auto"/>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1、≥16路单声输入通道带话放，支持48V幻象电源，≥2组立体声输入通道。</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2、支持连接蓝牙播放音乐。</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3、支持USB音频播放MP3，MP3带有录音功能。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4、具备9段图式均衡器。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5、每通道带静音开关及3段参量均衡。</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6、内置双99种DSP效果器。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7、具备四编组输出控制。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8、具备话音消除功能。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9、五段效果电平监听指示。</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10、双十二段电平显示主输出。</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11、具备录音、耳机监听输出。</w:t>
            </w:r>
            <w:r/>
          </w:p>
        </w:tc>
        <w:tc>
          <w:tcPr>
            <w:shd w:val="clear" w:color="000000" w:fill="ffffff"/>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785"/>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音频处理器</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1、输入≥4路平衡式输入，采用标准卡农接口；</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2、输出≥8路平衡式输入，采用标准卡农接口；</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3、采样率≥48kHz；</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4、内置数字音频处理算法：增益、噪声门、自适应反馈、16段输入输出PEQ、高低滤波器、混音矩阵、压限、延时；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5、内置信号发生器：具有正弦波信号、粉红噪声、白噪声；</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6、通道参数可快速拷贝；</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7、可存储不少于32个系统预设；</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8、具有≥1路TCP/IP通讯端口；</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9、具有≥1路RS232通讯端口，开放第三方控制协议；</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60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反馈抑制器</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1、每通道具备≥12个动态陷波器，≥12个PEQ。</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2、24BIT高性能A/D及D/A转换。</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3、响应时间快中慢3速可设定，陷波器Q值两档自动选取。</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4、自动扫描啸叫点并抑制。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5、具备噪声们功能。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6、具备输入压缩功能，消除反馈同时更可扩展人声动态。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7、每通道，增益-80dB到0dB可调。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8、每路设有四档移频选择功能。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9、信噪比：&gt;105db(A)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10、动态范围：103db</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1717"/>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电源时序器</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供电架构</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1、电源输入：三相五线制AC 380V(±10%)，50/60Hz与单相AC220V(±10%)，50/60Hz，多种输入方式选择，具备全球主流电力环境自适应。</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2、电源输出：12路独立可控通道，每路输出额定电压 AC220V ±10%，单通道负载能力达4kW，整机最大带载功率48kW，满足中大型演出、数据中心、会议集成等高功率用电管控场景。（提供功能截图扫描上传）</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3、智能短路与过载保护：每路输出独立配备液压电磁式 20A 断路器，具备过载保护与瞬时短路切断能力。</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本地控制模式切换：具备紧急物理按键，可实时切换本地触屏时序开关模式和应急物理按键时序开关两种控制模式，两种控制方式相互独立，实现全工况应急控制兜底，可快速通过设备紧急开关进行电源一键时序开关</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远程智控</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1、一键时序调度：平台端可远程对设备12路通道进行一键式顺序、逆序、自定义顺序控制及每路独立开关操作，也可远程触发12路输出通道的批量开关动作，适用于系统启动、关机等标准化流程。</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2、三相综合监测：平台端实时监测设备三相输入电压、电流、温度以及设备湿度、累计运行时长、总用电量、总功率。</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3、通道级精细化感知：平台端实时监测每路输出通道的实时电流、功率、异常状态、运行时长、自定义备注信息。</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4、智能告警与主动通知：平台端具备输入过压/欠压、温度超限、每路电流/功率超阈值等事件。可分级设定告警动作（仅通知 / 通知+断电）。</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5、云端告警聚合：所有告警自动上传至物联网平台，通过手机App和电脑Web端实时推送告警设备名称、场所、时间、详情及告警次数，方便管理员快速掌握所有设备维护情况。（提供功能截图扫描上传）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场景自动化引擎：电源管理平台端具备手动场景、自动场景、条件场景三类任务设置，可自定义执行日期、周期（周/月/单次），能够实时查看执行的场景名称、创建时间、执行操作和结果，实现无人值守状态下的设备联动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7、精细化定时策略：平台端可针对任意通道组合，独立设置定时开关任务，具备重复周期（每天/工作日/自定义）与无限循环模式。</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8、全场景日志审计：平台端自动记录场景名称、创建时间、执行结果，为运维审计与故障回溯提供可溯源轨迹。</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9、系统链路拓补图：电源管理平台端联动其他设备形成系统化链路拓补图，直观展示各设备之间连接情况，快速确认设备之间是否存在故障断联。</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10、功率趋势分析：平台端自动生成功率走势图，能够查看各个通道在23小时内的功率使用情况，帮助识别设备老化、负荷异常、峰值规律，为扩容或节能提供数据支撑。</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智慧交互</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1、工业级触控中枢：4.3 英寸 IPS 电容触摸屏，实时呈现设备状态、日期时间、三相电压状态，以及12路输出电压、电流、功率、状态、温度等信息。具备屏幕锁与显示亮度无极调节，适应强光、暗场等多种工程环境。</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2、本机定时任务：无需联网即可在设备端新增定时任务，自定义任务名称、开关动作、执行周期（单次/循环）、执行通道顺序，保障离线场景下的自动化能力。</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3、本机电气安全设置：直接在设备端设置过压/欠压/温度/每路过流阈值，并查看每一路的告警状态，实现本地化闭环管理。</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4、远程操作使能开关：设备端可物理开启/关闭远程控制功能，有效防止云端误操作或网络攻击导致的意外断电，保障关键负载的绝对可控性。</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5、本机优先原则：本地触控操作与平台指令实时同步，当网络中断时，本机定时任务与安全保护策略仍可独立正常运行，确保系统高可用性，避免因网络问题影响设备运行。</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开放集成</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1、DMX512 专业照明协议：可进行设备端进行地址码配置，能够接收DMX512信号控制每一路通道开关，无缝融入舞台、演播厅、剧场等专业灯光系统。</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2、RS485串口中控集成：具有标准RS485端子，能够接收RS485信号控制每一路通道开关，实现对接现场智能化系统统一调度。</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3、双模式网络控制：内置RJ45以太网接口，具备局域网本地直管与物联网云平台远程管控双模式并行，并可通过网络进行固件远程升级（OTA），持续获取功能迭代。</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4、本机云端双备份: 本地触控操作与平台指令实时同步，当网络中断时，本机定时任务与电气设置仍可独立正常运行</w:t>
            </w:r>
            <w:r>
              <w:rPr>
                <w:rFonts w:hint="eastAsia" w:ascii="宋体" w:hAnsi="宋体" w:cs="宋体"/>
                <w:i/>
                <w:iCs/>
                <w:sz w:val="24"/>
                <w:szCs w:val="24"/>
                <w:highlight w:val="none"/>
                <w:u w:val="single"/>
                <w:lang w:eastAsia="zh-CN"/>
              </w:rPr>
              <w:t xml:space="preserve">。</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80"/>
        </w:trPr>
        <w:tc>
          <w:tcPr>
            <w:gridSpan w:val="5"/>
            <w:tcBorders>
              <w:top w:val="single" w:color="auto" w:sz="4" w:space="0"/>
              <w:left w:val="single" w:color="auto" w:sz="4" w:space="0"/>
              <w:bottom w:val="single" w:color="auto" w:sz="4" w:space="0"/>
              <w:right w:val="single" w:color="auto" w:sz="4" w:space="0"/>
            </w:tcBorders>
            <w:tcW w:w="9209" w:type="dxa"/>
            <w:vAlign w:val="center"/>
            <w:textDirection w:val="lrTb"/>
            <w:noWrap/>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五、控制系统</w:t>
            </w:r>
            <w:r/>
          </w:p>
        </w:tc>
      </w:tr>
      <w:tr>
        <w:trPr>
          <w:trHeight w:val="1416"/>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4K分布式输入接点</w:t>
            </w:r>
            <w:r/>
          </w:p>
        </w:tc>
        <w:tc>
          <w:tcPr>
            <w:shd w:val="clear" w:color="000000" w:fill="ffffff"/>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lang w:eastAsia="zh-CN"/>
              </w:rPr>
            </w:pPr>
            <w:r>
              <w:rPr>
                <w:rFonts w:hint="eastAsia" w:ascii="宋体" w:hAnsi="宋体" w:eastAsia="宋体" w:cs="宋体"/>
                <w:i/>
                <w:iCs/>
                <w:sz w:val="24"/>
                <w:szCs w:val="24"/>
                <w:highlight w:val="none"/>
                <w:u w:val="single"/>
              </w:rPr>
              <w:t xml:space="preserve">1、完全分布式架构，无需配置服务器即可构建无服务器的去中心化分布式音视频综合管控网络，节点均采用嵌入式芯片和 FPGA 组合，无常见操作系统病毒、崩溃等风险。运行中可断开任意分布式节点，系统运行不受影响；</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2、支持4K分辨率，且分辨率和帧率自适应向下兼容，确保图像动态细节和流畅性；</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3、具备≥1路HDMI输入、≥1路音频输入接口、≥1路音频输出接口、≥1路MIC接口、≥1路RJ45网口、≥1路USB Type-A接口、≥1路RS232、≥1路IO/IR、≥1路Relay、≥1路带螺纹锁定防脱落电源适配器接口以及≥1个SEARCH复位；</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4、为保障系统稳定运行，设备HDMI接口须搭载无螺丝无螺母式多级可调距伸缩锁定卡扣结构，可适应适配各类HDMI接头，精准锁紧限位，有效杜绝接口松动，彻底规避震动、走线牵拉引发的信号闪屏、黑屏、断流等问题，适配全天候稳定运行场景；（提供设备信号接口稳固卡扣装置高清实物图</w:t>
            </w:r>
            <w:r>
              <w:rPr>
                <w:rFonts w:hint="eastAsia" w:ascii="宋体" w:hAnsi="宋体" w:cs="宋体"/>
                <w:sz w:val="24"/>
                <w:szCs w:val="24"/>
                <w:highlight w:val="none"/>
                <w:lang w:eastAsia="zh-CN"/>
              </w:rPr>
              <w:t xml:space="preserve">）</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5、支持信号裁剪上墙，以便突出重点，屏蔽无需上墙的内容。帧内编辑，对不重要、不需要的内容进行屏蔽、裁剪，以便重点突出，展示重点内容、图表；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每个节点输出音频可以指定任意一路音频流，达到单个输出单元音频与视频既可同源，可不同源，在无视频接入情况下，音频也可以正常传输；支持音频从输出端送往输入端（反向传输）；输入节点支持音频环出；</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7、具备输入信号丢失检测，便于对输入进行排查、处理，信号恢复正常后有信号正常指示；8.支持本地环出，环出信号与输入信号一致；具备接口备份功能的节点，环出自动跟随主备信号切换；</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8、支持信号裁剪上墙，以便突出重点，屏蔽无需上墙的内容。帧内编辑，对不重要、不需要的内容进行屏蔽、裁剪，以便重点突出，展示重点内容、图表；</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9、具有软件点名功能，当软件选中时，节点所有指示灯闪烁，特别是安装于天花或者狭窄空间的节点的查找，具备硬件监控、异常报警提示，当设备发生故障时给出报警提示，用户可根据提示，快速定位到故障位置；（提供第三方机构出具的检测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10、支持POE+供电，可使用POE供电而无需外部适配器；或POE供电与适配器供电组成供电双备份；</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11、具备7×24小时全天候不间断满载连续运行能力，设备工作温度区间达到-26℃至 80℃，产品高低温环境适应性须符合GB/T2423.1-2008、GB/T2423.2-2008电工电子产品高低温环境试验标准；（提供第三方机构出具的检测报告扫描上传）</w:t>
            </w:r>
            <w:r/>
          </w:p>
        </w:tc>
        <w:tc>
          <w:tcPr>
            <w:shd w:val="clear" w:color="000000" w:fill="ffffff"/>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4K分布式输出接点</w:t>
            </w:r>
            <w:r/>
          </w:p>
        </w:tc>
        <w:tc>
          <w:tcPr>
            <w:shd w:val="clear" w:color="000000" w:fill="ffffff"/>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完全分布式架构，无需配置服务器即可构建无服务器的去中心化分布式音视频综合管控网络，节点均采用嵌入式芯片和FPGA组合，无常见操作系统病毒、崩溃等风险。运行中可断开任意分布式节点，系统运行不受影响；</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2、具备≥1路HDMI输出接口、≥1路DVI输出接口、≥1路VGA输出接口、≥1路凤凰端子模拟音频输入接口、≥1路凤凰端子模拟音频输出接口、≥1路3.5mm MIC接口、≥1路RS232接口、≥1路RS485接口、≥2路IO/IR接口、≥1路RJ45网口、≥1路带螺纹锁定防脱落电源适配器接口以及≥1个SEARCH复位，全接口规格齐全且布局适配专业工程部署需求；（</w:t>
            </w:r>
            <w:r>
              <w:rPr>
                <w:rFonts w:hint="eastAsia" w:ascii="宋体" w:hAnsi="宋体" w:cs="宋体"/>
                <w:sz w:val="24"/>
                <w:szCs w:val="24"/>
                <w:highlight w:val="none"/>
                <w:lang w:val="en-US" w:eastAsia="zh-CN"/>
              </w:rPr>
              <w:t xml:space="preserve">提供</w:t>
            </w:r>
            <w:r>
              <w:rPr>
                <w:rFonts w:hint="eastAsia" w:ascii="宋体" w:hAnsi="宋体" w:eastAsia="宋体" w:cs="宋体"/>
                <w:sz w:val="24"/>
                <w:szCs w:val="24"/>
                <w:highlight w:val="none"/>
              </w:rPr>
              <w:t xml:space="preserve">设备信号接口高清实物图片扫描上传）</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3、最大支持3840*2160@60Hz分辨率，支持分辨率向下兼容。</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为保障系统稳定运行，设备HDMI接口须搭载无螺丝无螺母式可调距伸缩锁定卡扣结构，可适应适配各类HDMI接头，精准锁紧限位，有效杜绝接口松动，彻底规避震动、走线牵拉引发的信号闪屏、黑屏、断流等问题，适配全天候稳定运行场景；</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5、支持操作终端虚拟大屏直接信号切换场景，支持大屏幕上多个小视频开窗和一个主画面之间直接交替切换，而无需删除信号重新拖动信号，提高大屏信号切换速度；</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6、支持用户大屏幕自定义块功能，用户可按照需求自定义屏幕上的屏幕分割块位置和大小，如4-1-4模式，而不是按照预设的2*2,3*3等，实现信号拖放并快速填充块的功能；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7、支持在控制终端大屏回显区域分割横幅，用于指挥调度主题、参观交流欢迎词等，并直接在控制终端输入文字，设置文字字体、颜色、大小等，大屏同步显示横幅内容；</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8、支持音柱叠加功能，可在输出节点上预览信号源音频的状态，可以音柱的形式监看音频音量大小、电平信号；</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9、信号源由输入节点编码，经过交换机传输，由输出节点进行解码输出。编码端至解码端(端到端传输)，图像传输延时≤16ms，支持输出节点直接连接 LED 发送卡进行拼接。拼接效果肉眼目测完全无画面撕裂，无同步误差；（提供第三方机构出具的检测报告扫描上传）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10、支持任意自定义分辨率，支持异型、弧形、拱门形 LED 屏拼接处理；支持拼接补偿功能；支持针对 LCD/DLP 拼接的移位补偿功能；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11、支持POE+供电，可使用POE供电而无需外部适配器；或POE供电与适配器供电组成供电双备份；</w:t>
            </w:r>
            <w:r/>
          </w:p>
        </w:tc>
        <w:tc>
          <w:tcPr>
            <w:shd w:val="clear" w:color="000000" w:fill="ffffff"/>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分布式调度和图像综合管理平台</w:t>
            </w:r>
            <w:r/>
          </w:p>
        </w:tc>
        <w:tc>
          <w:tcPr>
            <w:shd w:val="clear" w:color="000000" w:fill="ffffff"/>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1、支持系统音频/视频调度、kvm交互/获取状态反馈/推送/跨屏、全局控制管理、全局会议管理共享一个服务网络；</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2、软件界面具备信号预览功能，将所有输入源信号画面实时预览到平板；</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3、具备手势化操作功能，用户直接通过手势化拖拽的方式可将任意信号源上屏，支持全屏信号漫游、任意开窗、任意画面放大缩小，实现画中画功能；</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4、软件具备集中控制管理功能，可任意添加第三方协议RS232、RS485协议控制的设备管理，如大屏、投影、电视、灯光等一体化集中智能控制管理；</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5、支持内建多用户认证和授权机制，允许多用户同时对大屏幕进行操作，可设定权限分级，设置各操作员具有不同的操作权限，并可为每个操作员设定相应的信号源及显示墙范围；</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6、支持要素预布局功能，通过操作终端预先所见所得的对屏幕进行布局，而不影响当前屏幕显示；布局完成并需要切换场景时一键发送，一键切换；便于场景的无缝衔接，观众无需看到大屏布局过程，且加快场景切换效率；（提供第三方机构出具的检测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7、支持可视化音频状态回显管理：直接在可视化控制终端上，遇到到实时的视频画面，同时也可以预览到实时的音频状态，采用滚动条跳动的方式展示，实时、直观、准确；</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8、支持预案管理，管理软件可根据用户需求、习惯自由选择预案内容进行保存，内容精细到区域所包含的拼接墙以及信号源所属的设备；保存的预案还可以在调用前进行内容预览，确保准确调用；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9、支持资源管理功能，用户可按照使用习惯将资源以类 Windows 资源管理器形式树形管理资源，可以随时展开和收起资源树，以便于顶层视角方式管理资源；支持模糊查找并逐次逼近匹配查找名称；支持对常用信号进行收藏；支持轮巡功能；</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10、同屏功能：可通过客户端软件将电视墙 A 的场景，一键比例镜像至显示设备 B，实现本地/异地同屏功能，可显示同样的内容，同样的分割模式，但屏幕 A 和 B 可以完全不同</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大小和比例；</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11、支持设置滚动字幕，台标、支持实时时钟显示；支持不额外增加设备情况下在屏幕设定值班表、紧急联系人、电话表格区域，颜色可调，字体可调，内容可随时修改，无需任意额外软硬件支持；</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12、操作软件支持国产硬件和操作系统：提供跨平台操作能力，操作终端可完美支持龙芯、飞腾、麒麟</w:t>
            </w:r>
            <w:r>
              <w:rPr>
                <w:rFonts w:hint="eastAsia" w:ascii="宋体" w:hAnsi="宋体" w:cs="宋体"/>
                <w:sz w:val="24"/>
                <w:szCs w:val="24"/>
                <w:highlight w:val="none"/>
                <w:lang w:val="en-US" w:eastAsia="zh-CN"/>
              </w:rPr>
              <w:t xml:space="preserve">等</w:t>
            </w:r>
            <w:r>
              <w:rPr>
                <w:rFonts w:hint="eastAsia" w:ascii="宋体" w:hAnsi="宋体" w:cs="宋体"/>
                <w:strike w:val="0"/>
                <w:sz w:val="24"/>
                <w:szCs w:val="24"/>
                <w:highlight w:val="none"/>
                <w:lang w:val="en-US" w:eastAsia="zh-CN"/>
              </w:rPr>
              <w:t xml:space="preserve">主流</w:t>
            </w:r>
            <w:r>
              <w:rPr>
                <w:rFonts w:hint="eastAsia" w:ascii="宋体" w:hAnsi="宋体" w:eastAsia="宋体" w:cs="宋体"/>
                <w:sz w:val="24"/>
                <w:szCs w:val="24"/>
                <w:highlight w:val="none"/>
              </w:rPr>
              <w:t xml:space="preserve">国产操作系统上；支持浏览器作为操作终端，支持国产化浏览器；（需提供国产系统/软件所出具的产品兼容性认证证明扫描上传）</w:t>
            </w:r>
            <w:r/>
          </w:p>
        </w:tc>
        <w:tc>
          <w:tcPr>
            <w:shd w:val="clear" w:color="000000" w:fill="ffffff"/>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10"/>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智能中控主机</w:t>
            </w:r>
            <w:r/>
          </w:p>
        </w:tc>
        <w:tc>
          <w:tcPr>
            <w:shd w:val="clear" w:color="000000" w:fill="ffffff"/>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主机需具备10路串口，8路IR，8路IO，8路弱继电器，4个模拟量输入接口，1个模拟量输出接口，2路NET口。具备8路弱继电器，提供开关量输出；具备8路红外，支持一个红外接口发多种设备红外码。支持两路NET接口，可挂载576台485协议网络设备；（提供第三方机构出具的检测报告扫描上传）</w:t>
            </w:r>
            <w:r/>
          </w:p>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2、需支持双向反馈，可显示温度、湿度、pm2.5 及周边环境状态；</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3、需支持多用户同时登陆且支持权限管理，支持单点登陆模式， 用户数量无上限，支持多人多终端之间进行同步协作控制；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4、采用类C语言编程，具备中控管理功能，实现对灯光、摄像头、视频会议终端、对窗帘、调音台、大屏设备外部设备的集中控制；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5、设备是通过接受触摸屏的控制指令，执行内置的用户程序，然后给各个分布式单元通过UDP协议发送卡控制代码，可灵活结合分布式系统节点的控制接口使用，系统无控制接口上限；</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6、为保证系统的灵活管理，应具备可视化HDMI高清调试监控接口，支持一键保存会场环境状态，一键恢复；</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7、需支持跨平台多操作终端实时同步界面反馈；</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8、需支持多种控制模式如：PC 控制、IPAD、Android 触摸屏、墙上面板控制 等,并支持 IE 游览器（无需 web 服务器）；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9、需支持二次编程能力，即客户根据自我需要，简单培训，即可自我编程状态，如调用当前场景，或者存储当前场景，修改部分执行结果等；</w:t>
            </w:r>
            <w:r/>
          </w:p>
        </w:tc>
        <w:tc>
          <w:tcPr>
            <w:shd w:val="clear" w:color="000000" w:fill="ffffff"/>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1820"/>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平板电脑中控界面控制软件</w:t>
            </w:r>
            <w:r/>
          </w:p>
        </w:tc>
        <w:tc>
          <w:tcPr>
            <w:shd w:val="clear" w:color="000000" w:fill="ffffff"/>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1、集成完整的可编程中控系统，支持232/485/IR/IO等设备控制；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2、界面定制功能，定制化界面，PC管理软件任意模块可由用户自定义，根据需求任意更改，做到按需修改；</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3、支持环境监测数据的实时采集并生成显示，支持对环境的控制，包括但不限于：灯光、窗帘、空调、电视等；</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4、支持在平板终端实时反馈光感检测、PM2.5检测、门磁检测、温度检测湿度检测等各种感应检测器的检测结果；</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5、软件具备环境控制区，支持对周边的设备进行控制，包括但不限于：灯光、窗帘、空调、电视等；</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6、支持主流操作系统进行交互式控制并同步，支持主流浏览器控制；</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7、支持一键保存会场环境状态、一建恢复的功能；</w:t>
            </w:r>
            <w:r/>
          </w:p>
        </w:tc>
        <w:tc>
          <w:tcPr>
            <w:shd w:val="clear" w:color="000000" w:fill="ffffff"/>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516"/>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综合可视化运维管理平台</w:t>
            </w:r>
            <w:r/>
          </w:p>
        </w:tc>
        <w:tc>
          <w:tcPr>
            <w:shd w:val="clear" w:color="000000" w:fill="ffffff"/>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1、支持对整个平台设备可视化运维管理，日常可预览系统内所有设备的状态；当系统中某个设备出现故障时，系统自动检测到问题时，自动直接定位到该设备所在位置；</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2、实现节点状态在线检测功能，如工作状态、节点网络情况，实时码率情况，支持节点内存、CPU使用情况，节点工作活跃情况；支持显示系统不同类型节点数量分布情况；</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3、支持记录用户登陆情况，用户活跃情况；</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4、支持用户编辑功能，支持用户拼接开窗模式，自定义节点IP、ID和IPC设备，支持用户增减节点和IPC设备；</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5、支持告警模块实时编辑系统内任意设备的任意参数的告警阈值，如温度、湿度、电能峰值、设备掉线等信息；当触发时可逐一出现在告警窗口提示运维管理人员；相同内容的持续告警可自动合并以免丢失关键信息。（提供第三方机构出具的检测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6、支持各种可视化组件，可使用浏览器展示，用户随时随地查看系统展示效果，并可根据需求在线对大数据可视化界面进行调整，同时可提前预设多个模板，根据不同使用需求一键进行保存/调用；（提供第三方机构出具的检测报告扫描上传）</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7、支持第三方设备接入整合；</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8、运维平台内包含≥13 大模块：系统大数据展示模块、实景呈现模块、网络拓扑图模块、资源管理模块、大屏回显与控制模块、预案管理模块、音频控制与混合模块、用户管理模块、权限控制模块、系统配置模块、告警模块、工单处理模块、备份恢复模块；（提供第三方机构出具的检测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9、支持通过可视化方式查看系统拓扑、设备链路和接口信息， 并与底层数据保持同步更新，实时反映系统运行状态，可清晰直观的处理系统运维工作；</w:t>
            </w:r>
            <w:r/>
          </w:p>
        </w:tc>
        <w:tc>
          <w:tcPr>
            <w:shd w:val="clear" w:color="000000" w:fill="ffffff"/>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1820"/>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电源控制管理器</w:t>
            </w:r>
            <w:r/>
          </w:p>
        </w:tc>
        <w:tc>
          <w:tcPr>
            <w:shd w:val="clear" w:color="000000" w:fill="ffffff"/>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1、支持手动控制，前面板具备≥8个硅胶发光按键控制，带状态指示，紧急情况下可以手动控制继电器的开关，在中控出现故障时可使用这一功能，很好的保护其他的设备。</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2、支持IO控制，在机器的内部有≥8个IO接口，在没有中控的情况下也能使用，用途更广；</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3、协议兼容能力强，可兼容目前市面上用得比较广的中控网络协议；</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4、支持ID选择，支持通过旋转ID切换设置网络ID身份代码；</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5、每路继电器都有三连接点的接线柱，具有常开与常闭的功能；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6、前面板带LCD显示，可设定网络参数；</w:t>
            </w:r>
            <w:r/>
          </w:p>
        </w:tc>
        <w:tc>
          <w:tcPr>
            <w:shd w:val="clear" w:color="000000" w:fill="ffffff"/>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780"/>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节点安装支架</w:t>
            </w:r>
            <w:r/>
          </w:p>
        </w:tc>
        <w:tc>
          <w:tcPr>
            <w:shd w:val="clear" w:color="000000" w:fill="ffffff"/>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1、满足节点机柜整体部署安装；</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2、适用于分布式（坐席）输入/输出节点安装；</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3、7u最多可支持安装10个分布式节点；</w:t>
            </w:r>
            <w:r/>
          </w:p>
        </w:tc>
        <w:tc>
          <w:tcPr>
            <w:shd w:val="clear" w:color="000000" w:fill="ffffff"/>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130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平板</w:t>
            </w:r>
            <w:r>
              <w:rPr>
                <w:rFonts w:hint="eastAsia" w:ascii="宋体" w:hAnsi="宋体" w:cs="宋体"/>
                <w:sz w:val="24"/>
                <w:szCs w:val="24"/>
                <w:highlight w:val="none"/>
                <w:lang w:val="en-US" w:eastAsia="zh-CN"/>
              </w:rPr>
              <w:t xml:space="preserve">电脑</w:t>
            </w:r>
            <w:r/>
          </w:p>
        </w:tc>
        <w:tc>
          <w:tcPr>
            <w:tcBorders>
              <w:top w:val="none" w:color="000000" w:sz="4" w:space="0"/>
              <w:left w:val="none" w:color="000000" w:sz="4" w:space="0"/>
              <w:bottom w:val="single" w:color="auto" w:sz="4" w:space="0"/>
              <w:right w:val="single" w:color="auto" w:sz="4" w:space="0"/>
            </w:tcBorders>
            <w:tcW w:w="6529" w:type="dxa"/>
            <w:vAlign w:val="top"/>
            <w:textDirection w:val="lrTb"/>
            <w:noWrap w:val="false"/>
          </w:tcPr>
          <w:p>
            <w:pPr>
              <w:jc w:val="left"/>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《微型计算机能效限定值及能效等级》（GB 28380）</w:t>
            </w:r>
            <w:r/>
          </w:p>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1、屏幕尺寸≧11.5英寸</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2、不低于1</w:t>
            </w:r>
            <w:r>
              <w:rPr>
                <w:rFonts w:hint="eastAsia" w:ascii="宋体" w:hAnsi="宋体" w:eastAsia="宋体" w:cs="宋体"/>
                <w:i/>
                <w:iCs/>
                <w:sz w:val="24"/>
                <w:szCs w:val="24"/>
                <w:highlight w:val="none"/>
                <w:u w:val="single"/>
                <w:lang w:val="en-US" w:eastAsia="zh-CN"/>
              </w:rPr>
              <w:t xml:space="preserve">2</w:t>
            </w:r>
            <w:r>
              <w:rPr>
                <w:rFonts w:hint="eastAsia" w:ascii="宋体" w:hAnsi="宋体" w:eastAsia="宋体" w:cs="宋体"/>
                <w:i/>
                <w:iCs/>
                <w:sz w:val="24"/>
                <w:szCs w:val="24"/>
                <w:highlight w:val="none"/>
                <w:u w:val="single"/>
              </w:rPr>
              <w:t xml:space="preserve">G+</w:t>
            </w:r>
            <w:r>
              <w:rPr>
                <w:rFonts w:hint="eastAsia" w:ascii="宋体" w:hAnsi="宋体" w:eastAsia="宋体" w:cs="宋体"/>
                <w:i/>
                <w:iCs/>
                <w:sz w:val="24"/>
                <w:szCs w:val="24"/>
                <w:highlight w:val="none"/>
                <w:u w:val="single"/>
                <w:lang w:val="en-US" w:eastAsia="zh-CN"/>
              </w:rPr>
              <w:t xml:space="preserve">256</w:t>
            </w:r>
            <w:r>
              <w:rPr>
                <w:rFonts w:hint="eastAsia" w:ascii="宋体" w:hAnsi="宋体" w:eastAsia="宋体" w:cs="宋体"/>
                <w:i/>
                <w:iCs/>
                <w:sz w:val="24"/>
                <w:szCs w:val="24"/>
                <w:highlight w:val="none"/>
                <w:u w:val="single"/>
              </w:rPr>
              <w:t xml:space="preserve">G  </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3、国产操作系统 </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4、分辨率≧2200*1440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5、全网通信号</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78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无线路由器</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1、Wan口: 10/100/1000 Mbps 千兆 WAN 端口</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2、Lan口: 10/100/1000 Mbps 千兆 LAN 端口</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3、无线传输率 ≧300Mbps</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182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24口千兆PoE交换机（网口）</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1、24个10/100/1000BASE-T以太网端口,4个千兆SFP；</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2、包转发率≥126Mpps；</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3、交换容量≥672Gbps/6.72Tbps；</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4、支持POE功能；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5、支持端口运维；</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6、含2个千兆光模块；</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7、对交换机进行一体化运维监测；</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80"/>
        </w:trPr>
        <w:tc>
          <w:tcPr>
            <w:gridSpan w:val="5"/>
            <w:tcBorders>
              <w:top w:val="single" w:color="auto" w:sz="4" w:space="0"/>
              <w:left w:val="single" w:color="auto" w:sz="4" w:space="0"/>
              <w:bottom w:val="single" w:color="auto" w:sz="4" w:space="0"/>
              <w:right w:val="single" w:color="auto" w:sz="4" w:space="0"/>
            </w:tcBorders>
            <w:tcW w:w="9209" w:type="dxa"/>
            <w:vAlign w:val="center"/>
            <w:textDirection w:val="lrTb"/>
            <w:noWrap/>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六、智慧运维控制系统</w:t>
            </w:r>
            <w:r/>
          </w:p>
        </w:tc>
      </w:tr>
      <w:tr>
        <w:trPr>
          <w:trHeight w:val="9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智慧运维控制系统</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系统采用先进的B/S架构，用户无需安装任何客户端，即可通过标准浏览器随时随地访问系统，实现便捷、高效的远程管理与控制。该平台基于稳定的Linux内核构建物模型操作系统，不仅兼容国产银河麒麟操作系统，还具备卓越的安全防护、灵活的系统扩展性和高度稳定的运行环境。</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2、平台提供全面的项目监控功能，用户可实时查看场所分布、在线设备数量、离线设备状态及历史告警趋势，可生成直观的图表报告（如柱状图、折线图等），方便管理人员快速掌握运行状况。</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3、支持全面的设备实时监测功能，用户可查看物联网设备的在线状态、历史数据记录，并进行远程控制操作。系统具备完善的设备管理模块，确保设备状态透明化和操作便捷性。</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4、详细告警信息展示：包括告警ID、设备唯一标识符（Device ID）、设备名称、所属项目及场所、发生时间、具体告警描述以及累计告警次数等关键信息，帮助用户快速定位和解决问题；告警闭环管理：在处理完告警事件后，操作人员可通过系统界面完成告警确认和关闭，确保告警处理过程的完整性和追踪性。</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5、平台完善记录所有场景执行情况，用户可随时查看场景运行日志，了解具体执行结果（如成功、失败或部分成功）以及相关错误信息，便于排查和优化配置。</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6、支持批量导入用户列表，管理员可为每位用户配置详细信息（如用户名、手机号码、所属部门）并分配相应角色，从而获得特定的权限集合。系统提供便捷的用户生命周期管理功能，包括添加、修改、删除及权限变更等操作。</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7、系统采用模块化设计，各功能模块的访问权限可根据企业需求灵活配置。管理员可以创建自定义角色，并为每个角色分配特定的权限项，然后将其分配给不同用户或用户组，实现精确的权限控制。</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8、系统软件由具有CCRC认证资质的安全测评机构进行源代码安全扫描测试</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提供软件产品信息安全测试报告扫描上传</w:t>
            </w:r>
            <w:r>
              <w:rPr>
                <w:rFonts w:hint="eastAsia" w:ascii="宋体" w:hAnsi="宋体" w:cs="宋体"/>
                <w:sz w:val="24"/>
                <w:szCs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78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智能场景管理模块</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系统提供高级的自定义场景功能，用户可以根据实际需求预设物联网设备的运行参数和触发条件。支持手动执行、自动触发和条件触发三种模式，同时允许设置场景名称、执行方式（如按一次或循环）、相关联设备、触发条件类型（如时间或特定事件）及执行时间等详细配置。</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999"/>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有线控制面板</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《微型计算机能效限定值及能效等级》（GB 28380）</w:t>
            </w:r>
            <w:r/>
          </w:p>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1、≥1280*800分辨率显示</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2、处理器：四核 64位 主频 2.0Ghz  </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3、内存：</w:t>
            </w:r>
            <w:r>
              <w:rPr>
                <w:rFonts w:hint="eastAsia" w:ascii="宋体" w:hAnsi="宋体" w:eastAsia="宋体" w:cs="宋体"/>
                <w:i/>
                <w:iCs/>
                <w:sz w:val="24"/>
                <w:szCs w:val="24"/>
                <w:highlight w:val="none"/>
                <w:u w:val="single"/>
                <w:lang w:val="en-US" w:eastAsia="zh-CN"/>
              </w:rPr>
              <w:t xml:space="preserve">8</w:t>
            </w:r>
            <w:r>
              <w:rPr>
                <w:rFonts w:hint="eastAsia" w:ascii="宋体" w:hAnsi="宋体" w:eastAsia="宋体" w:cs="宋体"/>
                <w:i/>
                <w:iCs/>
                <w:sz w:val="24"/>
                <w:szCs w:val="24"/>
                <w:highlight w:val="none"/>
                <w:u w:val="single"/>
              </w:rPr>
              <w:t xml:space="preserve">G 存储：</w:t>
            </w:r>
            <w:r>
              <w:rPr>
                <w:rFonts w:hint="eastAsia" w:ascii="宋体" w:hAnsi="宋体" w:eastAsia="宋体" w:cs="宋体"/>
                <w:i/>
                <w:iCs/>
                <w:sz w:val="24"/>
                <w:szCs w:val="24"/>
                <w:highlight w:val="none"/>
                <w:u w:val="single"/>
                <w:lang w:val="en-US" w:eastAsia="zh-CN"/>
              </w:rPr>
              <w:t xml:space="preserve">256</w:t>
            </w:r>
            <w:r>
              <w:rPr>
                <w:rFonts w:hint="eastAsia" w:ascii="宋体" w:hAnsi="宋体" w:eastAsia="宋体" w:cs="宋体"/>
                <w:i/>
                <w:iCs/>
                <w:sz w:val="24"/>
                <w:szCs w:val="24"/>
                <w:highlight w:val="none"/>
                <w:u w:val="single"/>
              </w:rPr>
              <w:t xml:space="preserve">G</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4、系统：</w:t>
            </w:r>
            <w:r>
              <w:rPr>
                <w:rFonts w:hint="eastAsia" w:ascii="宋体" w:hAnsi="宋体" w:cs="宋体"/>
                <w:i/>
                <w:iCs/>
                <w:sz w:val="24"/>
                <w:szCs w:val="24"/>
                <w:highlight w:val="none"/>
                <w:u w:val="single"/>
                <w:lang w:val="en-US" w:eastAsia="zh-CN"/>
              </w:rPr>
              <w:t xml:space="preserve">国产</w:t>
            </w:r>
            <w:r>
              <w:rPr>
                <w:rFonts w:hint="eastAsia" w:ascii="宋体" w:hAnsi="宋体" w:eastAsia="宋体" w:cs="宋体"/>
                <w:i/>
                <w:iCs/>
                <w:sz w:val="24"/>
                <w:szCs w:val="24"/>
                <w:highlight w:val="none"/>
                <w:u w:val="single"/>
              </w:rPr>
              <w:t xml:space="preserve">主流操作系统</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5、内置扬声器、蓝牙</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6、摄像头≥ 200w</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7、POE供电</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8、电容触控：10 点投射式电容触控技术，5 毫秒快速响应，精准稳定</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9、亮度：≥350cd/m²</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10、对比度：≥ 1000：1</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11、可视角度：全视角 89/89/89/89 (Typ.)(CR≥10)(左/右/上/下)</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12、屏幕使用寿命：≥50000H</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13、工作温度：0℃-50℃</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14、工作湿度：10% - 90%</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52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智能通讯模组</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支持网络，触摸屏与中控主机建立通讯连接</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只</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104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电子时钟</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1、自动与标准时间同步，自动校时精度高</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2、内置双模接受模块自动校时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3、采用LED数码显示，使用寿命长，夜间清晰可见，可视距离远采用</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trHeight w:val="280"/>
        </w:trPr>
        <w:tc>
          <w:tcPr>
            <w:gridSpan w:val="5"/>
            <w:tcBorders>
              <w:top w:val="single" w:color="auto" w:sz="4" w:space="0"/>
              <w:left w:val="single" w:color="auto" w:sz="4" w:space="0"/>
              <w:bottom w:val="single" w:color="auto" w:sz="4" w:space="0"/>
              <w:right w:val="single" w:color="auto" w:sz="4" w:space="0"/>
            </w:tcBorders>
            <w:tcW w:w="9209" w:type="dxa"/>
            <w:vAlign w:val="center"/>
            <w:textDirection w:val="lrTb"/>
            <w:noWrap/>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七、语音转写系统</w:t>
            </w:r>
            <w:r/>
          </w:p>
        </w:tc>
      </w:tr>
      <w:tr>
        <w:trPr>
          <w:trHeight w:val="849"/>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智能语音会议系统</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1、会前资料准备：会前材料导入，可提前提供所需材料供参会人员查阅，同时系统提供标准的数据接口,根据排期以及人工制定的规则定期从相关材料或业务系统中对接相应的材料。</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2、支持案件会议：支持多议程的案件会议，并支持从本地上传会议材料，格式支持（doc、docx、pdf、txt、、png、jpg、wav、mp3、pcm、wma、mp4）。</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3、会中议题控制：支持新增议题、编辑议题、给议题上传相关材料、对材料进行训练优化。</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4、针对多议程会议，支持对会议议程顺序灵活切换。</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5、提供材料参阅：会议材料：对会议材料进行上传查阅，会前会中对材料进行随时查看。</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6、支持会议材料随讲随翻：支持通过语音调度技术，对会议材料进行随讲随翻。</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7、支持识别中文普通话、英语以及多地区方言识别。方言识别需支持至少5种地方方言。（提供第三方机构出具的检测报告扫描上传）</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8、关键词优化：可以通过关键词优化功能将会议相关的关键词进行添加，有效提升该专业词汇（人名、地名等）的识别准确率。</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9、禁忌词屏蔽：如果有一些不希望展示的词语，如政治敏感词、脏词、口头禅等，可以屏蔽不显示。</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10、语气词过滤：设置语气词过滤的启动入口，可以将语气词自动去除，以保证文稿的规整。</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11、自动分段：系统能够提供关键字、字数自动分段和用户手动多种分段方式。</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12、近场录音场景实现中文标准普通话识别准确率≥99%。（提供第三方机构出具的检测报告扫描上传）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13、录音文件识别支持说话人分离，支持以声纹识别技术对录音文件进行识别和说话人分离，支持不少于10人；</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14、辅助会议记录：在实时会议转写过程中能够实时对转写出的结果进行编辑修改。提供会议纪要标注功能，通过对文本重点标注，实现标注音频资料回听功能。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15、会后记录管理：对于历史会议可以进行检索、查看和删除，对整个会议音频资料进行回听，增加会议内容的准确性。</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16、文本资料导出：导出包括全文本、会议记录和音频导出、重点文本、筛选文本，以文件夹的形式导出，文件名称默认议题名称+会议纪要。</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17、在网络延迟达到&gt; 100ms 时，不影响系统识别率；所投产品的语音识别率不受多机部署的网络延迟影响。 （提供第三方机构出具的检测报告扫描上传）</w:t>
            </w:r>
            <w:r/>
          </w:p>
          <w:p>
            <w:pPr>
              <w:jc w:val="left"/>
              <w:widowControl/>
              <w:rPr>
                <w:rFonts w:hint="eastAsia" w:ascii="宋体" w:hAnsi="宋体" w:cs="宋体"/>
                <w:b w:val="0"/>
                <w:bCs w:val="0"/>
                <w:i/>
                <w:iCs/>
                <w:sz w:val="24"/>
                <w:szCs w:val="24"/>
                <w:highlight w:val="none"/>
                <w:u w:val="single"/>
                <w:lang w:eastAsia="zh-CN"/>
              </w:rPr>
            </w:pPr>
            <w:r>
              <w:rPr>
                <w:rFonts w:hint="eastAsia" w:ascii="宋体" w:hAnsi="宋体" w:eastAsia="宋体" w:cs="宋体"/>
                <w:b w:val="0"/>
                <w:bCs w:val="0"/>
                <w:i/>
                <w:iCs/>
                <w:sz w:val="24"/>
                <w:szCs w:val="24"/>
                <w:highlight w:val="none"/>
                <w:u w:val="single"/>
              </w:rPr>
              <w:t xml:space="preserve">18</w:t>
            </w:r>
            <w:r>
              <w:rPr>
                <w:rFonts w:hint="eastAsia" w:ascii="宋体" w:hAnsi="宋体" w:cs="宋体"/>
                <w:b w:val="0"/>
                <w:bCs w:val="0"/>
                <w:i/>
                <w:iCs/>
                <w:sz w:val="24"/>
                <w:szCs w:val="24"/>
                <w:highlight w:val="none"/>
                <w:u w:val="single"/>
                <w:lang w:eastAsia="zh-CN"/>
              </w:rPr>
              <w:t xml:space="preserve">、</w:t>
            </w:r>
            <w:r>
              <w:rPr>
                <w:rFonts w:hint="eastAsia" w:ascii="宋体" w:hAnsi="宋体" w:eastAsia="宋体" w:cs="宋体"/>
                <w:b w:val="0"/>
                <w:bCs w:val="0"/>
                <w:i/>
                <w:iCs/>
                <w:sz w:val="24"/>
                <w:szCs w:val="24"/>
                <w:highlight w:val="none"/>
                <w:u w:val="single"/>
              </w:rPr>
              <w:t xml:space="preserve">所投系统支持与最高人民法院语音云平台对接，服务最高统筹管理</w:t>
            </w:r>
            <w:r>
              <w:rPr>
                <w:rFonts w:hint="eastAsia" w:ascii="宋体" w:hAnsi="宋体" w:cs="宋体"/>
                <w:b w:val="0"/>
                <w:bCs w:val="0"/>
                <w:i/>
                <w:iCs/>
                <w:sz w:val="24"/>
                <w:szCs w:val="24"/>
                <w:highlight w:val="none"/>
                <w:u w:val="single"/>
                <w:lang w:eastAsia="zh-CN"/>
              </w:rPr>
              <w:t xml:space="preserve">。</w:t>
            </w:r>
            <w:r/>
          </w:p>
          <w:p>
            <w:pPr>
              <w:jc w:val="left"/>
              <w:widowControl/>
              <w:rPr>
                <w:rFonts w:hint="eastAsia" w:eastAsia="宋体"/>
                <w:bCs/>
                <w:iCs/>
                <w:sz w:val="24"/>
                <w:szCs w:val="24"/>
                <w:highlight w:val="none"/>
                <w:lang w:eastAsia="zh-CN"/>
              </w:rPr>
            </w:pPr>
            <w:r>
              <w:rPr>
                <w:rFonts w:hint="eastAsia" w:eastAsia="宋体"/>
                <w:bCs/>
                <w:iCs/>
                <w:sz w:val="24"/>
                <w:szCs w:val="24"/>
                <w:highlight w:val="none"/>
                <w:lang w:val="en-US" w:eastAsia="zh-CN"/>
              </w:rPr>
              <w:t xml:space="preserve">19、</w:t>
            </w:r>
            <w:r>
              <w:rPr>
                <w:rFonts w:hint="eastAsia" w:eastAsia="宋体"/>
                <w:bCs/>
                <w:iCs/>
                <w:sz w:val="24"/>
                <w:szCs w:val="24"/>
                <w:highlight w:val="none"/>
              </w:rPr>
              <w:t xml:space="preserve">演示外语翻译平台英翻中实时翻译功能，系统支持演示人口述内容通过字幕、转写专用显示区域两种方式实时对英文进行中文实时翻译、中英双语同时转写。</w:t>
            </w:r>
            <w:r>
              <w:rPr>
                <w:rFonts w:hint="eastAsia" w:eastAsia="宋体"/>
                <w:b/>
                <w:bCs w:val="0"/>
                <w:iCs/>
                <w:sz w:val="24"/>
                <w:szCs w:val="24"/>
                <w:highlight w:val="none"/>
                <w:lang w:eastAsia="zh-CN"/>
              </w:rPr>
              <w:t xml:space="preserve">（</w:t>
            </w:r>
            <w:r>
              <w:rPr>
                <w:rFonts w:hint="eastAsia" w:eastAsia="宋体"/>
                <w:b/>
                <w:bCs w:val="0"/>
                <w:iCs/>
                <w:sz w:val="24"/>
                <w:szCs w:val="24"/>
                <w:highlight w:val="none"/>
                <w:lang w:val="en-US" w:eastAsia="zh-CN"/>
              </w:rPr>
              <w:t xml:space="preserve">演示部分</w:t>
            </w:r>
            <w:r>
              <w:rPr>
                <w:rFonts w:hint="eastAsia" w:eastAsia="宋体"/>
                <w:b/>
                <w:bCs w:val="0"/>
                <w:iCs/>
                <w:sz w:val="24"/>
                <w:szCs w:val="24"/>
                <w:highlight w:val="none"/>
                <w:lang w:eastAsia="zh-CN"/>
              </w:rPr>
              <w:t xml:space="preserve">）</w:t>
            </w:r>
            <w:r/>
          </w:p>
          <w:p>
            <w:pPr>
              <w:jc w:val="left"/>
              <w:widowControl/>
              <w:rPr>
                <w:rFonts w:hint="eastAsia" w:ascii="宋体" w:hAnsi="宋体" w:cs="宋体"/>
                <w:b w:val="0"/>
                <w:bCs w:val="0"/>
                <w:i/>
                <w:iCs/>
                <w:sz w:val="24"/>
                <w:szCs w:val="24"/>
                <w:highlight w:val="none"/>
                <w:u w:val="single"/>
                <w:lang w:eastAsia="zh-CN"/>
              </w:rPr>
            </w:pPr>
            <w:r>
              <w:rPr>
                <w:rFonts w:hint="eastAsia" w:eastAsia="宋体"/>
                <w:bCs/>
                <w:iCs/>
                <w:sz w:val="24"/>
                <w:szCs w:val="24"/>
                <w:highlight w:val="none"/>
                <w:lang w:val="en-US" w:eastAsia="zh-CN"/>
              </w:rPr>
              <w:t xml:space="preserve">20、</w:t>
            </w:r>
            <w:r>
              <w:rPr>
                <w:rFonts w:hint="eastAsia" w:eastAsia="宋体"/>
                <w:bCs/>
                <w:iCs/>
                <w:sz w:val="24"/>
                <w:szCs w:val="24"/>
                <w:highlight w:val="none"/>
              </w:rPr>
              <w:t xml:space="preserve">支持通过声纹技术进行实时语音识别，支持不少于5人的说话人分离。</w:t>
            </w:r>
            <w:r>
              <w:rPr>
                <w:rFonts w:hint="eastAsia" w:eastAsia="宋体"/>
                <w:b/>
                <w:bCs w:val="0"/>
                <w:iCs/>
                <w:sz w:val="24"/>
                <w:szCs w:val="24"/>
                <w:highlight w:val="none"/>
                <w:lang w:eastAsia="zh-CN"/>
              </w:rPr>
              <w:t xml:space="preserve">（</w:t>
            </w:r>
            <w:r>
              <w:rPr>
                <w:rFonts w:hint="eastAsia" w:eastAsia="宋体"/>
                <w:b/>
                <w:bCs w:val="0"/>
                <w:iCs/>
                <w:sz w:val="24"/>
                <w:szCs w:val="24"/>
                <w:highlight w:val="none"/>
                <w:lang w:val="en-US" w:eastAsia="zh-CN"/>
              </w:rPr>
              <w:t xml:space="preserve">演示部分</w:t>
            </w:r>
            <w:r>
              <w:rPr>
                <w:rFonts w:hint="eastAsia" w:eastAsia="宋体"/>
                <w:b/>
                <w:bCs w:val="0"/>
                <w:iCs/>
                <w:sz w:val="24"/>
                <w:szCs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312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数字音频处理器</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1、系统结构:集中式的信号处理架构，分布式信号接入，可根据用户需求设计成集中式或分散式系统:</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2、支持AES67网络音频协议，AES67 网络通道能力：128*128 路，兼容Dante协议。</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3、处理器类型：国产核心处理器，支持DSP功能模块：具备图示均衡、延时、压缩器、峰值限幅器、分频、噪声门、AGC(自动增益)、混音器（增益共享、门限式混音）、路由矩阵、</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4、具备最大 120个独立反馈抑制器（FEB移频）</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5、具备最大 40 个独立回声消除（AEC）</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6、支持TCP/IP/UDP等方式通过中控对服务器进行信号路由切换/DSP等控制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7、USB Audio通道：8x8</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8、支持OTA固件升级</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9、支持离线编辑,用户可离线设计此平台的音频处理流程、系统音频网络管理流程，并可仿真运行</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10、国产化操作系统;</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11、最大矩阵混音:512*512，最大8组自动混音器，自动混音每组最大64路，支持增益共享/门限式混音</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08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音频接口箱</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1、模拟输入通道：16</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2、模拟输出通道：16</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3、AES67输入通道：16</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4、AES67输出通道：16</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5、采样率:48 kHz，± 100 ppm;</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6、THD+N:&lt;-95dB @17dBu</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7、输入动态范围：113dB</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8、输出动态范围：113dB</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bookmarkStart w:id="42" w:name="_GoBack"/>
            <w:r/>
            <w:bookmarkEnd w:id="42"/>
            <w:r>
              <w:rPr>
                <w:rFonts w:hint="eastAsia" w:ascii="宋体" w:hAnsi="宋体" w:eastAsia="宋体" w:cs="宋体"/>
                <w:sz w:val="24"/>
                <w:szCs w:val="24"/>
                <w:highlight w:val="none"/>
              </w:rPr>
              <w:t xml:space="preserve">1</w:t>
            </w:r>
            <w:r/>
          </w:p>
        </w:tc>
      </w:tr>
      <w:tr>
        <w:trPr>
          <w:trHeight w:val="1558"/>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智能媒体主机</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highlight w:val="none"/>
                <w:u w:val="single"/>
                <w:lang w:bidi="ar"/>
              </w:rPr>
              <w:t xml:space="preserve">1、CPU：配置1颗国产CPU处理器，单颗核数≥8核、线程数≥8，频率≥2.4GHz。</w:t>
            </w:r>
            <w:r/>
          </w:p>
          <w:p>
            <w:pPr>
              <w:jc w:val="left"/>
              <w:widowControl/>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highlight w:val="none"/>
                <w:u w:val="single"/>
                <w:lang w:bidi="ar"/>
              </w:rPr>
              <w:t xml:space="preserve">2、内存：配置DDR4内存，内存≥</w:t>
            </w:r>
            <w:r>
              <w:rPr>
                <w:rFonts w:hint="eastAsia" w:ascii="宋体" w:hAnsi="宋体" w:eastAsia="宋体" w:cs="宋体"/>
                <w:i/>
                <w:iCs/>
                <w:color w:val="000000"/>
                <w:sz w:val="24"/>
                <w:szCs w:val="24"/>
                <w:highlight w:val="none"/>
                <w:u w:val="single"/>
                <w:lang w:val="en-US" w:eastAsia="zh-CN" w:bidi="ar"/>
              </w:rPr>
              <w:t xml:space="preserve">16</w:t>
            </w:r>
            <w:r>
              <w:rPr>
                <w:rFonts w:hint="eastAsia" w:ascii="宋体" w:hAnsi="宋体" w:eastAsia="宋体" w:cs="宋体"/>
                <w:i/>
                <w:iCs/>
                <w:color w:val="000000"/>
                <w:sz w:val="24"/>
                <w:szCs w:val="24"/>
                <w:highlight w:val="none"/>
                <w:u w:val="single"/>
                <w:lang w:bidi="ar"/>
              </w:rPr>
              <w:t xml:space="preserve">G。</w:t>
            </w:r>
            <w:r/>
          </w:p>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color w:val="000000"/>
                <w:sz w:val="24"/>
                <w:szCs w:val="24"/>
                <w:highlight w:val="none"/>
                <w:u w:val="single"/>
                <w:lang w:bidi="ar"/>
              </w:rPr>
              <w:t xml:space="preserve">3、硬盘：配置1块固态硬盘,存储≥</w:t>
            </w:r>
            <w:r>
              <w:rPr>
                <w:rFonts w:hint="eastAsia" w:ascii="宋体" w:hAnsi="宋体" w:eastAsia="宋体" w:cs="宋体"/>
                <w:i/>
                <w:iCs/>
                <w:color w:val="000000"/>
                <w:sz w:val="24"/>
                <w:szCs w:val="24"/>
                <w:highlight w:val="none"/>
                <w:u w:val="single"/>
                <w:lang w:val="en-US" w:eastAsia="zh-CN" w:bidi="ar"/>
              </w:rPr>
              <w:t xml:space="preserve">512</w:t>
            </w:r>
            <w:r>
              <w:rPr>
                <w:rFonts w:hint="eastAsia" w:ascii="宋体" w:hAnsi="宋体" w:eastAsia="宋体" w:cs="宋体"/>
                <w:i/>
                <w:iCs/>
                <w:color w:val="000000"/>
                <w:sz w:val="24"/>
                <w:szCs w:val="24"/>
                <w:highlight w:val="none"/>
                <w:u w:val="single"/>
                <w:lang w:bidi="ar"/>
              </w:rPr>
              <w:t xml:space="preserve">G </w:t>
            </w:r>
            <w:r>
              <w:rPr>
                <w:rFonts w:hint="eastAsia" w:ascii="宋体" w:hAnsi="宋体" w:eastAsia="宋体" w:cs="宋体"/>
                <w:i/>
                <w:iCs/>
                <w:color w:val="000000"/>
                <w:sz w:val="24"/>
                <w:szCs w:val="24"/>
                <w:highlight w:val="none"/>
                <w:u w:val="single"/>
                <w:lang w:bidi="ar"/>
              </w:rPr>
              <w:br/>
            </w:r>
            <w:r>
              <w:rPr>
                <w:rFonts w:hint="eastAsia" w:ascii="宋体" w:hAnsi="宋体" w:eastAsia="宋体" w:cs="宋体"/>
                <w:i/>
                <w:iCs/>
                <w:color w:val="000000"/>
                <w:sz w:val="24"/>
                <w:szCs w:val="24"/>
                <w:highlight w:val="none"/>
                <w:u w:val="single"/>
                <w:lang w:bidi="ar"/>
              </w:rPr>
              <w:t xml:space="preserve">4、配置≥1个千兆电口网卡</w:t>
            </w:r>
            <w:r>
              <w:rPr>
                <w:rFonts w:hint="eastAsia" w:ascii="宋体" w:hAnsi="宋体" w:eastAsia="宋体" w:cs="宋体"/>
                <w:sz w:val="24"/>
                <w:szCs w:val="24"/>
                <w:highlight w:val="non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5、NPU：内置≥6TOPS（int8）NPU 加速器（提供第三方机构出具的检测报告扫描上传）</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6、控制面板：需具备≥2.0寸液晶显示屏，支持显示不少于名称、主网、备网 IP 地址、固件版本等；具备≥5 个功能控制按键，提供快速、直观的本地化操作与功能管理模式；具备 USB2.0≥1，支持固件离线本地升级</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7、模拟音频输入参数不低于如下配置：频响：20Hz-20kHz（±0.1/-0.4dB）；动态范围：114dB（A）； 噪声级别：-125dBu（A）；阻抗：4.2kΩ；输入电平：最大 + 24dBu；幻象供电：支持 48V 幻象供电；通道数：16 路</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8、模拟音频输出参数不低于如下配置：频响：20Hz-20kHz（±0.1dB）；动态范围：110dB（A）；噪声级别：-87dBu（A）；阻抗：200Ω；输出电平：最大 + 24dBu；通道数：16 路</w:t>
            </w:r>
            <w:r>
              <w:rPr>
                <w:rFonts w:hint="eastAsia" w:ascii="宋体" w:hAnsi="宋体" w:eastAsia="宋体" w:cs="宋体"/>
                <w:i/>
                <w:iCs/>
                <w:sz w:val="24"/>
                <w:szCs w:val="24"/>
                <w:highlight w:val="none"/>
                <w:u w:val="single"/>
              </w:rPr>
              <w:br/>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9、音频算法：为保证庭审过程中语音采集的质量要求，需集成多维度智能音频处理算法套件，需至少包括AI精准防串音算法 (切麦准确率≥98%)、EQ、混音、反馈消除、回声消除、噪声抑制、自动增益控制（提供第三方机构出具的检测报告扫描上传）</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10、音频协议：遵循国家音频行业行标 GY/T304-2016《高性能流化音频在 IP 网络上的互操作性规范》标准</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11、中控接口：GPI≥8、GPO≥8、RS485≥1、RS232≥1，开放中控接口支持读写</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12、网络接口：1000M 自适应以太网接口≥2，支持双网主备连接，零延迟无缝切换</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trHeight w:val="520"/>
        </w:trPr>
        <w:tc>
          <w:tcPr>
            <w:shd w:val="clear" w:color="auto" w:fill="auto"/>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书记员控制终端</w:t>
            </w:r>
            <w:r/>
          </w:p>
        </w:tc>
        <w:tc>
          <w:tcPr>
            <w:shd w:val="clear" w:color="000000" w:fill="ffffff"/>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应符合《</w:t>
            </w:r>
            <w:r>
              <w:rPr>
                <w:rFonts w:hint="eastAsia" w:ascii="宋体" w:hAnsi="宋体" w:eastAsia="宋体" w:cs="宋体"/>
                <w:sz w:val="24"/>
                <w:szCs w:val="24"/>
                <w:highlight w:val="none"/>
                <w:lang w:val="en-US" w:eastAsia="zh-CN"/>
              </w:rPr>
              <w:t xml:space="preserve">台式计算机</w:t>
            </w:r>
            <w:r>
              <w:rPr>
                <w:rFonts w:hint="eastAsia" w:ascii="宋体" w:hAnsi="宋体" w:eastAsia="宋体" w:cs="宋体"/>
                <w:sz w:val="24"/>
                <w:szCs w:val="24"/>
                <w:highlight w:val="none"/>
              </w:rPr>
              <w:t xml:space="preserve">政府采购需求标准（2023年版）》【财库〔2023〕</w:t>
            </w:r>
            <w:r>
              <w:rPr>
                <w:rFonts w:hint="eastAsia" w:ascii="宋体" w:hAnsi="宋体" w:eastAsia="宋体" w:cs="宋体"/>
                <w:sz w:val="24"/>
                <w:szCs w:val="24"/>
                <w:highlight w:val="none"/>
                <w:lang w:val="en-US" w:eastAsia="zh-CN"/>
              </w:rPr>
              <w:t xml:space="preserve">29</w:t>
            </w:r>
            <w:r>
              <w:rPr>
                <w:rFonts w:hint="eastAsia" w:ascii="宋体" w:hAnsi="宋体" w:eastAsia="宋体" w:cs="宋体"/>
                <w:sz w:val="24"/>
                <w:szCs w:val="24"/>
                <w:highlight w:val="none"/>
              </w:rPr>
              <w:t xml:space="preserve">号】要求。</w:t>
            </w:r>
            <w:r/>
          </w:p>
          <w:p>
            <w:pPr>
              <w:jc w:val="left"/>
              <w:widowControl/>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《微型计算机能效限定值及能效等级》（GB 28380）</w:t>
            </w:r>
            <w:r/>
          </w:p>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麒麟9000C/16G/1T/+256G/国产化操作系统</w:t>
            </w:r>
            <w:r/>
          </w:p>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color w:val="000000"/>
                <w:sz w:val="24"/>
                <w:szCs w:val="24"/>
                <w:highlight w:val="none"/>
                <w:u w:val="single"/>
                <w:lang w:bidi="ar"/>
              </w:rPr>
              <w:t xml:space="preserve">其他未列明参数满足（财库〔2023〕</w:t>
            </w:r>
            <w:r>
              <w:rPr>
                <w:rFonts w:hint="eastAsia" w:ascii="宋体" w:hAnsi="宋体" w:eastAsia="宋体" w:cs="宋体"/>
                <w:i/>
                <w:iCs/>
                <w:color w:val="000000"/>
                <w:sz w:val="24"/>
                <w:szCs w:val="24"/>
                <w:highlight w:val="none"/>
                <w:u w:val="single"/>
                <w:lang w:val="en-US" w:eastAsia="zh-CN" w:bidi="ar"/>
              </w:rPr>
              <w:t xml:space="preserve">29</w:t>
            </w:r>
            <w:r>
              <w:rPr>
                <w:rFonts w:hint="eastAsia" w:ascii="宋体" w:hAnsi="宋体" w:eastAsia="宋体" w:cs="宋体"/>
                <w:i/>
                <w:iCs/>
                <w:color w:val="000000"/>
                <w:sz w:val="24"/>
                <w:szCs w:val="24"/>
                <w:highlight w:val="none"/>
                <w:u w:val="single"/>
                <w:lang w:bidi="ar"/>
              </w:rPr>
              <w:t xml:space="preserve">号）要求。</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52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center"/>
              <w:widowControl/>
              <w:rPr>
                <w:rFonts w:hint="eastAsia" w:ascii="宋体" w:hAnsi="宋体" w:eastAsia="宋体" w:cs="宋体"/>
                <w:sz w:val="24"/>
                <w:szCs w:val="24"/>
                <w:highlight w:val="none"/>
              </w:rPr>
            </w:pPr>
            <w:r/>
            <w:bookmarkStart w:id="27" w:name="_Hlk236934653"/>
            <w:r>
              <w:rPr>
                <w:rFonts w:hint="eastAsia" w:ascii="宋体" w:hAnsi="宋体" w:eastAsia="宋体" w:cs="宋体"/>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证据展示台</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1600万像素/A3A4幅面/自动对焦/USB3.0</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End w:id="27"/>
            <w:r/>
          </w:p>
        </w:tc>
      </w:tr>
      <w:tr>
        <w:trPr>
          <w:trHeight w:val="280"/>
        </w:trPr>
        <w:tc>
          <w:tcPr>
            <w:gridSpan w:val="5"/>
            <w:tcBorders>
              <w:top w:val="single" w:color="auto" w:sz="4" w:space="0"/>
              <w:left w:val="single" w:color="auto" w:sz="4" w:space="0"/>
              <w:bottom w:val="single" w:color="auto" w:sz="4" w:space="0"/>
              <w:right w:val="single" w:color="auto" w:sz="4" w:space="0"/>
            </w:tcBorders>
            <w:tcW w:w="9209" w:type="dxa"/>
            <w:vAlign w:val="center"/>
            <w:textDirection w:val="lrTb"/>
            <w:noWrap/>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八、辅材</w:t>
            </w:r>
            <w:r/>
          </w:p>
        </w:tc>
      </w:tr>
      <w:tr>
        <w:trPr>
          <w:trHeight w:val="28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设备机柜</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800*1000*2000</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trHeight w:val="28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智能安全防护系统</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1、集成式机柜级智能安全灭火装置，高度2U，标准19英寸机架式安装；</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2、产品具备温度、烟雾、火焰、可燃气体等多种复合型探测方式；</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3、灭火剂在灭火瓶内常温常压存储；</w:t>
            </w:r>
            <w:r/>
          </w:p>
          <w:p>
            <w:pPr>
              <w:jc w:val="lef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4、装置使用的灭火剂符合消防安全要求，对人体无毒无害，提供第三方机构出具的检测报告扫描上传（报告包括：《急性经口毒性》、《急性经皮毒性》、《急性皮肤刺激》、《急性眼刺激》、《灭火剂型式检测报告》）；</w:t>
            </w:r>
            <w:r/>
          </w:p>
          <w:p>
            <w:pPr>
              <w:jc w:val="lef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5、装置使用的灭火剂具备电气绝缘性，提供第三方机构出具的检测报告</w:t>
            </w:r>
            <w:bookmarkStart w:id="28" w:name="OLE_LINK12"/>
            <w:r>
              <w:rPr>
                <w:rFonts w:hint="eastAsia" w:ascii="宋体" w:hAnsi="宋体" w:eastAsia="宋体" w:cs="宋体"/>
                <w:sz w:val="24"/>
                <w:szCs w:val="24"/>
                <w:highlight w:val="none"/>
              </w:rPr>
              <w:t xml:space="preserve">扫描上传</w:t>
            </w:r>
            <w:bookmarkEnd w:id="28"/>
            <w:r>
              <w:rPr>
                <w:rFonts w:hint="eastAsia" w:ascii="宋体" w:hAnsi="宋体" w:eastAsia="宋体" w:cs="宋体"/>
                <w:sz w:val="24"/>
                <w:szCs w:val="24"/>
                <w:highlight w:val="none"/>
              </w:rPr>
              <w:t xml:space="preserve">（报告检测项目包括全氟己酮电绝缘性能测试报告）</w:t>
            </w:r>
            <w:r/>
          </w:p>
          <w:p>
            <w:pPr>
              <w:jc w:val="lef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6、单个装置配备全氟己酮灭火瓶数量至少为1个，提供国家消防装备检验中心出具的全氟己酮电气柜类用灭火装置检验报告扫描上传；报告可在国家消防装备检验中心网站查询，检验报告编码与国家消防装备检验中心网站一致，需提供截图扫描上传</w:t>
            </w:r>
            <w:r/>
          </w:p>
          <w:p>
            <w:pPr>
              <w:jc w:val="lef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7、装置电气安全性：AC1500V，上电时间不超过1min，漏电电流不大于1mA；DC2150V，上电时间不超过1min，漏电电流不大于1mA；提供第三方机构出具的检测报告扫描上传（报告检测项目包括：DC2150V测试、AC1500V测试）；</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8、产品具备手动及自动灭火功能；现场人员或远程监控人员可手动启动装置；装置自动探测出火情时可自动启动。</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52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会议桌分线盒</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5MM加厚/嵌入式设计/阻尼转轴静音开合/高密度毛刷</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只</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w:t>
            </w:r>
            <w:r/>
          </w:p>
        </w:tc>
      </w:tr>
      <w:tr>
        <w:trPr>
          <w:trHeight w:val="52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多媒体插座</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含5孔国标电源、网络、音频、高清HDMI</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只</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r>
      <w:tr>
        <w:trPr>
          <w:trHeight w:val="78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音视频线缆及接插件</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1、视频线、音频线、、高清线接插件一批</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2、PVC、DN20/25管线100米</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3、六类网线2箱</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780"/>
        </w:trPr>
        <w:tc>
          <w:tcPr>
            <w:tcBorders>
              <w:top w:val="none" w:color="000000"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强电线路</w:t>
            </w:r>
            <w:r/>
          </w:p>
        </w:tc>
        <w:tc>
          <w:tcPr>
            <w:tcBorders>
              <w:top w:val="none" w:color="000000" w:sz="4" w:space="0"/>
              <w:left w:val="none" w:color="000000" w:sz="4" w:space="0"/>
              <w:bottom w:val="single" w:color="auto" w:sz="4" w:space="0"/>
              <w:right w:val="single" w:color="auto" w:sz="4" w:space="0"/>
            </w:tcBorders>
            <w:tcW w:w="6529"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1、设备机柜供电所需材料</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2、会议桌前端设备供电所需材料</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3、书记员端强电、弱电线缆</w:t>
            </w:r>
            <w:r/>
          </w:p>
        </w:tc>
        <w:tc>
          <w:tcPr>
            <w:tcBorders>
              <w:top w:val="none" w:color="000000" w:sz="4" w:space="0"/>
              <w:left w:val="none" w:color="000000" w:sz="4" w:space="0"/>
              <w:bottom w:val="single" w:color="auto" w:sz="4" w:space="0"/>
              <w:right w:val="single" w:color="auto" w:sz="4" w:space="0"/>
            </w:tcBorders>
            <w:tcW w:w="59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bl>
    <w:p>
      <w:pPr>
        <w:ind w:firstLine="4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bookmarkStart w:id="29" w:name="_Toc10435"/>
      <w:r/>
      <w:bookmarkStart w:id="30" w:name="_Toc20951"/>
      <w:r/>
      <w:bookmarkStart w:id="31" w:name="_Toc14069"/>
      <w:r/>
      <w:bookmarkStart w:id="32" w:name="_Toc16734"/>
      <w:r>
        <w:rPr>
          <w:rFonts w:hint="eastAsia" w:ascii="宋体" w:hAnsi="宋体" w:eastAsia="宋体" w:cs="宋体"/>
          <w:sz w:val="24"/>
          <w:szCs w:val="24"/>
          <w:highlight w:val="none"/>
        </w:rPr>
        <w:t xml:space="preserve">注：所有证明文件在中标后提供原件备查</w:t>
      </w:r>
      <w:bookmarkEnd w:id="17"/>
      <w:r/>
      <w:bookmarkEnd w:id="18"/>
      <w:r/>
      <w:bookmarkEnd w:id="19"/>
      <w:r/>
      <w:bookmarkEnd w:id="20"/>
      <w:r/>
      <w:bookmarkEnd w:id="21"/>
      <w:r/>
      <w:bookmarkEnd w:id="22"/>
      <w:r/>
      <w:bookmarkEnd w:id="23"/>
      <w:r/>
      <w:bookmarkEnd w:id="29"/>
      <w:r/>
      <w:bookmarkEnd w:id="30"/>
      <w:r/>
      <w:bookmarkEnd w:id="31"/>
      <w:r/>
      <w:bookmarkEnd w:id="32"/>
      <w:r/>
      <w:bookmarkStart w:id="33" w:name="_Toc15768"/>
      <w:r/>
      <w:r/>
    </w:p>
    <w:p>
      <w:pPr>
        <w:ind w:left="-420" w:firstLine="422"/>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r>
      <w:r/>
    </w:p>
    <w:p>
      <w:pPr>
        <w:ind w:left="-420" w:firstLine="422"/>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五</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、项目实施要求</w:t>
      </w:r>
      <w:r/>
    </w:p>
    <w:p>
      <w:pPr>
        <w:ind w:firstLine="480"/>
        <w:spacing w:line="400" w:lineRule="exact"/>
        <w:rPr>
          <w:rFonts w:hint="eastAsia"/>
          <w:bCs/>
          <w:iCs/>
          <w:sz w:val="24"/>
          <w:szCs w:val="24"/>
        </w:rPr>
      </w:pPr>
      <w:r>
        <w:rPr>
          <w:rFonts w:hint="eastAsia"/>
          <w:bCs/>
          <w:iCs/>
          <w:sz w:val="24"/>
          <w:szCs w:val="24"/>
          <w:lang w:val="en-US" w:eastAsia="zh-CN"/>
        </w:rPr>
        <w:t xml:space="preserve">1、</w:t>
      </w:r>
      <w:r>
        <w:rPr>
          <w:rFonts w:hint="eastAsia"/>
          <w:bCs/>
          <w:iCs/>
          <w:sz w:val="24"/>
          <w:szCs w:val="24"/>
        </w:rPr>
        <w:t xml:space="preserve">项目地点</w:t>
      </w:r>
      <w:r/>
    </w:p>
    <w:p>
      <w:pPr>
        <w:ind w:firstLine="480"/>
        <w:spacing w:line="400" w:lineRule="exact"/>
        <w:rPr>
          <w:rFonts w:hint="eastAsia"/>
          <w:bCs/>
          <w:iCs/>
          <w:sz w:val="24"/>
          <w:szCs w:val="24"/>
        </w:rPr>
      </w:pPr>
      <w:r>
        <w:rPr>
          <w:rFonts w:hint="eastAsia"/>
          <w:bCs/>
          <w:iCs/>
          <w:sz w:val="24"/>
          <w:szCs w:val="24"/>
        </w:rPr>
        <w:t xml:space="preserve">江苏省扬州市中级人民法院新址。</w:t>
      </w:r>
      <w:r/>
    </w:p>
    <w:p>
      <w:pPr>
        <w:ind w:firstLine="480"/>
        <w:spacing w:line="400" w:lineRule="exact"/>
        <w:rPr>
          <w:rFonts w:hint="eastAsia"/>
          <w:bCs/>
          <w:iCs/>
          <w:sz w:val="24"/>
          <w:szCs w:val="24"/>
          <w:highlight w:val="none"/>
        </w:rPr>
      </w:pPr>
      <w:r>
        <w:rPr>
          <w:rFonts w:hint="eastAsia"/>
          <w:bCs/>
          <w:iCs/>
          <w:sz w:val="24"/>
          <w:szCs w:val="24"/>
          <w:highlight w:val="none"/>
          <w:lang w:val="en-US" w:eastAsia="zh-CN"/>
        </w:rPr>
        <w:t xml:space="preserve">2、</w:t>
      </w:r>
      <w:r>
        <w:rPr>
          <w:rFonts w:hint="eastAsia"/>
          <w:bCs/>
          <w:iCs/>
          <w:sz w:val="24"/>
          <w:szCs w:val="24"/>
          <w:highlight w:val="none"/>
        </w:rPr>
        <w:t xml:space="preserve">项目进度计划要求</w:t>
      </w:r>
      <w:r/>
    </w:p>
    <w:p>
      <w:pPr>
        <w:ind w:firstLine="480"/>
        <w:spacing w:line="400" w:lineRule="exact"/>
        <w:rPr>
          <w:rFonts w:hint="eastAsia"/>
          <w:bCs/>
          <w:iCs/>
          <w:sz w:val="24"/>
          <w:szCs w:val="24"/>
          <w:highlight w:val="none"/>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1</w:t>
      </w:r>
      <w:r>
        <w:rPr>
          <w:rFonts w:hint="eastAsia"/>
          <w:bCs/>
          <w:iCs/>
          <w:sz w:val="24"/>
          <w:szCs w:val="24"/>
          <w:highlight w:val="none"/>
          <w:lang w:eastAsia="zh-CN"/>
        </w:rPr>
        <w:t xml:space="preserve">）</w:t>
      </w:r>
      <w:r>
        <w:rPr>
          <w:rFonts w:hint="eastAsia"/>
          <w:bCs/>
          <w:iCs/>
          <w:sz w:val="24"/>
          <w:szCs w:val="24"/>
          <w:highlight w:val="none"/>
        </w:rPr>
        <w:t xml:space="preserve">合同履行时间：自中标签订合同之日起，</w:t>
      </w:r>
      <w:r>
        <w:rPr>
          <w:rFonts w:hint="eastAsia"/>
          <w:bCs/>
          <w:iCs/>
          <w:sz w:val="24"/>
          <w:szCs w:val="24"/>
          <w:highlight w:val="none"/>
          <w:lang w:val="en-US" w:eastAsia="zh-CN"/>
        </w:rPr>
        <w:t xml:space="preserve">15</w:t>
      </w:r>
      <w:r>
        <w:rPr>
          <w:rFonts w:hint="eastAsia"/>
          <w:bCs/>
          <w:iCs/>
          <w:sz w:val="24"/>
          <w:szCs w:val="24"/>
          <w:highlight w:val="none"/>
        </w:rPr>
        <w:t xml:space="preserve">天内设备全部到货或部署，</w:t>
      </w:r>
      <w:r>
        <w:rPr>
          <w:rFonts w:hint="eastAsia"/>
          <w:bCs/>
          <w:iCs/>
          <w:sz w:val="24"/>
          <w:szCs w:val="24"/>
          <w:highlight w:val="none"/>
          <w:lang w:val="en-US" w:eastAsia="zh-CN"/>
        </w:rPr>
        <w:t xml:space="preserve">25</w:t>
      </w:r>
      <w:r>
        <w:rPr>
          <w:rFonts w:hint="eastAsia"/>
          <w:bCs/>
          <w:iCs/>
          <w:sz w:val="24"/>
          <w:szCs w:val="24"/>
          <w:highlight w:val="none"/>
        </w:rPr>
        <w:t xml:space="preserve">天内完工，连续不间断正常运行三个月后组织验收。</w:t>
      </w:r>
      <w:r/>
    </w:p>
    <w:p>
      <w:pPr>
        <w:ind w:firstLine="480"/>
        <w:spacing w:line="400" w:lineRule="exact"/>
        <w:rPr>
          <w:rFonts w:hint="eastAsia"/>
          <w:bCs/>
          <w:iCs/>
          <w:sz w:val="24"/>
          <w:szCs w:val="24"/>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2</w:t>
      </w:r>
      <w:r>
        <w:rPr>
          <w:rFonts w:hint="eastAsia"/>
          <w:bCs/>
          <w:iCs/>
          <w:sz w:val="24"/>
          <w:szCs w:val="24"/>
          <w:highlight w:val="none"/>
          <w:lang w:eastAsia="zh-CN"/>
        </w:rPr>
        <w:t xml:space="preserve">）</w:t>
      </w:r>
      <w:r>
        <w:rPr>
          <w:rFonts w:hint="eastAsia"/>
          <w:bCs/>
          <w:iCs/>
          <w:sz w:val="24"/>
          <w:szCs w:val="24"/>
        </w:rPr>
        <w:t xml:space="preserve">投标人需按照合同履行时间提供进度计划，明确设备采购、到货验收、部署调试、测试上线、人员培训、交付验收等各环节的时间节点、责任分工及里程碑目标，确保所有设备及系统按时完成部署并投入使用。</w:t>
      </w:r>
      <w:r/>
    </w:p>
    <w:p>
      <w:pPr>
        <w:ind w:firstLine="480"/>
        <w:spacing w:line="400" w:lineRule="exact"/>
        <w:rPr>
          <w:rFonts w:hint="eastAsia"/>
          <w:bCs/>
          <w:iCs/>
          <w:sz w:val="24"/>
          <w:szCs w:val="24"/>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3</w:t>
      </w:r>
      <w:r>
        <w:rPr>
          <w:rFonts w:hint="eastAsia"/>
          <w:bCs/>
          <w:iCs/>
          <w:sz w:val="24"/>
          <w:szCs w:val="24"/>
          <w:highlight w:val="none"/>
          <w:lang w:eastAsia="zh-CN"/>
        </w:rPr>
        <w:t xml:space="preserve">）</w:t>
      </w:r>
      <w:r>
        <w:rPr>
          <w:rFonts w:hint="eastAsia"/>
          <w:bCs/>
          <w:iCs/>
          <w:sz w:val="24"/>
          <w:szCs w:val="24"/>
        </w:rPr>
        <w:t xml:space="preserve">方案需预留合理的缓冲周期，针对设备到货延迟、调试异常等突发情况，制定可落地的应急预案，保障项目进度不受影响。</w:t>
      </w:r>
      <w:r/>
    </w:p>
    <w:p>
      <w:pPr>
        <w:ind w:firstLine="480"/>
        <w:spacing w:line="400" w:lineRule="exact"/>
        <w:rPr>
          <w:rFonts w:hint="eastAsia"/>
          <w:bCs/>
          <w:iCs/>
          <w:sz w:val="24"/>
          <w:szCs w:val="24"/>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4</w:t>
      </w:r>
      <w:r>
        <w:rPr>
          <w:rFonts w:hint="eastAsia"/>
          <w:bCs/>
          <w:iCs/>
          <w:sz w:val="24"/>
          <w:szCs w:val="24"/>
          <w:highlight w:val="none"/>
          <w:lang w:eastAsia="zh-CN"/>
        </w:rPr>
        <w:t xml:space="preserve">）</w:t>
      </w:r>
      <w:r>
        <w:rPr>
          <w:rFonts w:hint="eastAsia"/>
          <w:bCs/>
          <w:iCs/>
          <w:sz w:val="24"/>
          <w:szCs w:val="24"/>
        </w:rPr>
        <w:t xml:space="preserve">建立完善的项目沟通机制，项目经理每周向采购人提交项目进展报告，同步问题整改情况；重要节点（如设备到货）需提前3个工作日书面告知采购人，组织联合检查确认。</w:t>
      </w:r>
      <w:r/>
    </w:p>
    <w:p>
      <w:pPr>
        <w:ind w:firstLine="480"/>
        <w:spacing w:line="400" w:lineRule="exact"/>
        <w:rPr>
          <w:rFonts w:hint="eastAsia"/>
          <w:bCs/>
          <w:iCs/>
          <w:sz w:val="24"/>
          <w:szCs w:val="24"/>
          <w:highlight w:val="none"/>
        </w:rPr>
      </w:pPr>
      <w:r>
        <w:rPr>
          <w:rFonts w:hint="eastAsia"/>
          <w:bCs/>
          <w:iCs/>
          <w:sz w:val="24"/>
          <w:szCs w:val="24"/>
          <w:highlight w:val="none"/>
          <w:lang w:val="en-US" w:eastAsia="zh-CN"/>
        </w:rPr>
        <w:t xml:space="preserve">3、</w:t>
      </w:r>
      <w:r>
        <w:rPr>
          <w:rFonts w:hint="eastAsia"/>
          <w:bCs/>
          <w:iCs/>
          <w:sz w:val="24"/>
          <w:szCs w:val="24"/>
          <w:highlight w:val="none"/>
        </w:rPr>
        <w:t xml:space="preserve">审判委员会无纸化会议技术方案及</w:t>
      </w:r>
      <w:r>
        <w:rPr>
          <w:rFonts w:hint="eastAsia"/>
          <w:bCs/>
          <w:iCs/>
          <w:sz w:val="24"/>
          <w:szCs w:val="24"/>
          <w:highlight w:val="none"/>
          <w:lang w:val="en-US" w:eastAsia="zh-CN"/>
        </w:rPr>
        <w:t xml:space="preserve">集成</w:t>
      </w:r>
      <w:r>
        <w:rPr>
          <w:rFonts w:hint="eastAsia"/>
          <w:bCs/>
          <w:iCs/>
          <w:sz w:val="24"/>
          <w:szCs w:val="24"/>
          <w:highlight w:val="none"/>
        </w:rPr>
        <w:t xml:space="preserve">要求</w:t>
      </w:r>
      <w:r/>
    </w:p>
    <w:p>
      <w:pPr>
        <w:ind w:firstLine="480"/>
        <w:spacing w:line="400" w:lineRule="exact"/>
        <w:rPr>
          <w:rFonts w:hint="eastAsia"/>
          <w:bCs/>
          <w:iCs/>
          <w:sz w:val="24"/>
          <w:szCs w:val="24"/>
          <w:highlight w:val="none"/>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1</w:t>
      </w:r>
      <w:r>
        <w:rPr>
          <w:rFonts w:hint="eastAsia"/>
          <w:bCs/>
          <w:iCs/>
          <w:sz w:val="24"/>
          <w:szCs w:val="24"/>
          <w:highlight w:val="none"/>
          <w:lang w:eastAsia="zh-CN"/>
        </w:rPr>
        <w:t xml:space="preserve">）</w:t>
      </w:r>
      <w:r>
        <w:rPr>
          <w:rFonts w:hint="eastAsia"/>
          <w:bCs/>
          <w:iCs/>
          <w:sz w:val="24"/>
          <w:szCs w:val="24"/>
          <w:highlight w:val="none"/>
        </w:rPr>
        <w:t xml:space="preserve">项目需求分析</w:t>
      </w:r>
      <w:r/>
    </w:p>
    <w:p>
      <w:pPr>
        <w:ind w:firstLine="480"/>
        <w:spacing w:line="400" w:lineRule="exact"/>
        <w:rPr>
          <w:rFonts w:hint="eastAsia"/>
          <w:bCs/>
          <w:iCs/>
          <w:sz w:val="24"/>
          <w:szCs w:val="24"/>
          <w:highlight w:val="none"/>
        </w:rPr>
      </w:pPr>
      <w:r>
        <w:rPr>
          <w:rFonts w:hint="eastAsia"/>
          <w:bCs/>
          <w:iCs/>
          <w:sz w:val="24"/>
          <w:szCs w:val="24"/>
          <w:highlight w:val="none"/>
        </w:rPr>
        <w:t xml:space="preserve">结合法院数字审委会现状及未来数字化建设发展需求，本次项目建设主要涵盖安全合规需求、高效协同需求、绿色降本需求、国产化适配需求、稳定运维需求五大核心需求。</w:t>
      </w:r>
      <w:r/>
    </w:p>
    <w:p>
      <w:pPr>
        <w:ind w:firstLine="480"/>
        <w:spacing w:line="400" w:lineRule="exact"/>
        <w:rPr>
          <w:rFonts w:hint="eastAsia"/>
          <w:bCs/>
          <w:iCs/>
          <w:sz w:val="24"/>
          <w:szCs w:val="24"/>
          <w:highlight w:val="none"/>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2</w:t>
      </w:r>
      <w:r>
        <w:rPr>
          <w:rFonts w:hint="eastAsia"/>
          <w:bCs/>
          <w:iCs/>
          <w:sz w:val="24"/>
          <w:szCs w:val="24"/>
          <w:highlight w:val="none"/>
          <w:lang w:eastAsia="zh-CN"/>
        </w:rPr>
        <w:t xml:space="preserve">）</w:t>
      </w:r>
      <w:r>
        <w:rPr>
          <w:rFonts w:hint="eastAsia"/>
          <w:bCs/>
          <w:iCs/>
          <w:sz w:val="24"/>
          <w:szCs w:val="24"/>
          <w:highlight w:val="none"/>
        </w:rPr>
        <w:t xml:space="preserve">总体规划</w:t>
      </w:r>
      <w:r/>
    </w:p>
    <w:p>
      <w:pPr>
        <w:ind w:firstLine="480"/>
        <w:spacing w:line="400" w:lineRule="exact"/>
        <w:rPr>
          <w:rFonts w:hint="eastAsia"/>
          <w:bCs/>
          <w:iCs/>
          <w:sz w:val="24"/>
          <w:szCs w:val="24"/>
          <w:highlight w:val="none"/>
        </w:rPr>
      </w:pPr>
      <w:r>
        <w:rPr>
          <w:rFonts w:hint="eastAsia"/>
          <w:bCs/>
          <w:iCs/>
          <w:sz w:val="24"/>
          <w:szCs w:val="24"/>
          <w:highlight w:val="none"/>
        </w:rPr>
        <w:t xml:space="preserve">依据最高法“一张网”与最高法下发有关审委会文件的要求、设计原则和设计技术标准及规范，建设符合上述要求的无纸化审委会会议系统。</w:t>
      </w:r>
      <w:r/>
    </w:p>
    <w:p>
      <w:pPr>
        <w:ind w:firstLine="480"/>
        <w:spacing w:line="400" w:lineRule="exact"/>
        <w:rPr>
          <w:rFonts w:hint="eastAsia"/>
          <w:bCs/>
          <w:iCs/>
          <w:sz w:val="24"/>
          <w:szCs w:val="24"/>
          <w:highlight w:val="none"/>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3</w:t>
      </w:r>
      <w:r>
        <w:rPr>
          <w:rFonts w:hint="eastAsia"/>
          <w:bCs/>
          <w:iCs/>
          <w:sz w:val="24"/>
          <w:szCs w:val="24"/>
          <w:highlight w:val="none"/>
          <w:lang w:eastAsia="zh-CN"/>
        </w:rPr>
        <w:t xml:space="preserve">）</w:t>
      </w:r>
      <w:r>
        <w:rPr>
          <w:rFonts w:hint="eastAsia"/>
          <w:bCs/>
          <w:iCs/>
          <w:sz w:val="24"/>
          <w:szCs w:val="24"/>
          <w:highlight w:val="none"/>
        </w:rPr>
        <w:t xml:space="preserve">审判委员会无纸化会议系统介绍及功能描述</w:t>
      </w:r>
      <w:r/>
    </w:p>
    <w:p>
      <w:pPr>
        <w:ind w:firstLine="480"/>
        <w:spacing w:line="400" w:lineRule="exact"/>
        <w:rPr>
          <w:rFonts w:hint="eastAsia" w:ascii="Times New Roman" w:hAnsi="Times New Roman" w:eastAsia="宋体" w:cs="Times New Roman"/>
          <w:bCs/>
          <w:iCs/>
          <w:sz w:val="24"/>
          <w:szCs w:val="24"/>
          <w:highlight w:val="none"/>
          <w:lang w:val="en-US" w:eastAsia="zh-CN"/>
        </w:rPr>
      </w:pPr>
      <w:r>
        <w:rPr>
          <w:rFonts w:hint="eastAsia" w:ascii="Times New Roman" w:hAnsi="Times New Roman" w:eastAsia="宋体" w:cs="Times New Roman"/>
          <w:bCs/>
          <w:iCs/>
          <w:sz w:val="24"/>
          <w:szCs w:val="24"/>
          <w:highlight w:val="none"/>
          <w:lang w:val="en-US" w:eastAsia="zh-CN"/>
        </w:rPr>
        <w:t xml:space="preserve">后台管理。会议全周期管理：预约、审批、议题、资料、排座、投票；安全管控：密级权限、三员分立、文件加密、水印；运维：设备监控、人员 / 部门 / 日志管理、数据统计；</w:t>
      </w:r>
      <w:r/>
    </w:p>
    <w:p>
      <w:pPr>
        <w:ind w:firstLine="480"/>
        <w:spacing w:line="400" w:lineRule="exact"/>
        <w:rPr>
          <w:rFonts w:hint="eastAsia" w:ascii="Times New Roman" w:hAnsi="Times New Roman" w:eastAsia="宋体" w:cs="Times New Roman"/>
          <w:bCs/>
          <w:iCs/>
          <w:sz w:val="24"/>
          <w:szCs w:val="24"/>
          <w:highlight w:val="none"/>
          <w:lang w:val="en-US" w:eastAsia="zh-CN"/>
        </w:rPr>
      </w:pPr>
      <w:r>
        <w:rPr>
          <w:rFonts w:hint="eastAsia" w:ascii="Times New Roman" w:hAnsi="Times New Roman" w:eastAsia="宋体" w:cs="Times New Roman"/>
          <w:bCs/>
          <w:iCs/>
          <w:sz w:val="24"/>
          <w:szCs w:val="24"/>
          <w:highlight w:val="none"/>
          <w:lang w:val="en-US" w:eastAsia="zh-CN"/>
        </w:rPr>
        <w:t xml:space="preserve">客户端。参会：签到、资料协同批注、投屏、投票；主持：会场控制、信号切换、设备控制；</w:t>
      </w:r>
      <w:r/>
    </w:p>
    <w:p>
      <w:pPr>
        <w:ind w:firstLine="480"/>
        <w:spacing w:line="400" w:lineRule="exact"/>
        <w:rPr>
          <w:rFonts w:hint="eastAsia" w:ascii="Times New Roman" w:hAnsi="Times New Roman" w:eastAsia="宋体" w:cs="Times New Roman"/>
          <w:bCs/>
          <w:iCs/>
          <w:sz w:val="24"/>
          <w:szCs w:val="24"/>
          <w:highlight w:val="none"/>
          <w:lang w:val="en-US" w:eastAsia="zh-CN"/>
        </w:rPr>
      </w:pPr>
      <w:r>
        <w:rPr>
          <w:rFonts w:hint="eastAsia" w:ascii="Times New Roman" w:hAnsi="Times New Roman" w:eastAsia="宋体" w:cs="Times New Roman"/>
          <w:bCs/>
          <w:iCs/>
          <w:sz w:val="24"/>
          <w:szCs w:val="24"/>
          <w:highlight w:val="none"/>
          <w:lang w:val="en-US" w:eastAsia="zh-CN"/>
        </w:rPr>
        <w:t xml:space="preserve">无纸化会议系统按照会议的参与者来划分，分为办会人员、参会人员，按照会议的基本流程主要分为会前、会中及会后。针对以上阶段办会人员及参会人员的主要应用场景设计内容。</w:t>
      </w:r>
      <w:r/>
    </w:p>
    <w:p>
      <w:pPr>
        <w:ind w:firstLine="480"/>
        <w:spacing w:line="400" w:lineRule="exact"/>
        <w:rPr>
          <w:rFonts w:hint="eastAsia"/>
          <w:bCs/>
          <w:iCs/>
          <w:sz w:val="24"/>
          <w:szCs w:val="24"/>
          <w:highlight w:val="none"/>
        </w:rPr>
      </w:pPr>
      <w:r/>
      <w:bookmarkStart w:id="34" w:name="_Toc8487"/>
      <w:r>
        <w:rPr>
          <w:rFonts w:hint="eastAsia" w:ascii="Times New Roman" w:hAnsi="Times New Roman" w:eastAsia="宋体" w:cs="Times New Roman"/>
          <w:bCs/>
          <w:iCs/>
          <w:sz w:val="24"/>
          <w:szCs w:val="24"/>
          <w:highlight w:val="none"/>
          <w:lang w:val="en-US" w:eastAsia="zh-CN"/>
        </w:rPr>
        <w:t xml:space="preserve">审委会会议系统包含会前准备-审委会</w:t>
      </w:r>
      <w:bookmarkEnd w:id="34"/>
      <w:r>
        <w:rPr>
          <w:rFonts w:hint="eastAsia" w:ascii="Times New Roman" w:hAnsi="Times New Roman" w:eastAsia="宋体" w:cs="Times New Roman"/>
          <w:bCs/>
          <w:iCs/>
          <w:sz w:val="24"/>
          <w:szCs w:val="24"/>
          <w:highlight w:val="none"/>
          <w:lang w:val="en-US" w:eastAsia="zh-CN"/>
        </w:rPr>
        <w:t xml:space="preserve">准备；</w:t>
      </w:r>
      <w:r>
        <w:rPr>
          <w:rFonts w:hint="eastAsia" w:ascii="Times New Roman" w:hAnsi="Times New Roman" w:eastAsia="宋体" w:cs="Times New Roman"/>
          <w:b w:val="0"/>
          <w:bCs/>
          <w:iCs/>
          <w:sz w:val="24"/>
          <w:szCs w:val="24"/>
          <w:highlight w:val="none"/>
          <w:lang w:val="en-US" w:eastAsia="zh-CN" w:bidi="ar-SA"/>
        </w:rPr>
        <w:t xml:space="preserve">会中管理-客户端使用；案件资料的查看；</w:t>
      </w:r>
      <w:bookmarkStart w:id="35" w:name="_Toc32119"/>
      <w:r>
        <w:rPr>
          <w:rFonts w:hint="eastAsia" w:ascii="Times New Roman" w:hAnsi="Times New Roman" w:eastAsia="宋体" w:cs="Times New Roman"/>
          <w:b w:val="0"/>
          <w:bCs/>
          <w:iCs/>
          <w:sz w:val="24"/>
          <w:szCs w:val="24"/>
          <w:highlight w:val="none"/>
          <w:lang w:val="en-US" w:eastAsia="zh-CN" w:bidi="ar-SA"/>
        </w:rPr>
        <w:t xml:space="preserve">笔录</w:t>
      </w:r>
      <w:bookmarkEnd w:id="35"/>
      <w:r>
        <w:rPr>
          <w:rFonts w:hint="eastAsia" w:ascii="Times New Roman" w:hAnsi="Times New Roman" w:eastAsia="宋体" w:cs="Times New Roman"/>
          <w:b w:val="0"/>
          <w:bCs/>
          <w:iCs/>
          <w:sz w:val="24"/>
          <w:szCs w:val="24"/>
          <w:highlight w:val="none"/>
          <w:lang w:val="en-US" w:eastAsia="zh-CN" w:bidi="ar-SA"/>
        </w:rPr>
        <w:t xml:space="preserve">界面展示；参会人员交流提示。</w:t>
      </w:r>
      <w:r/>
    </w:p>
    <w:p>
      <w:pPr>
        <w:ind w:firstLine="480"/>
        <w:spacing w:line="400" w:lineRule="exact"/>
        <w:rPr>
          <w:rFonts w:hint="eastAsia"/>
          <w:bCs/>
          <w:iCs/>
          <w:sz w:val="24"/>
          <w:szCs w:val="24"/>
          <w:highlight w:val="none"/>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4</w:t>
      </w:r>
      <w:r>
        <w:rPr>
          <w:rFonts w:hint="eastAsia"/>
          <w:bCs/>
          <w:iCs/>
          <w:sz w:val="24"/>
          <w:szCs w:val="24"/>
          <w:highlight w:val="none"/>
          <w:lang w:eastAsia="zh-CN"/>
        </w:rPr>
        <w:t xml:space="preserve">）</w:t>
      </w:r>
      <w:r>
        <w:rPr>
          <w:rFonts w:hint="eastAsia"/>
          <w:bCs/>
          <w:iCs/>
          <w:sz w:val="24"/>
          <w:szCs w:val="24"/>
          <w:highlight w:val="none"/>
        </w:rPr>
        <w:t xml:space="preserve">系统整合要求</w:t>
      </w:r>
      <w:r/>
    </w:p>
    <w:p>
      <w:pPr>
        <w:ind w:firstLine="480"/>
        <w:spacing w:line="400" w:lineRule="exact"/>
        <w:rPr>
          <w:rFonts w:hint="eastAsia"/>
          <w:bCs/>
          <w:iCs/>
          <w:sz w:val="24"/>
          <w:szCs w:val="24"/>
        </w:rPr>
      </w:pPr>
      <w:r>
        <w:rPr>
          <w:rFonts w:hint="eastAsia"/>
          <w:bCs/>
          <w:iCs/>
          <w:sz w:val="24"/>
          <w:szCs w:val="24"/>
          <w:highlight w:val="none"/>
        </w:rPr>
        <w:t xml:space="preserve">与现有法综系统融合及数据的对接和共享（案件信息及卷宗），满足系统之间互联互通、流程整合、统一登录的要求，综合解决各类系统之间数据重复录入、信息来源不一、不集中、不能互用互访的问题，具备集成接口及标准定义</w:t>
      </w:r>
      <w:r>
        <w:rPr>
          <w:rFonts w:hint="eastAsia"/>
          <w:bCs/>
          <w:iCs/>
          <w:sz w:val="24"/>
          <w:szCs w:val="24"/>
        </w:rPr>
        <w:t xml:space="preserve">规范，实现对采购单位各项业务信息的高度集成和综合利用。</w:t>
      </w:r>
      <w:r/>
    </w:p>
    <w:p>
      <w:pPr>
        <w:ind w:firstLine="480"/>
        <w:spacing w:line="400" w:lineRule="exact"/>
        <w:rPr>
          <w:rFonts w:hint="eastAsia"/>
          <w:bCs/>
          <w:iCs/>
          <w:sz w:val="24"/>
          <w:szCs w:val="24"/>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5</w:t>
      </w:r>
      <w:r>
        <w:rPr>
          <w:rFonts w:hint="eastAsia"/>
          <w:bCs/>
          <w:iCs/>
          <w:sz w:val="24"/>
          <w:szCs w:val="24"/>
          <w:highlight w:val="none"/>
          <w:lang w:eastAsia="zh-CN"/>
        </w:rPr>
        <w:t xml:space="preserve">）</w:t>
      </w:r>
      <w:r>
        <w:rPr>
          <w:rFonts w:hint="eastAsia"/>
          <w:bCs/>
          <w:iCs/>
          <w:sz w:val="24"/>
          <w:szCs w:val="24"/>
          <w:lang w:val="en-US" w:eastAsia="zh-CN"/>
        </w:rPr>
        <w:t xml:space="preserve">系统集成</w:t>
      </w:r>
      <w:r>
        <w:rPr>
          <w:rFonts w:hint="eastAsia"/>
          <w:bCs/>
          <w:iCs/>
          <w:sz w:val="24"/>
          <w:szCs w:val="24"/>
        </w:rPr>
        <w:t xml:space="preserve">方案要求</w:t>
      </w:r>
      <w:r/>
    </w:p>
    <w:p>
      <w:pPr>
        <w:ind w:firstLine="480"/>
        <w:spacing w:line="400" w:lineRule="exact"/>
        <w:rPr>
          <w:rFonts w:hint="eastAsia"/>
          <w:bCs/>
          <w:iCs/>
          <w:sz w:val="24"/>
          <w:szCs w:val="24"/>
        </w:rPr>
      </w:pPr>
      <w:r>
        <w:rPr>
          <w:rFonts w:hint="eastAsia"/>
          <w:bCs/>
          <w:iCs/>
          <w:sz w:val="24"/>
          <w:szCs w:val="24"/>
        </w:rPr>
        <w:t xml:space="preserve">保证项目现场安装的规范性、完整性和统一性，优化项目安装流程，提高项目安装效率，提升项目实施质量，实施前确保环境、线路等条件的满足设备安装。</w:t>
      </w:r>
      <w:r/>
    </w:p>
    <w:p>
      <w:pPr>
        <w:ind w:firstLine="480"/>
        <w:spacing w:line="400" w:lineRule="exact"/>
        <w:rPr>
          <w:rFonts w:hint="eastAsia"/>
          <w:bCs/>
          <w:iCs/>
          <w:sz w:val="24"/>
          <w:szCs w:val="24"/>
        </w:rPr>
      </w:pPr>
      <w:r>
        <w:rPr>
          <w:rFonts w:hint="eastAsia"/>
          <w:bCs/>
          <w:iCs/>
          <w:sz w:val="24"/>
          <w:szCs w:val="24"/>
        </w:rPr>
        <w:t xml:space="preserve">无纸化设备安装：根据项目具体使用需求，前端设备安装在会议桌的各个席位上，其余后端管理控制设备则集中部署在会议室的控制机柜内，从而构建起一套完整、稳定、高效的无纸化会议系统。</w:t>
      </w:r>
      <w:r/>
    </w:p>
    <w:p>
      <w:pPr>
        <w:ind w:firstLine="480"/>
        <w:spacing w:line="400" w:lineRule="exact"/>
        <w:rPr>
          <w:rFonts w:hint="eastAsia"/>
          <w:bCs/>
          <w:iCs/>
          <w:sz w:val="24"/>
          <w:szCs w:val="24"/>
        </w:rPr>
      </w:pPr>
      <w:r>
        <w:rPr>
          <w:rFonts w:hint="eastAsia"/>
          <w:bCs/>
          <w:iCs/>
          <w:sz w:val="24"/>
          <w:szCs w:val="24"/>
        </w:rPr>
        <w:t xml:space="preserve">音视频设备安装</w:t>
      </w:r>
      <w:bookmarkStart w:id="36" w:name="_Toc16832"/>
      <w:r/>
      <w:bookmarkStart w:id="37" w:name="_Toc28398"/>
      <w:r/>
      <w:bookmarkStart w:id="38" w:name="_Toc21496"/>
      <w:r>
        <w:rPr>
          <w:rFonts w:hint="eastAsia"/>
          <w:bCs/>
          <w:iCs/>
          <w:sz w:val="24"/>
          <w:szCs w:val="24"/>
        </w:rPr>
        <w:t xml:space="preserve">：从</w:t>
      </w:r>
      <w:bookmarkEnd w:id="36"/>
      <w:r/>
      <w:bookmarkEnd w:id="37"/>
      <w:r/>
      <w:bookmarkEnd w:id="38"/>
      <w:r>
        <w:rPr>
          <w:rFonts w:hint="eastAsia"/>
          <w:bCs/>
          <w:iCs/>
          <w:sz w:val="24"/>
          <w:szCs w:val="24"/>
        </w:rPr>
        <w:t xml:space="preserve">音视频实施思路、施工工艺和工艺标准</w:t>
      </w:r>
      <w:bookmarkStart w:id="39" w:name="_Toc384"/>
      <w:r/>
      <w:bookmarkStart w:id="40" w:name="_Toc26963"/>
      <w:r>
        <w:rPr>
          <w:rFonts w:hint="eastAsia"/>
          <w:bCs/>
          <w:iCs/>
          <w:sz w:val="24"/>
          <w:szCs w:val="24"/>
        </w:rPr>
        <w:t xml:space="preserve">、音视频系统安装步骤</w:t>
      </w:r>
      <w:bookmarkEnd w:id="39"/>
      <w:r/>
      <w:bookmarkEnd w:id="40"/>
      <w:r>
        <w:rPr>
          <w:rFonts w:hint="eastAsia"/>
          <w:bCs/>
          <w:iCs/>
          <w:sz w:val="24"/>
          <w:szCs w:val="24"/>
        </w:rPr>
        <w:t xml:space="preserve">、音视频设备调试方法、会议室声学环境的专业音频调试等方面叙述。</w:t>
      </w:r>
      <w:r/>
    </w:p>
    <w:p>
      <w:pPr>
        <w:ind w:firstLine="480"/>
        <w:spacing w:line="400" w:lineRule="exact"/>
        <w:rPr>
          <w:rFonts w:hint="eastAsia"/>
          <w:bCs/>
          <w:iCs/>
          <w:sz w:val="24"/>
          <w:szCs w:val="24"/>
        </w:rPr>
      </w:pPr>
      <w:r/>
      <w:bookmarkStart w:id="41" w:name="_Toc31462"/>
      <w:r>
        <w:rPr>
          <w:rFonts w:hint="eastAsia"/>
          <w:bCs/>
          <w:iCs/>
          <w:sz w:val="24"/>
          <w:szCs w:val="24"/>
        </w:rPr>
        <w:t xml:space="preserve">项目质量保障措施</w:t>
      </w:r>
      <w:bookmarkEnd w:id="41"/>
      <w:r>
        <w:rPr>
          <w:rFonts w:hint="eastAsia"/>
          <w:bCs/>
          <w:iCs/>
          <w:sz w:val="24"/>
          <w:szCs w:val="24"/>
        </w:rPr>
        <w:t xml:space="preserve">：项目的质量要求进行严格仔细的分析和规定，作为实施中的规范。</w:t>
      </w:r>
      <w:r/>
    </w:p>
    <w:p>
      <w:pPr>
        <w:ind w:firstLine="480"/>
        <w:spacing w:line="400" w:lineRule="exact"/>
        <w:rPr>
          <w:rFonts w:hint="eastAsia"/>
          <w:bCs/>
          <w:iCs/>
          <w:sz w:val="24"/>
          <w:szCs w:val="24"/>
        </w:rPr>
      </w:pPr>
      <w:r>
        <w:rPr>
          <w:rFonts w:hint="eastAsia"/>
          <w:bCs/>
          <w:iCs/>
          <w:sz w:val="24"/>
          <w:szCs w:val="24"/>
        </w:rPr>
        <w:t xml:space="preserve">项目验收方案：从项目验收方法、验收步骤、验收程序、验收内容标准、验收结论和处理等方面叙述。</w:t>
      </w:r>
      <w:r/>
    </w:p>
    <w:p>
      <w:pPr>
        <w:ind w:firstLine="480"/>
        <w:spacing w:line="400" w:lineRule="exact"/>
        <w:rPr>
          <w:rFonts w:hint="eastAsia"/>
          <w:bCs/>
          <w:iCs/>
          <w:sz w:val="24"/>
          <w:szCs w:val="24"/>
        </w:rPr>
      </w:pPr>
      <w:r>
        <w:rPr>
          <w:rFonts w:hint="eastAsia"/>
          <w:bCs/>
          <w:iCs/>
          <w:sz w:val="24"/>
          <w:szCs w:val="24"/>
          <w:lang w:val="en-US" w:eastAsia="zh-CN"/>
        </w:rPr>
        <w:t xml:space="preserve">4、</w:t>
      </w:r>
      <w:r>
        <w:rPr>
          <w:rFonts w:hint="eastAsia"/>
          <w:bCs/>
          <w:iCs/>
          <w:sz w:val="24"/>
          <w:szCs w:val="24"/>
        </w:rPr>
        <w:t xml:space="preserve">项目供货、服务要求</w:t>
      </w:r>
      <w:r/>
    </w:p>
    <w:p>
      <w:pPr>
        <w:ind w:firstLine="480"/>
        <w:spacing w:line="400" w:lineRule="exact"/>
        <w:rPr>
          <w:rFonts w:hint="eastAsia"/>
          <w:bCs/>
          <w:iCs/>
          <w:sz w:val="24"/>
          <w:szCs w:val="24"/>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1</w:t>
      </w:r>
      <w:r>
        <w:rPr>
          <w:rFonts w:hint="eastAsia"/>
          <w:bCs/>
          <w:iCs/>
          <w:sz w:val="24"/>
          <w:szCs w:val="24"/>
          <w:highlight w:val="none"/>
          <w:lang w:eastAsia="zh-CN"/>
        </w:rPr>
        <w:t xml:space="preserve">）</w:t>
      </w:r>
      <w:r>
        <w:rPr>
          <w:rFonts w:hint="eastAsia"/>
          <w:bCs/>
          <w:iCs/>
          <w:sz w:val="24"/>
          <w:szCs w:val="24"/>
        </w:rPr>
        <w:t xml:space="preserve">投标人一旦中标必须提交正式的质量计划，明确质量控制点、控制内容、质量要求、检查记录要求，并经采购人审核、批准。</w:t>
      </w:r>
      <w:r/>
    </w:p>
    <w:p>
      <w:pPr>
        <w:ind w:firstLine="480"/>
        <w:spacing w:line="400" w:lineRule="exact"/>
        <w:rPr>
          <w:rFonts w:hint="eastAsia"/>
          <w:bCs/>
          <w:iCs/>
          <w:sz w:val="24"/>
          <w:szCs w:val="24"/>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2</w:t>
      </w:r>
      <w:r>
        <w:rPr>
          <w:rFonts w:hint="eastAsia"/>
          <w:bCs/>
          <w:iCs/>
          <w:sz w:val="24"/>
          <w:szCs w:val="24"/>
          <w:highlight w:val="none"/>
          <w:lang w:eastAsia="zh-CN"/>
        </w:rPr>
        <w:t xml:space="preserve">）</w:t>
      </w:r>
      <w:r>
        <w:rPr>
          <w:rFonts w:hint="eastAsia"/>
          <w:bCs/>
          <w:iCs/>
          <w:sz w:val="24"/>
          <w:szCs w:val="24"/>
        </w:rPr>
        <w:t xml:space="preserve">中标人完成所有软硬件设备采购到货后，7个工作日内申请设备现场报验，设备现场报验需要采购人与监理单位共同鉴证，货到现场初验需要采购人与监理单位共同书面签字确认。</w:t>
      </w:r>
      <w:r/>
    </w:p>
    <w:p>
      <w:pPr>
        <w:ind w:firstLine="480"/>
        <w:spacing w:line="400" w:lineRule="exact"/>
        <w:rPr>
          <w:rFonts w:hint="eastAsia"/>
          <w:bCs/>
          <w:iCs/>
          <w:sz w:val="24"/>
          <w:szCs w:val="24"/>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3</w:t>
      </w:r>
      <w:r>
        <w:rPr>
          <w:rFonts w:hint="eastAsia"/>
          <w:bCs/>
          <w:iCs/>
          <w:sz w:val="24"/>
          <w:szCs w:val="24"/>
          <w:highlight w:val="none"/>
          <w:lang w:eastAsia="zh-CN"/>
        </w:rPr>
        <w:t xml:space="preserve">）</w:t>
      </w:r>
      <w:r>
        <w:rPr>
          <w:rFonts w:hint="eastAsia"/>
          <w:bCs/>
          <w:iCs/>
          <w:sz w:val="24"/>
          <w:szCs w:val="24"/>
        </w:rPr>
        <w:t xml:space="preserve">在项目建设过程中，采购人可以采用发送工作联络单方式与中标人衔接工作，中标人不得拒绝接收工作联络单。中标人在项目实施过程中提交的文档一律采用书面形式（同时提交相应的电子文档），提交的技术文档必须附上本单位的质量审核记录采购人可对项目进行优化调整，优化的内容包括项目内采购的所有软硬件系统，中标人必须予以配合，确保不影响项目建设的进度和质量。任何项目变更指令必须以书面形式作出，任何变更指令均须采购人确认。</w:t>
      </w:r>
      <w:r/>
    </w:p>
    <w:p>
      <w:pPr>
        <w:ind w:firstLine="480"/>
        <w:spacing w:line="400" w:lineRule="exact"/>
        <w:rPr>
          <w:rFonts w:hint="eastAsia"/>
          <w:bCs/>
          <w:iCs/>
          <w:sz w:val="24"/>
          <w:szCs w:val="24"/>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4</w:t>
      </w:r>
      <w:r>
        <w:rPr>
          <w:rFonts w:hint="eastAsia"/>
          <w:bCs/>
          <w:iCs/>
          <w:sz w:val="24"/>
          <w:szCs w:val="24"/>
          <w:highlight w:val="none"/>
          <w:lang w:eastAsia="zh-CN"/>
        </w:rPr>
        <w:t xml:space="preserve">）</w:t>
      </w:r>
      <w:r>
        <w:rPr>
          <w:rFonts w:hint="eastAsia"/>
          <w:bCs/>
          <w:iCs/>
          <w:sz w:val="24"/>
          <w:szCs w:val="24"/>
        </w:rPr>
        <w:t xml:space="preserve">中标人须根据采购人需求完成项目中采购的相关产品的集成部署调试。中标人必须接受采购人的质量监督检查，提供真实有效的相关质量活动记录、证据，无条件接受采购人提出的质量问题整改要求，承担质量责任及因质量问题导致的进度延迟责任。中标人在项目实施完成后须进行自测，通过自测后提请监理组织验证测试，经审核通过后，项目方可进入试运行阶段。试运行为期三个月，三个月内新采购的设备及运管平台未发生重大运行故障的，同时试运行期间中标人完成相关产品的测评考核工作的，视为具备验收条件。</w:t>
      </w:r>
      <w:r/>
    </w:p>
    <w:p>
      <w:pPr>
        <w:ind w:firstLine="480"/>
        <w:spacing w:line="400" w:lineRule="exact"/>
        <w:rPr>
          <w:rFonts w:hint="eastAsia"/>
          <w:bCs/>
          <w:iCs/>
          <w:sz w:val="24"/>
          <w:szCs w:val="24"/>
        </w:rPr>
      </w:pPr>
      <w:r>
        <w:rPr>
          <w:rFonts w:hint="eastAsia"/>
          <w:bCs/>
          <w:iCs/>
          <w:sz w:val="24"/>
          <w:szCs w:val="24"/>
          <w:highlight w:val="none"/>
          <w:lang w:eastAsia="zh-CN"/>
        </w:rPr>
        <w:t xml:space="preserve">（</w:t>
      </w:r>
      <w:r>
        <w:rPr>
          <w:rFonts w:hint="eastAsia"/>
          <w:bCs/>
          <w:iCs/>
          <w:sz w:val="24"/>
          <w:szCs w:val="24"/>
          <w:highlight w:val="none"/>
          <w:lang w:val="en-US" w:eastAsia="zh-CN"/>
        </w:rPr>
        <w:t xml:space="preserve">5</w:t>
      </w:r>
      <w:r>
        <w:rPr>
          <w:rFonts w:hint="eastAsia"/>
          <w:bCs/>
          <w:iCs/>
          <w:sz w:val="24"/>
          <w:szCs w:val="24"/>
          <w:highlight w:val="none"/>
          <w:lang w:eastAsia="zh-CN"/>
        </w:rPr>
        <w:t xml:space="preserve">）</w:t>
      </w:r>
      <w:r>
        <w:rPr>
          <w:rFonts w:hint="eastAsia"/>
          <w:bCs/>
          <w:iCs/>
          <w:sz w:val="24"/>
          <w:szCs w:val="24"/>
        </w:rPr>
        <w:t xml:space="preserve">针对验收过程中发现的问题，中标人应在3个工作日内提交整改方案，明确整改措施、责任人及时限；整改完成后2个工作日内申请复验，直至验收合格；整改期间产生的人工、材料、设备等所有费用由中标人承担，若因整改不及时导致项目延期，需按合同约定承担违约责任；承诺验收合格前，所有设备及系统的安全、运维责任由中标人承担。</w:t>
      </w:r>
      <w:r/>
    </w:p>
    <w:p>
      <w:pPr>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六、人员要求</w:t>
      </w:r>
      <w:r/>
    </w:p>
    <w:p>
      <w:pPr>
        <w:ind w:firstLine="480"/>
        <w:spacing w:line="400" w:lineRule="exact"/>
        <w:rPr>
          <w:rFonts w:hint="eastAsia"/>
          <w:bCs/>
          <w:iCs/>
          <w:sz w:val="24"/>
          <w:szCs w:val="24"/>
        </w:rPr>
      </w:pPr>
      <w:r>
        <w:rPr>
          <w:rFonts w:hint="eastAsia"/>
          <w:bCs/>
          <w:iCs/>
          <w:sz w:val="24"/>
          <w:szCs w:val="24"/>
        </w:rPr>
        <w:t xml:space="preserve">项目管理团队要求</w:t>
      </w:r>
      <w:r/>
    </w:p>
    <w:p>
      <w:pPr>
        <w:ind w:firstLine="480"/>
        <w:spacing w:line="400" w:lineRule="exact"/>
        <w:rPr>
          <w:rFonts w:hint="eastAsia" w:eastAsia="宋体"/>
          <w:bCs/>
          <w:iCs/>
          <w:sz w:val="24"/>
          <w:szCs w:val="24"/>
        </w:rPr>
      </w:pPr>
      <w:r>
        <w:rPr>
          <w:rFonts w:hint="eastAsia" w:eastAsia="宋体"/>
          <w:bCs/>
          <w:iCs/>
          <w:sz w:val="24"/>
          <w:szCs w:val="24"/>
        </w:rPr>
        <w:t xml:space="preserve">项目经理：投标人拟派的项目负责人具有信息系统项目管理师、注册信息安全专业人员（CISP）。</w:t>
      </w:r>
      <w:r/>
    </w:p>
    <w:p>
      <w:pPr>
        <w:ind w:firstLine="480"/>
        <w:spacing w:line="400" w:lineRule="exact"/>
        <w:rPr>
          <w:rFonts w:hint="eastAsia" w:eastAsia="宋体"/>
          <w:bCs/>
          <w:iCs/>
          <w:sz w:val="24"/>
          <w:szCs w:val="24"/>
        </w:rPr>
      </w:pPr>
      <w:r>
        <w:rPr>
          <w:rFonts w:hint="eastAsia" w:eastAsia="宋体"/>
          <w:bCs/>
          <w:iCs/>
          <w:sz w:val="24"/>
          <w:szCs w:val="24"/>
        </w:rPr>
        <w:t xml:space="preserve">团队人员：投标人拟派的项目团队人员具有系统集成项目管理工程师、网络工程师、ITSS服务工程师。</w:t>
      </w:r>
      <w:r/>
    </w:p>
    <w:p>
      <w:pPr>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七、人员培训要求</w:t>
      </w:r>
      <w:r/>
    </w:p>
    <w:p>
      <w:pPr>
        <w:ind w:firstLine="480"/>
        <w:spacing w:line="400" w:lineRule="exact"/>
        <w:rPr>
          <w:rFonts w:hint="eastAsia"/>
          <w:bCs/>
          <w:iCs/>
          <w:sz w:val="24"/>
          <w:szCs w:val="24"/>
        </w:rPr>
      </w:pPr>
      <w:r>
        <w:rPr>
          <w:rFonts w:hint="eastAsia"/>
          <w:bCs/>
          <w:iCs/>
          <w:sz w:val="24"/>
          <w:szCs w:val="24"/>
        </w:rPr>
        <w:t xml:space="preserve">根据采</w:t>
      </w:r>
      <w:r>
        <w:rPr>
          <w:rFonts w:hint="eastAsia"/>
          <w:bCs/>
          <w:iCs/>
          <w:sz w:val="24"/>
          <w:szCs w:val="24"/>
          <w:highlight w:val="none"/>
        </w:rPr>
        <w:t xml:space="preserve">购人的需求，制定详细的培训计划，包括培训时间、地点、内容等。培训对象应涵盖项目相关人员，培训人员应具备丰富的实践经验和教学经验，能够提供针对性的指导和帮助。同时，应提供必要的培训资料和文档，确保培训效果。中标人</w:t>
      </w:r>
      <w:r>
        <w:rPr>
          <w:rFonts w:hint="eastAsia"/>
          <w:bCs/>
          <w:iCs/>
          <w:sz w:val="24"/>
          <w:szCs w:val="24"/>
          <w:highlight w:val="none"/>
          <w:lang w:val="en-US" w:eastAsia="zh-CN"/>
        </w:rPr>
        <w:t xml:space="preserve">需</w:t>
      </w:r>
      <w:r>
        <w:rPr>
          <w:rFonts w:hint="eastAsia"/>
          <w:bCs/>
          <w:iCs/>
          <w:sz w:val="24"/>
          <w:szCs w:val="24"/>
          <w:highlight w:val="none"/>
        </w:rPr>
        <w:t xml:space="preserve">对采购人进行项目软硬件系统的技术培训，中标人根据采购人需求安排相应的技术培训，培训相关费用由中标人承担。技术培训中，中标人</w:t>
      </w:r>
      <w:r>
        <w:rPr>
          <w:rFonts w:hint="eastAsia"/>
          <w:bCs/>
          <w:iCs/>
          <w:sz w:val="24"/>
          <w:szCs w:val="24"/>
          <w:highlight w:val="none"/>
          <w:lang w:val="en-US" w:eastAsia="zh-CN"/>
        </w:rPr>
        <w:t xml:space="preserve">需</w:t>
      </w:r>
      <w:r>
        <w:rPr>
          <w:rFonts w:hint="eastAsia"/>
          <w:bCs/>
          <w:iCs/>
          <w:sz w:val="24"/>
          <w:szCs w:val="24"/>
          <w:highlight w:val="none"/>
        </w:rPr>
        <w:t xml:space="preserve">免费提供硬件设备管理维护的现场技术培训，包括相关设备使用、基础运维等；免费提供相关使用维护的现场技术培训，包括相关系统的操作培训课程，使采购人的相关技术人员能掌握关系设备的使用、维护和管理，达到能独立进行管理、故障处理、日常测试维护等工作的目的，以保障系统能够正常、安全地运行。在培训次数与课时方面，中标人</w:t>
      </w:r>
      <w:r>
        <w:rPr>
          <w:rFonts w:hint="eastAsia"/>
          <w:bCs/>
          <w:iCs/>
          <w:sz w:val="24"/>
          <w:szCs w:val="24"/>
          <w:highlight w:val="none"/>
          <w:lang w:val="en-US" w:eastAsia="zh-CN"/>
        </w:rPr>
        <w:t xml:space="preserve">需</w:t>
      </w:r>
      <w:r>
        <w:rPr>
          <w:rFonts w:hint="eastAsia"/>
          <w:bCs/>
          <w:iCs/>
          <w:sz w:val="24"/>
          <w:szCs w:val="24"/>
          <w:highlight w:val="none"/>
        </w:rPr>
        <w:t xml:space="preserve">在项目实施期间为采购人提供不少于 2 次的硬件设备管理维护现场技术培训，每次培训课时不少于 4 学时（每学时 45 分钟）；同时，提供不少于 2 次的相关系统操作与使用维护现场技术培训，每次培训课时不少于 4 学时。中标人须在每期培训结束后安排现场考核，考核通过方可视为培训完成；培训次数与总课时将作为项目验收的重要依据之一。如采购人因实际使用需要追加培训场次或课时，中标人须免费予以安排。</w:t>
      </w:r>
      <w:r/>
    </w:p>
    <w:p>
      <w:pPr>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八、售后服务要求</w:t>
      </w:r>
      <w:bookmarkEnd w:id="33"/>
      <w:r/>
      <w:r/>
    </w:p>
    <w:p>
      <w:pPr>
        <w:ind w:firstLine="480"/>
        <w:spacing w:line="400" w:lineRule="exact"/>
        <w:rPr>
          <w:rFonts w:hint="eastAsia"/>
          <w:bCs/>
          <w:iCs/>
          <w:sz w:val="24"/>
          <w:szCs w:val="24"/>
        </w:rPr>
      </w:pPr>
      <w:r>
        <w:rPr>
          <w:rFonts w:hint="eastAsia"/>
          <w:bCs/>
          <w:iCs/>
          <w:sz w:val="24"/>
          <w:szCs w:val="24"/>
        </w:rPr>
        <w:t xml:space="preserve">中标人负责本项目中所有设备及系统的安装调试、系统对接等工作，确保实现采购文件技术要求。</w:t>
      </w:r>
      <w:r/>
    </w:p>
    <w:p>
      <w:pPr>
        <w:ind w:firstLine="480"/>
        <w:spacing w:line="400" w:lineRule="exact"/>
        <w:rPr>
          <w:rFonts w:hint="eastAsia"/>
          <w:b/>
          <w:bCs w:val="0"/>
          <w:i/>
          <w:iCs w:val="0"/>
          <w:sz w:val="24"/>
          <w:szCs w:val="24"/>
          <w:u w:val="single"/>
        </w:rPr>
      </w:pPr>
      <w:r>
        <w:rPr>
          <w:rFonts w:hint="eastAsia"/>
          <w:b/>
          <w:bCs w:val="0"/>
          <w:i/>
          <w:iCs w:val="0"/>
          <w:sz w:val="24"/>
          <w:szCs w:val="24"/>
          <w:u w:val="single"/>
        </w:rPr>
        <w:t xml:space="preserve">合规及保密：投标人须无条件接受本院《信息化运维管理服务办法》所设各项义务的必备条款，并在缔约时签署《信息化合作企业网络安全、保密、廉洁承诺书》。</w:t>
      </w:r>
      <w:r/>
    </w:p>
    <w:p>
      <w:pPr>
        <w:ind w:firstLine="480"/>
        <w:spacing w:line="400" w:lineRule="exact"/>
        <w:rPr>
          <w:rFonts w:hint="eastAsia"/>
          <w:b/>
          <w:bCs w:val="0"/>
          <w:i/>
          <w:iCs w:val="0"/>
          <w:sz w:val="24"/>
          <w:szCs w:val="24"/>
          <w:u w:val="single"/>
        </w:rPr>
      </w:pPr>
      <w:r>
        <w:rPr>
          <w:rFonts w:hint="eastAsia"/>
          <w:b/>
          <w:bCs w:val="0"/>
          <w:i/>
          <w:iCs w:val="0"/>
          <w:sz w:val="24"/>
          <w:szCs w:val="24"/>
          <w:u w:val="single"/>
        </w:rPr>
        <w:t xml:space="preserve">售后服务：针对本项目建设内容，若发生紧急故障，投标人须在接到通知后半小时内抵达现场开展维护保障工作；若出现一般故障或需维修事项，投标人须于2小时内到达现场，并在24小时内完成故障处理及问题解决。</w:t>
      </w:r>
      <w:r/>
    </w:p>
    <w:p>
      <w:pPr>
        <w:ind w:firstLine="480"/>
        <w:spacing w:line="400" w:lineRule="exact"/>
        <w:rPr>
          <w:rFonts w:hint="eastAsia"/>
          <w:b/>
          <w:bCs w:val="0"/>
          <w:i/>
          <w:iCs w:val="0"/>
          <w:sz w:val="24"/>
          <w:szCs w:val="24"/>
          <w:u w:val="single"/>
        </w:rPr>
      </w:pPr>
      <w:r>
        <w:rPr>
          <w:rFonts w:hint="eastAsia"/>
          <w:b/>
          <w:bCs w:val="0"/>
          <w:i/>
          <w:iCs w:val="0"/>
          <w:sz w:val="24"/>
          <w:szCs w:val="24"/>
          <w:u w:val="single"/>
        </w:rPr>
        <w:t xml:space="preserve">原厂质保：投标人须确保本次采购的全部产品安全稳定运行，提供不低于6年的原厂免费质保服务，质保范围涵盖原厂部件更换、软件升级、系统优化等全部相关服务。3年内出现问题的产品只换不修，并免费提供现场安装和操作培训。</w:t>
      </w:r>
      <w:r/>
    </w:p>
    <w:p>
      <w:pPr>
        <w:ind w:firstLine="480"/>
        <w:spacing w:line="400" w:lineRule="exact"/>
        <w:rPr>
          <w:rFonts w:hint="eastAsia"/>
          <w:b/>
          <w:bCs w:val="0"/>
          <w:i/>
          <w:iCs w:val="0"/>
          <w:sz w:val="24"/>
          <w:szCs w:val="24"/>
          <w:u w:val="single"/>
          <w:lang w:eastAsia="zh-CN"/>
        </w:rPr>
      </w:pPr>
      <w:r>
        <w:rPr>
          <w:rFonts w:hint="eastAsia"/>
          <w:b/>
          <w:bCs w:val="0"/>
          <w:i/>
          <w:iCs w:val="0"/>
          <w:sz w:val="24"/>
          <w:szCs w:val="24"/>
          <w:u w:val="single"/>
        </w:rPr>
        <w:t xml:space="preserve">安全责任：因设备故障、协助保障不力等原因引发安全事故，造成不良后果的，投标人须依法依规承担全部相关责任</w:t>
      </w:r>
      <w:r>
        <w:rPr>
          <w:rFonts w:hint="eastAsia"/>
          <w:b/>
          <w:bCs w:val="0"/>
          <w:i/>
          <w:iCs w:val="0"/>
          <w:sz w:val="24"/>
          <w:szCs w:val="24"/>
          <w:u w:val="single"/>
          <w:lang w:eastAsia="zh-CN"/>
        </w:rPr>
        <w:t xml:space="preserve">。</w:t>
      </w:r>
      <w:r/>
    </w:p>
    <w:p>
      <w:pPr>
        <w:ind w:firstLine="480"/>
        <w:spacing w:line="400" w:lineRule="exact"/>
        <w:rPr>
          <w:rFonts w:hint="eastAsia" w:eastAsia="宋体"/>
          <w:b/>
          <w:bCs w:val="0"/>
          <w:i/>
          <w:iCs w:val="0"/>
          <w:sz w:val="24"/>
          <w:szCs w:val="24"/>
          <w:u w:val="single"/>
          <w:lang w:eastAsia="zh-CN"/>
        </w:rPr>
      </w:pPr>
      <w:r>
        <w:rPr>
          <w:rFonts w:hint="eastAsia" w:eastAsia="宋体"/>
          <w:b/>
          <w:bCs w:val="0"/>
          <w:i/>
          <w:iCs w:val="0"/>
          <w:sz w:val="24"/>
          <w:szCs w:val="24"/>
          <w:u w:val="single"/>
          <w:lang w:val="en-US" w:eastAsia="zh-CN"/>
        </w:rPr>
        <w:t xml:space="preserve">对接要求：</w:t>
      </w:r>
      <w:r>
        <w:rPr>
          <w:rFonts w:hint="eastAsia" w:eastAsia="宋体"/>
          <w:b/>
          <w:bCs w:val="0"/>
          <w:i/>
          <w:iCs w:val="0"/>
          <w:sz w:val="24"/>
          <w:szCs w:val="24"/>
          <w:u w:val="single"/>
        </w:rPr>
        <w:t xml:space="preserve">投标人须承诺，本项目所建设的数字审委会议</w:t>
      </w:r>
      <w:r>
        <w:rPr>
          <w:rFonts w:hint="eastAsia" w:eastAsia="宋体"/>
          <w:b/>
          <w:bCs w:val="0"/>
          <w:i/>
          <w:iCs w:val="0"/>
          <w:sz w:val="24"/>
          <w:szCs w:val="24"/>
          <w:u w:val="single"/>
          <w:lang w:val="en-US" w:eastAsia="zh-CN"/>
        </w:rPr>
        <w:t xml:space="preserve">无纸化设备系统</w:t>
      </w:r>
      <w:r>
        <w:rPr>
          <w:rFonts w:hint="eastAsia" w:eastAsia="宋体"/>
          <w:b/>
          <w:bCs w:val="0"/>
          <w:i/>
          <w:iCs w:val="0"/>
          <w:sz w:val="24"/>
          <w:szCs w:val="24"/>
          <w:u w:val="single"/>
        </w:rPr>
        <w:t xml:space="preserve">，可与全国法院一张网审委会会议系统实现无缝对接，兼容案件排期、议题上传、证据展示、会议表决、无纸化终端操作等全部业务功能，保障业务流程贯通、数据交互正常</w:t>
      </w:r>
      <w:r>
        <w:rPr>
          <w:rFonts w:hint="eastAsia" w:eastAsia="宋体"/>
          <w:b/>
          <w:bCs w:val="0"/>
          <w:i/>
          <w:iCs w:val="0"/>
          <w:sz w:val="24"/>
          <w:szCs w:val="24"/>
          <w:u w:val="single"/>
          <w:lang w:eastAsia="zh-CN"/>
        </w:rPr>
        <w:t xml:space="preserve">。</w:t>
      </w:r>
      <w:r/>
    </w:p>
    <w:p>
      <w:pPr>
        <w:ind w:firstLine="480"/>
        <w:spacing w:line="400" w:lineRule="exact"/>
        <w:rPr>
          <w:rFonts w:hint="eastAsia" w:eastAsia="宋体"/>
          <w:b/>
          <w:bCs w:val="0"/>
          <w:i/>
          <w:iCs w:val="0"/>
          <w:sz w:val="24"/>
          <w:szCs w:val="24"/>
          <w:u w:val="single"/>
          <w:lang w:val="en-US" w:eastAsia="zh-CN"/>
        </w:rPr>
      </w:pPr>
      <w:r>
        <w:rPr>
          <w:rFonts w:hint="eastAsia" w:eastAsia="宋体"/>
          <w:b/>
          <w:bCs w:val="0"/>
          <w:i/>
          <w:iCs w:val="0"/>
          <w:sz w:val="24"/>
          <w:szCs w:val="24"/>
          <w:u w:val="single"/>
          <w:lang w:val="en-US" w:eastAsia="zh-CN"/>
        </w:rPr>
      </w:r>
      <w:r/>
    </w:p>
    <w:p>
      <w:pPr>
        <w:numPr>
          <w:ilvl w:val="0"/>
          <w:numId w:val="0"/>
        </w:numPr>
        <w:ind w:left="416"/>
        <w:spacing w:line="0" w:lineRule="atLeast"/>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九、</w:t>
      </w:r>
      <w:r>
        <w:rPr>
          <w:rFonts w:hint="eastAsia" w:ascii="宋体" w:hAnsi="宋体" w:eastAsia="宋体" w:cs="宋体"/>
          <w:b/>
          <w:bCs/>
          <w:sz w:val="24"/>
          <w:szCs w:val="24"/>
        </w:rPr>
        <w:t xml:space="preserve">演示要求</w:t>
      </w:r>
      <w:r>
        <w:rPr>
          <w:rFonts w:hint="eastAsia" w:ascii="宋体" w:hAnsi="宋体" w:eastAsia="宋体" w:cs="宋体"/>
          <w:b/>
          <w:bCs/>
          <w:sz w:val="24"/>
          <w:szCs w:val="24"/>
          <w:lang w:eastAsia="zh-CN"/>
        </w:rPr>
        <w:t xml:space="preserve">：</w:t>
      </w:r>
      <w:r/>
    </w:p>
    <w:p>
      <w:pPr>
        <w:ind w:firstLine="480"/>
        <w:spacing w:line="400" w:lineRule="exact"/>
        <w:rPr>
          <w:rFonts w:hint="eastAsia" w:eastAsia="宋体"/>
          <w:bCs/>
          <w:iCs/>
          <w:sz w:val="24"/>
          <w:szCs w:val="24"/>
          <w:highlight w:val="none"/>
        </w:rPr>
      </w:pPr>
      <w:r>
        <w:rPr>
          <w:rFonts w:hint="eastAsia" w:eastAsia="宋体"/>
          <w:bCs/>
          <w:iCs/>
          <w:sz w:val="24"/>
          <w:szCs w:val="24"/>
          <w:highlight w:val="none"/>
        </w:rPr>
        <w:t xml:space="preserve">上传视频演示</w:t>
      </w:r>
      <w:r/>
    </w:p>
    <w:p>
      <w:pPr>
        <w:ind w:firstLine="480"/>
        <w:spacing w:line="400" w:lineRule="exact"/>
        <w:rPr>
          <w:rFonts w:hint="eastAsia" w:eastAsia="宋体"/>
          <w:bCs/>
          <w:iCs/>
          <w:sz w:val="24"/>
          <w:szCs w:val="24"/>
          <w:highlight w:val="none"/>
          <w:lang w:val="en-US" w:eastAsia="zh-CN"/>
        </w:rPr>
      </w:pPr>
      <w:r>
        <w:rPr>
          <w:rFonts w:hint="eastAsia" w:eastAsia="宋体"/>
          <w:bCs/>
          <w:iCs/>
          <w:sz w:val="24"/>
          <w:szCs w:val="24"/>
          <w:highlight w:val="none"/>
        </w:rPr>
        <w:t xml:space="preserve">1.投标人需按照招标文件规定的演示内容制作演示视频文件，视频文件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eastAsia="宋体"/>
          <w:bCs/>
          <w:iCs/>
          <w:sz w:val="24"/>
          <w:szCs w:val="24"/>
          <w:highlight w:val="none"/>
          <w:lang w:val="en-US" w:eastAsia="zh-CN"/>
        </w:rPr>
        <w:t xml:space="preserve">10</w:t>
      </w:r>
      <w:r>
        <w:rPr>
          <w:rFonts w:hint="eastAsia" w:eastAsia="宋体"/>
          <w:bCs/>
          <w:iCs/>
          <w:sz w:val="24"/>
          <w:szCs w:val="24"/>
          <w:highlight w:val="none"/>
        </w:rPr>
        <w:t xml:space="preserve">分钟</w:t>
      </w:r>
      <w:r>
        <w:rPr>
          <w:rFonts w:hint="eastAsia" w:eastAsia="宋体"/>
          <w:bCs/>
          <w:iCs/>
          <w:sz w:val="24"/>
          <w:szCs w:val="24"/>
          <w:highlight w:val="none"/>
          <w:lang w:eastAsia="zh-CN"/>
        </w:rPr>
        <w:t xml:space="preserve">。</w:t>
      </w:r>
      <w:r/>
    </w:p>
    <w:p>
      <w:pPr>
        <w:ind w:firstLine="480"/>
        <w:spacing w:line="400" w:lineRule="exact"/>
        <w:rPr>
          <w:rFonts w:hint="eastAsia" w:eastAsia="宋体"/>
          <w:bCs/>
          <w:iCs/>
          <w:sz w:val="24"/>
          <w:szCs w:val="24"/>
          <w:highlight w:val="none"/>
        </w:rPr>
      </w:pPr>
      <w:r>
        <w:rPr>
          <w:rFonts w:hint="eastAsia" w:eastAsia="宋体"/>
          <w:bCs/>
          <w:iCs/>
          <w:sz w:val="24"/>
          <w:szCs w:val="24"/>
          <w:highlight w:val="none"/>
        </w:rPr>
        <w:t xml:space="preserve">2.演示内容如下：</w:t>
      </w:r>
      <w:r/>
    </w:p>
    <w:p>
      <w:pPr>
        <w:ind w:firstLine="480"/>
        <w:spacing w:line="400" w:lineRule="exact"/>
        <w:rPr>
          <w:rFonts w:hint="eastAsia" w:eastAsia="宋体"/>
          <w:bCs/>
          <w:iCs/>
          <w:sz w:val="24"/>
          <w:szCs w:val="24"/>
          <w:highlight w:val="none"/>
        </w:rPr>
      </w:pPr>
      <w:r>
        <w:rPr>
          <w:rFonts w:hint="eastAsia" w:eastAsia="宋体"/>
          <w:bCs/>
          <w:iCs/>
          <w:sz w:val="24"/>
          <w:szCs w:val="24"/>
          <w:highlight w:val="none"/>
        </w:rPr>
        <w:t xml:space="preserve">（1）演示外语翻译平台英翻中实时翻译功能，系统支持演示人口述内容通过字幕、转写专用显示区域两种方式实时对英文进行中文实时翻译、中英双语同时转写。功能满足得</w:t>
      </w:r>
      <w:r>
        <w:rPr>
          <w:rFonts w:hint="eastAsia" w:eastAsia="宋体"/>
          <w:bCs/>
          <w:iCs/>
          <w:sz w:val="24"/>
          <w:szCs w:val="24"/>
          <w:highlight w:val="none"/>
          <w:lang w:val="en-US" w:eastAsia="zh-CN"/>
        </w:rPr>
        <w:t xml:space="preserve">2.5</w:t>
      </w:r>
      <w:r>
        <w:rPr>
          <w:rFonts w:hint="eastAsia" w:eastAsia="宋体"/>
          <w:bCs/>
          <w:iCs/>
          <w:sz w:val="24"/>
          <w:szCs w:val="24"/>
          <w:highlight w:val="none"/>
        </w:rPr>
        <w:t xml:space="preserve">分。</w:t>
      </w:r>
      <w:r>
        <w:rPr>
          <w:rFonts w:hint="eastAsia" w:eastAsia="宋体"/>
          <w:bCs/>
          <w:iCs/>
          <w:sz w:val="24"/>
          <w:szCs w:val="24"/>
          <w:highlight w:val="none"/>
        </w:rPr>
        <w:br/>
      </w:r>
      <w:r>
        <w:rPr>
          <w:rFonts w:hint="eastAsia" w:eastAsia="宋体"/>
          <w:bCs/>
          <w:iCs/>
          <w:sz w:val="24"/>
          <w:szCs w:val="24"/>
          <w:highlight w:val="none"/>
        </w:rPr>
        <w:t xml:space="preserve">（2）支持通过声纹技术进行实时语音识别，支持不少于5人的说话人分离。功能满足得</w:t>
      </w:r>
      <w:r>
        <w:rPr>
          <w:rFonts w:hint="eastAsia" w:eastAsia="宋体"/>
          <w:bCs/>
          <w:iCs/>
          <w:sz w:val="24"/>
          <w:szCs w:val="24"/>
          <w:highlight w:val="none"/>
          <w:lang w:val="en-US" w:eastAsia="zh-CN"/>
        </w:rPr>
        <w:t xml:space="preserve">2.5</w:t>
      </w:r>
      <w:r>
        <w:rPr>
          <w:rFonts w:hint="eastAsia" w:eastAsia="宋体"/>
          <w:bCs/>
          <w:iCs/>
          <w:sz w:val="24"/>
          <w:szCs w:val="24"/>
          <w:highlight w:val="none"/>
        </w:rPr>
        <w:t xml:space="preserve">分。</w:t>
      </w:r>
      <w:r/>
    </w:p>
    <w:p>
      <w:pPr>
        <w:ind w:firstLine="480"/>
        <w:spacing w:line="400" w:lineRule="exact"/>
        <w:rPr>
          <w:rFonts w:hint="eastAsia" w:eastAsia="宋体"/>
          <w:bCs/>
          <w:iCs/>
          <w:sz w:val="24"/>
          <w:szCs w:val="24"/>
          <w:highlight w:val="none"/>
        </w:rPr>
      </w:pPr>
      <w:r>
        <w:rPr>
          <w:rFonts w:hint="eastAsia" w:eastAsia="宋体"/>
          <w:bCs/>
          <w:iCs/>
          <w:sz w:val="24"/>
          <w:szCs w:val="24"/>
          <w:highlight w:val="none"/>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Style w:val="985"/>
          <w:rFonts w:ascii="黑体" w:hAnsi="黑体" w:eastAsia="黑体" w:cs="黑体"/>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4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1417"/>
        <w:gridCol w:w="53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tc>
      </w:tr>
    </w:tbl>
    <w:p>
      <w:pPr>
        <w:ind w:left="0" w:right="0" w:firstLine="439"/>
        <w:jc w:val="both"/>
        <w:spacing w:before="120" w:after="120"/>
        <w:pBdr>
          <w:top w:val="none" w:color="000000" w:sz="0" w:space="0"/>
          <w:left w:val="none" w:color="000000" w:sz="0" w:space="0"/>
          <w:bottom w:val="none" w:color="000000" w:sz="0" w:space="0"/>
          <w:right w:val="none" w:color="000000" w:sz="0" w:space="0"/>
        </w:pBdr>
      </w:p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本项目专门面向中小企业：否</w:t>
      </w:r>
      <w:r/>
    </w:p>
    <w:tbl>
      <w:tblPr>
        <w:tblStyle w:val="74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5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否</w:t>
            </w:r>
            <w:r/>
          </w:p>
        </w:tc>
      </w:tr>
    </w:tbl>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ascii="宋体" w:hAnsi="宋体" w:eastAsia="宋体" w:cs="宋体"/>
          <w:color w:val="000000" w:themeColor="text1"/>
          <w:sz w:val="24"/>
          <w:highlight w:val="none"/>
          <w:u w:val="single"/>
          <w14:textFill>
            <w14:solidFill>
              <w14:schemeClr w14:val="tx1"/>
            </w14:solidFill>
          </w14:textFill>
        </w:rPr>
        <w:t xml:space="preserve">0%</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19"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1</w:t>
      </w:r>
      <w:r>
        <w:rPr>
          <w:rFonts w:ascii="宋体" w:hAnsi="宋体" w:eastAsia="宋体" w:cs="宋体"/>
          <w:color w:val="000000"/>
          <w:sz w:val="24"/>
          <w:highlight w:val="none"/>
          <w:u w:val="single"/>
        </w:rPr>
        <w:t xml:space="preserve">0%</w:t>
      </w:r>
      <w:r>
        <w:rPr>
          <w:rFonts w:ascii="宋体" w:hAnsi="宋体" w:eastAsia="宋体" w:cs="宋体"/>
          <w:color w:val="000000"/>
          <w:sz w:val="24"/>
        </w:rPr>
        <w:t xml:space="preserve">的价格扣除，用扣除后的价格参与评审。</w:t>
      </w:r>
      <w:r/>
    </w:p>
    <w:p>
      <w:pPr>
        <w:ind w:left="119"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19"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1</w:t>
      </w:r>
      <w:r>
        <w:rPr>
          <w:rFonts w:ascii="宋体" w:hAnsi="宋体" w:eastAsia="宋体" w:cs="宋体"/>
          <w:color w:val="000000"/>
          <w:sz w:val="24"/>
          <w:highlight w:val="none"/>
          <w:u w:val="single"/>
        </w:rPr>
        <w:t xml:space="preserve">0%</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w:t>
      </w:r>
      <w:r>
        <w:rPr>
          <w:rFonts w:ascii="宋体" w:hAnsi="宋体" w:eastAsia="宋体" w:cs="宋体"/>
          <w:color w:val="000000"/>
          <w:sz w:val="24"/>
          <w:highlight w:val="none"/>
        </w:rPr>
        <w:t xml:space="preserve">业</w:t>
      </w:r>
      <w:r>
        <w:rPr>
          <w:rFonts w:hint="eastAsia" w:ascii="宋体" w:hAnsi="宋体" w:cs="宋体"/>
          <w:color w:val="000000"/>
          <w:sz w:val="24"/>
          <w:highlight w:val="none"/>
          <w:u w:val="single"/>
          <w:lang w:val="en-US" w:eastAsia="zh-CN"/>
        </w:rPr>
        <w:t xml:space="preserve">4</w:t>
      </w:r>
      <w:r>
        <w:rPr>
          <w:rFonts w:ascii="宋体" w:hAnsi="宋体" w:eastAsia="宋体" w:cs="宋体"/>
          <w:color w:val="000000"/>
          <w:sz w:val="24"/>
          <w:highlight w:val="none"/>
          <w:u w:val="single"/>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1</w:t>
      </w:r>
      <w:r>
        <w:rPr>
          <w:rFonts w:ascii="宋体" w:hAnsi="宋体" w:eastAsia="宋体" w:cs="宋体"/>
          <w:color w:val="000000"/>
          <w:sz w:val="24"/>
          <w:highlight w:val="none"/>
          <w:u w:val="single"/>
        </w:rPr>
        <w:t xml:space="preserve">0%</w:t>
      </w:r>
      <w:r>
        <w:rPr>
          <w:rFonts w:ascii="宋体" w:hAnsi="宋体" w:eastAsia="宋体" w:cs="宋体"/>
          <w:color w:val="000000"/>
          <w:sz w:val="24"/>
        </w:rPr>
        <w:t xml:space="preserve">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7、采购本国产品的支持政策</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7.3 供应商需按照招标文件的要求提供《关于符合本国产品标准的声明函》（以下简称《声明函》），如不提供将不享受本国产品价格评审优惠。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7.4 供应商需在《声明函》中逐一、准确填写产品名称、厂名、生产厂址三项信息</w:t>
      </w:r>
      <w:r>
        <w:rPr>
          <w:rFonts w:hint="eastAsia"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《声明函》中标注“  /  ”的地方无需填写</w:t>
      </w: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s="宋体"/>
          <w:color w:val="000000"/>
          <w:sz w:val="24"/>
          <w:szCs w:val="24"/>
        </w:rPr>
        <w:t xml:space="preserve">，三项信息中任意一项未填写的视为该项产品不符合本国产品标准，不享受本国产品价格评审优惠。</w:t>
      </w:r>
      <w:r/>
    </w:p>
    <w:p>
      <w:pPr>
        <w:ind w:firstLine="480"/>
        <w:spacing w:before="120" w:after="120"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sz w:val="24"/>
          <w:szCs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bl>
      <w:tblPr>
        <w:tblStyle w:val="717"/>
        <w:tblW w:w="518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8"/>
        <w:gridCol w:w="8112"/>
      </w:tblGrid>
      <w:tr>
        <w:trPr>
          <w:jc w:val="center"/>
        </w:trPr>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240"/>
              <w:jc w:val="left"/>
              <w:spacing w:line="400" w:lineRule="exact"/>
              <w:rPr>
                <w:rFonts w:hint="eastAsia"/>
                <w:bCs/>
                <w:iCs/>
                <w:sz w:val="24"/>
                <w:szCs w:val="24"/>
              </w:rPr>
            </w:pPr>
            <w:r>
              <w:rPr>
                <w:rFonts w:hint="eastAsia"/>
                <w:bCs/>
                <w:iCs/>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4264" w:type="pct"/>
            <w:vAlign w:val="center"/>
            <w:textDirection w:val="lrTb"/>
            <w:noWrap w:val="false"/>
          </w:tcPr>
          <w:p>
            <w:pPr>
              <w:ind w:firstLine="480"/>
              <w:jc w:val="center"/>
              <w:spacing w:line="400" w:lineRule="exact"/>
              <w:rPr>
                <w:rFonts w:hint="eastAsia"/>
                <w:bCs/>
                <w:iCs/>
                <w:sz w:val="24"/>
                <w:szCs w:val="24"/>
              </w:rPr>
            </w:pPr>
            <w:r>
              <w:rPr>
                <w:rFonts w:hint="eastAsia"/>
                <w:bCs/>
                <w:iCs/>
                <w:sz w:val="24"/>
                <w:szCs w:val="24"/>
              </w:rPr>
              <w:t xml:space="preserve">评  分  标  准</w:t>
            </w:r>
            <w:r/>
          </w:p>
        </w:tc>
      </w:tr>
      <w:tr>
        <w:trPr>
          <w:jc w:val="center"/>
          <w:trHeight w:val="984"/>
        </w:trPr>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spacing w:line="400" w:lineRule="exact"/>
              <w:rPr>
                <w:rFonts w:hint="eastAsia"/>
                <w:bCs/>
                <w:iCs/>
                <w:sz w:val="24"/>
                <w:szCs w:val="24"/>
                <w:lang w:val="en-US" w:eastAsia="zh-CN"/>
              </w:rPr>
            </w:pPr>
            <w:r>
              <w:rPr>
                <w:rFonts w:hint="eastAsia"/>
                <w:bCs/>
                <w:iCs/>
                <w:sz w:val="24"/>
                <w:szCs w:val="24"/>
                <w:lang w:val="en-US" w:eastAsia="zh-CN"/>
              </w:rPr>
              <w:t xml:space="preserve">价格</w:t>
            </w:r>
            <w:r/>
          </w:p>
          <w:p>
            <w:pPr>
              <w:jc w:val="center"/>
              <w:spacing w:line="400" w:lineRule="exact"/>
              <w:rPr>
                <w:rFonts w:hint="eastAsia"/>
                <w:bCs/>
                <w:iCs/>
                <w:sz w:val="24"/>
                <w:szCs w:val="24"/>
              </w:rPr>
            </w:pPr>
            <w:r>
              <w:rPr>
                <w:rFonts w:hint="eastAsia"/>
                <w:bCs/>
                <w:iCs/>
                <w:sz w:val="24"/>
                <w:szCs w:val="24"/>
                <w:lang w:val="en-US" w:eastAsia="zh-CN"/>
              </w:rPr>
              <w:t xml:space="preserve">（30分）</w:t>
            </w:r>
            <w:r/>
          </w:p>
        </w:tc>
        <w:tc>
          <w:tcPr>
            <w:tcBorders>
              <w:top w:val="single" w:color="000000" w:sz="4" w:space="0"/>
              <w:left w:val="single" w:color="000000" w:sz="4" w:space="0"/>
              <w:bottom w:val="single" w:color="000000" w:sz="4" w:space="0"/>
              <w:right w:val="single" w:color="000000" w:sz="4" w:space="0"/>
            </w:tcBorders>
            <w:tcW w:w="4264" w:type="pct"/>
            <w:vAlign w:val="center"/>
            <w:textDirection w:val="lrTb"/>
            <w:noWrap w:val="false"/>
          </w:tcPr>
          <w:p>
            <w:pPr>
              <w:spacing w:line="400" w:lineRule="exact"/>
              <w:rPr>
                <w:rFonts w:hint="eastAsia"/>
                <w:bCs/>
                <w:iCs/>
                <w:sz w:val="24"/>
                <w:szCs w:val="24"/>
              </w:rPr>
            </w:pPr>
            <w:r>
              <w:rPr>
                <w:rFonts w:hint="eastAsia"/>
                <w:bCs/>
                <w:iCs/>
                <w:sz w:val="24"/>
                <w:szCs w:val="24"/>
                <w:lang w:val="en-US" w:eastAsia="zh-CN"/>
              </w:rPr>
              <w:t xml:space="preserve">以满足招标文件要求的最低投标报价为评标基准价，得满分30分，其他投标报价得分=(评标基准价／其他投标报价)×30×100%。</w:t>
            </w:r>
            <w:r/>
          </w:p>
        </w:tc>
      </w:tr>
      <w:tr>
        <w:trPr>
          <w:jc w:val="center"/>
          <w:trHeight w:val="2079"/>
        </w:trPr>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spacing w:line="400" w:lineRule="exact"/>
              <w:rPr>
                <w:rFonts w:hint="eastAsia"/>
                <w:bCs/>
                <w:iCs/>
                <w:sz w:val="24"/>
                <w:szCs w:val="24"/>
              </w:rPr>
            </w:pPr>
            <w:r>
              <w:rPr>
                <w:rFonts w:hint="eastAsia"/>
                <w:bCs/>
                <w:iCs/>
                <w:sz w:val="24"/>
                <w:szCs w:val="24"/>
              </w:rPr>
              <w:t xml:space="preserve">技术参数</w:t>
            </w:r>
            <w:r/>
          </w:p>
          <w:p>
            <w:pPr>
              <w:jc w:val="center"/>
              <w:spacing w:line="400" w:lineRule="exact"/>
              <w:rPr>
                <w:rFonts w:hint="eastAsia"/>
                <w:bCs/>
                <w:iCs/>
                <w:sz w:val="24"/>
                <w:szCs w:val="24"/>
              </w:rPr>
            </w:pPr>
            <w:r>
              <w:rPr>
                <w:rFonts w:hint="eastAsia"/>
                <w:bCs/>
                <w:iCs/>
                <w:sz w:val="24"/>
                <w:szCs w:val="24"/>
              </w:rPr>
              <w:t xml:space="preserve">（</w:t>
            </w:r>
            <w:r>
              <w:rPr>
                <w:rFonts w:hint="eastAsia"/>
                <w:bCs/>
                <w:iCs/>
                <w:sz w:val="24"/>
                <w:szCs w:val="24"/>
                <w:lang w:val="en-US" w:eastAsia="zh-CN"/>
              </w:rPr>
              <w:t xml:space="preserve">38</w:t>
            </w:r>
            <w:r>
              <w:rPr>
                <w:rFonts w:hint="eastAsia"/>
                <w:bCs/>
                <w:iCs/>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4264" w:type="pct"/>
            <w:vAlign w:val="center"/>
            <w:textDirection w:val="lrTb"/>
            <w:noWrap w:val="false"/>
          </w:tcPr>
          <w:p>
            <w:pPr>
              <w:spacing w:line="400" w:lineRule="exact"/>
              <w:rPr>
                <w:rFonts w:hint="eastAsia"/>
                <w:bCs/>
                <w:iCs/>
                <w:sz w:val="24"/>
                <w:szCs w:val="24"/>
                <w:highlight w:val="none"/>
              </w:rPr>
            </w:pPr>
            <w:r>
              <w:rPr>
                <w:rFonts w:hint="eastAsia"/>
                <w:bCs/>
                <w:iCs/>
                <w:sz w:val="24"/>
                <w:szCs w:val="24"/>
                <w:highlight w:val="none"/>
              </w:rPr>
              <w:t xml:space="preserve">根据投标文件中的技术偏离表对招标文件性能参数要求的响应状况综合打分。性能参数均满足得</w:t>
            </w:r>
            <w:r>
              <w:rPr>
                <w:rFonts w:hint="eastAsia"/>
                <w:bCs/>
                <w:iCs/>
                <w:sz w:val="24"/>
                <w:szCs w:val="24"/>
                <w:highlight w:val="none"/>
                <w:lang w:val="en-US" w:eastAsia="zh-CN"/>
              </w:rPr>
              <w:t xml:space="preserve">38</w:t>
            </w:r>
            <w:r>
              <w:rPr>
                <w:rFonts w:hint="eastAsia"/>
                <w:bCs/>
                <w:iCs/>
                <w:sz w:val="24"/>
                <w:szCs w:val="24"/>
                <w:highlight w:val="none"/>
              </w:rPr>
              <w:t xml:space="preserve">分，</w:t>
            </w:r>
            <w:r>
              <w:rPr>
                <w:rFonts w:hint="eastAsia"/>
                <w:bCs/>
                <w:iCs/>
                <w:sz w:val="24"/>
                <w:szCs w:val="24"/>
                <w:highlight w:val="none"/>
                <w:lang w:eastAsia="zh-CN"/>
              </w:rPr>
              <w:t xml:space="preserve">★</w:t>
            </w:r>
            <w:r>
              <w:rPr>
                <w:rFonts w:hint="eastAsia"/>
                <w:bCs/>
                <w:iCs/>
                <w:sz w:val="24"/>
                <w:szCs w:val="24"/>
                <w:highlight w:val="none"/>
              </w:rPr>
              <w:t xml:space="preserve">标注项为满足业务场景的重要技术要求，投标人必须在投标文件中进行逐项应答并提供证明材料（如白皮书、彩页、手册、检测报告等，原件扫描上传），每一项不满足扣1分，扣完为止。</w:t>
            </w:r>
            <w:r/>
          </w:p>
        </w:tc>
      </w:tr>
      <w:tr>
        <w:trPr>
          <w:jc w:val="center"/>
        </w:trPr>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spacing w:line="400" w:lineRule="exact"/>
              <w:rPr>
                <w:rFonts w:hint="eastAsia"/>
                <w:bCs/>
                <w:iCs/>
                <w:sz w:val="24"/>
                <w:szCs w:val="24"/>
              </w:rPr>
            </w:pPr>
            <w:r>
              <w:rPr>
                <w:rFonts w:hint="eastAsia"/>
                <w:bCs/>
                <w:iCs/>
                <w:sz w:val="24"/>
                <w:szCs w:val="24"/>
              </w:rPr>
              <w:t xml:space="preserve">项目建设方案</w:t>
            </w:r>
            <w:r/>
          </w:p>
          <w:p>
            <w:pPr>
              <w:jc w:val="center"/>
              <w:spacing w:line="400" w:lineRule="exact"/>
              <w:rPr>
                <w:rFonts w:hint="eastAsia"/>
                <w:bCs/>
                <w:iCs/>
                <w:sz w:val="24"/>
                <w:szCs w:val="24"/>
              </w:rPr>
            </w:pPr>
            <w:r>
              <w:rPr>
                <w:rFonts w:hint="eastAsia"/>
                <w:bCs/>
                <w:iCs/>
                <w:sz w:val="24"/>
                <w:szCs w:val="24"/>
              </w:rPr>
              <w:t xml:space="preserve">（</w:t>
            </w:r>
            <w:r>
              <w:rPr>
                <w:rFonts w:hint="eastAsia"/>
                <w:bCs/>
                <w:iCs/>
                <w:sz w:val="24"/>
                <w:szCs w:val="24"/>
                <w:lang w:val="en-US" w:eastAsia="zh-CN"/>
              </w:rPr>
              <w:t xml:space="preserve">15</w:t>
            </w:r>
            <w:r>
              <w:rPr>
                <w:rFonts w:hint="eastAsia"/>
                <w:bCs/>
                <w:iCs/>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4264" w:type="pct"/>
            <w:vAlign w:val="center"/>
            <w:textDirection w:val="lrTb"/>
            <w:noWrap w:val="false"/>
          </w:tcPr>
          <w:p>
            <w:pPr>
              <w:spacing w:line="400" w:lineRule="exact"/>
              <w:rPr>
                <w:rFonts w:hint="eastAsia"/>
                <w:bCs/>
                <w:iCs/>
                <w:sz w:val="24"/>
                <w:szCs w:val="24"/>
                <w:highlight w:val="none"/>
              </w:rPr>
            </w:pPr>
            <w:r>
              <w:rPr>
                <w:rFonts w:hint="eastAsia"/>
                <w:bCs/>
                <w:iCs/>
                <w:sz w:val="24"/>
                <w:szCs w:val="24"/>
                <w:highlight w:val="none"/>
              </w:rPr>
              <w:t xml:space="preserve">1、根据投标人提供的进度计划进行评分。优于招标文件要求的得</w:t>
            </w:r>
            <w:r>
              <w:rPr>
                <w:rFonts w:hint="eastAsia"/>
                <w:bCs/>
                <w:iCs/>
                <w:sz w:val="24"/>
                <w:szCs w:val="24"/>
                <w:highlight w:val="none"/>
                <w:lang w:val="en-US" w:eastAsia="zh-CN"/>
              </w:rPr>
              <w:t xml:space="preserve">5</w:t>
            </w:r>
            <w:r>
              <w:rPr>
                <w:rFonts w:hint="eastAsia"/>
                <w:bCs/>
                <w:iCs/>
                <w:sz w:val="24"/>
                <w:szCs w:val="24"/>
                <w:highlight w:val="none"/>
              </w:rPr>
              <w:t xml:space="preserve">分；符合招标文件要求的得</w:t>
            </w:r>
            <w:r>
              <w:rPr>
                <w:rFonts w:hint="eastAsia"/>
                <w:bCs/>
                <w:iCs/>
                <w:sz w:val="24"/>
                <w:szCs w:val="24"/>
                <w:highlight w:val="none"/>
                <w:lang w:val="en-US" w:eastAsia="zh-CN"/>
              </w:rPr>
              <w:t xml:space="preserve">3</w:t>
            </w:r>
            <w:r>
              <w:rPr>
                <w:rFonts w:hint="eastAsia"/>
                <w:bCs/>
                <w:iCs/>
                <w:sz w:val="24"/>
                <w:szCs w:val="24"/>
                <w:highlight w:val="none"/>
              </w:rPr>
              <w:t xml:space="preserve">分；不符合招标文件要求或未提供的不得分。</w:t>
            </w:r>
            <w:r/>
          </w:p>
          <w:p>
            <w:pPr>
              <w:spacing w:line="400" w:lineRule="exact"/>
              <w:rPr>
                <w:rFonts w:hint="eastAsia"/>
                <w:bCs/>
                <w:iCs/>
                <w:sz w:val="24"/>
                <w:szCs w:val="24"/>
                <w:highlight w:val="none"/>
              </w:rPr>
            </w:pPr>
            <w:r>
              <w:rPr>
                <w:rFonts w:hint="eastAsia"/>
                <w:bCs/>
                <w:iCs/>
                <w:sz w:val="24"/>
                <w:szCs w:val="24"/>
                <w:highlight w:val="none"/>
                <w:lang w:val="en-US" w:eastAsia="zh-CN"/>
              </w:rPr>
              <w:t xml:space="preserve">2</w:t>
            </w:r>
            <w:r>
              <w:rPr>
                <w:rFonts w:hint="eastAsia"/>
                <w:bCs/>
                <w:iCs/>
                <w:sz w:val="24"/>
                <w:szCs w:val="24"/>
                <w:highlight w:val="none"/>
              </w:rPr>
              <w:t xml:space="preserve">、根据投标人提供的供货集成方案进行评分。优于招标文件要求的得</w:t>
            </w:r>
            <w:r>
              <w:rPr>
                <w:rFonts w:hint="eastAsia"/>
                <w:bCs/>
                <w:iCs/>
                <w:sz w:val="24"/>
                <w:szCs w:val="24"/>
                <w:highlight w:val="none"/>
                <w:lang w:val="en-US" w:eastAsia="zh-CN"/>
              </w:rPr>
              <w:t xml:space="preserve">5</w:t>
            </w:r>
            <w:r>
              <w:rPr>
                <w:rFonts w:hint="eastAsia"/>
                <w:bCs/>
                <w:iCs/>
                <w:sz w:val="24"/>
                <w:szCs w:val="24"/>
                <w:highlight w:val="none"/>
              </w:rPr>
              <w:t xml:space="preserve">分；符合招标文件要求的得</w:t>
            </w:r>
            <w:r>
              <w:rPr>
                <w:rFonts w:hint="eastAsia"/>
                <w:bCs/>
                <w:iCs/>
                <w:sz w:val="24"/>
                <w:szCs w:val="24"/>
                <w:highlight w:val="none"/>
                <w:lang w:val="en-US" w:eastAsia="zh-CN"/>
              </w:rPr>
              <w:t xml:space="preserve">3</w:t>
            </w:r>
            <w:r>
              <w:rPr>
                <w:rFonts w:hint="eastAsia"/>
                <w:bCs/>
                <w:iCs/>
                <w:sz w:val="24"/>
                <w:szCs w:val="24"/>
                <w:highlight w:val="none"/>
              </w:rPr>
              <w:t xml:space="preserve">分；不符合招标文件要求或未提供的不得分。</w:t>
            </w:r>
            <w:r/>
          </w:p>
          <w:p>
            <w:pPr>
              <w:spacing w:line="400" w:lineRule="exact"/>
              <w:rPr>
                <w:rFonts w:hint="eastAsia"/>
                <w:bCs/>
                <w:iCs/>
                <w:sz w:val="24"/>
                <w:szCs w:val="24"/>
                <w:highlight w:val="none"/>
              </w:rPr>
            </w:pPr>
            <w:r>
              <w:rPr>
                <w:rFonts w:hint="eastAsia"/>
                <w:bCs/>
                <w:iCs/>
                <w:sz w:val="24"/>
                <w:szCs w:val="24"/>
                <w:highlight w:val="none"/>
                <w:lang w:val="en-US" w:eastAsia="zh-CN"/>
              </w:rPr>
              <w:t xml:space="preserve">3</w:t>
            </w:r>
            <w:r>
              <w:rPr>
                <w:rFonts w:hint="eastAsia"/>
                <w:bCs/>
                <w:iCs/>
                <w:sz w:val="24"/>
                <w:szCs w:val="24"/>
                <w:highlight w:val="none"/>
              </w:rPr>
              <w:t xml:space="preserve">、根据投标人提供的培训方案进行评分。优于招标文件要求的得</w:t>
            </w:r>
            <w:r>
              <w:rPr>
                <w:rFonts w:hint="eastAsia"/>
                <w:bCs/>
                <w:iCs/>
                <w:sz w:val="24"/>
                <w:szCs w:val="24"/>
                <w:highlight w:val="none"/>
                <w:lang w:val="en-US" w:eastAsia="zh-CN"/>
              </w:rPr>
              <w:t xml:space="preserve">5</w:t>
            </w:r>
            <w:r>
              <w:rPr>
                <w:rFonts w:hint="eastAsia"/>
                <w:bCs/>
                <w:iCs/>
                <w:sz w:val="24"/>
                <w:szCs w:val="24"/>
                <w:highlight w:val="none"/>
              </w:rPr>
              <w:t xml:space="preserve">分；符合招标文件要求的得</w:t>
            </w:r>
            <w:r>
              <w:rPr>
                <w:rFonts w:hint="eastAsia"/>
                <w:bCs/>
                <w:iCs/>
                <w:sz w:val="24"/>
                <w:szCs w:val="24"/>
                <w:highlight w:val="none"/>
                <w:lang w:val="en-US" w:eastAsia="zh-CN"/>
              </w:rPr>
              <w:t xml:space="preserve">3</w:t>
            </w:r>
            <w:r>
              <w:rPr>
                <w:rFonts w:hint="eastAsia"/>
                <w:bCs/>
                <w:iCs/>
                <w:sz w:val="24"/>
                <w:szCs w:val="24"/>
                <w:highlight w:val="none"/>
              </w:rPr>
              <w:t xml:space="preserve">分；不符合招标文件要求或未提供的不得分。</w:t>
            </w:r>
            <w:r/>
          </w:p>
        </w:tc>
      </w:tr>
      <w:tr>
        <w:trPr>
          <w:jc w:val="center"/>
        </w:trPr>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spacing w:line="400" w:lineRule="exact"/>
              <w:rPr>
                <w:rFonts w:hint="eastAsia"/>
                <w:bCs/>
                <w:iCs/>
                <w:sz w:val="24"/>
                <w:szCs w:val="24"/>
                <w:highlight w:val="none"/>
                <w:lang w:val="en-US" w:eastAsia="zh-CN"/>
              </w:rPr>
            </w:pPr>
            <w:r>
              <w:rPr>
                <w:rFonts w:hint="eastAsia"/>
                <w:bCs/>
                <w:iCs/>
                <w:sz w:val="24"/>
                <w:szCs w:val="24"/>
                <w:highlight w:val="none"/>
                <w:lang w:val="en-US" w:eastAsia="zh-CN"/>
              </w:rPr>
              <w:t xml:space="preserve">系统演示</w:t>
            </w:r>
            <w:r/>
          </w:p>
          <w:p>
            <w:pPr>
              <w:jc w:val="center"/>
              <w:spacing w:line="400" w:lineRule="exact"/>
              <w:rPr>
                <w:rFonts w:hint="eastAsia"/>
                <w:bCs/>
                <w:iCs/>
                <w:sz w:val="24"/>
                <w:szCs w:val="24"/>
                <w:highlight w:val="none"/>
                <w:lang w:val="en-US" w:eastAsia="zh-CN"/>
              </w:rPr>
            </w:pPr>
            <w:r>
              <w:rPr>
                <w:rFonts w:hint="eastAsia"/>
                <w:bCs/>
                <w:iCs/>
                <w:sz w:val="24"/>
                <w:szCs w:val="24"/>
                <w:highlight w:val="none"/>
                <w:lang w:val="en-US" w:eastAsia="zh-CN"/>
              </w:rPr>
              <w:t xml:space="preserve">（5分）</w:t>
            </w:r>
            <w:r/>
          </w:p>
        </w:tc>
        <w:tc>
          <w:tcPr>
            <w:tcBorders>
              <w:top w:val="single" w:color="000000" w:sz="4" w:space="0"/>
              <w:left w:val="single" w:color="000000" w:sz="4" w:space="0"/>
              <w:bottom w:val="single" w:color="000000" w:sz="4" w:space="0"/>
              <w:right w:val="single" w:color="000000" w:sz="4" w:space="0"/>
            </w:tcBorders>
            <w:tcW w:w="4264" w:type="pct"/>
            <w:vAlign w:val="center"/>
            <w:textDirection w:val="lrTb"/>
            <w:noWrap w:val="false"/>
          </w:tcPr>
          <w:p>
            <w:pPr>
              <w:spacing w:line="400" w:lineRule="exact"/>
              <w:rPr>
                <w:rFonts w:hint="eastAsia"/>
                <w:bCs/>
                <w:iCs/>
                <w:sz w:val="24"/>
                <w:szCs w:val="24"/>
                <w:highlight w:val="none"/>
              </w:rPr>
            </w:pPr>
            <w:r>
              <w:rPr>
                <w:rFonts w:hint="eastAsia" w:eastAsia="宋体"/>
                <w:bCs/>
                <w:iCs/>
                <w:sz w:val="24"/>
                <w:szCs w:val="24"/>
                <w:highlight w:val="none"/>
              </w:rPr>
              <w:t xml:space="preserve">投标人需按照招标文件规定的演示内容制作演示视频文件，视频文件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eastAsia="宋体"/>
                <w:bCs/>
                <w:iCs/>
                <w:sz w:val="24"/>
                <w:szCs w:val="24"/>
                <w:highlight w:val="none"/>
                <w:lang w:val="en-US" w:eastAsia="zh-CN"/>
              </w:rPr>
              <w:t xml:space="preserve">10</w:t>
            </w:r>
            <w:r>
              <w:rPr>
                <w:rFonts w:hint="eastAsia" w:eastAsia="宋体"/>
                <w:bCs/>
                <w:iCs/>
                <w:sz w:val="24"/>
                <w:szCs w:val="24"/>
                <w:highlight w:val="none"/>
              </w:rPr>
              <w:t xml:space="preserve">分钟</w:t>
            </w:r>
            <w:r>
              <w:rPr>
                <w:rFonts w:hint="eastAsia" w:eastAsia="宋体"/>
                <w:bCs/>
                <w:iCs/>
                <w:sz w:val="24"/>
                <w:szCs w:val="24"/>
                <w:highlight w:val="none"/>
                <w:lang w:eastAsia="zh-CN"/>
              </w:rPr>
              <w:t xml:space="preserve">。</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（1）演示外语翻译平台英翻中实时翻译功能，系统支持演示人口述内容通过字幕、转写专用显示区域两种方式实时对英文进行中文实时翻译、中英双语同时转写。功能满足得</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（2）支持通过声纹技术进行实时语音识别，支持不少于5人的说话人分离。功能满足得</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分。</w:t>
            </w:r>
            <w:r/>
          </w:p>
        </w:tc>
      </w:tr>
      <w:tr>
        <w:trPr>
          <w:jc w:val="center"/>
        </w:trPr>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spacing w:line="400" w:lineRule="exact"/>
              <w:rPr>
                <w:rFonts w:hint="eastAsia"/>
                <w:bCs/>
                <w:iCs/>
                <w:sz w:val="24"/>
                <w:szCs w:val="24"/>
              </w:rPr>
            </w:pPr>
            <w:r>
              <w:rPr>
                <w:rFonts w:hint="eastAsia"/>
                <w:bCs/>
                <w:iCs/>
                <w:sz w:val="24"/>
                <w:szCs w:val="24"/>
              </w:rPr>
              <w:t xml:space="preserve">服务能力（</w:t>
            </w:r>
            <w:r>
              <w:rPr>
                <w:rFonts w:hint="eastAsia"/>
                <w:bCs/>
                <w:iCs/>
                <w:sz w:val="24"/>
                <w:szCs w:val="24"/>
                <w:lang w:val="en-US" w:eastAsia="zh-CN"/>
              </w:rPr>
              <w:t xml:space="preserve">10</w:t>
            </w:r>
            <w:r>
              <w:rPr>
                <w:rFonts w:hint="eastAsia"/>
                <w:bCs/>
                <w:iCs/>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4264" w:type="pct"/>
            <w:vAlign w:val="center"/>
            <w:textDirection w:val="lrTb"/>
            <w:noWrap w:val="false"/>
          </w:tcPr>
          <w:p>
            <w:pPr>
              <w:spacing w:line="400" w:lineRule="exact"/>
              <w:rPr>
                <w:rFonts w:hint="eastAsia"/>
                <w:bCs/>
                <w:iCs/>
                <w:sz w:val="24"/>
                <w:szCs w:val="24"/>
                <w:highlight w:val="none"/>
              </w:rPr>
            </w:pPr>
            <w:r>
              <w:rPr>
                <w:rFonts w:hint="eastAsia"/>
                <w:bCs/>
                <w:iCs/>
                <w:sz w:val="24"/>
                <w:szCs w:val="24"/>
                <w:highlight w:val="none"/>
              </w:rPr>
              <w:t xml:space="preserve">一、资质（满分</w:t>
            </w:r>
            <w:r>
              <w:rPr>
                <w:rFonts w:hint="eastAsia"/>
                <w:bCs/>
                <w:iCs/>
                <w:sz w:val="24"/>
                <w:szCs w:val="24"/>
                <w:highlight w:val="none"/>
                <w:lang w:val="en-US" w:eastAsia="zh-CN"/>
              </w:rPr>
              <w:t xml:space="preserve">4</w:t>
            </w:r>
            <w:r>
              <w:rPr>
                <w:rFonts w:hint="eastAsia"/>
                <w:bCs/>
                <w:iCs/>
                <w:sz w:val="24"/>
                <w:szCs w:val="24"/>
                <w:highlight w:val="none"/>
              </w:rPr>
              <w:t xml:space="preserve">分）</w:t>
            </w:r>
            <w:r/>
          </w:p>
          <w:p>
            <w:pPr>
              <w:spacing w:line="400" w:lineRule="exact"/>
              <w:rPr>
                <w:rFonts w:hint="eastAsia"/>
                <w:bCs/>
                <w:iCs/>
                <w:sz w:val="24"/>
                <w:szCs w:val="24"/>
                <w:highlight w:val="none"/>
              </w:rPr>
            </w:pPr>
            <w:r>
              <w:rPr>
                <w:rFonts w:hint="eastAsia"/>
                <w:bCs/>
                <w:iCs/>
                <w:sz w:val="24"/>
                <w:szCs w:val="24"/>
                <w:highlight w:val="none"/>
                <w:lang w:val="en-US" w:eastAsia="zh-CN"/>
              </w:rPr>
              <w:t xml:space="preserve">1</w:t>
            </w:r>
            <w:r>
              <w:rPr>
                <w:rFonts w:hint="eastAsia"/>
                <w:bCs/>
                <w:iCs/>
                <w:sz w:val="24"/>
                <w:szCs w:val="24"/>
                <w:highlight w:val="none"/>
              </w:rPr>
              <w:t xml:space="preserve">、投标人具有信息安全服务资质认证CCRC安全集成一级，得2分；具有信息安全服务资质认证CCRC安全集成二级及以下，得1分；没有不得分。</w:t>
            </w:r>
            <w:r/>
          </w:p>
          <w:p>
            <w:pPr>
              <w:spacing w:line="400" w:lineRule="exact"/>
              <w:rPr>
                <w:rFonts w:hint="eastAsia"/>
                <w:bCs/>
                <w:iCs/>
                <w:sz w:val="24"/>
                <w:szCs w:val="24"/>
                <w:highlight w:val="none"/>
              </w:rPr>
            </w:pPr>
            <w:r>
              <w:rPr>
                <w:rFonts w:hint="eastAsia"/>
                <w:bCs/>
                <w:iCs/>
                <w:sz w:val="24"/>
                <w:szCs w:val="24"/>
                <w:highlight w:val="none"/>
                <w:lang w:val="en-US" w:eastAsia="zh-CN"/>
              </w:rPr>
              <w:t xml:space="preserve">2</w:t>
            </w:r>
            <w:r>
              <w:rPr>
                <w:rFonts w:hint="eastAsia"/>
                <w:bCs/>
                <w:iCs/>
                <w:sz w:val="24"/>
                <w:szCs w:val="24"/>
                <w:highlight w:val="none"/>
              </w:rPr>
              <w:t xml:space="preserve">、投标人具有信息技术服务标准（ITSS）运行维护一级证书得2分；具有信息技术服务标准（ITSS）运行维护二级及以下得1分，没有不得分。</w:t>
            </w:r>
            <w:r/>
          </w:p>
          <w:p>
            <w:pPr>
              <w:spacing w:line="400" w:lineRule="exact"/>
              <w:rPr>
                <w:rFonts w:hint="eastAsia"/>
                <w:bCs/>
                <w:iCs/>
                <w:sz w:val="24"/>
                <w:szCs w:val="24"/>
                <w:highlight w:val="none"/>
              </w:rPr>
            </w:pPr>
            <w:r>
              <w:rPr>
                <w:rFonts w:hint="eastAsia"/>
                <w:bCs/>
                <w:iCs/>
                <w:sz w:val="24"/>
                <w:szCs w:val="24"/>
                <w:highlight w:val="none"/>
              </w:rPr>
              <w:t xml:space="preserve">注：以上须提供有效期内证书原件扫描上传</w:t>
            </w:r>
            <w:r/>
          </w:p>
          <w:p>
            <w:pPr>
              <w:spacing w:line="400" w:lineRule="exact"/>
              <w:rPr>
                <w:rFonts w:hint="eastAsia"/>
                <w:bCs/>
                <w:iCs/>
                <w:sz w:val="24"/>
                <w:szCs w:val="24"/>
                <w:highlight w:val="none"/>
              </w:rPr>
            </w:pPr>
            <w:r>
              <w:rPr>
                <w:rFonts w:hint="eastAsia"/>
                <w:bCs/>
                <w:iCs/>
                <w:sz w:val="24"/>
                <w:szCs w:val="24"/>
                <w:highlight w:val="none"/>
              </w:rPr>
              <w:t xml:space="preserve">二、业绩（满分</w:t>
            </w:r>
            <w:r>
              <w:rPr>
                <w:rFonts w:hint="eastAsia"/>
                <w:bCs/>
                <w:iCs/>
                <w:sz w:val="24"/>
                <w:szCs w:val="24"/>
                <w:highlight w:val="none"/>
                <w:lang w:val="en-US" w:eastAsia="zh-CN"/>
              </w:rPr>
              <w:t xml:space="preserve">2</w:t>
            </w:r>
            <w:r>
              <w:rPr>
                <w:rFonts w:hint="eastAsia"/>
                <w:bCs/>
                <w:iCs/>
                <w:sz w:val="24"/>
                <w:szCs w:val="24"/>
                <w:highlight w:val="none"/>
              </w:rPr>
              <w:t xml:space="preserve">分）</w:t>
            </w:r>
            <w:r/>
          </w:p>
          <w:p>
            <w:pPr>
              <w:spacing w:line="400" w:lineRule="exact"/>
              <w:rPr>
                <w:rFonts w:hint="eastAsia"/>
                <w:bCs/>
                <w:iCs/>
                <w:sz w:val="24"/>
                <w:szCs w:val="24"/>
                <w:highlight w:val="none"/>
              </w:rPr>
            </w:pPr>
            <w:r>
              <w:rPr>
                <w:rFonts w:hint="eastAsia"/>
                <w:bCs/>
                <w:iCs/>
                <w:sz w:val="24"/>
                <w:szCs w:val="24"/>
                <w:highlight w:val="none"/>
              </w:rPr>
              <w:t xml:space="preserve">投标人自2021年1月1日以来具有类似项目业绩，每提供1项得</w:t>
            </w:r>
            <w:r>
              <w:rPr>
                <w:rFonts w:hint="eastAsia"/>
                <w:bCs/>
                <w:iCs/>
                <w:sz w:val="24"/>
                <w:szCs w:val="24"/>
                <w:highlight w:val="none"/>
                <w:lang w:val="en-US" w:eastAsia="zh-CN"/>
              </w:rPr>
              <w:t xml:space="preserve">1</w:t>
            </w:r>
            <w:r>
              <w:rPr>
                <w:rFonts w:hint="eastAsia"/>
                <w:bCs/>
                <w:iCs/>
                <w:sz w:val="24"/>
                <w:szCs w:val="24"/>
                <w:highlight w:val="none"/>
              </w:rPr>
              <w:t xml:space="preserve">分，满分</w:t>
            </w:r>
            <w:r>
              <w:rPr>
                <w:rFonts w:hint="eastAsia"/>
                <w:bCs/>
                <w:iCs/>
                <w:sz w:val="24"/>
                <w:szCs w:val="24"/>
                <w:highlight w:val="none"/>
                <w:lang w:val="en-US" w:eastAsia="zh-CN"/>
              </w:rPr>
              <w:t xml:space="preserve">2</w:t>
            </w:r>
            <w:r>
              <w:rPr>
                <w:rFonts w:hint="eastAsia"/>
                <w:bCs/>
                <w:iCs/>
                <w:sz w:val="24"/>
                <w:szCs w:val="24"/>
                <w:highlight w:val="none"/>
              </w:rPr>
              <w:t xml:space="preserve">分（以合同签订时间为准，提供合同扫描上传）</w:t>
            </w:r>
            <w:r/>
          </w:p>
          <w:p>
            <w:pPr>
              <w:spacing w:line="400" w:lineRule="exact"/>
              <w:rPr>
                <w:rFonts w:hint="eastAsia"/>
                <w:bCs/>
                <w:iCs/>
                <w:sz w:val="24"/>
                <w:szCs w:val="24"/>
                <w:highlight w:val="none"/>
              </w:rPr>
            </w:pPr>
            <w:r>
              <w:rPr>
                <w:rFonts w:hint="eastAsia"/>
                <w:bCs/>
                <w:iCs/>
                <w:sz w:val="24"/>
                <w:szCs w:val="24"/>
                <w:highlight w:val="none"/>
              </w:rPr>
              <w:t xml:space="preserve">三、企业拟投入项目人员（满分</w:t>
            </w:r>
            <w:r>
              <w:rPr>
                <w:rFonts w:hint="eastAsia"/>
                <w:bCs/>
                <w:iCs/>
                <w:sz w:val="24"/>
                <w:szCs w:val="24"/>
                <w:highlight w:val="none"/>
                <w:lang w:val="en-US" w:eastAsia="zh-CN"/>
              </w:rPr>
              <w:t xml:space="preserve">4</w:t>
            </w:r>
            <w:r>
              <w:rPr>
                <w:rFonts w:hint="eastAsia"/>
                <w:bCs/>
                <w:iCs/>
                <w:sz w:val="24"/>
                <w:szCs w:val="24"/>
                <w:highlight w:val="none"/>
              </w:rPr>
              <w:t xml:space="preserve">分）</w:t>
            </w:r>
            <w:r/>
          </w:p>
          <w:p>
            <w:pPr>
              <w:spacing w:line="400" w:lineRule="exact"/>
              <w:rPr>
                <w:rFonts w:hint="eastAsia"/>
                <w:bCs/>
                <w:iCs/>
                <w:sz w:val="24"/>
                <w:szCs w:val="24"/>
                <w:highlight w:val="none"/>
              </w:rPr>
            </w:pPr>
            <w:r>
              <w:rPr>
                <w:rFonts w:hint="eastAsia"/>
                <w:bCs/>
                <w:iCs/>
                <w:sz w:val="24"/>
                <w:szCs w:val="24"/>
                <w:highlight w:val="none"/>
                <w:lang w:val="en-US" w:eastAsia="zh-CN"/>
              </w:rPr>
              <w:t xml:space="preserve">1、</w:t>
            </w:r>
            <w:r>
              <w:rPr>
                <w:rFonts w:hint="eastAsia"/>
                <w:bCs/>
                <w:iCs/>
                <w:sz w:val="24"/>
                <w:szCs w:val="24"/>
                <w:highlight w:val="none"/>
              </w:rPr>
              <w:t xml:space="preserve">投标人拟派的项目负责人具有信息系统项目管理师、注册信息安全专业人员（CISP），有一个得</w:t>
            </w:r>
            <w:r>
              <w:rPr>
                <w:rFonts w:hint="eastAsia"/>
                <w:bCs/>
                <w:iCs/>
                <w:sz w:val="24"/>
                <w:szCs w:val="24"/>
                <w:highlight w:val="none"/>
                <w:lang w:val="en-US" w:eastAsia="zh-CN"/>
              </w:rPr>
              <w:t xml:space="preserve">1</w:t>
            </w:r>
            <w:r>
              <w:rPr>
                <w:rFonts w:hint="eastAsia"/>
                <w:bCs/>
                <w:iCs/>
                <w:sz w:val="24"/>
                <w:szCs w:val="24"/>
                <w:highlight w:val="none"/>
              </w:rPr>
              <w:t xml:space="preserve">分，满分</w:t>
            </w:r>
            <w:r>
              <w:rPr>
                <w:rFonts w:hint="eastAsia"/>
                <w:bCs/>
                <w:iCs/>
                <w:sz w:val="24"/>
                <w:szCs w:val="24"/>
                <w:highlight w:val="none"/>
                <w:lang w:val="en-US" w:eastAsia="zh-CN"/>
              </w:rPr>
              <w:t xml:space="preserve">2</w:t>
            </w:r>
            <w:r>
              <w:rPr>
                <w:rFonts w:hint="eastAsia"/>
                <w:bCs/>
                <w:iCs/>
                <w:sz w:val="24"/>
                <w:szCs w:val="24"/>
                <w:highlight w:val="none"/>
              </w:rPr>
              <w:t xml:space="preserve">分。 </w:t>
            </w:r>
            <w:r/>
          </w:p>
          <w:p>
            <w:pPr>
              <w:spacing w:line="400" w:lineRule="exact"/>
              <w:rPr>
                <w:rFonts w:hint="eastAsia"/>
                <w:bCs/>
                <w:iCs/>
                <w:sz w:val="24"/>
                <w:szCs w:val="24"/>
                <w:highlight w:val="none"/>
              </w:rPr>
            </w:pPr>
            <w:r>
              <w:rPr>
                <w:rFonts w:hint="eastAsia"/>
                <w:bCs/>
                <w:iCs/>
                <w:sz w:val="24"/>
                <w:szCs w:val="24"/>
                <w:highlight w:val="none"/>
                <w:lang w:val="en-US" w:eastAsia="zh-CN"/>
              </w:rPr>
              <w:t xml:space="preserve">2、</w:t>
            </w:r>
            <w:r>
              <w:rPr>
                <w:rFonts w:hint="eastAsia"/>
                <w:bCs/>
                <w:iCs/>
                <w:sz w:val="24"/>
                <w:szCs w:val="24"/>
                <w:highlight w:val="none"/>
              </w:rPr>
              <w:t xml:space="preserve">投标人拟派的项目团队人员具有系统集成项目管理工程师、网络工程师、ITSS服务工程师，有一个得</w:t>
            </w:r>
            <w:r>
              <w:rPr>
                <w:rFonts w:hint="eastAsia"/>
                <w:bCs/>
                <w:iCs/>
                <w:sz w:val="24"/>
                <w:szCs w:val="24"/>
                <w:highlight w:val="none"/>
                <w:lang w:val="en-US" w:eastAsia="zh-CN"/>
              </w:rPr>
              <w:t xml:space="preserve">1</w:t>
            </w:r>
            <w:r>
              <w:rPr>
                <w:rFonts w:hint="eastAsia"/>
                <w:bCs/>
                <w:iCs/>
                <w:sz w:val="24"/>
                <w:szCs w:val="24"/>
                <w:highlight w:val="none"/>
              </w:rPr>
              <w:t xml:space="preserve">分，满分</w:t>
            </w:r>
            <w:r>
              <w:rPr>
                <w:rFonts w:hint="eastAsia"/>
                <w:bCs/>
                <w:iCs/>
                <w:sz w:val="24"/>
                <w:szCs w:val="24"/>
                <w:highlight w:val="none"/>
                <w:lang w:val="en-US" w:eastAsia="zh-CN"/>
              </w:rPr>
              <w:t xml:space="preserve">2</w:t>
            </w:r>
            <w:r>
              <w:rPr>
                <w:rFonts w:hint="eastAsia"/>
                <w:bCs/>
                <w:iCs/>
                <w:sz w:val="24"/>
                <w:szCs w:val="24"/>
                <w:highlight w:val="none"/>
              </w:rPr>
              <w:t xml:space="preserve">分。 </w:t>
            </w:r>
            <w:r/>
          </w:p>
          <w:p>
            <w:pPr>
              <w:spacing w:line="400" w:lineRule="exact"/>
              <w:rPr>
                <w:rFonts w:hint="eastAsia"/>
                <w:bCs/>
                <w:iCs/>
                <w:sz w:val="24"/>
                <w:szCs w:val="24"/>
                <w:highlight w:val="none"/>
              </w:rPr>
            </w:pPr>
            <w:r>
              <w:rPr>
                <w:rFonts w:hint="eastAsia"/>
                <w:bCs/>
                <w:iCs/>
                <w:sz w:val="24"/>
                <w:szCs w:val="24"/>
                <w:highlight w:val="none"/>
              </w:rPr>
              <w:t xml:space="preserve">注：上述人员须提供证书及投标人近3个月任意一个月为其缴纳社保的证明，所有材料原件扫描上传。</w:t>
            </w:r>
            <w:r/>
          </w:p>
        </w:tc>
      </w:tr>
      <w:tr>
        <w:trPr>
          <w:jc w:val="center"/>
        </w:trPr>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spacing w:line="400" w:lineRule="exact"/>
              <w:rPr>
                <w:rFonts w:hint="eastAsia"/>
                <w:bCs/>
                <w:iCs/>
                <w:sz w:val="24"/>
                <w:szCs w:val="24"/>
              </w:rPr>
            </w:pPr>
            <w:r>
              <w:rPr>
                <w:rFonts w:hint="eastAsia"/>
                <w:bCs/>
                <w:iCs/>
                <w:sz w:val="24"/>
                <w:szCs w:val="24"/>
              </w:rPr>
              <w:t xml:space="preserve">节能环保（2分）</w:t>
            </w:r>
            <w:r/>
          </w:p>
        </w:tc>
        <w:tc>
          <w:tcPr>
            <w:tcBorders>
              <w:top w:val="single" w:color="000000" w:sz="4" w:space="0"/>
              <w:left w:val="single" w:color="000000" w:sz="4" w:space="0"/>
              <w:bottom w:val="single" w:color="000000" w:sz="4" w:space="0"/>
              <w:right w:val="single" w:color="000000" w:sz="4" w:space="0"/>
            </w:tcBorders>
            <w:tcW w:w="4264" w:type="pct"/>
            <w:vAlign w:val="center"/>
            <w:textDirection w:val="lrTb"/>
            <w:noWrap w:val="false"/>
          </w:tcPr>
          <w:p>
            <w:pPr>
              <w:spacing w:line="400" w:lineRule="exact"/>
              <w:rPr>
                <w:rFonts w:hint="eastAsia"/>
                <w:bCs/>
                <w:iCs/>
                <w:sz w:val="24"/>
                <w:szCs w:val="24"/>
              </w:rPr>
            </w:pPr>
            <w:r>
              <w:rPr>
                <w:rFonts w:hint="eastAsia"/>
                <w:bCs/>
                <w:iCs/>
                <w:sz w:val="24"/>
                <w:szCs w:val="24"/>
              </w:rPr>
              <w:t xml:space="preserve">1.投标（响应）产品属于财政部、国家发改委公布的“节能产品品目清单”范围内的，投标人（供应商）提供国家确定的认证机构出具的、处于有效期之内的该节能产品认证证书复印件的，有1个得0.5分，最多得1分。如投标（响应）产品均属于政府强制采购节能产品品目清单范围内，本项不得分。</w:t>
            </w:r>
            <w:r/>
          </w:p>
          <w:p>
            <w:pPr>
              <w:spacing w:line="400" w:lineRule="exact"/>
              <w:rPr>
                <w:rFonts w:hint="eastAsia"/>
                <w:bCs/>
                <w:iCs/>
                <w:sz w:val="24"/>
                <w:szCs w:val="24"/>
              </w:rPr>
            </w:pPr>
            <w:r>
              <w:rPr>
                <w:rFonts w:hint="eastAsia"/>
                <w:bCs/>
                <w:iCs/>
                <w:sz w:val="24"/>
                <w:szCs w:val="24"/>
              </w:rPr>
              <w:t xml:space="preserve">2.投标（响应）产品属于财政部、生态环境部公布的“环境标志产品品目清单”范围内的，投标人（供应商）提供国家确定的认证机构出具的、处于有效期内的该投标（响应）产品环境标志产品认证证书复印件的，有1个得0.5分，最多得1分。</w:t>
            </w:r>
            <w:r/>
          </w:p>
        </w:tc>
      </w:tr>
    </w:tbl>
    <w:p>
      <w:pPr>
        <w:ind w:firstLine="480"/>
        <w:spacing w:before="120" w:after="120"/>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934"/>
      </w:pPr>
      <w:r>
        <w:rPr>
          <w:rFonts w:ascii="黑体" w:hAnsi="黑体" w:eastAsia="黑体" w:cs="黑体"/>
          <w:color w:val="000000"/>
          <w:sz w:val="44"/>
        </w:rPr>
        <w:t xml:space="preserve">第六章投标文件格式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right="0" w:firstLine="1084"/>
        <w:jc w:val="both"/>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投标人名称 ：（加盖CA电子公章）</w:t>
      </w:r>
      <w:r/>
    </w:p>
    <w:p>
      <w:pPr>
        <w:ind w:left="0" w:right="0" w:firstLine="0"/>
        <w:jc w:val="left"/>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       日期 ：               </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投标文件的组成</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8.联合体协议（格式见附件14）。</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四、价格扣除证明文件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 关于符合本国产品标准的声明函（格式见附件13）</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1"/>
        <w:gridCol w:w="5776"/>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709"/>
        <w:gridCol w:w="850"/>
        <w:gridCol w:w="567"/>
        <w:gridCol w:w="850"/>
        <w:gridCol w:w="1276"/>
        <w:gridCol w:w="1559"/>
        <w:gridCol w:w="198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val="false"/>
          </w:tcPr>
          <w:p>
            <w:pPr>
              <w:ind w:left="0" w:righ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本采购包中提供的符合本国产品标准的产品成本之和占该采购包提供的全部产品成本之和的比例为***%。</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ascii="宋体" w:hAnsi="宋体" w:eastAsia="宋体" w:cs="宋体"/>
          <w:color w:val="000000"/>
          <w:sz w:val="24"/>
          <w:highlight w:val="white"/>
        </w:rPr>
        <w:t xml:space="preserve">投标总报价”数额为各“分项总价”之和。</w:t>
      </w:r>
      <w:r/>
    </w:p>
    <w:p>
      <w:pPr>
        <w:ind w:left="0" w:right="0" w:firstLine="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1"/>
        </w:rPr>
        <w:t xml:space="preserve">“</w:t>
      </w:r>
      <w:r>
        <w:rPr>
          <w:rFonts w:ascii="宋体" w:hAnsi="宋体" w:eastAsia="宋体" w:cs="宋体"/>
          <w:color w:val="000000"/>
          <w:sz w:val="24"/>
        </w:rPr>
        <w:t xml:space="preserve">投标分项报价表</w:t>
      </w:r>
      <w:r>
        <w:rPr>
          <w:rFonts w:ascii="宋体" w:hAnsi="宋体" w:eastAsia="宋体" w:cs="宋体"/>
          <w:color w:val="000000"/>
          <w:sz w:val="21"/>
        </w:rPr>
        <w:t xml:space="preserve">”</w:t>
      </w:r>
      <w:r>
        <w:rPr>
          <w:rFonts w:ascii="宋体" w:hAnsi="宋体" w:eastAsia="宋体" w:cs="宋体"/>
          <w:color w:val="000000"/>
          <w:sz w:val="24"/>
        </w:rPr>
        <w:t xml:space="preserve">中“投标总报价”数额应当与“开标一览表”中“投标总报价”数额一致。</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4.投标人需认真填写本报价表，尤其注意规格型号的准确填写。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5.项目经办人可以根据项目实际需要对表格结构进行调整。</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left"/>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被授权人身份证号码：</w:t>
      </w:r>
      <w:r>
        <w:rPr>
          <w:rFonts w:ascii="宋体" w:hAnsi="宋体" w:eastAsia="宋体" w:cs="宋体"/>
          <w:color w:val="000000"/>
          <w:sz w:val="24"/>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被授权人电子邮箱：</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单位地址：</w:t>
      </w:r>
      <w:r>
        <w:rPr>
          <w:rFonts w:ascii="宋体" w:hAnsi="宋体" w:eastAsia="宋体" w:cs="宋体"/>
          <w:color w:val="000000"/>
          <w:sz w:val="24"/>
          <w:u w:val="single"/>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left"/>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投标函</w:t>
      </w:r>
      <w:r/>
    </w:p>
    <w:p>
      <w:pPr>
        <w:ind w:left="0"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w:t>
      </w:r>
      <w:r>
        <w:rPr>
          <w:rFonts w:ascii="仿宋" w:hAnsi="仿宋" w:eastAsia="仿宋" w:cs="仿宋"/>
          <w:b/>
          <w:color w:val="000000"/>
          <w:sz w:val="24"/>
        </w:rPr>
        <w:t xml:space="preserve">      </w:t>
      </w:r>
      <w:r>
        <w:rPr>
          <w:rFonts w:ascii="宋体" w:hAnsi="宋体" w:eastAsia="宋体" w:cs="宋体"/>
          <w:b/>
          <w:color w:val="000000"/>
          <w:sz w:val="24"/>
        </w:rPr>
        <w:t xml:space="preserve">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31"/>
        <w:gridCol w:w="25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6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1200"/>
        <w:jc w:val="both"/>
        <w:spacing w:before="0" w:after="0"/>
        <w:pBdr>
          <w:top w:val="none" w:color="000000" w:sz="0" w:space="0"/>
          <w:left w:val="none" w:color="000000" w:sz="0" w:space="0"/>
          <w:bottom w:val="none" w:color="000000" w:sz="0" w:space="0"/>
          <w:right w:val="none" w:color="000000" w:sz="0" w:space="0"/>
        </w:pBdr>
      </w:pPr>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rPr>
          <w:rFonts w:ascii="仿宋" w:hAnsi="仿宋" w:eastAsia="仿宋" w:cs="仿宋"/>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rPr>
          <w:rFonts w:ascii="宋体" w:hAnsi="宋体" w:eastAsia="宋体" w:cs="宋体"/>
          <w:b/>
          <w:color w:val="000000"/>
          <w:sz w:val="24"/>
        </w:rPr>
      </w:pPr>
      <w:r>
        <w:rPr>
          <w:rFonts w:ascii="宋体" w:hAnsi="宋体" w:eastAsia="宋体" w:cs="宋体"/>
          <w:b/>
          <w:color w:val="000000"/>
          <w:sz w:val="24"/>
        </w:rPr>
        <w:br w:type="page" w:clear="all"/>
      </w:r>
      <w:r/>
    </w:p>
    <w:p>
      <w:pPr>
        <w:ind w:left="0" w:right="0" w:firstLine="24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 号）的规定，本公司（联合体）参加扬州市公共资源交易中心组织的</w:t>
      </w:r>
      <w:r>
        <w:rPr>
          <w:rFonts w:ascii="宋体" w:hAnsi="宋体" w:eastAsia="宋体" w:cs="宋体"/>
          <w:color w:val="000000"/>
          <w:sz w:val="24"/>
          <w:u w:val="single"/>
        </w:rPr>
        <w:t xml:space="preserve">（项目名称），（项目编号）</w:t>
      </w:r>
      <w:r>
        <w:rPr>
          <w:rFonts w:ascii="宋体" w:hAnsi="宋体" w:eastAsia="宋体" w:cs="宋体"/>
          <w:color w:val="000000"/>
          <w:sz w:val="24"/>
        </w:rPr>
        <w:t xml:space="preserve">的采购活动，提供的货物全部由符合政策要求的中小企业制造。相关企业（含联合体中的中小企业、签订分包意向协议的中小企业）的具体情况如下：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b/>
          <w:bCs/>
          <w:color w:val="000000"/>
          <w:sz w:val="24"/>
          <w:u w:val="single"/>
        </w:rPr>
        <w:t xml:space="preserve">（</w:t>
      </w:r>
      <w:r>
        <w:rPr>
          <w:rFonts w:hint="eastAsia" w:ascii="宋体" w:hAnsi="宋体" w:cs="宋体"/>
          <w:b/>
          <w:bCs/>
          <w:color w:val="ff0000"/>
          <w:sz w:val="24"/>
          <w:u w:val="single"/>
          <w:lang w:val="en-US" w:eastAsia="zh-CN"/>
        </w:rPr>
        <w:t xml:space="preserve">工业</w:t>
      </w:r>
      <w:r>
        <w:rPr>
          <w:rFonts w:ascii="宋体" w:hAnsi="宋体" w:eastAsia="宋体" w:cs="宋体"/>
          <w:b/>
          <w:bCs/>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ascii="宋体" w:hAnsi="宋体" w:eastAsia="宋体" w:cs="宋体"/>
          <w:color w:val="ff0000"/>
          <w:sz w:val="24"/>
          <w:u w:val="single"/>
        </w:rPr>
        <w:t xml:space="preserve">采购文件中明确的所属行业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0" w:firstLine="48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42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sz w:val="24"/>
          <w:u w:val="single"/>
        </w:rPr>
        <w:t xml:space="preserve">****</w:t>
      </w:r>
      <w:r>
        <w:rPr>
          <w:rFonts w:ascii="宋体" w:hAnsi="宋体" w:eastAsia="宋体" w:cs="宋体"/>
          <w:color w:val="000000"/>
          <w:sz w:val="24"/>
        </w:rPr>
        <w:t xml:space="preserve">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项目（采购包号：**）采购活动提供本单位制造的货物，或者提供其他残疾人福利性单位制造的货物（不包括使用非残疾人福利性单位注册商标的货物）。</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left="0" w:right="1559" w:firstLine="624"/>
        <w:jc w:val="center"/>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eastAsia="宋体" w:cs="宋体"/>
          <w:color w:val="000000"/>
          <w:sz w:val="24"/>
        </w:rPr>
        <w:t xml:space="preserve">     供应商全称（加盖CA电子公章）：</w:t>
      </w:r>
      <w:r/>
    </w:p>
    <w:p>
      <w:pPr>
        <w:ind w:left="0" w:right="1559"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 附件13 关于符合本国产品标准的声明函（采购包号：**）</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spacing w:before="30" w:after="3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80"/>
        <w:spacing w:before="30" w:after="3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本公司（单位）对上述声明内容的真实性负责。如有虚假，愿承担相应法律责任。</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公司（单位）名称（盖章）：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日期：　   年　  月　  日         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1.产品如有型号，请在“产品名称”栏一并填写。</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2.生产厂名与厂址应与生产厂营业执照载明的相关信息保持一致。</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3.该产品的中国境内生产的组件成本占比相关要求实施前，“规定比例”栏可不填，下同。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4.该产品的关键组件要求实施前，“关键组件”栏可不填，下同。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color w:val="000000"/>
          <w:sz w:val="24"/>
          <w:highlight w:val="white"/>
        </w:rPr>
        <w:t xml:space="preserve">6.《声明函》中标注“  /  ”的地方无需填写。</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4"/>
          <w14:ligatures w14:val="none"/>
        </w:rPr>
      </w:r>
      <w:r/>
    </w:p>
    <w:p>
      <w:r/>
      <w:r/>
    </w:p>
    <w:p>
      <w:r/>
      <w:r/>
    </w:p>
    <w:p>
      <w:r/>
      <w:r/>
    </w:p>
    <w:p>
      <w:r/>
      <w:r/>
    </w:p>
    <w:p>
      <w:r/>
      <w:r/>
    </w:p>
    <w:p>
      <w:r/>
      <w:r/>
    </w:p>
    <w:p>
      <w:r/>
      <w:r/>
    </w:p>
    <w:p>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rPr>
          <w:rFonts w:ascii="宋体" w:hAnsi="宋体" w:eastAsia="宋体" w:cs="宋体"/>
          <w:b/>
          <w:color w:val="000000"/>
          <w:sz w:val="24"/>
        </w:rPr>
      </w:pPr>
      <w:r>
        <w:rPr>
          <w:rFonts w:ascii="宋体" w:hAnsi="宋体" w:eastAsia="宋体" w:cs="宋体"/>
          <w:b/>
          <w:color w:val="000000"/>
          <w:sz w:val="24"/>
        </w:rPr>
        <w:br w:type="page" w:clear="all"/>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附件15      实质性要求响应及偏离表（采购包号：**）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3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rPr>
          <w:rFonts w:ascii="宋体" w:hAnsi="宋体" w:eastAsia="宋体" w:cs="宋体"/>
          <w:b/>
          <w:color w:val="000000"/>
          <w:sz w:val="32"/>
        </w:rPr>
      </w:pPr>
      <w:r>
        <w:rPr>
          <w:rFonts w:ascii="宋体" w:hAnsi="宋体" w:eastAsia="宋体" w:cs="宋体"/>
          <w:b/>
          <w:color w:val="000000"/>
          <w:sz w:val="32"/>
        </w:rP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r/>
      <w:r/>
    </w:p>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仿宋">
    <w:panose1 w:val="02010609060101010101"/>
  </w:font>
  <w:font w:name="等线">
    <w:panose1 w:val="02010600030101010101"/>
  </w:font>
  <w:font w:name="微软雅黑">
    <w:panose1 w:val="020B05030202040202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6"/>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9"/>
      <w:isLgl w:val="false"/>
      <w:suff w:val="nothing"/>
      <w:lvlText w:val=""/>
      <w:lvlJc w:val="left"/>
      <w:pPr>
        <w:ind w:left="0" w:firstLine="0"/>
      </w:pPr>
      <w:rPr>
        <w:rFonts w:hint="eastAsia"/>
      </w:rPr>
    </w:lvl>
    <w:lvl w:ilvl="6">
      <w:start w:val="1"/>
      <w:numFmt w:val="decimal"/>
      <w:pStyle w:val="940"/>
      <w:isLgl w:val="false"/>
      <w:suff w:val="nothing"/>
      <w:lvlText w:val=""/>
      <w:lvlJc w:val="left"/>
      <w:pPr>
        <w:ind w:left="0" w:firstLine="0"/>
      </w:pPr>
      <w:rPr>
        <w:rFonts w:hint="eastAsia"/>
      </w:rPr>
    </w:lvl>
    <w:lvl w:ilvl="7">
      <w:start w:val="1"/>
      <w:numFmt w:val="decimal"/>
      <w:pStyle w:val="941"/>
      <w:isLgl w:val="false"/>
      <w:suff w:val="nothing"/>
      <w:lvlText w:val=""/>
      <w:lvlJc w:val="left"/>
      <w:pPr>
        <w:ind w:left="0" w:firstLine="0"/>
      </w:pPr>
      <w:rPr>
        <w:rFonts w:hint="eastAsia"/>
      </w:rPr>
    </w:lvl>
    <w:lvl w:ilvl="8">
      <w:start w:val="1"/>
      <w:numFmt w:val="decimal"/>
      <w:pStyle w:val="942"/>
      <w:isLgl w:val="false"/>
      <w:suff w:val="nothing"/>
      <w:lvlText w:val=""/>
      <w:lvlJc w:val="left"/>
      <w:pPr>
        <w:ind w:left="0" w:firstLine="0"/>
      </w:pPr>
      <w:rPr>
        <w:rFonts w:hint="eastAsia"/>
      </w:rPr>
    </w:lvl>
  </w:abstractNum>
  <w:abstractNum w:abstractNumId="5">
    <w:multiLevelType w:val="hybridMultilevel"/>
    <w:lvl w:ilvl="0">
      <w:start w:val="1"/>
      <w:numFmt w:val="bullet"/>
      <w:pStyle w:val="72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decimal"/>
      <w:isLgl w:val="false"/>
      <w:suff w:val="tab"/>
      <w:lvlText w:val="（%1）"/>
      <w:lvlJc w:val="left"/>
      <w:pPr>
        <w:ind w:left="84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7">
    <w:multiLevelType w:val="hybridMultilevel"/>
    <w:lvl w:ilvl="0">
      <w:start w:val="10"/>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8">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101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3">
    <w:multiLevelType w:val="hybridMultilevel"/>
    <w:lvl w:ilvl="0">
      <w:start w:val="6"/>
      <w:numFmt w:val="decimal"/>
      <w:isLgl w:val="false"/>
      <w:suff w:val="tab"/>
      <w:lvlText w:val="（%1）"/>
      <w:lvlJc w:val="left"/>
      <w:pPr>
        <w:ind w:left="275"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9"/>
  </w:num>
  <w:num w:numId="8">
    <w:abstractNumId w:val="13"/>
  </w:num>
  <w:num w:numId="9">
    <w:abstractNumId w:val="6"/>
  </w:num>
  <w:num w:numId="10">
    <w:abstractNumId w:val="0"/>
  </w:num>
  <w:num w:numId="11">
    <w:abstractNumId w:val="10"/>
  </w:num>
  <w:num w:numId="12">
    <w:abstractNumId w:val="12"/>
  </w:num>
  <w:num w:numId="13">
    <w:abstractNumId w:val="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7">
    <w:name w:val="Heading 1"/>
    <w:basedOn w:val="706"/>
    <w:next w:val="706"/>
    <w:link w:val="786"/>
    <w:uiPriority w:val="9"/>
    <w:qFormat/>
    <w:pPr>
      <w:keepLines/>
      <w:keepNext/>
      <w:spacing w:before="480" w:after="200"/>
      <w:outlineLvl w:val="0"/>
    </w:pPr>
    <w:rPr>
      <w:rFonts w:ascii="Arial" w:hAnsi="Arial" w:eastAsia="黑体" w:cs="Arial"/>
      <w:sz w:val="44"/>
      <w:szCs w:val="40"/>
    </w:rPr>
  </w:style>
  <w:style w:type="paragraph" w:styleId="708">
    <w:name w:val="Heading 2"/>
    <w:basedOn w:val="706"/>
    <w:next w:val="721"/>
    <w:link w:val="787"/>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88"/>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89"/>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90"/>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91"/>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93"/>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94"/>
    <w:uiPriority w:val="9"/>
    <w:unhideWhenUsed/>
    <w:qFormat/>
    <w:pPr>
      <w:keepLines/>
      <w:keepNext/>
      <w:spacing w:before="320" w:after="200"/>
      <w:outlineLvl w:val="8"/>
    </w:pPr>
    <w:rPr>
      <w:rFonts w:ascii="Arial" w:hAnsi="Arial" w:eastAsia="Arial" w:cs="Arial"/>
      <w:i/>
      <w:iCs/>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customStyle="1">
    <w:name w:val="正文文本1"/>
    <w:basedOn w:val="719"/>
    <w:next w:val="720"/>
    <w:link w:val="949"/>
    <w:uiPriority w:val="0"/>
    <w:qFormat/>
    <w:rPr>
      <w:rFonts w:ascii="楷体_GB2312" w:hAnsi="Arial" w:eastAsia="楷体_GB2312"/>
      <w:sz w:val="28"/>
      <w:szCs w:val="28"/>
    </w:rPr>
  </w:style>
  <w:style w:type="paragraph" w:styleId="719" w:customStyle="1">
    <w:name w:val="正文1"/>
    <w:basedOn w:val="706"/>
    <w:next w:val="718"/>
    <w:uiPriority w:val="99"/>
    <w:qFormat/>
    <w:pPr>
      <w:ind w:firstLine="480"/>
      <w:spacing w:line="440" w:lineRule="exact"/>
    </w:pPr>
    <w:rPr>
      <w:rFonts w:ascii="微软雅黑" w:hAnsi="微软雅黑" w:eastAsia="微软雅黑"/>
      <w:sz w:val="24"/>
      <w:szCs w:val="20"/>
    </w:rPr>
  </w:style>
  <w:style w:type="paragraph" w:styleId="720" w:customStyle="1">
    <w:name w:val="正文缩进1"/>
    <w:basedOn w:val="706"/>
    <w:next w:val="706"/>
    <w:link w:val="970"/>
    <w:uiPriority w:val="0"/>
    <w:qFormat/>
    <w:pPr>
      <w:ind w:firstLine="420"/>
    </w:pPr>
  </w:style>
  <w:style w:type="paragraph" w:styleId="721">
    <w:name w:val="Normal Indent"/>
    <w:basedOn w:val="706"/>
    <w:uiPriority w:val="0"/>
    <w:unhideWhenUsed/>
    <w:qFormat/>
    <w:pPr>
      <w:ind w:firstLine="420"/>
    </w:pPr>
    <w:rPr>
      <w:rFonts w:ascii="Times New Roman" w:hAnsi="Times New Roman"/>
    </w:rPr>
  </w:style>
  <w:style w:type="paragraph" w:styleId="722">
    <w:name w:val="toc 7"/>
    <w:basedOn w:val="706"/>
    <w:next w:val="706"/>
    <w:uiPriority w:val="39"/>
    <w:unhideWhenUsed/>
    <w:qFormat/>
    <w:pPr>
      <w:ind w:left="1701"/>
      <w:spacing w:after="57"/>
    </w:pPr>
  </w:style>
  <w:style w:type="paragraph" w:styleId="723">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annotation text"/>
    <w:basedOn w:val="706"/>
    <w:uiPriority w:val="99"/>
    <w:semiHidden/>
    <w:unhideWhenUsed/>
    <w:qFormat/>
    <w:pPr>
      <w:jc w:val="left"/>
    </w:pPr>
  </w:style>
  <w:style w:type="paragraph" w:styleId="725">
    <w:name w:val="Body Text"/>
    <w:basedOn w:val="706"/>
    <w:uiPriority w:val="0"/>
    <w:qFormat/>
    <w:rPr>
      <w:rFonts w:ascii="楷体_GB2312" w:hAnsi="Arial" w:eastAsia="楷体_GB2312"/>
      <w:sz w:val="28"/>
      <w:szCs w:val="28"/>
    </w:rPr>
  </w:style>
  <w:style w:type="paragraph" w:styleId="726">
    <w:name w:val="List Bullet 2"/>
    <w:basedOn w:val="706"/>
    <w:uiPriority w:val="99"/>
    <w:semiHidden/>
    <w:unhideWhenUsed/>
    <w:qFormat/>
    <w:pPr>
      <w:numPr>
        <w:ilvl w:val="0"/>
        <w:numId w:val="1"/>
      </w:numPr>
    </w:pPr>
  </w:style>
  <w:style w:type="paragraph" w:styleId="727">
    <w:name w:val="index 4"/>
    <w:basedOn w:val="706"/>
    <w:next w:val="706"/>
    <w:uiPriority w:val="0"/>
    <w:qFormat/>
    <w:pPr>
      <w:ind w:left="600" w:firstLine="200"/>
      <w:spacing w:line="360" w:lineRule="auto"/>
    </w:pPr>
    <w:rPr>
      <w:rFonts w:ascii="等线" w:hAnsi="等线" w:eastAsia="等线"/>
      <w:sz w:val="24"/>
      <w:szCs w:val="24"/>
    </w:rPr>
  </w:style>
  <w:style w:type="paragraph" w:styleId="728">
    <w:name w:val="toc 5"/>
    <w:basedOn w:val="706"/>
    <w:next w:val="706"/>
    <w:uiPriority w:val="39"/>
    <w:unhideWhenUsed/>
    <w:qFormat/>
    <w:pPr>
      <w:ind w:left="1134"/>
      <w:spacing w:after="57"/>
    </w:pPr>
  </w:style>
  <w:style w:type="paragraph" w:styleId="729">
    <w:name w:val="toc 3"/>
    <w:basedOn w:val="706"/>
    <w:next w:val="706"/>
    <w:uiPriority w:val="39"/>
    <w:unhideWhenUsed/>
    <w:qFormat/>
    <w:pPr>
      <w:ind w:left="567"/>
      <w:spacing w:after="57"/>
    </w:pPr>
  </w:style>
  <w:style w:type="paragraph" w:styleId="730">
    <w:name w:val="toc 8"/>
    <w:basedOn w:val="706"/>
    <w:next w:val="706"/>
    <w:uiPriority w:val="39"/>
    <w:unhideWhenUsed/>
    <w:qFormat/>
    <w:pPr>
      <w:ind w:left="1984"/>
      <w:spacing w:after="57"/>
    </w:pPr>
  </w:style>
  <w:style w:type="paragraph" w:styleId="731">
    <w:name w:val="endnote text"/>
    <w:basedOn w:val="706"/>
    <w:link w:val="932"/>
    <w:uiPriority w:val="99"/>
    <w:semiHidden/>
    <w:unhideWhenUsed/>
    <w:qFormat/>
    <w:rPr>
      <w:sz w:val="20"/>
    </w:rPr>
  </w:style>
  <w:style w:type="paragraph" w:styleId="732">
    <w:name w:val="Footer"/>
    <w:basedOn w:val="706"/>
    <w:link w:val="805"/>
    <w:uiPriority w:val="99"/>
    <w:unhideWhenUsed/>
    <w:qFormat/>
    <w:pPr>
      <w:tabs>
        <w:tab w:val="center" w:pos="7143" w:leader="none"/>
        <w:tab w:val="right" w:pos="14287" w:leader="none"/>
      </w:tabs>
    </w:pPr>
  </w:style>
  <w:style w:type="paragraph" w:styleId="733">
    <w:name w:val="Header"/>
    <w:basedOn w:val="706"/>
    <w:link w:val="803"/>
    <w:uiPriority w:val="99"/>
    <w:unhideWhenUsed/>
    <w:qFormat/>
    <w:pPr>
      <w:tabs>
        <w:tab w:val="center" w:pos="7143" w:leader="none"/>
        <w:tab w:val="right" w:pos="14287" w:leader="none"/>
      </w:tabs>
    </w:pPr>
  </w:style>
  <w:style w:type="paragraph" w:styleId="734">
    <w:name w:val="toc 1"/>
    <w:basedOn w:val="706"/>
    <w:next w:val="706"/>
    <w:uiPriority w:val="39"/>
    <w:unhideWhenUsed/>
    <w:qFormat/>
    <w:pPr>
      <w:spacing w:after="57"/>
    </w:pPr>
  </w:style>
  <w:style w:type="paragraph" w:styleId="735">
    <w:name w:val="toc 4"/>
    <w:basedOn w:val="706"/>
    <w:next w:val="706"/>
    <w:uiPriority w:val="39"/>
    <w:unhideWhenUsed/>
    <w:qFormat/>
    <w:pPr>
      <w:ind w:left="850"/>
      <w:spacing w:after="57"/>
    </w:pPr>
  </w:style>
  <w:style w:type="paragraph" w:styleId="736">
    <w:name w:val="Subtitle"/>
    <w:basedOn w:val="706"/>
    <w:next w:val="706"/>
    <w:link w:val="798"/>
    <w:uiPriority w:val="11"/>
    <w:qFormat/>
    <w:pPr>
      <w:spacing w:before="200" w:after="200"/>
    </w:pPr>
    <w:rPr>
      <w:sz w:val="24"/>
      <w:szCs w:val="24"/>
    </w:rPr>
  </w:style>
  <w:style w:type="paragraph" w:styleId="737">
    <w:name w:val="footnote text"/>
    <w:basedOn w:val="706"/>
    <w:link w:val="931"/>
    <w:uiPriority w:val="99"/>
    <w:semiHidden/>
    <w:unhideWhenUsed/>
    <w:qFormat/>
    <w:pPr>
      <w:spacing w:after="40"/>
    </w:pPr>
    <w:rPr>
      <w:sz w:val="18"/>
    </w:rPr>
  </w:style>
  <w:style w:type="paragraph" w:styleId="738">
    <w:name w:val="toc 6"/>
    <w:basedOn w:val="706"/>
    <w:next w:val="706"/>
    <w:uiPriority w:val="39"/>
    <w:unhideWhenUsed/>
    <w:qFormat/>
    <w:pPr>
      <w:ind w:left="1417"/>
      <w:spacing w:after="57"/>
    </w:pPr>
  </w:style>
  <w:style w:type="paragraph" w:styleId="739">
    <w:name w:val="table of figures"/>
    <w:basedOn w:val="706"/>
    <w:next w:val="706"/>
    <w:uiPriority w:val="99"/>
    <w:unhideWhenUsed/>
    <w:qFormat/>
  </w:style>
  <w:style w:type="paragraph" w:styleId="740">
    <w:name w:val="toc 2"/>
    <w:basedOn w:val="706"/>
    <w:next w:val="706"/>
    <w:uiPriority w:val="39"/>
    <w:unhideWhenUsed/>
    <w:qFormat/>
    <w:pPr>
      <w:ind w:left="283"/>
      <w:spacing w:after="57"/>
    </w:pPr>
  </w:style>
  <w:style w:type="paragraph" w:styleId="741">
    <w:name w:val="toc 9"/>
    <w:basedOn w:val="706"/>
    <w:next w:val="706"/>
    <w:uiPriority w:val="39"/>
    <w:unhideWhenUsed/>
    <w:qFormat/>
    <w:pPr>
      <w:ind w:left="2268"/>
      <w:spacing w:after="57"/>
    </w:pPr>
  </w:style>
  <w:style w:type="paragraph" w:styleId="742">
    <w:name w:val="Normal (Web)"/>
    <w:basedOn w:val="706"/>
    <w:uiPriority w:val="0"/>
    <w:qFormat/>
    <w:rPr>
      <w:sz w:val="24"/>
    </w:rPr>
  </w:style>
  <w:style w:type="paragraph" w:styleId="743">
    <w:name w:val="Title"/>
    <w:basedOn w:val="706"/>
    <w:next w:val="706"/>
    <w:link w:val="797"/>
    <w:uiPriority w:val="10"/>
    <w:qFormat/>
    <w:pPr>
      <w:contextualSpacing/>
      <w:spacing w:before="300" w:after="200"/>
    </w:pPr>
    <w:rPr>
      <w:sz w:val="48"/>
      <w:szCs w:val="48"/>
    </w:rPr>
  </w:style>
  <w:style w:type="table" w:styleId="7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endnote reference"/>
    <w:uiPriority w:val="99"/>
    <w:semiHidden/>
    <w:unhideWhenUsed/>
    <w:qFormat/>
    <w:rPr>
      <w:vertAlign w:val="superscript"/>
    </w:rPr>
  </w:style>
  <w:style w:type="character" w:styleId="746">
    <w:name w:val="Hyperlink"/>
    <w:uiPriority w:val="99"/>
    <w:unhideWhenUsed/>
    <w:qFormat/>
    <w:rPr>
      <w:color w:val="0000ff" w:themeColor="hyperlink"/>
      <w:u w:val="single"/>
      <w14:textFill>
        <w14:solidFill>
          <w14:schemeClr w14:val="hlink"/>
        </w14:solidFill>
      </w14:textFill>
    </w:rPr>
  </w:style>
  <w:style w:type="character" w:styleId="747">
    <w:name w:val="footnote reference"/>
    <w:uiPriority w:val="99"/>
    <w:unhideWhenUsed/>
    <w:qFormat/>
    <w:rPr>
      <w:vertAlign w:val="superscript"/>
    </w:rPr>
  </w:style>
  <w:style w:type="paragraph" w:styleId="748" w:customStyle="1">
    <w:name w:val="Default"/>
    <w:next w:val="706"/>
    <w:uiPriority w:val="0"/>
    <w:qFormat/>
    <w:pPr>
      <w:widowControl w:val="off"/>
    </w:pPr>
    <w:rPr>
      <w:rFonts w:hint="default" w:ascii="宋体" w:hAnsi="Times New Roman" w:eastAsia="宋体" w:cs="宋体"/>
      <w:color w:val="000000"/>
      <w:sz w:val="24"/>
      <w:szCs w:val="24"/>
      <w:lang w:val="en-US" w:eastAsia="zh-CN" w:bidi="ar-SA"/>
    </w:rPr>
  </w:style>
  <w:style w:type="character" w:styleId="749" w:customStyle="1">
    <w:name w:val="Heading 1 Char"/>
    <w:basedOn w:val="716"/>
    <w:uiPriority w:val="9"/>
    <w:qFormat/>
    <w:rPr>
      <w:rFonts w:ascii="Arial" w:hAnsi="Arial" w:eastAsia="Arial" w:cs="Arial"/>
      <w:sz w:val="40"/>
      <w:szCs w:val="40"/>
    </w:rPr>
  </w:style>
  <w:style w:type="character" w:styleId="750" w:customStyle="1">
    <w:name w:val="Heading 2 Char"/>
    <w:basedOn w:val="716"/>
    <w:uiPriority w:val="9"/>
    <w:qFormat/>
    <w:rPr>
      <w:rFonts w:ascii="Arial" w:hAnsi="Arial" w:eastAsia="Arial" w:cs="Arial"/>
      <w:sz w:val="34"/>
    </w:rPr>
  </w:style>
  <w:style w:type="character" w:styleId="751" w:customStyle="1">
    <w:name w:val="Heading 3 Char"/>
    <w:basedOn w:val="716"/>
    <w:uiPriority w:val="9"/>
    <w:qFormat/>
    <w:rPr>
      <w:rFonts w:ascii="Arial" w:hAnsi="Arial" w:eastAsia="Arial" w:cs="Arial"/>
      <w:sz w:val="30"/>
      <w:szCs w:val="30"/>
    </w:rPr>
  </w:style>
  <w:style w:type="character" w:styleId="752" w:customStyle="1">
    <w:name w:val="Heading 4 Char"/>
    <w:basedOn w:val="716"/>
    <w:uiPriority w:val="9"/>
    <w:qFormat/>
    <w:rPr>
      <w:rFonts w:ascii="Arial" w:hAnsi="Arial" w:eastAsia="Arial" w:cs="Arial"/>
      <w:b/>
      <w:bCs/>
      <w:sz w:val="26"/>
      <w:szCs w:val="26"/>
    </w:rPr>
  </w:style>
  <w:style w:type="character" w:styleId="753" w:customStyle="1">
    <w:name w:val="Heading 5 Char"/>
    <w:basedOn w:val="716"/>
    <w:uiPriority w:val="9"/>
    <w:qFormat/>
    <w:rPr>
      <w:rFonts w:ascii="Arial" w:hAnsi="Arial" w:eastAsia="Arial" w:cs="Arial"/>
      <w:b/>
      <w:bCs/>
      <w:sz w:val="24"/>
      <w:szCs w:val="24"/>
    </w:rPr>
  </w:style>
  <w:style w:type="character" w:styleId="754" w:customStyle="1">
    <w:name w:val="Heading 6 Char"/>
    <w:basedOn w:val="716"/>
    <w:uiPriority w:val="9"/>
    <w:qFormat/>
    <w:rPr>
      <w:rFonts w:ascii="Arial" w:hAnsi="Arial" w:eastAsia="Arial" w:cs="Arial"/>
      <w:b/>
      <w:bCs/>
      <w:sz w:val="22"/>
      <w:szCs w:val="22"/>
    </w:rPr>
  </w:style>
  <w:style w:type="character" w:styleId="755" w:customStyle="1">
    <w:name w:val="Heading 7 Char"/>
    <w:basedOn w:val="716"/>
    <w:uiPriority w:val="9"/>
    <w:qFormat/>
    <w:rPr>
      <w:rFonts w:ascii="Arial" w:hAnsi="Arial" w:eastAsia="Arial" w:cs="Arial"/>
      <w:b/>
      <w:bCs/>
      <w:i/>
      <w:iCs/>
      <w:sz w:val="22"/>
      <w:szCs w:val="22"/>
    </w:rPr>
  </w:style>
  <w:style w:type="character" w:styleId="756" w:customStyle="1">
    <w:name w:val="Heading 8 Char"/>
    <w:basedOn w:val="716"/>
    <w:uiPriority w:val="9"/>
    <w:qFormat/>
    <w:rPr>
      <w:rFonts w:ascii="Arial" w:hAnsi="Arial" w:eastAsia="Arial" w:cs="Arial"/>
      <w:i/>
      <w:iCs/>
      <w:sz w:val="22"/>
      <w:szCs w:val="22"/>
    </w:rPr>
  </w:style>
  <w:style w:type="character" w:styleId="757" w:customStyle="1">
    <w:name w:val="Heading 9 Char"/>
    <w:basedOn w:val="716"/>
    <w:uiPriority w:val="9"/>
    <w:qFormat/>
    <w:rPr>
      <w:rFonts w:ascii="Arial" w:hAnsi="Arial" w:eastAsia="Arial" w:cs="Arial"/>
      <w:i/>
      <w:iCs/>
      <w:sz w:val="21"/>
      <w:szCs w:val="21"/>
    </w:rPr>
  </w:style>
  <w:style w:type="character" w:styleId="758" w:customStyle="1">
    <w:name w:val="Title Char"/>
    <w:basedOn w:val="716"/>
    <w:uiPriority w:val="10"/>
    <w:qFormat/>
    <w:rPr>
      <w:sz w:val="48"/>
      <w:szCs w:val="48"/>
    </w:rPr>
  </w:style>
  <w:style w:type="character" w:styleId="759" w:customStyle="1">
    <w:name w:val="Subtitle Char"/>
    <w:basedOn w:val="716"/>
    <w:uiPriority w:val="11"/>
    <w:qFormat/>
    <w:rPr>
      <w:sz w:val="24"/>
      <w:szCs w:val="24"/>
    </w:rPr>
  </w:style>
  <w:style w:type="character" w:styleId="760" w:customStyle="1">
    <w:name w:val="Quote Char"/>
    <w:uiPriority w:val="29"/>
    <w:qFormat/>
    <w:rPr>
      <w:i/>
    </w:rPr>
  </w:style>
  <w:style w:type="character" w:styleId="761" w:customStyle="1">
    <w:name w:val="Intense Quote Char"/>
    <w:uiPriority w:val="30"/>
    <w:qFormat/>
    <w:rPr>
      <w:i/>
    </w:rPr>
  </w:style>
  <w:style w:type="character" w:styleId="762" w:customStyle="1">
    <w:name w:val="Header Char"/>
    <w:basedOn w:val="716"/>
    <w:uiPriority w:val="99"/>
    <w:qFormat/>
  </w:style>
  <w:style w:type="character" w:styleId="763" w:customStyle="1">
    <w:name w:val="Caption Char"/>
    <w:uiPriority w:val="99"/>
    <w:qFormat/>
  </w:style>
  <w:style w:type="table" w:styleId="764" w:customStyle="1">
    <w:name w:val="Plain Table 1"/>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7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7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2"/>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3"/>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basedOn w:val="7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5 Dark"/>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6 Colorful"/>
    <w:basedOn w:val="7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Grid Table 7 Colorful"/>
    <w:basedOn w:val="7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List Table 1 Light"/>
    <w:basedOn w:val="7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2"/>
    <w:basedOn w:val="7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3"/>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4"/>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5 Dark"/>
    <w:basedOn w:val="7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6 Colorful"/>
    <w:basedOn w:val="7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2" w:customStyle="1">
    <w:name w:val="List Table 7 Colorful"/>
    <w:basedOn w:val="7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3" w:customStyle="1">
    <w:name w:val="Footnote Text Char"/>
    <w:uiPriority w:val="99"/>
    <w:qFormat/>
    <w:rPr>
      <w:sz w:val="18"/>
    </w:rPr>
  </w:style>
  <w:style w:type="character" w:styleId="784" w:customStyle="1">
    <w:name w:val="Endnote Text Char"/>
    <w:uiPriority w:val="99"/>
    <w:qFormat/>
    <w:rPr>
      <w:sz w:val="20"/>
    </w:rPr>
  </w:style>
  <w:style w:type="paragraph" w:styleId="785" w:customStyle="1">
    <w:name w:val="TOC Heading"/>
    <w:uiPriority w:val="39"/>
    <w:unhideWhenUsed/>
    <w:qFormat/>
    <w:rPr>
      <w:rFonts w:hint="default" w:ascii="Times New Roman" w:hAnsi="Times New Roman" w:eastAsia="宋体" w:cs="Times New Roman"/>
    </w:rPr>
  </w:style>
  <w:style w:type="character" w:styleId="786" w:customStyle="1">
    <w:name w:val="标题 1 字符"/>
    <w:link w:val="707"/>
    <w:uiPriority w:val="9"/>
    <w:qFormat/>
    <w:rPr>
      <w:rFonts w:ascii="Arial" w:hAnsi="Arial" w:eastAsia="黑体" w:cs="Arial"/>
      <w:sz w:val="44"/>
      <w:szCs w:val="40"/>
    </w:rPr>
  </w:style>
  <w:style w:type="character" w:styleId="787" w:customStyle="1">
    <w:name w:val="标题 2 字符"/>
    <w:link w:val="708"/>
    <w:uiPriority w:val="9"/>
    <w:qFormat/>
    <w:rPr>
      <w:rFonts w:ascii="Arial" w:hAnsi="Arial" w:eastAsia="Arial" w:cs="Arial"/>
      <w:sz w:val="34"/>
    </w:rPr>
  </w:style>
  <w:style w:type="character" w:styleId="788" w:customStyle="1">
    <w:name w:val="标题 3 字符"/>
    <w:link w:val="709"/>
    <w:uiPriority w:val="9"/>
    <w:qFormat/>
    <w:rPr>
      <w:rFonts w:ascii="Arial" w:hAnsi="Arial" w:eastAsia="Arial" w:cs="Arial"/>
      <w:sz w:val="30"/>
      <w:szCs w:val="30"/>
    </w:rPr>
  </w:style>
  <w:style w:type="character" w:styleId="789" w:customStyle="1">
    <w:name w:val="标题 4 字符"/>
    <w:link w:val="710"/>
    <w:uiPriority w:val="9"/>
    <w:qFormat/>
    <w:rPr>
      <w:rFonts w:ascii="Arial" w:hAnsi="Arial" w:eastAsia="Arial" w:cs="Arial"/>
      <w:b/>
      <w:bCs/>
      <w:sz w:val="26"/>
      <w:szCs w:val="26"/>
    </w:rPr>
  </w:style>
  <w:style w:type="character" w:styleId="790" w:customStyle="1">
    <w:name w:val="标题 5 字符"/>
    <w:link w:val="711"/>
    <w:uiPriority w:val="9"/>
    <w:qFormat/>
    <w:rPr>
      <w:rFonts w:ascii="Arial" w:hAnsi="Arial" w:eastAsia="Arial" w:cs="Arial"/>
      <w:b/>
      <w:bCs/>
      <w:sz w:val="24"/>
      <w:szCs w:val="24"/>
    </w:rPr>
  </w:style>
  <w:style w:type="character" w:styleId="791" w:customStyle="1">
    <w:name w:val="标题 6 字符"/>
    <w:link w:val="712"/>
    <w:uiPriority w:val="9"/>
    <w:qFormat/>
    <w:rPr>
      <w:rFonts w:ascii="Arial" w:hAnsi="Arial" w:eastAsia="Arial" w:cs="Arial"/>
      <w:b/>
      <w:bCs/>
      <w:sz w:val="22"/>
      <w:szCs w:val="22"/>
    </w:rPr>
  </w:style>
  <w:style w:type="character" w:styleId="792" w:customStyle="1">
    <w:name w:val="标题 7 字符"/>
    <w:link w:val="713"/>
    <w:uiPriority w:val="9"/>
    <w:qFormat/>
    <w:rPr>
      <w:rFonts w:ascii="Arial" w:hAnsi="Arial" w:eastAsia="Arial" w:cs="Arial"/>
      <w:b/>
      <w:bCs/>
      <w:i/>
      <w:iCs/>
      <w:sz w:val="22"/>
      <w:szCs w:val="22"/>
    </w:rPr>
  </w:style>
  <w:style w:type="character" w:styleId="793" w:customStyle="1">
    <w:name w:val="标题 8 字符"/>
    <w:link w:val="714"/>
    <w:uiPriority w:val="9"/>
    <w:qFormat/>
    <w:rPr>
      <w:rFonts w:ascii="Arial" w:hAnsi="Arial" w:eastAsia="Arial" w:cs="Arial"/>
      <w:i/>
      <w:iCs/>
      <w:sz w:val="22"/>
      <w:szCs w:val="22"/>
    </w:rPr>
  </w:style>
  <w:style w:type="character" w:styleId="794" w:customStyle="1">
    <w:name w:val="标题 9 字符"/>
    <w:link w:val="715"/>
    <w:uiPriority w:val="9"/>
    <w:qFormat/>
    <w:rPr>
      <w:rFonts w:ascii="Arial" w:hAnsi="Arial" w:eastAsia="Arial" w:cs="Arial"/>
      <w:i/>
      <w:iCs/>
      <w:sz w:val="21"/>
      <w:szCs w:val="21"/>
    </w:rPr>
  </w:style>
  <w:style w:type="paragraph" w:styleId="795">
    <w:name w:val="List Paragraph"/>
    <w:basedOn w:val="706"/>
    <w:uiPriority w:val="34"/>
    <w:qFormat/>
    <w:pPr>
      <w:contextualSpacing/>
      <w:ind w:left="720"/>
    </w:pPr>
  </w:style>
  <w:style w:type="paragraph" w:styleId="796">
    <w:name w:val="No Spacing"/>
    <w:uiPriority w:val="1"/>
    <w:qFormat/>
    <w:rPr>
      <w:rFonts w:hint="default" w:ascii="Calibri" w:hAnsi="Calibri" w:eastAsia="宋体" w:cs="Times New Roman"/>
      <w:lang w:val="en-US" w:eastAsia="zh-CN" w:bidi="ar-SA"/>
    </w:rPr>
  </w:style>
  <w:style w:type="character" w:styleId="797" w:customStyle="1">
    <w:name w:val="标题 字符"/>
    <w:link w:val="743"/>
    <w:uiPriority w:val="10"/>
    <w:qFormat/>
    <w:rPr>
      <w:sz w:val="48"/>
      <w:szCs w:val="48"/>
    </w:rPr>
  </w:style>
  <w:style w:type="character" w:styleId="798" w:customStyle="1">
    <w:name w:val="副标题 字符"/>
    <w:link w:val="736"/>
    <w:uiPriority w:val="11"/>
    <w:qFormat/>
    <w:rPr>
      <w:sz w:val="24"/>
      <w:szCs w:val="24"/>
    </w:rPr>
  </w:style>
  <w:style w:type="paragraph" w:styleId="799">
    <w:name w:val="Quote"/>
    <w:basedOn w:val="706"/>
    <w:next w:val="706"/>
    <w:link w:val="800"/>
    <w:uiPriority w:val="29"/>
    <w:qFormat/>
    <w:pPr>
      <w:ind w:left="720" w:right="720"/>
    </w:pPr>
    <w:rPr>
      <w:i/>
    </w:rPr>
  </w:style>
  <w:style w:type="character" w:styleId="800" w:customStyle="1">
    <w:name w:val="引用 字符"/>
    <w:link w:val="799"/>
    <w:uiPriority w:val="29"/>
    <w:qFormat/>
    <w:rPr>
      <w:i/>
    </w:rPr>
  </w:style>
  <w:style w:type="paragraph" w:styleId="801">
    <w:name w:val="Intense Quote"/>
    <w:basedOn w:val="706"/>
    <w:next w:val="706"/>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字符"/>
    <w:link w:val="801"/>
    <w:uiPriority w:val="30"/>
    <w:qFormat/>
    <w:rPr>
      <w:i/>
    </w:rPr>
  </w:style>
  <w:style w:type="character" w:styleId="803" w:customStyle="1">
    <w:name w:val="页眉 字符"/>
    <w:link w:val="733"/>
    <w:uiPriority w:val="99"/>
    <w:qFormat/>
  </w:style>
  <w:style w:type="character" w:styleId="804" w:customStyle="1">
    <w:name w:val="Footer Char"/>
    <w:uiPriority w:val="99"/>
    <w:qFormat/>
  </w:style>
  <w:style w:type="character" w:styleId="805" w:customStyle="1">
    <w:name w:val="页脚 字符"/>
    <w:link w:val="732"/>
    <w:uiPriority w:val="99"/>
    <w:qFormat/>
  </w:style>
  <w:style w:type="table" w:styleId="8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脚注文本 字符"/>
    <w:link w:val="737"/>
    <w:uiPriority w:val="99"/>
    <w:qFormat/>
    <w:rPr>
      <w:sz w:val="18"/>
    </w:rPr>
  </w:style>
  <w:style w:type="character" w:styleId="932" w:customStyle="1">
    <w:name w:val="尾注文本 字符"/>
    <w:link w:val="731"/>
    <w:uiPriority w:val="99"/>
    <w:qFormat/>
    <w:rPr>
      <w:sz w:val="20"/>
    </w:rPr>
  </w:style>
  <w:style w:type="paragraph" w:styleId="933" w:customStyle="1">
    <w:name w:val="TOC 标题1"/>
    <w:uiPriority w:val="39"/>
    <w:unhideWhenUsed/>
    <w:qFormat/>
    <w:rPr>
      <w:rFonts w:hint="default" w:ascii="Calibri" w:hAnsi="Calibri" w:eastAsia="宋体" w:cs="Times New Roman"/>
      <w:lang w:val="en-US" w:eastAsia="zh-CN" w:bidi="ar-SA"/>
    </w:rPr>
  </w:style>
  <w:style w:type="paragraph" w:styleId="934" w:customStyle="1">
    <w:name w:val="标题 11"/>
    <w:basedOn w:val="706"/>
    <w:next w:val="706"/>
    <w:link w:val="985"/>
    <w:uiPriority w:val="0"/>
    <w:qFormat/>
    <w:pPr>
      <w:jc w:val="center"/>
      <w:keepNext/>
      <w:outlineLvl w:val="0"/>
    </w:pPr>
    <w:rPr>
      <w:rFonts w:ascii="楷体_GB2312" w:hAnsi="楷体_GB2312" w:eastAsia="黑体"/>
      <w:sz w:val="44"/>
      <w:szCs w:val="28"/>
    </w:rPr>
  </w:style>
  <w:style w:type="paragraph" w:styleId="935" w:customStyle="1">
    <w:name w:val="标题 21"/>
    <w:basedOn w:val="706"/>
    <w:next w:val="706"/>
    <w:link w:val="98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6" w:customStyle="1">
    <w:name w:val="标题 31"/>
    <w:basedOn w:val="706"/>
    <w:next w:val="706"/>
    <w:link w:val="967"/>
    <w:uiPriority w:val="0"/>
    <w:qFormat/>
    <w:pPr>
      <w:keepLines/>
      <w:keepNext/>
      <w:spacing w:before="260" w:after="260" w:line="416" w:lineRule="auto"/>
      <w:outlineLvl w:val="2"/>
    </w:pPr>
    <w:rPr>
      <w:b/>
      <w:bCs/>
      <w:sz w:val="32"/>
      <w:szCs w:val="32"/>
    </w:rPr>
  </w:style>
  <w:style w:type="paragraph" w:styleId="937" w:customStyle="1">
    <w:name w:val="标题 41"/>
    <w:basedOn w:val="706"/>
    <w:next w:val="720"/>
    <w:link w:val="958"/>
    <w:uiPriority w:val="0"/>
    <w:qFormat/>
    <w:pPr>
      <w:keepLines/>
      <w:keepNext/>
      <w:spacing w:before="280" w:after="290" w:line="376" w:lineRule="auto"/>
      <w:outlineLvl w:val="3"/>
    </w:pPr>
    <w:rPr>
      <w:rFonts w:ascii="Arial" w:hAnsi="Arial" w:eastAsia="黑体" w:cs="Arial"/>
      <w:b/>
      <w:bCs/>
      <w:sz w:val="28"/>
      <w:szCs w:val="28"/>
    </w:rPr>
  </w:style>
  <w:style w:type="paragraph" w:styleId="938" w:customStyle="1">
    <w:name w:val="标题 51"/>
    <w:basedOn w:val="706"/>
    <w:next w:val="720"/>
    <w:link w:val="977"/>
    <w:uiPriority w:val="0"/>
    <w:qFormat/>
    <w:pPr>
      <w:keepNext/>
      <w:outlineLvl w:val="4"/>
    </w:pPr>
    <w:rPr>
      <w:rFonts w:ascii="宋体"/>
      <w:color w:val="000000"/>
      <w:sz w:val="28"/>
      <w:szCs w:val="28"/>
    </w:rPr>
  </w:style>
  <w:style w:type="paragraph" w:styleId="939" w:customStyle="1">
    <w:name w:val="标题 61"/>
    <w:basedOn w:val="706"/>
    <w:next w:val="706"/>
    <w:link w:val="956"/>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40" w:customStyle="1">
    <w:name w:val="标题 71"/>
    <w:basedOn w:val="706"/>
    <w:next w:val="706"/>
    <w:link w:val="951"/>
    <w:uiPriority w:val="0"/>
    <w:qFormat/>
    <w:pPr>
      <w:numPr>
        <w:ilvl w:val="6"/>
        <w:numId w:val="2"/>
      </w:numPr>
      <w:keepLines/>
      <w:keepNext/>
      <w:spacing w:before="240" w:after="64" w:line="320" w:lineRule="auto"/>
      <w:outlineLvl w:val="6"/>
    </w:pPr>
    <w:rPr>
      <w:b/>
      <w:bCs/>
      <w:sz w:val="24"/>
      <w:szCs w:val="24"/>
    </w:rPr>
  </w:style>
  <w:style w:type="paragraph" w:styleId="941" w:customStyle="1">
    <w:name w:val="标题 81"/>
    <w:basedOn w:val="706"/>
    <w:next w:val="706"/>
    <w:link w:val="950"/>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42" w:customStyle="1">
    <w:name w:val="标题 91"/>
    <w:basedOn w:val="706"/>
    <w:next w:val="706"/>
    <w:link w:val="987"/>
    <w:uiPriority w:val="0"/>
    <w:qFormat/>
    <w:pPr>
      <w:numPr>
        <w:ilvl w:val="8"/>
        <w:numId w:val="2"/>
      </w:numPr>
      <w:keepLines/>
      <w:keepNext/>
      <w:spacing w:before="240" w:after="64" w:line="320" w:lineRule="auto"/>
      <w:outlineLvl w:val="8"/>
    </w:pPr>
    <w:rPr>
      <w:rFonts w:ascii="Arial" w:hAnsi="Arial" w:eastAsia="黑体"/>
    </w:rPr>
  </w:style>
  <w:style w:type="character" w:styleId="943" w:customStyle="1">
    <w:name w:val="默认段落字体1"/>
    <w:uiPriority w:val="1"/>
    <w:unhideWhenUsed/>
    <w:qFormat/>
  </w:style>
  <w:style w:type="table" w:styleId="944" w:customStyle="1">
    <w:name w:val="普通表格1"/>
    <w:uiPriority w:val="99"/>
    <w:unhideWhenUsed/>
    <w:qFormat/>
    <w:tblPr>
      <w:tblCellMar>
        <w:left w:w="0" w:type="dxa"/>
        <w:top w:w="0" w:type="dxa"/>
        <w:right w:w="0" w:type="dxa"/>
        <w:bottom w:w="0" w:type="dxa"/>
      </w:tblCellMar>
    </w:tblPr>
  </w:style>
  <w:style w:type="character" w:styleId="945" w:customStyle="1">
    <w:name w:val="批注框文本 Char"/>
    <w:link w:val="946"/>
    <w:uiPriority w:val="0"/>
    <w:semiHidden/>
    <w:qFormat/>
    <w:rPr>
      <w:rFonts w:ascii="Times New Roman" w:hAnsi="Times New Roman" w:eastAsia="宋体" w:cs="Times New Roman"/>
      <w:sz w:val="18"/>
      <w:szCs w:val="18"/>
    </w:rPr>
  </w:style>
  <w:style w:type="paragraph" w:styleId="946" w:customStyle="1">
    <w:name w:val="批注框文本1"/>
    <w:basedOn w:val="706"/>
    <w:link w:val="945"/>
    <w:uiPriority w:val="0"/>
    <w:semiHidden/>
    <w:qFormat/>
    <w:rPr>
      <w:sz w:val="18"/>
      <w:szCs w:val="18"/>
    </w:rPr>
  </w:style>
  <w:style w:type="character" w:styleId="947" w:customStyle="1">
    <w:name w:val="列出段落 Char"/>
    <w:link w:val="948"/>
    <w:uiPriority w:val="0"/>
    <w:qFormat/>
    <w:rPr>
      <w:rFonts w:ascii="Calibri" w:hAnsi="Calibri"/>
      <w:sz w:val="24"/>
      <w:szCs w:val="24"/>
      <w:lang w:eastAsia="en-US" w:bidi="en-US"/>
    </w:rPr>
  </w:style>
  <w:style w:type="paragraph" w:styleId="948" w:customStyle="1">
    <w:name w:val="列出段落1"/>
    <w:basedOn w:val="706"/>
    <w:link w:val="947"/>
    <w:uiPriority w:val="0"/>
    <w:qFormat/>
    <w:pPr>
      <w:contextualSpacing/>
      <w:ind w:left="720"/>
      <w:jc w:val="left"/>
      <w:widowControl/>
    </w:pPr>
    <w:rPr>
      <w:rFonts w:ascii="Calibri" w:hAnsi="Calibri"/>
      <w:sz w:val="24"/>
      <w:szCs w:val="24"/>
      <w:lang w:eastAsia="en-US" w:bidi="en-US"/>
    </w:rPr>
  </w:style>
  <w:style w:type="character" w:styleId="949" w:customStyle="1">
    <w:name w:val="正文文本 Char"/>
    <w:link w:val="718"/>
    <w:uiPriority w:val="0"/>
    <w:qFormat/>
    <w:rPr>
      <w:rFonts w:ascii="楷体_GB2312" w:hAnsi="Arial" w:eastAsia="楷体_GB2312" w:cs="Times New Roman"/>
      <w:sz w:val="28"/>
      <w:szCs w:val="28"/>
    </w:rPr>
  </w:style>
  <w:style w:type="character" w:styleId="950" w:customStyle="1">
    <w:name w:val="标题 8 Char"/>
    <w:link w:val="941"/>
    <w:uiPriority w:val="0"/>
    <w:qFormat/>
    <w:rPr>
      <w:rFonts w:ascii="Arial" w:hAnsi="Arial" w:eastAsia="黑体" w:cs="Times New Roman"/>
      <w:sz w:val="24"/>
      <w:szCs w:val="24"/>
    </w:rPr>
  </w:style>
  <w:style w:type="character" w:styleId="951" w:customStyle="1">
    <w:name w:val="标题 7 Char"/>
    <w:link w:val="940"/>
    <w:uiPriority w:val="0"/>
    <w:qFormat/>
    <w:rPr>
      <w:rFonts w:ascii="Times New Roman" w:hAnsi="Times New Roman" w:eastAsia="宋体" w:cs="Times New Roman"/>
      <w:b/>
      <w:bCs/>
      <w:sz w:val="24"/>
      <w:szCs w:val="24"/>
    </w:rPr>
  </w:style>
  <w:style w:type="character" w:styleId="952" w:customStyle="1">
    <w:name w:val="超链接1"/>
    <w:uiPriority w:val="0"/>
    <w:qFormat/>
    <w:rPr>
      <w:color w:val="0000ff"/>
      <w:u w:val="single"/>
    </w:rPr>
  </w:style>
  <w:style w:type="character" w:styleId="953" w:customStyle="1">
    <w:name w:val="正文文本 3 Char"/>
    <w:link w:val="954"/>
    <w:uiPriority w:val="0"/>
    <w:rPr>
      <w:rFonts w:ascii="仿宋_GB2312" w:hAnsi="Arial" w:eastAsia="仿宋_GB2312" w:cs="Times New Roman"/>
      <w:sz w:val="32"/>
      <w:szCs w:val="32"/>
    </w:rPr>
  </w:style>
  <w:style w:type="paragraph" w:styleId="954" w:customStyle="1">
    <w:name w:val="正文文本 31"/>
    <w:basedOn w:val="706"/>
    <w:link w:val="953"/>
    <w:uiPriority w:val="0"/>
    <w:qFormat/>
    <w:rPr>
      <w:rFonts w:ascii="仿宋_GB2312" w:hAnsi="Arial" w:eastAsia="仿宋_GB2312"/>
      <w:sz w:val="32"/>
      <w:szCs w:val="32"/>
    </w:rPr>
  </w:style>
  <w:style w:type="character" w:styleId="955" w:customStyle="1">
    <w:name w:val="font5 Char"/>
    <w:uiPriority w:val="0"/>
    <w:rPr>
      <w:rFonts w:ascii="宋体" w:hAnsi="宋体" w:eastAsia="宋体"/>
      <w:sz w:val="28"/>
      <w:szCs w:val="28"/>
      <w:lang w:val="en-US" w:eastAsia="zh-CN" w:bidi="ar-SA"/>
    </w:rPr>
  </w:style>
  <w:style w:type="character" w:styleId="956" w:customStyle="1">
    <w:name w:val="标题 6 Char"/>
    <w:link w:val="939"/>
    <w:uiPriority w:val="0"/>
    <w:rPr>
      <w:rFonts w:ascii="Arial" w:hAnsi="Arial" w:eastAsia="黑体" w:cs="Times New Roman"/>
      <w:b/>
      <w:bCs/>
      <w:sz w:val="24"/>
      <w:szCs w:val="24"/>
    </w:rPr>
  </w:style>
  <w:style w:type="character" w:styleId="957" w:customStyle="1">
    <w:name w:val="已访问的超链接1"/>
    <w:uiPriority w:val="0"/>
    <w:qFormat/>
    <w:rPr>
      <w:color w:val="800080"/>
      <w:u w:val="single"/>
    </w:rPr>
  </w:style>
  <w:style w:type="character" w:styleId="958" w:customStyle="1">
    <w:name w:val="标题 4 Char"/>
    <w:link w:val="937"/>
    <w:uiPriority w:val="0"/>
    <w:rPr>
      <w:rFonts w:ascii="Arial" w:hAnsi="Arial" w:eastAsia="黑体" w:cs="Arial"/>
      <w:b/>
      <w:bCs/>
      <w:sz w:val="28"/>
      <w:szCs w:val="28"/>
    </w:rPr>
  </w:style>
  <w:style w:type="character" w:styleId="959" w:customStyle="1">
    <w:name w:val="二级目录 Char"/>
    <w:link w:val="960"/>
    <w:uiPriority w:val="0"/>
    <w:rPr>
      <w:b/>
      <w:sz w:val="30"/>
      <w:szCs w:val="28"/>
    </w:rPr>
  </w:style>
  <w:style w:type="paragraph" w:styleId="960" w:customStyle="1">
    <w:name w:val="二级目录"/>
    <w:next w:val="706"/>
    <w:link w:val="959"/>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61" w:customStyle="1">
    <w:name w:val="页眉 Char"/>
    <w:link w:val="962"/>
    <w:uiPriority w:val="0"/>
    <w:qFormat/>
    <w:rPr>
      <w:rFonts w:ascii="Times New Roman" w:hAnsi="Times New Roman" w:eastAsia="宋体" w:cs="Times New Roman"/>
      <w:sz w:val="18"/>
      <w:szCs w:val="18"/>
    </w:rPr>
  </w:style>
  <w:style w:type="paragraph" w:styleId="962" w:customStyle="1">
    <w:name w:val="页眉1"/>
    <w:basedOn w:val="706"/>
    <w:link w:val="961"/>
    <w:uiPriority w:val="0"/>
    <w:qFormat/>
    <w:pPr>
      <w:jc w:val="center"/>
      <w:tabs>
        <w:tab w:val="center" w:pos="4153" w:leader="none"/>
        <w:tab w:val="right" w:pos="8306" w:leader="none"/>
      </w:tabs>
      <w:pBdr>
        <w:bottom w:val="single" w:color="000000" w:sz="6" w:space="1"/>
      </w:pBdr>
    </w:pPr>
    <w:rPr>
      <w:sz w:val="18"/>
      <w:szCs w:val="18"/>
    </w:rPr>
  </w:style>
  <w:style w:type="character" w:styleId="963" w:customStyle="1">
    <w:name w:val="页码1"/>
    <w:uiPriority w:val="0"/>
    <w:qFormat/>
  </w:style>
  <w:style w:type="character" w:styleId="964" w:customStyle="1">
    <w:name w:val="正文首行缩进 2 Char"/>
    <w:link w:val="965"/>
    <w:uiPriority w:val="0"/>
    <w:rPr>
      <w:rFonts w:ascii="宋体" w:hAnsi="宋体" w:eastAsia="宋体" w:cs="Times New Roman"/>
      <w:sz w:val="32"/>
      <w:szCs w:val="20"/>
    </w:rPr>
  </w:style>
  <w:style w:type="paragraph" w:styleId="965" w:customStyle="1">
    <w:name w:val="正文首行缩进 21"/>
    <w:basedOn w:val="966"/>
    <w:link w:val="964"/>
    <w:uiPriority w:val="0"/>
    <w:qFormat/>
    <w:pPr>
      <w:ind w:firstLine="420"/>
      <w:spacing w:line="360" w:lineRule="auto"/>
    </w:pPr>
    <w:rPr>
      <w:rFonts w:ascii="宋体" w:hAnsi="宋体" w:eastAsia="宋体"/>
      <w:sz w:val="21"/>
      <w:szCs w:val="20"/>
    </w:rPr>
  </w:style>
  <w:style w:type="paragraph" w:styleId="966" w:customStyle="1">
    <w:name w:val="正文文本缩进1"/>
    <w:basedOn w:val="706"/>
    <w:link w:val="982"/>
    <w:uiPriority w:val="0"/>
    <w:qFormat/>
    <w:pPr>
      <w:ind w:firstLine="645"/>
    </w:pPr>
    <w:rPr>
      <w:rFonts w:ascii="楷体_GB2312" w:eastAsia="楷体_GB2312"/>
      <w:sz w:val="32"/>
      <w:szCs w:val="32"/>
    </w:rPr>
  </w:style>
  <w:style w:type="character" w:styleId="967" w:customStyle="1">
    <w:name w:val="标题 3 Char"/>
    <w:link w:val="936"/>
    <w:uiPriority w:val="0"/>
    <w:qFormat/>
    <w:rPr>
      <w:rFonts w:ascii="Times New Roman" w:hAnsi="Times New Roman" w:eastAsia="宋体" w:cs="Times New Roman"/>
      <w:b/>
      <w:bCs/>
      <w:sz w:val="32"/>
      <w:szCs w:val="32"/>
    </w:rPr>
  </w:style>
  <w:style w:type="character" w:styleId="968" w:customStyle="1">
    <w:name w:val="批注文字 Char"/>
    <w:link w:val="969"/>
    <w:uiPriority w:val="0"/>
    <w:semiHidden/>
    <w:rPr>
      <w:rFonts w:ascii="Times New Roman" w:hAnsi="Times New Roman" w:eastAsia="宋体" w:cs="Times New Roman"/>
      <w:szCs w:val="21"/>
    </w:rPr>
  </w:style>
  <w:style w:type="paragraph" w:styleId="969" w:customStyle="1">
    <w:name w:val="批注文字1"/>
    <w:basedOn w:val="706"/>
    <w:link w:val="968"/>
    <w:uiPriority w:val="0"/>
    <w:semiHidden/>
    <w:qFormat/>
    <w:pPr>
      <w:jc w:val="left"/>
    </w:pPr>
  </w:style>
  <w:style w:type="character" w:styleId="970" w:customStyle="1">
    <w:name w:val="正文缩进 Char"/>
    <w:link w:val="720"/>
    <w:uiPriority w:val="0"/>
    <w:rPr>
      <w:rFonts w:ascii="Times New Roman" w:hAnsi="Times New Roman" w:eastAsia="宋体" w:cs="Times New Roman"/>
      <w:szCs w:val="21"/>
    </w:rPr>
  </w:style>
  <w:style w:type="character" w:styleId="971" w:customStyle="1">
    <w:name w:val="日期 Char"/>
    <w:link w:val="972"/>
    <w:uiPriority w:val="0"/>
    <w:qFormat/>
    <w:rPr>
      <w:rFonts w:ascii="Times New Roman" w:hAnsi="Times New Roman" w:eastAsia="宋体" w:cs="Times New Roman"/>
      <w:sz w:val="24"/>
      <w:szCs w:val="24"/>
    </w:rPr>
  </w:style>
  <w:style w:type="paragraph" w:styleId="972" w:customStyle="1">
    <w:name w:val="日期1"/>
    <w:basedOn w:val="706"/>
    <w:next w:val="706"/>
    <w:link w:val="971"/>
    <w:uiPriority w:val="0"/>
    <w:qFormat/>
    <w:rPr>
      <w:sz w:val="24"/>
      <w:szCs w:val="24"/>
    </w:rPr>
  </w:style>
  <w:style w:type="character" w:styleId="973" w:customStyle="1">
    <w:name w:val="要点1"/>
    <w:uiPriority w:val="0"/>
    <w:qFormat/>
    <w:rPr>
      <w:b/>
      <w:bCs/>
    </w:rPr>
  </w:style>
  <w:style w:type="character" w:styleId="974" w:customStyle="1">
    <w:name w:val="页脚 Char"/>
    <w:link w:val="975"/>
    <w:uiPriority w:val="0"/>
    <w:qFormat/>
    <w:rPr>
      <w:rFonts w:ascii="Times New Roman" w:hAnsi="Times New Roman" w:eastAsia="宋体" w:cs="Times New Roman"/>
      <w:sz w:val="18"/>
      <w:szCs w:val="18"/>
    </w:rPr>
  </w:style>
  <w:style w:type="paragraph" w:styleId="975" w:customStyle="1">
    <w:name w:val="页脚1"/>
    <w:basedOn w:val="706"/>
    <w:link w:val="974"/>
    <w:uiPriority w:val="0"/>
    <w:qFormat/>
    <w:pPr>
      <w:jc w:val="left"/>
      <w:tabs>
        <w:tab w:val="center" w:pos="4153" w:leader="none"/>
        <w:tab w:val="right" w:pos="8306" w:leader="none"/>
      </w:tabs>
    </w:pPr>
    <w:rPr>
      <w:sz w:val="18"/>
      <w:szCs w:val="18"/>
    </w:rPr>
  </w:style>
  <w:style w:type="character" w:styleId="976" w:customStyle="1">
    <w:name w:val="批注引用1"/>
    <w:uiPriority w:val="0"/>
    <w:semiHidden/>
    <w:rPr>
      <w:sz w:val="21"/>
      <w:szCs w:val="21"/>
    </w:rPr>
  </w:style>
  <w:style w:type="character" w:styleId="977" w:customStyle="1">
    <w:name w:val="标题 5 Char"/>
    <w:link w:val="938"/>
    <w:uiPriority w:val="0"/>
    <w:qFormat/>
    <w:rPr>
      <w:rFonts w:ascii="宋体" w:hAnsi="Times New Roman" w:eastAsia="宋体" w:cs="Times New Roman"/>
      <w:color w:val="000000"/>
      <w:sz w:val="28"/>
      <w:szCs w:val="28"/>
    </w:rPr>
  </w:style>
  <w:style w:type="character" w:styleId="978" w:customStyle="1">
    <w:name w:val="文档结构图 Char"/>
    <w:link w:val="979"/>
    <w:uiPriority w:val="0"/>
    <w:semiHidden/>
    <w:rPr>
      <w:rFonts w:ascii="Times New Roman" w:hAnsi="Times New Roman" w:eastAsia="宋体" w:cs="Times New Roman"/>
      <w:szCs w:val="21"/>
      <w:shd w:val="clear" w:color="auto" w:fill="000080"/>
    </w:rPr>
  </w:style>
  <w:style w:type="paragraph" w:styleId="979" w:customStyle="1">
    <w:name w:val="文档结构图1"/>
    <w:basedOn w:val="706"/>
    <w:link w:val="978"/>
    <w:uiPriority w:val="0"/>
    <w:semiHidden/>
    <w:qFormat/>
    <w:pPr>
      <w:shd w:val="clear" w:color="auto" w:fill="000080"/>
    </w:pPr>
  </w:style>
  <w:style w:type="character" w:styleId="980" w:customStyle="1">
    <w:name w:val="正文文本缩进 3 Char"/>
    <w:link w:val="981"/>
    <w:uiPriority w:val="0"/>
    <w:qFormat/>
    <w:rPr>
      <w:rFonts w:ascii="Arial" w:hAnsi="Arial" w:eastAsia="仿宋_GB2312" w:cs="Arial"/>
      <w:color w:val="ffff00"/>
      <w:sz w:val="32"/>
      <w:szCs w:val="32"/>
    </w:rPr>
  </w:style>
  <w:style w:type="paragraph" w:styleId="981" w:customStyle="1">
    <w:name w:val="正文文本缩进 31"/>
    <w:basedOn w:val="706"/>
    <w:link w:val="980"/>
    <w:uiPriority w:val="0"/>
    <w:qFormat/>
    <w:pPr>
      <w:ind w:left="645" w:firstLine="645"/>
    </w:pPr>
    <w:rPr>
      <w:rFonts w:ascii="Arial" w:hAnsi="Arial" w:eastAsia="仿宋_GB2312" w:cs="Arial"/>
      <w:color w:val="ffff00"/>
      <w:sz w:val="32"/>
      <w:szCs w:val="32"/>
    </w:rPr>
  </w:style>
  <w:style w:type="character" w:styleId="982" w:customStyle="1">
    <w:name w:val="正文文本缩进 Char"/>
    <w:link w:val="966"/>
    <w:uiPriority w:val="0"/>
    <w:qFormat/>
    <w:rPr>
      <w:rFonts w:ascii="楷体_GB2312" w:hAnsi="Times New Roman" w:eastAsia="楷体_GB2312" w:cs="Times New Roman"/>
      <w:sz w:val="32"/>
      <w:szCs w:val="32"/>
    </w:rPr>
  </w:style>
  <w:style w:type="character" w:styleId="983" w:customStyle="1">
    <w:name w:val="纯文本 Char"/>
    <w:link w:val="984"/>
    <w:uiPriority w:val="0"/>
    <w:rPr>
      <w:rFonts w:ascii="宋体" w:hAnsi="Courier New" w:eastAsia="宋体" w:cs="Courier New"/>
      <w:szCs w:val="21"/>
    </w:rPr>
  </w:style>
  <w:style w:type="paragraph" w:styleId="984" w:customStyle="1">
    <w:name w:val="纯文本1"/>
    <w:basedOn w:val="706"/>
    <w:link w:val="983"/>
    <w:uiPriority w:val="0"/>
    <w:qFormat/>
    <w:rPr>
      <w:rFonts w:ascii="宋体" w:hAnsi="Courier New" w:cs="Courier New"/>
    </w:rPr>
  </w:style>
  <w:style w:type="character" w:styleId="985" w:customStyle="1">
    <w:name w:val="标题 1 Char"/>
    <w:link w:val="934"/>
    <w:uiPriority w:val="0"/>
    <w:rPr>
      <w:rFonts w:ascii="楷体_GB2312" w:hAnsi="楷体_GB2312" w:eastAsia="黑体" w:cs="Times New Roman"/>
      <w:sz w:val="44"/>
      <w:szCs w:val="28"/>
    </w:rPr>
  </w:style>
  <w:style w:type="character" w:styleId="986" w:customStyle="1">
    <w:name w:val="标题 2 Char"/>
    <w:link w:val="935"/>
    <w:uiPriority w:val="0"/>
    <w:qFormat/>
    <w:rPr>
      <w:rFonts w:ascii="Arial" w:hAnsi="Arial" w:eastAsia="幼圆" w:cs="Arial"/>
      <w:b/>
      <w:bCs/>
      <w:sz w:val="44"/>
      <w:szCs w:val="44"/>
    </w:rPr>
  </w:style>
  <w:style w:type="character" w:styleId="987" w:customStyle="1">
    <w:name w:val="标题 9 Char"/>
    <w:link w:val="942"/>
    <w:uiPriority w:val="0"/>
    <w:qFormat/>
    <w:rPr>
      <w:rFonts w:ascii="Arial" w:hAnsi="Arial" w:eastAsia="黑体" w:cs="Times New Roman"/>
      <w:szCs w:val="21"/>
    </w:rPr>
  </w:style>
  <w:style w:type="character" w:styleId="988" w:customStyle="1">
    <w:name w:val="正文文本缩进 2 Char"/>
    <w:link w:val="989"/>
    <w:uiPriority w:val="0"/>
    <w:rPr>
      <w:rFonts w:ascii="Arial" w:hAnsi="Arial" w:eastAsia="仿宋_GB2312" w:cs="Arial"/>
      <w:sz w:val="32"/>
      <w:szCs w:val="32"/>
    </w:rPr>
  </w:style>
  <w:style w:type="paragraph" w:styleId="989" w:customStyle="1">
    <w:name w:val="正文文本缩进 21"/>
    <w:basedOn w:val="706"/>
    <w:link w:val="988"/>
    <w:uiPriority w:val="0"/>
    <w:qFormat/>
    <w:pPr>
      <w:ind w:left="630" w:firstLine="645"/>
    </w:pPr>
    <w:rPr>
      <w:rFonts w:ascii="Arial" w:hAnsi="Arial" w:eastAsia="仿宋_GB2312" w:cs="Arial"/>
      <w:sz w:val="32"/>
      <w:szCs w:val="32"/>
    </w:rPr>
  </w:style>
  <w:style w:type="character" w:styleId="990" w:customStyle="1">
    <w:name w:val="正文文本 2 Char"/>
    <w:link w:val="991"/>
    <w:uiPriority w:val="0"/>
    <w:rPr>
      <w:rFonts w:ascii="楷体_GB2312" w:hAnsi="Times New Roman" w:eastAsia="楷体_GB2312" w:cs="Times New Roman"/>
      <w:sz w:val="28"/>
      <w:szCs w:val="28"/>
    </w:rPr>
  </w:style>
  <w:style w:type="paragraph" w:styleId="991" w:customStyle="1">
    <w:name w:val="正文文本 21"/>
    <w:basedOn w:val="706"/>
    <w:link w:val="990"/>
    <w:uiPriority w:val="0"/>
    <w:qFormat/>
    <w:pPr>
      <w:jc w:val="center"/>
      <w:widowControl/>
    </w:pPr>
    <w:rPr>
      <w:rFonts w:ascii="楷体_GB2312" w:eastAsia="楷体_GB2312"/>
      <w:sz w:val="28"/>
      <w:szCs w:val="28"/>
    </w:rPr>
  </w:style>
  <w:style w:type="character" w:styleId="992" w:customStyle="1">
    <w:name w:val="批注主题 Char"/>
    <w:link w:val="993"/>
    <w:uiPriority w:val="0"/>
    <w:semiHidden/>
    <w:qFormat/>
    <w:rPr>
      <w:rFonts w:ascii="Times New Roman" w:hAnsi="Times New Roman" w:eastAsia="宋体" w:cs="Times New Roman"/>
      <w:b/>
      <w:bCs/>
      <w:szCs w:val="21"/>
    </w:rPr>
  </w:style>
  <w:style w:type="paragraph" w:styleId="993" w:customStyle="1">
    <w:name w:val="批注主题1"/>
    <w:basedOn w:val="969"/>
    <w:next w:val="969"/>
    <w:link w:val="992"/>
    <w:uiPriority w:val="0"/>
    <w:semiHidden/>
    <w:qFormat/>
    <w:rPr>
      <w:b/>
      <w:bCs/>
    </w:rPr>
  </w:style>
  <w:style w:type="character" w:styleId="994" w:customStyle="1">
    <w:name w:val="正文首行缩进 Char"/>
    <w:link w:val="995"/>
    <w:uiPriority w:val="0"/>
    <w:rPr>
      <w:rFonts w:ascii="仿宋_GB2312" w:hAnsi="Times New Roman" w:eastAsia="仿宋_GB2312" w:cs="Times New Roman"/>
      <w:sz w:val="30"/>
      <w:szCs w:val="30"/>
    </w:rPr>
  </w:style>
  <w:style w:type="paragraph" w:styleId="995" w:customStyle="1">
    <w:name w:val="正文首行缩进1"/>
    <w:basedOn w:val="706"/>
    <w:link w:val="994"/>
    <w:uiPriority w:val="0"/>
    <w:qFormat/>
    <w:pPr>
      <w:ind w:firstLine="200"/>
      <w:spacing w:line="360" w:lineRule="auto"/>
    </w:pPr>
    <w:rPr>
      <w:rFonts w:ascii="仿宋_GB2312" w:eastAsia="仿宋_GB2312"/>
      <w:sz w:val="30"/>
      <w:szCs w:val="30"/>
    </w:rPr>
  </w:style>
  <w:style w:type="paragraph" w:styleId="996" w:customStyle="1">
    <w:name w:val="table_lines"/>
    <w:basedOn w:val="706"/>
    <w:uiPriority w:val="0"/>
    <w:pPr>
      <w:jc w:val="left"/>
      <w:widowControl/>
    </w:pPr>
    <w:rPr>
      <w:sz w:val="20"/>
      <w:szCs w:val="20"/>
      <w:lang w:val="de-DE" w:eastAsia="de-DE"/>
    </w:rPr>
  </w:style>
  <w:style w:type="paragraph" w:styleId="997" w:customStyle="1">
    <w:name w:val="Char"/>
    <w:basedOn w:val="979"/>
    <w:uiPriority w:val="0"/>
    <w:qFormat/>
    <w:rPr>
      <w:rFonts w:ascii="Tahoma" w:hAnsi="Tahoma"/>
      <w:sz w:val="24"/>
      <w:szCs w:val="24"/>
    </w:rPr>
  </w:style>
  <w:style w:type="paragraph" w:styleId="998" w:customStyle="1">
    <w:name w:val="索引 11"/>
    <w:basedOn w:val="706"/>
    <w:next w:val="706"/>
    <w:uiPriority w:val="0"/>
    <w:semiHidden/>
    <w:qFormat/>
    <w:pPr>
      <w:spacing w:line="240" w:lineRule="atLeast"/>
    </w:pPr>
    <w:rPr>
      <w:b/>
      <w:bCs/>
    </w:rPr>
  </w:style>
  <w:style w:type="paragraph" w:styleId="999" w:customStyle="1">
    <w:name w:val="目录 51"/>
    <w:basedOn w:val="706"/>
    <w:next w:val="706"/>
    <w:uiPriority w:val="0"/>
    <w:semiHidden/>
    <w:qFormat/>
    <w:pPr>
      <w:ind w:left="840"/>
      <w:jc w:val="left"/>
    </w:pPr>
  </w:style>
  <w:style w:type="paragraph" w:styleId="1000" w:customStyle="1">
    <w:name w:val="Char Char Char Char"/>
    <w:basedOn w:val="979"/>
    <w:uiPriority w:val="0"/>
    <w:qFormat/>
    <w:pPr>
      <w:spacing w:line="360" w:lineRule="auto"/>
    </w:pPr>
    <w:rPr>
      <w:rFonts w:ascii="Tahoma" w:hAnsi="Tahoma"/>
      <w:sz w:val="24"/>
      <w:szCs w:val="24"/>
    </w:rPr>
  </w:style>
  <w:style w:type="paragraph" w:styleId="1001" w:customStyle="1">
    <w:name w:val="列出段落2"/>
    <w:basedOn w:val="706"/>
    <w:uiPriority w:val="0"/>
    <w:qFormat/>
    <w:pPr>
      <w:contextualSpacing/>
      <w:ind w:left="720"/>
      <w:jc w:val="left"/>
      <w:widowControl/>
    </w:pPr>
    <w:rPr>
      <w:rFonts w:ascii="Calibri" w:hAnsi="Calibri"/>
      <w:sz w:val="24"/>
      <w:szCs w:val="24"/>
      <w:lang w:eastAsia="en-US" w:bidi="en-US"/>
    </w:rPr>
  </w:style>
  <w:style w:type="paragraph" w:styleId="1002" w:customStyle="1">
    <w:name w:val="普通(网站)1"/>
    <w:basedOn w:val="706"/>
    <w:uiPriority w:val="99"/>
    <w:qFormat/>
    <w:pPr>
      <w:jc w:val="left"/>
      <w:spacing w:before="100" w:beforeAutospacing="1" w:after="100" w:afterAutospacing="1"/>
      <w:widowControl/>
    </w:pPr>
    <w:rPr>
      <w:rFonts w:ascii="宋体" w:hAnsi="宋体" w:cs="宋体"/>
      <w:sz w:val="24"/>
      <w:szCs w:val="24"/>
    </w:rPr>
  </w:style>
  <w:style w:type="paragraph" w:styleId="1003"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4" w:customStyle="1">
    <w:name w:val="普通 (Web)"/>
    <w:basedOn w:val="706"/>
    <w:uiPriority w:val="0"/>
    <w:qFormat/>
    <w:pPr>
      <w:jc w:val="left"/>
      <w:spacing w:before="100" w:beforeAutospacing="1" w:after="100" w:afterAutospacing="1"/>
      <w:widowControl/>
    </w:pPr>
    <w:rPr>
      <w:rFonts w:ascii="宋体" w:hAnsi="宋体"/>
      <w:sz w:val="24"/>
      <w:szCs w:val="24"/>
    </w:rPr>
  </w:style>
  <w:style w:type="paragraph" w:styleId="1005" w:customStyle="1">
    <w:name w:val="xl27"/>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6" w:customStyle="1">
    <w:name w:val="目录 81"/>
    <w:basedOn w:val="706"/>
    <w:next w:val="706"/>
    <w:uiPriority w:val="0"/>
    <w:semiHidden/>
    <w:qFormat/>
    <w:pPr>
      <w:ind w:left="1470"/>
      <w:jc w:val="left"/>
    </w:pPr>
  </w:style>
  <w:style w:type="paragraph" w:styleId="1007" w:customStyle="1">
    <w:name w:val="目录 91"/>
    <w:basedOn w:val="706"/>
    <w:next w:val="706"/>
    <w:uiPriority w:val="0"/>
    <w:semiHidden/>
    <w:qFormat/>
    <w:pPr>
      <w:ind w:left="1680"/>
      <w:jc w:val="left"/>
    </w:pPr>
  </w:style>
  <w:style w:type="paragraph" w:styleId="1008" w:customStyle="1">
    <w:name w:val="Char1"/>
    <w:basedOn w:val="706"/>
    <w:uiPriority w:val="0"/>
    <w:qFormat/>
    <w:pPr>
      <w:ind w:firstLine="200"/>
      <w:tabs>
        <w:tab w:val="left" w:pos="360" w:leader="none"/>
      </w:tabs>
    </w:pPr>
    <w:rPr>
      <w:sz w:val="28"/>
      <w:szCs w:val="30"/>
    </w:rPr>
  </w:style>
  <w:style w:type="paragraph" w:styleId="1009" w:customStyle="1">
    <w:name w:val="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1010" w:customStyle="1">
    <w:name w:val="font7"/>
    <w:basedOn w:val="706"/>
    <w:uiPriority w:val="0"/>
    <w:qFormat/>
    <w:pPr>
      <w:jc w:val="left"/>
      <w:spacing w:before="100" w:beforeAutospacing="1" w:after="100" w:afterAutospacing="1"/>
      <w:widowControl/>
    </w:pPr>
    <w:rPr>
      <w:rFonts w:hint="eastAsia" w:ascii="宋体" w:hAnsi="宋体"/>
      <w:sz w:val="18"/>
      <w:szCs w:val="18"/>
    </w:rPr>
  </w:style>
  <w:style w:type="paragraph" w:styleId="1011" w:customStyle="1">
    <w:name w:val="Char Char Char Char Char Char Char Char Char Char"/>
    <w:basedOn w:val="706"/>
    <w:uiPriority w:val="0"/>
    <w:qFormat/>
    <w:pPr>
      <w:spacing w:line="360" w:lineRule="auto"/>
    </w:pPr>
    <w:rPr>
      <w:sz w:val="24"/>
      <w:szCs w:val="20"/>
    </w:rPr>
  </w:style>
  <w:style w:type="paragraph" w:styleId="1012" w:customStyle="1">
    <w:name w:val="xl2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3" w:customStyle="1">
    <w:name w:val="table_1stline"/>
    <w:basedOn w:val="706"/>
    <w:uiPriority w:val="0"/>
    <w:qFormat/>
    <w:pPr>
      <w:jc w:val="left"/>
      <w:spacing w:before="120"/>
      <w:widowControl/>
    </w:pPr>
    <w:rPr>
      <w:bCs/>
      <w:sz w:val="20"/>
      <w:szCs w:val="20"/>
      <w:lang w:val="de-DE" w:eastAsia="de-DE"/>
    </w:rPr>
  </w:style>
  <w:style w:type="paragraph" w:styleId="1014"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5" w:customStyle="1">
    <w:name w:val="目录 31"/>
    <w:basedOn w:val="706"/>
    <w:next w:val="706"/>
    <w:uiPriority w:val="0"/>
    <w:semiHidden/>
    <w:qFormat/>
    <w:pPr>
      <w:ind w:left="420"/>
      <w:jc w:val="left"/>
    </w:pPr>
    <w:rPr>
      <w:i/>
      <w:iCs/>
      <w:szCs w:val="24"/>
    </w:rPr>
  </w:style>
  <w:style w:type="paragraph" w:styleId="1016" w:customStyle="1">
    <w:name w:val="目录 61"/>
    <w:basedOn w:val="706"/>
    <w:next w:val="706"/>
    <w:uiPriority w:val="0"/>
    <w:semiHidden/>
    <w:qFormat/>
    <w:pPr>
      <w:ind w:left="1050"/>
      <w:jc w:val="left"/>
    </w:pPr>
  </w:style>
  <w:style w:type="paragraph" w:styleId="1017" w:customStyle="1">
    <w:name w:val="目录 71"/>
    <w:basedOn w:val="706"/>
    <w:next w:val="706"/>
    <w:uiPriority w:val="0"/>
    <w:semiHidden/>
    <w:qFormat/>
    <w:pPr>
      <w:ind w:left="1260"/>
      <w:jc w:val="left"/>
    </w:pPr>
  </w:style>
  <w:style w:type="paragraph" w:styleId="1018"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19" w:customStyle="1">
    <w:name w:val="标题3"/>
    <w:basedOn w:val="706"/>
    <w:next w:val="706"/>
    <w:uiPriority w:val="0"/>
    <w:qFormat/>
    <w:pPr>
      <w:ind w:firstLine="624"/>
      <w:spacing w:line="590" w:lineRule="atLeast"/>
    </w:pPr>
    <w:rPr>
      <w:rFonts w:ascii="方正黑体_GBK" w:eastAsia="方正黑体_GBK"/>
      <w:sz w:val="32"/>
      <w:szCs w:val="32"/>
    </w:rPr>
  </w:style>
  <w:style w:type="paragraph" w:styleId="1020" w:customStyle="1">
    <w:name w:val="列表 31"/>
    <w:basedOn w:val="706"/>
    <w:uiPriority w:val="0"/>
    <w:qFormat/>
    <w:pPr>
      <w:ind w:left="100" w:hanging="200"/>
    </w:pPr>
  </w:style>
  <w:style w:type="paragraph" w:styleId="1021" w:customStyle="1">
    <w:name w:val="目录 11"/>
    <w:basedOn w:val="706"/>
    <w:next w:val="706"/>
    <w:uiPriority w:val="0"/>
    <w:semiHidden/>
    <w:qFormat/>
    <w:pPr>
      <w:jc w:val="left"/>
      <w:spacing w:before="120" w:after="120" w:line="400" w:lineRule="exact"/>
      <w:tabs>
        <w:tab w:val="right" w:pos="8720" w:leader="dot"/>
      </w:tabs>
    </w:pPr>
    <w:rPr>
      <w:rFonts w:ascii="宋体" w:hAnsi="宋体"/>
      <w:caps/>
      <w:sz w:val="24"/>
      <w:szCs w:val="24"/>
    </w:rPr>
  </w:style>
  <w:style w:type="paragraph" w:styleId="1022" w:customStyle="1">
    <w:name w:val="xl30"/>
    <w:basedOn w:val="706"/>
    <w:uiPriority w:val="0"/>
    <w:qFormat/>
    <w:pPr>
      <w:jc w:val="center"/>
      <w:spacing w:before="100" w:beforeAutospacing="1" w:after="100" w:afterAutospacing="1"/>
      <w:widowControl/>
    </w:pPr>
    <w:rPr>
      <w:rFonts w:ascii="宋体" w:hAnsi="宋体"/>
      <w:b/>
      <w:bCs/>
      <w:sz w:val="36"/>
      <w:szCs w:val="36"/>
    </w:rPr>
  </w:style>
  <w:style w:type="paragraph" w:styleId="1023" w:customStyle="1">
    <w:name w:val="目录 41"/>
    <w:basedOn w:val="706"/>
    <w:next w:val="706"/>
    <w:uiPriority w:val="0"/>
    <w:semiHidden/>
    <w:qFormat/>
    <w:pPr>
      <w:ind w:left="630"/>
      <w:jc w:val="left"/>
    </w:pPr>
  </w:style>
  <w:style w:type="paragraph" w:styleId="1024" w:customStyle="1">
    <w:name w:val="4"/>
    <w:basedOn w:val="706"/>
    <w:next w:val="981"/>
    <w:uiPriority w:val="0"/>
    <w:qFormat/>
    <w:pPr>
      <w:ind w:firstLine="420"/>
      <w:spacing w:line="360" w:lineRule="auto"/>
    </w:pPr>
    <w:rPr>
      <w:color w:val="ff0000"/>
      <w:sz w:val="24"/>
      <w:szCs w:val="24"/>
    </w:rPr>
  </w:style>
  <w:style w:type="paragraph" w:styleId="1025" w:customStyle="1">
    <w:name w:val="列表 21"/>
    <w:basedOn w:val="706"/>
    <w:uiPriority w:val="0"/>
    <w:qFormat/>
    <w:pPr>
      <w:ind w:left="100" w:hanging="200"/>
    </w:pPr>
  </w:style>
  <w:style w:type="paragraph" w:styleId="1026" w:customStyle="1">
    <w:name w:val="目录 21"/>
    <w:basedOn w:val="706"/>
    <w:next w:val="706"/>
    <w:uiPriority w:val="0"/>
    <w:semiHidden/>
    <w:qFormat/>
    <w:pPr>
      <w:ind w:left="210"/>
      <w:jc w:val="left"/>
    </w:pPr>
    <w:rPr>
      <w:smallCaps/>
      <w:szCs w:val="24"/>
    </w:rPr>
  </w:style>
  <w:style w:type="paragraph" w:styleId="1027" w:customStyle="1">
    <w:name w:val="Char Char Char Char1"/>
    <w:basedOn w:val="979"/>
    <w:uiPriority w:val="0"/>
    <w:qFormat/>
    <w:pPr>
      <w:spacing w:line="360" w:lineRule="auto"/>
    </w:pPr>
    <w:rPr>
      <w:rFonts w:ascii="Tahoma" w:hAnsi="Tahoma"/>
      <w:sz w:val="24"/>
      <w:szCs w:val="24"/>
    </w:rPr>
  </w:style>
  <w:style w:type="paragraph" w:styleId="1028"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1029" w:customStyle="1">
    <w:name w:val="Body Text(ch)"/>
    <w:basedOn w:val="706"/>
    <w:next w:val="718"/>
    <w:uiPriority w:val="0"/>
    <w:qFormat/>
    <w:pPr>
      <w:spacing w:after="120"/>
    </w:pPr>
    <w:rPr>
      <w:rFonts w:ascii="宋体" w:hAnsi="Arial"/>
      <w:bCs/>
      <w:iCs/>
      <w:szCs w:val="24"/>
    </w:rPr>
  </w:style>
  <w:style w:type="paragraph" w:styleId="1030" w:customStyle="1">
    <w:name w:val="列表1"/>
    <w:basedOn w:val="706"/>
    <w:uiPriority w:val="0"/>
    <w:qFormat/>
    <w:pPr>
      <w:ind w:left="200" w:hanging="200"/>
    </w:pPr>
  </w:style>
  <w:style w:type="paragraph" w:styleId="1031" w:customStyle="1">
    <w:name w:val="样式1"/>
    <w:basedOn w:val="706"/>
    <w:uiPriority w:val="0"/>
    <w:qFormat/>
    <w:pPr>
      <w:numPr>
        <w:ilvl w:val="0"/>
        <w:numId w:val="4"/>
      </w:numPr>
    </w:pPr>
    <w:rPr>
      <w:rFonts w:ascii="宋体" w:hAnsi="宋体"/>
    </w:rPr>
  </w:style>
  <w:style w:type="paragraph" w:styleId="1032" w:customStyle="1">
    <w:name w:val="xl29"/>
    <w:basedOn w:val="7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3" w:customStyle="1">
    <w:name w:val="font5"/>
    <w:basedOn w:val="706"/>
    <w:uiPriority w:val="0"/>
    <w:qFormat/>
    <w:pPr>
      <w:jc w:val="left"/>
      <w:spacing w:before="100" w:beforeAutospacing="1" w:after="100" w:afterAutospacing="1"/>
      <w:widowControl/>
    </w:pPr>
    <w:rPr>
      <w:rFonts w:hint="eastAsia" w:ascii="宋体" w:hAnsi="宋体"/>
      <w:sz w:val="28"/>
      <w:szCs w:val="28"/>
    </w:rPr>
  </w:style>
  <w:style w:type="paragraph" w:styleId="1034" w:customStyle="1">
    <w:name w:val="图表目录1"/>
    <w:basedOn w:val="706"/>
    <w:next w:val="706"/>
    <w:uiPriority w:val="0"/>
    <w:semiHidden/>
    <w:qFormat/>
    <w:pPr>
      <w:ind w:left="840" w:hanging="420"/>
    </w:pPr>
  </w:style>
  <w:style w:type="paragraph" w:styleId="1035" w:customStyle="1">
    <w:name w:val="图标"/>
    <w:basedOn w:val="706"/>
    <w:next w:val="7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6" w:customStyle="1">
    <w:name w:val="font6"/>
    <w:basedOn w:val="706"/>
    <w:uiPriority w:val="0"/>
    <w:qFormat/>
    <w:pPr>
      <w:jc w:val="left"/>
      <w:spacing w:before="100" w:beforeAutospacing="1" w:after="100" w:afterAutospacing="1"/>
      <w:widowControl/>
    </w:pPr>
    <w:rPr>
      <w:rFonts w:hint="eastAsia" w:ascii="宋体" w:hAnsi="宋体"/>
      <w:sz w:val="28"/>
      <w:szCs w:val="28"/>
      <w:u w:val="single"/>
    </w:rPr>
  </w:style>
  <w:style w:type="paragraph" w:styleId="1037" w:customStyle="1">
    <w:name w:val="xl25"/>
    <w:basedOn w:val="7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8" w:customStyle="1">
    <w:name w:val="xl24"/>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9" w:customStyle="1">
    <w:name w:val="Char Char Char Char Char Char Char Char1"/>
    <w:basedOn w:val="706"/>
    <w:uiPriority w:val="0"/>
    <w:qFormat/>
    <w:pPr>
      <w:jc w:val="left"/>
      <w:spacing w:after="160" w:line="240" w:lineRule="exact"/>
      <w:widowControl/>
    </w:pPr>
    <w:rPr>
      <w:rFonts w:ascii="Verdana" w:hAnsi="Verdana"/>
      <w:sz w:val="20"/>
      <w:szCs w:val="20"/>
      <w:lang w:eastAsia="en-US"/>
    </w:rPr>
  </w:style>
  <w:style w:type="paragraph" w:styleId="1040" w:customStyle="1">
    <w:name w:val="标题1"/>
    <w:basedOn w:val="706"/>
    <w:next w:val="70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1"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042" w:customStyle="1">
    <w:name w:val="网格型1"/>
    <w:basedOn w:val="944"/>
    <w:uiPriority w:val="0"/>
    <w:qFormat/>
    <w:pPr>
      <w:jc w:val="both"/>
      <w:widowControl w:val="off"/>
    </w:pPr>
    <w:rPr>
      <w:rFonts w:ascii="Times New Roman" w:hAnsi="Times New Roman"/>
    </w:rPr>
    <w:tblPr/>
  </w:style>
  <w:style w:type="character" w:styleId="1043" w:customStyle="1">
    <w:name w:val="正文文本 Char1"/>
    <w:basedOn w:val="716"/>
    <w:uiPriority w:val="99"/>
    <w:semiHidden/>
    <w:qFormat/>
    <w:rPr>
      <w:rFonts w:ascii="Times New Roman" w:hAnsi="Times New Roman"/>
      <w:sz w:val="21"/>
      <w:szCs w:val="21"/>
    </w:rPr>
  </w:style>
  <w:style w:type="paragraph" w:styleId="1044" w:customStyle="1">
    <w:name w:val="正文2"/>
    <w:basedOn w:val="706"/>
    <w:uiPriority w:val="0"/>
    <w:qFormat/>
    <w:pPr>
      <w:spacing w:line="360" w:lineRule="auto"/>
      <w:tabs>
        <w:tab w:val="left" w:pos="6480" w:leader="none"/>
      </w:tabs>
    </w:pPr>
    <w:rPr>
      <w:sz w:val="24"/>
      <w:szCs w:val="24"/>
    </w:rPr>
  </w:style>
  <w:style w:type="paragraph" w:styleId="1045" w:customStyle="1">
    <w:name w:val="1 正文"/>
    <w:basedOn w:val="706"/>
    <w:uiPriority w:val="0"/>
    <w:qFormat/>
    <w:pPr>
      <w:ind w:firstLine="420"/>
      <w:spacing w:line="360" w:lineRule="auto"/>
    </w:pPr>
    <w:rPr>
      <w:rFonts w:ascii="宋体" w:hAnsi="宋体"/>
      <w:sz w:val="24"/>
      <w:szCs w:val="24"/>
    </w:rPr>
  </w:style>
  <w:style w:type="paragraph" w:styleId="1046" w:customStyle="1">
    <w:name w:val="A正文"/>
    <w:basedOn w:val="706"/>
    <w:uiPriority w:val="0"/>
    <w:qFormat/>
    <w:pPr>
      <w:ind w:firstLine="200"/>
      <w:spacing w:line="360" w:lineRule="auto"/>
    </w:pPr>
    <w:rPr>
      <w:rFonts w:cs="宋体"/>
      <w:sz w:val="24"/>
      <w:szCs w:val="28"/>
      <w:lang w:eastAsia="zh-Hans"/>
    </w:rPr>
  </w:style>
  <w:style w:type="paragraph" w:styleId="1047" w:customStyle="1">
    <w:name w:val="列出段落11"/>
    <w:uiPriority w:val="34"/>
    <w:qFormat/>
    <w:pPr>
      <w:ind w:firstLine="420"/>
      <w:jc w:val="both"/>
      <w:widowControl w:val="off"/>
    </w:pPr>
    <w:rPr>
      <w:rFonts w:hint="default" w:ascii="宋体" w:hAnsi="宋体" w:eastAsia="宋体" w:cs="Times New Roman"/>
      <w:sz w:val="24"/>
      <w:szCs w:val="24"/>
      <w:lang w:val="en-US" w:eastAsia="zh-CN" w:bidi="ar-SA"/>
    </w:rPr>
  </w:style>
  <w:style w:type="paragraph" w:styleId="1048"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49"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050" w:customStyle="1">
    <w:name w:val="UserStyle_11"/>
    <w:uiPriority w:val="0"/>
    <w:qFormat/>
    <w:rPr>
      <w:sz w:val="21"/>
      <w:szCs w:val="21"/>
      <w:lang w:val="en-US" w:eastAsia="zh-CN" w:bidi="ar-SA"/>
    </w:rPr>
  </w:style>
  <w:style w:type="character" w:styleId="1051" w:customStyle="1">
    <w:name w:val="NormalCharacter"/>
    <w:uiPriority w:val="0"/>
    <w:qFormat/>
  </w:style>
  <w:style w:type="numbering" w:styleId="163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姜涛</cp:lastModifiedBy>
  <cp:revision>93</cp:revision>
  <dcterms:created xsi:type="dcterms:W3CDTF">2023-12-06T02:59:00Z</dcterms:created>
  <dcterms:modified xsi:type="dcterms:W3CDTF">2026-08-26T01:46:57Z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EBA0DBB2971844FC8C0D203CB8208F18_12</vt:lpwstr>
  </property>
  <property fmtid="{D5CDD505-2E9C-101B-9397-08002B2CF9AE}" pid="4" name="KSOTemplateDocerSaveRecord">
    <vt:lpwstr>eyJoZGlkIjoiZmQ2MDMzZmM1ZjRlYWVlMzZjMzA5NDU5ZWU3NmUwMjYiLCJ1c2VySWQiOiIxMzU0NDA5MjkzIn0=</vt:lpwstr>
  </property>
</Properties>
</file>