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olor w:val="auto"/>
          <w:sz w:val="36"/>
          <w:highlight w:val="none"/>
        </w:rPr>
      </w:pPr>
      <w:r>
        <w:rPr>
          <w:rFonts w:hint="eastAsia" w:ascii="宋体" w:hAnsi="宋体"/>
          <w:color w:val="auto"/>
          <w:sz w:val="36"/>
          <w:highlight w:val="none"/>
        </w:rPr>
      </w:r>
      <w:r/>
    </w:p>
    <w:p>
      <w:pPr>
        <w:jc w:val="right"/>
        <w:rPr>
          <w:rFonts w:hint="default" w:ascii="宋体" w:hAnsi="宋体" w:eastAsia="宋体"/>
          <w:color w:val="auto"/>
          <w:sz w:val="36"/>
          <w:highlight w:val="none"/>
          <w:lang w:val="en-US" w:eastAsia="zh-CN"/>
        </w:rPr>
      </w:pPr>
      <w:r>
        <w:rPr>
          <w:rFonts w:hint="eastAsia" w:ascii="宋体" w:hAnsi="宋体"/>
          <w:color w:val="auto"/>
          <w:sz w:val="36"/>
          <w:highlight w:val="none"/>
        </w:rPr>
        <w:t xml:space="preserve">编号：JSZC-321012-XGZX-G2026-00</w:t>
      </w:r>
      <w:r>
        <w:rPr>
          <w:rFonts w:hint="eastAsia" w:ascii="宋体" w:hAnsi="宋体"/>
          <w:color w:val="auto"/>
          <w:sz w:val="36"/>
          <w:highlight w:val="none"/>
          <w:lang w:val="en-US" w:eastAsia="zh-CN"/>
        </w:rPr>
        <w:t xml:space="preserve">03</w:t>
      </w:r>
      <w:r/>
    </w:p>
    <w:p>
      <w:pPr>
        <w:jc w:val="right"/>
        <w:rPr>
          <w:rFonts w:hint="eastAsia" w:ascii="宋体" w:hAnsi="宋体"/>
          <w:color w:val="auto"/>
          <w:sz w:val="36"/>
          <w:highlight w:val="none"/>
        </w:rPr>
      </w:pPr>
      <w:r>
        <w:rPr>
          <w:rFonts w:hint="eastAsia" w:ascii="宋体" w:hAnsi="宋体"/>
          <w:color w:val="auto"/>
          <w:sz w:val="36"/>
          <w:highlight w:val="none"/>
        </w:rPr>
      </w:r>
      <w:r/>
    </w:p>
    <w:p>
      <w:pPr>
        <w:jc w:val="center"/>
        <w:rPr>
          <w:rFonts w:hint="eastAsia" w:ascii="宋体" w:hAnsi="宋体"/>
          <w:color w:val="auto"/>
          <w:sz w:val="36"/>
          <w:highlight w:val="none"/>
        </w:rPr>
      </w:pPr>
      <w:r>
        <w:rPr>
          <w:rFonts w:hint="eastAsia" w:ascii="宋体" w:hAnsi="宋体"/>
          <w:color w:val="auto"/>
          <w:sz w:val="36"/>
          <w:highlight w:val="none"/>
        </w:rPr>
        <w:t xml:space="preserve">扬州市公安局江都分局2026年度DNA实验室试剂</w:t>
      </w:r>
      <w:r/>
    </w:p>
    <w:p>
      <w:pPr>
        <w:jc w:val="center"/>
        <w:rPr>
          <w:rFonts w:hint="eastAsia" w:ascii="宋体" w:hAnsi="宋体"/>
          <w:color w:val="auto"/>
          <w:sz w:val="36"/>
          <w:highlight w:val="none"/>
        </w:rPr>
      </w:pPr>
      <w:r>
        <w:rPr>
          <w:rFonts w:hint="eastAsia" w:ascii="宋体" w:hAnsi="宋体"/>
          <w:color w:val="auto"/>
          <w:sz w:val="36"/>
          <w:highlight w:val="none"/>
        </w:rPr>
        <w:t xml:space="preserve">耗材和服务采购项目公开招标文件</w:t>
      </w:r>
      <w:r/>
    </w:p>
    <w:p>
      <w:pPr>
        <w:jc w:val="center"/>
        <w:rPr>
          <w:rFonts w:hint="eastAsia" w:ascii="宋体" w:hAnsi="宋体"/>
          <w:color w:val="auto"/>
          <w:sz w:val="36"/>
          <w:highlight w:val="none"/>
        </w:rPr>
      </w:pPr>
      <w:r>
        <w:rPr>
          <w:rFonts w:hint="eastAsia" w:ascii="宋体" w:hAnsi="宋体"/>
          <w:color w:val="auto"/>
          <w:sz w:val="36"/>
          <w:highlight w:val="none"/>
        </w:rPr>
      </w:r>
      <w:r/>
    </w:p>
    <w:p>
      <w:pPr>
        <w:pStyle w:val="804"/>
        <w:rPr>
          <w:color w:val="auto"/>
          <w:highlight w:val="none"/>
        </w:rPr>
      </w:pPr>
      <w:r>
        <w:rPr>
          <w:color w:val="auto"/>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91.5pt;height:288.0pt;mso-wrap-distance-left:0.0pt;mso-wrap-distance-top:0.0pt;mso-wrap-distance-right:0.0pt;mso-wrap-distance-bottom:0.0pt;" filled="f" stroked="f">
            <v:path textboxrect="0,0,0,0"/>
            <v:imagedata r:id="rId18" o:title=""/>
          </v:shape>
          <o:OLEObject DrawAspect="Content" r:id="rId19" ObjectID="_1525042" ProgID="StaticMetafile" ShapeID="_x0000_i2" Type="Embed"/>
        </w:object>
      </w:r>
      <w:r/>
    </w:p>
    <w:p>
      <w:pPr>
        <w:rPr>
          <w:color w:val="auto"/>
          <w:highlight w:val="none"/>
        </w:rPr>
      </w:pPr>
      <w:r>
        <w:rPr>
          <w:color w:val="auto"/>
          <w:highlight w:val="none"/>
        </w:rPr>
      </w:r>
      <w:r/>
    </w:p>
    <w:p>
      <w:pPr>
        <w:pStyle w:val="804"/>
        <w:rPr>
          <w:color w:val="auto"/>
          <w:highlight w:val="none"/>
        </w:rPr>
      </w:pPr>
      <w:r>
        <w:rPr>
          <w:color w:val="auto"/>
          <w:highlight w:val="none"/>
        </w:rPr>
      </w:r>
      <w:r/>
    </w:p>
    <w:p>
      <w:pPr>
        <w:jc w:val="center"/>
        <w:rPr>
          <w:rFonts w:hint="eastAsia" w:ascii="宋体" w:hAnsi="宋体"/>
          <w:color w:val="auto"/>
          <w:sz w:val="36"/>
          <w:highlight w:val="none"/>
        </w:rPr>
      </w:pPr>
      <w:r>
        <w:rPr>
          <w:rFonts w:hint="eastAsia" w:ascii="宋体" w:hAnsi="宋体"/>
          <w:color w:val="auto"/>
          <w:sz w:val="36"/>
          <w:highlight w:val="none"/>
        </w:rPr>
        <w:t xml:space="preserve">扬州星光建设咨询有限公司</w:t>
      </w:r>
      <w:r/>
    </w:p>
    <w:p>
      <w:pPr>
        <w:jc w:val="center"/>
        <w:rPr>
          <w:color w:val="auto"/>
          <w:highlight w:val="none"/>
        </w:rPr>
      </w:pPr>
      <w:r>
        <w:rPr>
          <w:rFonts w:hint="eastAsia" w:ascii="宋体" w:hAnsi="宋体"/>
          <w:color w:val="auto"/>
          <w:sz w:val="36"/>
          <w:highlight w:val="none"/>
        </w:rPr>
        <w:t xml:space="preserve">2026年9月</w:t>
      </w:r>
      <w:r>
        <w:rPr>
          <w:color w:val="auto"/>
          <w:highlight w:val="none"/>
        </w:rPr>
        <w:br w:type="page" w:clear="all"/>
      </w:r>
      <w:r/>
    </w:p>
    <w:p>
      <w:pPr>
        <w:jc w:val="center"/>
        <w:rPr>
          <w:rFonts w:hint="eastAsia" w:ascii="宋体" w:hAnsi="宋体"/>
          <w:color w:val="auto"/>
          <w:sz w:val="32"/>
          <w:highlight w:val="none"/>
        </w:rPr>
      </w:pPr>
      <w:r>
        <w:rPr>
          <w:rFonts w:hint="eastAsia" w:ascii="宋体" w:hAnsi="宋体"/>
          <w:color w:val="auto"/>
          <w:sz w:val="32"/>
          <w:highlight w:val="none"/>
        </w:rPr>
        <w:t xml:space="preserve">目 录</w:t>
      </w:r>
      <w:r/>
    </w:p>
    <w:p>
      <w:pPr>
        <w:pStyle w:val="827"/>
        <w:tabs>
          <w:tab w:val="right" w:pos="8296" w:leader="dot"/>
        </w:tabs>
        <w:rPr>
          <w:color w:val="auto"/>
          <w:highlight w:val="none"/>
        </w:rPr>
      </w:pPr>
      <w:r>
        <w:rPr>
          <w:rFonts w:hint="eastAsia" w:ascii="宋体" w:hAnsi="宋体"/>
          <w:color w:val="auto"/>
          <w:sz w:val="28"/>
          <w:highlight w:val="none"/>
        </w:rPr>
        <w:fldChar w:fldCharType="begin"/>
      </w:r>
      <w:r>
        <w:rPr>
          <w:rFonts w:hint="eastAsia" w:ascii="宋体" w:hAnsi="宋体"/>
          <w:color w:val="auto"/>
          <w:sz w:val="28"/>
          <w:highlight w:val="none"/>
        </w:rPr>
        <w:instrText xml:space="preserve"> TOC \o "1-3" \f </w:instrText>
      </w:r>
      <w:r>
        <w:rPr>
          <w:rFonts w:hint="eastAsia" w:ascii="宋体" w:hAnsi="宋体"/>
          <w:color w:val="auto"/>
          <w:sz w:val="28"/>
          <w:highlight w:val="none"/>
        </w:rPr>
        <w:fldChar w:fldCharType="separate"/>
      </w:r>
      <w:r>
        <w:rPr>
          <w:rFonts w:hint="eastAsia" w:ascii="宋体" w:hAnsi="宋体"/>
          <w:color w:val="auto"/>
          <w:highlight w:val="none"/>
        </w:rPr>
        <w:t xml:space="preserve">第一章 招标公告</w:t>
      </w:r>
      <w:r>
        <w:rPr>
          <w:rFonts w:hint="eastAsia"/>
          <w:color w:val="auto"/>
          <w:highlight w:val="none"/>
        </w:rPr>
        <w:tab/>
      </w:r>
      <w:r>
        <w:rPr>
          <w:rFonts w:hint="eastAsia"/>
          <w:color w:val="auto"/>
          <w:highlight w:val="none"/>
        </w:rPr>
        <w:t xml:space="preserve">3</w:t>
      </w:r>
      <w:r/>
    </w:p>
    <w:p>
      <w:pPr>
        <w:pStyle w:val="827"/>
        <w:tabs>
          <w:tab w:val="right" w:pos="8296" w:leader="dot"/>
        </w:tabs>
        <w:rPr>
          <w:color w:val="auto"/>
          <w:highlight w:val="none"/>
        </w:rPr>
      </w:pPr>
      <w:r>
        <w:rPr>
          <w:rFonts w:hint="eastAsia" w:ascii="宋体" w:hAnsi="宋体"/>
          <w:color w:val="auto"/>
          <w:highlight w:val="none"/>
        </w:rPr>
        <w:t xml:space="preserve">第二章 投标人须知</w:t>
      </w:r>
      <w:r>
        <w:rPr>
          <w:rFonts w:hint="eastAsia"/>
          <w:color w:val="auto"/>
          <w:highlight w:val="none"/>
        </w:rPr>
        <w:tab/>
      </w:r>
      <w:r>
        <w:rPr>
          <w:rFonts w:hint="eastAsia"/>
          <w:color w:val="auto"/>
          <w:highlight w:val="none"/>
        </w:rPr>
        <w:t xml:space="preserve">6</w:t>
      </w:r>
      <w:r/>
    </w:p>
    <w:p>
      <w:pPr>
        <w:pStyle w:val="827"/>
        <w:tabs>
          <w:tab w:val="right" w:pos="8296" w:leader="dot"/>
        </w:tabs>
        <w:rPr>
          <w:rFonts w:hint="eastAsia"/>
          <w:color w:val="auto"/>
          <w:highlight w:val="none"/>
        </w:rPr>
      </w:pPr>
      <w:r>
        <w:rPr>
          <w:rFonts w:hint="eastAsia" w:ascii="宋体" w:hAnsi="宋体"/>
          <w:color w:val="auto"/>
          <w:highlight w:val="none"/>
        </w:rPr>
        <w:t xml:space="preserve">第三章 合同条款及格式</w:t>
      </w:r>
      <w:r>
        <w:rPr>
          <w:rFonts w:hint="eastAsia"/>
          <w:color w:val="auto"/>
          <w:highlight w:val="none"/>
        </w:rPr>
        <w:tab/>
      </w:r>
      <w:r>
        <w:rPr>
          <w:rFonts w:hint="eastAsia"/>
          <w:color w:val="auto"/>
          <w:highlight w:val="none"/>
        </w:rPr>
        <w:t xml:space="preserve">18</w:t>
      </w:r>
      <w:r/>
    </w:p>
    <w:p>
      <w:pPr>
        <w:pStyle w:val="827"/>
        <w:tabs>
          <w:tab w:val="right" w:pos="8296" w:leader="dot"/>
        </w:tabs>
        <w:rPr>
          <w:color w:val="auto"/>
          <w:highlight w:val="none"/>
        </w:rPr>
      </w:pPr>
      <w:r>
        <w:rPr>
          <w:rFonts w:hint="eastAsia"/>
          <w:color w:val="auto"/>
          <w:highlight w:val="none"/>
        </w:rPr>
        <w:t xml:space="preserve">第四章 项目需求</w:t>
      </w:r>
      <w:r>
        <w:rPr>
          <w:rFonts w:hint="eastAsia"/>
          <w:color w:val="auto"/>
          <w:highlight w:val="none"/>
        </w:rPr>
        <w:tab/>
      </w:r>
      <w:r>
        <w:rPr>
          <w:rFonts w:hint="eastAsia"/>
          <w:color w:val="auto"/>
          <w:highlight w:val="none"/>
        </w:rPr>
        <w:t xml:space="preserve">23</w:t>
      </w:r>
      <w:r/>
    </w:p>
    <w:p>
      <w:pPr>
        <w:pStyle w:val="827"/>
        <w:tabs>
          <w:tab w:val="right" w:pos="8296" w:leader="dot"/>
        </w:tabs>
        <w:rPr>
          <w:rFonts w:hint="eastAsia" w:eastAsia="宋体"/>
          <w:color w:val="auto"/>
          <w:highlight w:val="none"/>
          <w:lang w:eastAsia="zh-CN"/>
        </w:rPr>
      </w:pPr>
      <w:r>
        <w:rPr>
          <w:rFonts w:hint="eastAsia" w:ascii="宋体" w:hAnsi="宋体"/>
          <w:color w:val="auto"/>
          <w:highlight w:val="none"/>
        </w:rPr>
        <w:t xml:space="preserve">第五章 评标方法及评标标准</w:t>
      </w:r>
      <w:r>
        <w:rPr>
          <w:rFonts w:hint="eastAsia"/>
          <w:color w:val="auto"/>
          <w:highlight w:val="none"/>
        </w:rPr>
        <w:tab/>
      </w:r>
      <w:r>
        <w:rPr>
          <w:rFonts w:hint="eastAsia"/>
          <w:color w:val="auto"/>
          <w:highlight w:val="none"/>
        </w:rPr>
        <w:t xml:space="preserve">3</w:t>
      </w:r>
      <w:r>
        <w:rPr>
          <w:rFonts w:hint="eastAsia"/>
          <w:color w:val="auto"/>
          <w:highlight w:val="none"/>
          <w:lang w:val="en-US" w:eastAsia="zh-CN"/>
        </w:rPr>
        <w:t xml:space="preserve">4</w:t>
      </w:r>
      <w:r/>
    </w:p>
    <w:p>
      <w:pPr>
        <w:pStyle w:val="827"/>
        <w:tabs>
          <w:tab w:val="right" w:pos="8296" w:leader="dot"/>
        </w:tabs>
        <w:rPr>
          <w:rFonts w:hint="eastAsia" w:eastAsia="宋体"/>
          <w:color w:val="auto"/>
          <w:highlight w:val="none"/>
          <w:lang w:eastAsia="zh-CN"/>
        </w:rPr>
      </w:pPr>
      <w:r>
        <w:rPr>
          <w:rFonts w:hint="eastAsia" w:ascii="宋体" w:hAnsi="宋体"/>
          <w:color w:val="auto"/>
          <w:highlight w:val="none"/>
        </w:rPr>
        <w:t xml:space="preserve">第六章 投标文件格式</w:t>
      </w:r>
      <w:r>
        <w:rPr>
          <w:rFonts w:hint="eastAsia"/>
          <w:color w:val="auto"/>
          <w:highlight w:val="none"/>
        </w:rPr>
        <w:tab/>
      </w:r>
      <w:r>
        <w:rPr>
          <w:rFonts w:hint="eastAsia"/>
          <w:color w:val="auto"/>
          <w:highlight w:val="none"/>
        </w:rPr>
        <w:t xml:space="preserve">3</w:t>
      </w:r>
      <w:r>
        <w:rPr>
          <w:rFonts w:hint="eastAsia"/>
          <w:color w:val="auto"/>
          <w:highlight w:val="none"/>
          <w:lang w:val="en-US" w:eastAsia="zh-CN"/>
        </w:rPr>
        <w:t xml:space="preserve">7</w:t>
      </w:r>
      <w:r/>
    </w:p>
    <w:p>
      <w:pPr>
        <w:rPr>
          <w:rFonts w:hint="eastAsia" w:ascii="宋体" w:hAnsi="宋体"/>
          <w:color w:val="auto"/>
          <w:sz w:val="28"/>
          <w:highlight w:val="none"/>
        </w:rPr>
      </w:pPr>
      <w:r>
        <w:rPr>
          <w:rFonts w:hint="eastAsia" w:ascii="宋体" w:hAnsi="宋体"/>
          <w:color w:val="auto"/>
          <w:sz w:val="28"/>
          <w:highlight w:val="none"/>
        </w:rPr>
        <w:fldChar w:fldCharType="end"/>
      </w:r>
      <w:r/>
    </w:p>
    <w:p>
      <w:pPr>
        <w:rPr>
          <w:color w:val="auto"/>
          <w:highlight w:val="none"/>
        </w:rPr>
      </w:pPr>
      <w:r>
        <w:rPr>
          <w:rFonts w:hint="eastAsia" w:ascii="宋体" w:hAnsi="宋体"/>
          <w:color w:val="auto"/>
          <w:sz w:val="28"/>
          <w:highlight w:val="none"/>
        </w:rPr>
        <w:br w:type="page" w:clear="all"/>
      </w:r>
      <w:r/>
    </w:p>
    <w:p>
      <w:pPr>
        <w:pStyle w:val="802"/>
        <w:jc w:val="center"/>
        <w:spacing w:line="240" w:lineRule="auto"/>
        <w:rPr>
          <w:rFonts w:hint="eastAsia" w:ascii="宋体" w:hAnsi="宋体"/>
          <w:color w:val="auto"/>
          <w:sz w:val="36"/>
          <w:szCs w:val="36"/>
          <w:highlight w:val="none"/>
        </w:rPr>
      </w:pPr>
      <w:r/>
      <w:bookmarkStart w:id="0" w:name="_Toc55204177"/>
      <w:r>
        <w:rPr>
          <w:rFonts w:hint="eastAsia" w:ascii="宋体" w:hAnsi="宋体"/>
          <w:color w:val="auto"/>
          <w:sz w:val="36"/>
          <w:szCs w:val="36"/>
          <w:highlight w:val="none"/>
        </w:rPr>
        <w:t xml:space="preserve">第一章 扬州市公安局江都分局2026年度DNA实验室试剂耗材和服务采购项目招标公告</w:t>
      </w:r>
      <w:bookmarkEnd w:id="0"/>
      <w:r>
        <w:rPr>
          <w:rFonts w:hint="eastAsia"/>
          <w:color w:val="auto"/>
          <w:sz w:val="36"/>
          <w:szCs w:val="36"/>
          <w:highlight w:val="none"/>
        </w:rPr>
        <w:tab/>
      </w:r>
      <w:r/>
    </w:p>
    <w:p>
      <w:pPr>
        <w:ind w:firstLine="420"/>
        <w:spacing w:line="360" w:lineRule="auto"/>
        <w:tabs>
          <w:tab w:val="left" w:pos="266" w:leader="none"/>
        </w:tabs>
        <w:rPr>
          <w:rFonts w:hint="eastAsia" w:ascii="宋体" w:hAnsi="宋体" w:cs="宋体"/>
          <w:color w:val="auto"/>
          <w:szCs w:val="21"/>
          <w:highlight w:val="none"/>
        </w:rPr>
      </w:pPr>
      <w:r>
        <w:rPr>
          <w:rFonts w:hint="eastAsia" w:ascii="宋体" w:hAnsi="宋体" w:cs="宋体"/>
          <w:color w:val="auto"/>
          <w:highlight w:val="none"/>
        </w:rPr>
        <w:t xml:space="preserve">受扬州市公安局江都分局的委托，扬州星光建设咨询有限公司就扬州市公安局江都分局2026年度DNA实验室试剂耗材和服务采购（JSZC-321012-XGZX-G2026-00</w:t>
      </w:r>
      <w:r>
        <w:rPr>
          <w:rFonts w:hint="eastAsia" w:ascii="宋体" w:hAnsi="宋体" w:cs="宋体"/>
          <w:color w:val="auto"/>
          <w:highlight w:val="none"/>
          <w:lang w:val="en-US" w:eastAsia="zh-CN"/>
        </w:rPr>
        <w:t xml:space="preserve">03</w:t>
      </w:r>
      <w:r>
        <w:rPr>
          <w:rFonts w:hint="eastAsia" w:ascii="宋体" w:hAnsi="宋体" w:cs="宋体"/>
          <w:color w:val="auto"/>
          <w:highlight w:val="none"/>
        </w:rPr>
        <w:t xml:space="preserve">)项目进行公开招标采购，欢迎符合条件的供应商投标。</w:t>
      </w:r>
      <w:r/>
    </w:p>
    <w:p>
      <w:pPr>
        <w:ind w:firstLine="422"/>
        <w:spacing w:line="360" w:lineRule="auto"/>
        <w:rPr>
          <w:rFonts w:hint="eastAsia" w:ascii="宋体" w:hAnsi="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highlight w:val="none"/>
        </w:rPr>
        <w:t xml:space="preserve">项目概况</w:t>
      </w:r>
      <w:r/>
    </w:p>
    <w:p>
      <w:pPr>
        <w:ind w:firstLine="420"/>
        <w:spacing w:line="360" w:lineRule="auto"/>
        <w:rPr>
          <w:rFonts w:hint="eastAsia"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highlight w:val="none"/>
        </w:rPr>
        <w:t xml:space="preserve"> </w:t>
      </w:r>
      <w:r>
        <w:rPr>
          <w:rFonts w:hint="eastAsia" w:ascii="宋体" w:hAnsi="宋体" w:cs="宋体"/>
          <w:color w:val="auto"/>
          <w:highlight w:val="none"/>
          <w:u w:val="single"/>
        </w:rPr>
        <w:t xml:space="preserve">扬州市公安局江都分局2026年度DNA实验室试剂耗材和服务采购</w:t>
      </w:r>
      <w:r>
        <w:rPr>
          <w:rFonts w:hint="eastAsia" w:ascii="宋体" w:hAnsi="宋体" w:cs="宋体"/>
          <w:color w:val="auto"/>
          <w:highlight w:val="none"/>
        </w:rPr>
        <w:t xml:space="preserve">项目的潜在投标人可在</w:t>
      </w:r>
      <w:r>
        <w:rPr>
          <w:rFonts w:hint="eastAsia" w:ascii="宋体" w:hAnsi="宋体" w:cs="宋体"/>
          <w:color w:val="auto"/>
          <w:highlight w:val="none"/>
          <w:u w:val="single"/>
        </w:rPr>
        <w:t xml:space="preserve"> “扬州市政府采购网”、“江苏政府采购网”自行免费下载</w:t>
      </w:r>
      <w:r>
        <w:rPr>
          <w:rFonts w:hint="eastAsia" w:ascii="宋体" w:hAnsi="宋体" w:cs="宋体"/>
          <w:color w:val="auto"/>
          <w:highlight w:val="none"/>
        </w:rPr>
        <w:t xml:space="preserve">招标文件，并于</w:t>
      </w:r>
      <w:bookmarkStart w:id="1" w:name="XMTBJSR_1"/>
      <w:r>
        <w:rPr>
          <w:rFonts w:ascii="宋体" w:hAnsi="宋体" w:cs="宋体"/>
          <w:bCs/>
          <w:color w:val="auto"/>
          <w:highlight w:val="none"/>
          <w:u w:val="single"/>
        </w:rPr>
        <w:t xml:space="preserve">202</w:t>
      </w:r>
      <w:r>
        <w:rPr>
          <w:rFonts w:hint="eastAsia" w:ascii="宋体" w:hAnsi="宋体" w:cs="宋体"/>
          <w:bCs/>
          <w:color w:val="auto"/>
          <w:highlight w:val="none"/>
          <w:u w:val="single"/>
        </w:rPr>
        <w:t xml:space="preserve">6</w:t>
      </w:r>
      <w:r>
        <w:rPr>
          <w:rFonts w:ascii="宋体" w:hAnsi="宋体" w:cs="宋体"/>
          <w:bCs/>
          <w:color w:val="auto"/>
          <w:highlight w:val="none"/>
          <w:u w:val="single"/>
        </w:rPr>
        <w:t xml:space="preserve">年</w:t>
      </w:r>
      <w:r>
        <w:rPr>
          <w:rFonts w:hint="eastAsia" w:ascii="宋体" w:hAnsi="宋体" w:cs="宋体"/>
          <w:bCs/>
          <w:color w:val="auto"/>
          <w:highlight w:val="none"/>
          <w:u w:val="single"/>
          <w:lang w:val="en-US" w:eastAsia="zh-CN"/>
        </w:rPr>
        <w:t xml:space="preserve">9</w:t>
      </w:r>
      <w:r>
        <w:rPr>
          <w:rFonts w:ascii="宋体" w:hAnsi="宋体" w:cs="宋体"/>
          <w:bCs/>
          <w:color w:val="auto"/>
          <w:highlight w:val="none"/>
          <w:u w:val="single"/>
        </w:rPr>
        <w:t xml:space="preserve">月</w:t>
      </w:r>
      <w:r>
        <w:rPr>
          <w:rFonts w:hint="eastAsia" w:ascii="宋体" w:hAnsi="宋体" w:cs="宋体"/>
          <w:bCs/>
          <w:color w:val="auto"/>
          <w:highlight w:val="none"/>
          <w:u w:val="single"/>
          <w:lang w:val="en-US" w:eastAsia="zh-CN"/>
        </w:rPr>
        <w:t xml:space="preserve">29</w:t>
      </w:r>
      <w:r>
        <w:rPr>
          <w:rFonts w:ascii="宋体" w:hAnsi="宋体" w:cs="宋体"/>
          <w:bCs/>
          <w:color w:val="auto"/>
          <w:highlight w:val="none"/>
          <w:u w:val="single"/>
        </w:rPr>
        <w:t xml:space="preserve">日</w:t>
      </w:r>
      <w:bookmarkEnd w:id="1"/>
      <w:r>
        <w:rPr>
          <w:rFonts w:hint="eastAsia" w:ascii="宋体" w:hAnsi="宋体" w:cs="宋体"/>
          <w:bCs/>
          <w:color w:val="auto"/>
          <w:highlight w:val="none"/>
          <w:u w:val="single"/>
        </w:rPr>
        <w:t xml:space="preserve">9点30分</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spacing w:line="360" w:lineRule="auto"/>
        <w:tabs>
          <w:tab w:val="left" w:pos="266" w:leader="none"/>
        </w:tabs>
        <w:rPr>
          <w:rFonts w:hint="eastAsia" w:ascii="宋体" w:hAnsi="宋体" w:cs="宋体"/>
          <w:b/>
          <w:bCs/>
          <w:color w:val="auto"/>
          <w:highlight w:val="none"/>
        </w:rPr>
      </w:pPr>
      <w:r/>
      <w:bookmarkStart w:id="2" w:name="_Toc28359079"/>
      <w:r/>
      <w:bookmarkStart w:id="3" w:name="_Toc35393790"/>
      <w:r/>
      <w:bookmarkStart w:id="4" w:name="_Toc35393621"/>
      <w:r/>
      <w:bookmarkStart w:id="5" w:name="_Toc38985263"/>
      <w:r/>
      <w:bookmarkStart w:id="6" w:name="_Toc28359002"/>
      <w:r/>
      <w:bookmarkStart w:id="7" w:name="_Hlk24379207"/>
      <w:r>
        <w:rPr>
          <w:rFonts w:hint="eastAsia" w:ascii="宋体" w:hAnsi="宋体" w:cs="宋体"/>
          <w:b/>
          <w:bCs/>
          <w:color w:val="auto"/>
          <w:highlight w:val="none"/>
        </w:rPr>
        <w:t xml:space="preserve">一、项目基本情况</w:t>
      </w:r>
      <w:bookmarkEnd w:id="2"/>
      <w:r/>
      <w:bookmarkEnd w:id="3"/>
      <w:r/>
      <w:bookmarkEnd w:id="4"/>
      <w:r/>
      <w:bookmarkEnd w:id="5"/>
      <w:r/>
      <w:bookmarkEnd w:id="6"/>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highlight w:val="none"/>
        </w:rPr>
        <w:t xml:space="preserve">1.项目编号：JSZC-321012-XGZX-G2026-00</w:t>
      </w:r>
      <w:r>
        <w:rPr>
          <w:rFonts w:hint="eastAsia" w:ascii="宋体" w:hAnsi="宋体" w:cs="宋体"/>
          <w:color w:val="auto"/>
          <w:highlight w:val="none"/>
          <w:lang w:val="en-US" w:eastAsia="zh-CN"/>
        </w:rPr>
        <w:t xml:space="preserve">03</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2.项目名称：</w:t>
      </w:r>
      <w:bookmarkEnd w:id="7"/>
      <w:r>
        <w:rPr>
          <w:rFonts w:hint="eastAsia" w:ascii="宋体" w:hAnsi="宋体" w:cs="宋体"/>
          <w:color w:val="auto"/>
          <w:highlight w:val="none"/>
        </w:rPr>
        <w:t xml:space="preserve">扬州市公安局江都分局2026年度DNA实验室试剂耗材和服务采购</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3.预算金额：131.5万元（采购包1：62.5万元，采购包2：69万元）</w:t>
      </w:r>
      <w:r/>
    </w:p>
    <w:p>
      <w:pPr>
        <w:ind w:firstLine="420"/>
        <w:spacing w:line="360" w:lineRule="auto"/>
        <w:rPr>
          <w:color w:val="auto"/>
          <w:highlight w:val="none"/>
        </w:rPr>
      </w:pPr>
      <w:r>
        <w:rPr>
          <w:rFonts w:hint="eastAsia" w:ascii="宋体" w:hAnsi="宋体" w:cs="宋体"/>
          <w:color w:val="auto"/>
          <w:highlight w:val="none"/>
        </w:rPr>
        <w:t xml:space="preserve">4.本项目设置最高限价：131.5万元（采购包1：62.5万元，采购包2：69万元）。</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5.采购需求：见招标文件第四章。</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6.合同履行期限：</w:t>
      </w:r>
      <w:r>
        <w:rPr>
          <w:rFonts w:hint="eastAsia" w:hAnsi="宋体" w:cs="仿宋_GB2312"/>
          <w:color w:val="auto"/>
          <w:highlight w:val="none"/>
        </w:rPr>
        <w:t xml:space="preserve">合同签订之日起30日历天完成供货</w:t>
      </w:r>
      <w:r>
        <w:rPr>
          <w:rFonts w:hint="eastAsia" w:ascii="宋体" w:hAnsi="宋体" w:cs="宋体"/>
          <w:color w:val="auto"/>
          <w:highlight w:val="none"/>
        </w:rPr>
        <w:t xml:space="preserve">。</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7.本项目</w:t>
      </w:r>
      <w:r>
        <w:rPr>
          <w:rFonts w:hint="eastAsia" w:ascii="宋体" w:hAnsi="宋体" w:cs="宋体"/>
          <w:color w:val="auto"/>
          <w:highlight w:val="none"/>
          <w:u w:val="single"/>
        </w:rPr>
        <w:t xml:space="preserve">不接受</w:t>
      </w:r>
      <w:r>
        <w:rPr>
          <w:rFonts w:hint="eastAsia" w:ascii="宋体" w:hAnsi="宋体" w:cs="宋体"/>
          <w:color w:val="auto"/>
          <w:highlight w:val="none"/>
        </w:rPr>
        <w:t xml:space="preserve">联合体投标。</w:t>
      </w:r>
      <w:r/>
    </w:p>
    <w:p>
      <w:pPr>
        <w:ind w:firstLine="420"/>
        <w:spacing w:line="360" w:lineRule="auto"/>
        <w:rPr>
          <w:color w:val="auto"/>
          <w:highlight w:val="none"/>
        </w:rPr>
      </w:pPr>
      <w:r>
        <w:rPr>
          <w:rFonts w:hint="eastAsia" w:ascii="宋体" w:hAnsi="宋体" w:cs="宋体"/>
          <w:color w:val="auto"/>
          <w:highlight w:val="none"/>
        </w:rPr>
        <w:t xml:space="preserve">8.本项目</w:t>
      </w:r>
      <w:r>
        <w:rPr>
          <w:rFonts w:hint="eastAsia" w:ascii="宋体" w:hAnsi="宋体" w:cs="宋体"/>
          <w:color w:val="auto"/>
          <w:highlight w:val="none"/>
          <w:u w:val="single"/>
        </w:rPr>
        <w:t xml:space="preserve">接受</w:t>
      </w:r>
      <w:r>
        <w:rPr>
          <w:rFonts w:hint="eastAsia" w:ascii="宋体" w:hAnsi="宋体" w:cs="宋体"/>
          <w:color w:val="auto"/>
          <w:highlight w:val="none"/>
        </w:rPr>
        <w:t xml:space="preserve">进口产品投标。</w:t>
      </w:r>
      <w:r/>
    </w:p>
    <w:p>
      <w:pPr>
        <w:spacing w:line="360" w:lineRule="auto"/>
        <w:tabs>
          <w:tab w:val="left" w:pos="266" w:leader="none"/>
        </w:tabs>
        <w:rPr>
          <w:rFonts w:hint="eastAsia" w:ascii="宋体" w:hAnsi="宋体" w:cs="宋体"/>
          <w:b/>
          <w:bCs/>
          <w:color w:val="auto"/>
          <w:highlight w:val="none"/>
        </w:rPr>
      </w:pPr>
      <w:r/>
      <w:bookmarkStart w:id="8" w:name="_Toc28359003"/>
      <w:r/>
      <w:bookmarkStart w:id="9" w:name="_Toc28359080"/>
      <w:r/>
      <w:bookmarkStart w:id="10" w:name="_Toc35393791"/>
      <w:r/>
      <w:bookmarkStart w:id="11" w:name="_Toc35393622"/>
      <w:r/>
      <w:bookmarkStart w:id="12" w:name="_Toc38985264"/>
      <w:r>
        <w:rPr>
          <w:rFonts w:hint="eastAsia" w:ascii="宋体" w:hAnsi="宋体" w:cs="宋体"/>
          <w:b/>
          <w:bCs/>
          <w:color w:val="auto"/>
          <w:highlight w:val="none"/>
        </w:rPr>
        <w:t xml:space="preserve">二、申请人的资格要求：</w:t>
      </w:r>
      <w:bookmarkEnd w:id="8"/>
      <w:r/>
      <w:bookmarkEnd w:id="9"/>
      <w:r/>
      <w:bookmarkEnd w:id="10"/>
      <w:r/>
      <w:bookmarkEnd w:id="11"/>
      <w:r/>
      <w:bookmarkEnd w:id="12"/>
      <w:r/>
      <w:r/>
    </w:p>
    <w:p>
      <w:pPr>
        <w:ind w:firstLine="420"/>
        <w:spacing w:line="360" w:lineRule="auto"/>
        <w:rPr>
          <w:rFonts w:hint="eastAsia" w:ascii="宋体" w:hAnsi="宋体" w:cs="宋体"/>
          <w:color w:val="auto"/>
          <w:szCs w:val="21"/>
          <w:highlight w:val="none"/>
        </w:rPr>
      </w:pPr>
      <w:r/>
      <w:bookmarkStart w:id="13" w:name="_Toc35393792"/>
      <w:r/>
      <w:bookmarkStart w:id="14" w:name="_Toc28359004"/>
      <w:r/>
      <w:bookmarkStart w:id="15" w:name="_Toc38985265"/>
      <w:r/>
      <w:bookmarkStart w:id="16" w:name="_Toc28359081"/>
      <w:r/>
      <w:bookmarkStart w:id="17" w:name="_Toc35393623"/>
      <w:r>
        <w:rPr>
          <w:rFonts w:hint="eastAsia" w:ascii="宋体" w:hAnsi="宋体" w:cs="宋体"/>
          <w:color w:val="auto"/>
          <w:szCs w:val="21"/>
          <w:highlight w:val="none"/>
        </w:rPr>
        <w:t xml:space="preserve">1.满足《中华人民共和国政府采购法》第二十二条规定，并提供下列材料：</w:t>
      </w:r>
      <w:r/>
    </w:p>
    <w:p>
      <w:pPr>
        <w:ind w:firstLine="420"/>
        <w:spacing w:line="360" w:lineRule="auto"/>
        <w:rPr>
          <w:rFonts w:hint="eastAsia" w:ascii="宋体" w:hAnsi="宋体" w:cs="宋体"/>
          <w:i/>
          <w:iCs/>
          <w:color w:val="auto"/>
          <w:szCs w:val="21"/>
          <w:highlight w:val="none"/>
          <w:u w:val="single"/>
        </w:rPr>
      </w:pPr>
      <w:r>
        <w:rPr>
          <w:rFonts w:hint="eastAsia" w:ascii="宋体" w:hAnsi="宋体"/>
          <w:i/>
          <w:color w:val="auto"/>
          <w:highlight w:val="none"/>
          <w:u w:val="single"/>
        </w:rPr>
        <w:t xml:space="preserve">1.1</w:t>
      </w:r>
      <w:r>
        <w:rPr>
          <w:rFonts w:hint="eastAsia" w:ascii="宋体" w:hAnsi="宋体" w:cs="宋体"/>
          <w:i/>
          <w:iCs/>
          <w:color w:val="auto"/>
          <w:szCs w:val="21"/>
          <w:highlight w:val="none"/>
          <w:u w:val="single"/>
        </w:rPr>
        <w:t xml:space="preserve">法人或者其他组织的营业执照等证明文件，自然人的身份证明（身份证为正、反面）</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1.2依法缴纳职工社会保障资金的证明材料</w:t>
      </w:r>
      <w:r>
        <w:rPr>
          <w:rFonts w:hint="eastAsia" w:ascii="宋体" w:hAnsi="宋体" w:cs="宋体"/>
          <w:b/>
          <w:bCs/>
          <w:i/>
          <w:iCs/>
          <w:color w:val="auto"/>
          <w:szCs w:val="21"/>
          <w:highlight w:val="none"/>
          <w:u w:val="single"/>
        </w:rPr>
        <w:t xml:space="preserve">（可提供“基本资格条件承诺函”）</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1.3供应商依法纳税的缴款凭证</w:t>
      </w:r>
      <w:r>
        <w:rPr>
          <w:rFonts w:hint="eastAsia" w:ascii="宋体" w:hAnsi="宋体" w:cs="宋体"/>
          <w:b/>
          <w:bCs/>
          <w:i/>
          <w:iCs/>
          <w:color w:val="auto"/>
          <w:szCs w:val="21"/>
          <w:highlight w:val="none"/>
          <w:u w:val="single"/>
        </w:rPr>
        <w:t xml:space="preserve">（可提供“基本资格条件承诺函”）</w:t>
      </w:r>
      <w:r/>
    </w:p>
    <w:p>
      <w:pPr>
        <w:ind w:firstLine="42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上一年度的财务报告情况(成立不满一年无需提供)</w:t>
      </w:r>
      <w:r>
        <w:rPr>
          <w:rFonts w:hint="eastAsia" w:ascii="宋体" w:hAnsi="宋体" w:cs="宋体"/>
          <w:b/>
          <w:bCs/>
          <w:i/>
          <w:iCs/>
          <w:color w:val="auto"/>
          <w:szCs w:val="21"/>
          <w:highlight w:val="none"/>
          <w:u w:val="single"/>
        </w:rPr>
        <w:t xml:space="preserve">（可提供“基本资格条件承诺函”）</w:t>
      </w:r>
      <w:r/>
    </w:p>
    <w:p>
      <w:pPr>
        <w:ind w:firstLine="420"/>
        <w:spacing w:line="360" w:lineRule="auto"/>
        <w:rPr>
          <w:color w:val="auto"/>
          <w:highlight w:val="none"/>
        </w:rPr>
      </w:pPr>
      <w:r>
        <w:rPr>
          <w:rFonts w:hint="eastAsia" w:ascii="宋体" w:hAnsi="宋体" w:cs="宋体"/>
          <w:i/>
          <w:iCs/>
          <w:color w:val="auto"/>
          <w:szCs w:val="21"/>
          <w:highlight w:val="none"/>
          <w:u w:val="single"/>
        </w:rPr>
        <w:t xml:space="preserve">1.5 具备履行合同所必需的设备和专业技术能力的证明材料</w:t>
      </w:r>
      <w:r>
        <w:rPr>
          <w:rFonts w:hint="eastAsia" w:ascii="宋体" w:hAnsi="宋体" w:cs="宋体"/>
          <w:b/>
          <w:bCs/>
          <w:i/>
          <w:iCs/>
          <w:color w:val="auto"/>
          <w:szCs w:val="21"/>
          <w:highlight w:val="none"/>
          <w:u w:val="single"/>
        </w:rPr>
        <w:t xml:space="preserve">（可提供“基本资格条件承诺函”）</w:t>
      </w:r>
      <w:r/>
    </w:p>
    <w:p>
      <w:pPr>
        <w:ind w:firstLine="420"/>
        <w:spacing w:line="360" w:lineRule="auto"/>
        <w:rPr>
          <w:rFonts w:hint="eastAsia" w:ascii="宋体" w:hAnsi="宋体"/>
          <w:b/>
          <w:bCs/>
          <w:i/>
          <w:color w:val="auto"/>
          <w:highlight w:val="none"/>
          <w:u w:val="single"/>
        </w:rPr>
      </w:pPr>
      <w:r>
        <w:rPr>
          <w:rFonts w:hint="eastAsia" w:ascii="宋体" w:hAnsi="宋体" w:cs="宋体"/>
          <w:i/>
          <w:iCs/>
          <w:color w:val="auto"/>
          <w:szCs w:val="21"/>
          <w:highlight w:val="none"/>
          <w:u w:val="single"/>
        </w:rPr>
        <w:t xml:space="preserve">1.6 </w:t>
      </w:r>
      <w:r>
        <w:rPr>
          <w:rFonts w:hint="eastAsia" w:ascii="宋体" w:hAnsi="宋体"/>
          <w:i/>
          <w:color w:val="auto"/>
          <w:highlight w:val="none"/>
          <w:u w:val="single"/>
        </w:rPr>
        <w:t xml:space="preserve">投标人参加本次政府采购活动前3年内在经营活动中没有重大违法记录的书面声明</w:t>
      </w:r>
      <w:r>
        <w:rPr>
          <w:rFonts w:hint="eastAsia" w:ascii="宋体" w:hAnsi="宋体" w:cs="宋体"/>
          <w:b/>
          <w:bCs/>
          <w:i/>
          <w:iCs/>
          <w:color w:val="auto"/>
          <w:szCs w:val="21"/>
          <w:highlight w:val="none"/>
          <w:u w:val="single"/>
        </w:rPr>
        <w:t xml:space="preserve">（可提供“基本资格条件承诺函”）</w:t>
      </w:r>
      <w:r/>
    </w:p>
    <w:p>
      <w:pPr>
        <w:ind w:firstLine="420"/>
        <w:spacing w:line="360" w:lineRule="auto"/>
        <w:rPr>
          <w:rFonts w:hint="eastAsia" w:ascii="宋体" w:hAnsi="宋体" w:cs="宋体"/>
          <w:b/>
          <w:bCs/>
          <w:i/>
          <w:iCs/>
          <w:color w:val="auto"/>
          <w:szCs w:val="21"/>
          <w:highlight w:val="none"/>
          <w:u w:val="single"/>
        </w:rPr>
      </w:pPr>
      <w:r>
        <w:rPr>
          <w:rFonts w:hint="eastAsia" w:ascii="宋体" w:hAnsi="宋体"/>
          <w:i/>
          <w:color w:val="auto"/>
          <w:highlight w:val="none"/>
          <w:u w:val="single"/>
        </w:rPr>
        <w:t xml:space="preserve">1.7</w:t>
      </w:r>
      <w:r>
        <w:rPr>
          <w:rFonts w:hint="eastAsia" w:ascii="宋体" w:hAnsi="宋体" w:cs="宋体"/>
          <w:i/>
          <w:iCs/>
          <w:color w:val="auto"/>
          <w:szCs w:val="21"/>
          <w:highlight w:val="none"/>
          <w:u w:val="single"/>
        </w:rPr>
        <w:t xml:space="preserve">未被“信用中国”网站、“中国政府采购网”列入失信被执行人、重大税收违法案件当事人名单、政府采购严重违法失信行为记录名单</w:t>
      </w:r>
      <w:r>
        <w:rPr>
          <w:rFonts w:hint="eastAsia" w:ascii="宋体" w:hAnsi="宋体" w:cs="宋体"/>
          <w:b/>
          <w:bCs/>
          <w:i/>
          <w:iCs/>
          <w:color w:val="auto"/>
          <w:szCs w:val="21"/>
          <w:highlight w:val="none"/>
          <w:u w:val="single"/>
        </w:rPr>
        <w:t xml:space="preserve">（可提供“基本资格条件承诺函”）</w:t>
      </w:r>
      <w:r/>
    </w:p>
    <w:p>
      <w:pPr>
        <w:ind w:firstLine="420"/>
        <w:spacing w:line="360" w:lineRule="auto"/>
        <w:rPr>
          <w:color w:val="auto"/>
          <w:highlight w:val="none"/>
        </w:rPr>
      </w:pPr>
      <w:r>
        <w:rPr>
          <w:rFonts w:hint="eastAsia" w:ascii="宋体" w:hAnsi="宋体" w:cs="宋体"/>
          <w:i/>
          <w:iCs/>
          <w:color w:val="auto"/>
          <w:szCs w:val="21"/>
          <w:highlight w:val="none"/>
          <w:u w:val="single"/>
        </w:rPr>
        <w:t xml:space="preserve">1.8</w:t>
      </w:r>
      <w:r>
        <w:rPr>
          <w:rFonts w:hint="eastAsia" w:ascii="宋体" w:hAnsi="宋体"/>
          <w:bCs/>
          <w:i/>
          <w:color w:val="auto"/>
          <w:highlight w:val="none"/>
          <w:u w:val="single"/>
        </w:rPr>
        <w:t xml:space="preserve">供应商信用承诺函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2.落实政府采购政策需满足的资格要求：</w:t>
      </w:r>
      <w:r>
        <w:rPr>
          <w:rFonts w:hint="eastAsia" w:ascii="宋体" w:hAnsi="宋体" w:cs="宋体"/>
          <w:bCs/>
          <w:i/>
          <w:iCs/>
          <w:color w:val="auto"/>
          <w:szCs w:val="21"/>
          <w:highlight w:val="none"/>
          <w:u w:val="single"/>
        </w:rPr>
        <w:t xml:space="preserve">无。</w:t>
      </w:r>
      <w:r/>
    </w:p>
    <w:p>
      <w:pPr>
        <w:ind w:firstLine="420"/>
        <w:spacing w:line="360" w:lineRule="auto"/>
        <w:rPr>
          <w:rFonts w:hint="eastAsia" w:ascii="宋体" w:hAnsi="宋体" w:cs="宋体"/>
          <w:i/>
          <w:color w:val="auto"/>
          <w:szCs w:val="21"/>
          <w:highlight w:val="none"/>
          <w:u w:val="single"/>
        </w:rPr>
      </w:pPr>
      <w:r>
        <w:rPr>
          <w:rFonts w:hint="eastAsia" w:ascii="宋体" w:hAnsi="宋体" w:cs="宋体"/>
          <w:color w:val="auto"/>
          <w:szCs w:val="21"/>
          <w:highlight w:val="none"/>
        </w:rPr>
        <w:t xml:space="preserve">3.本项目的特定资格要求：</w:t>
      </w:r>
      <w:r>
        <w:rPr>
          <w:rFonts w:hint="eastAsia" w:ascii="宋体" w:hAnsi="宋体" w:cs="宋体"/>
          <w:bCs/>
          <w:i/>
          <w:iCs/>
          <w:color w:val="auto"/>
          <w:szCs w:val="21"/>
          <w:highlight w:val="none"/>
          <w:u w:val="single"/>
        </w:rPr>
        <w:t xml:space="preserve">无。</w:t>
      </w:r>
      <w:r/>
    </w:p>
    <w:p>
      <w:pPr>
        <w:ind w:firstLine="420"/>
        <w:spacing w:line="360" w:lineRule="auto"/>
        <w:rPr>
          <w:rFonts w:hint="eastAsia" w:ascii="宋体" w:hAnsi="宋体" w:cs="宋体"/>
          <w:color w:val="auto"/>
          <w:highlight w:val="none"/>
        </w:rPr>
      </w:pPr>
      <w:r>
        <w:rPr>
          <w:rFonts w:hint="eastAsia" w:ascii="宋体" w:hAnsi="宋体" w:cs="宋体"/>
          <w:color w:val="auto"/>
          <w:szCs w:val="21"/>
          <w:highlight w:val="none"/>
        </w:rPr>
        <w:t xml:space="preserve">4.</w:t>
      </w:r>
      <w:r>
        <w:rPr>
          <w:rFonts w:hint="eastAsia" w:ascii="宋体" w:hAnsi="宋体" w:cs="宋体"/>
          <w:color w:val="auto"/>
          <w:highlight w:val="none"/>
        </w:rPr>
        <w:t xml:space="preserve">拒绝下述供应商参加本次采购活动：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（1）供应商单位负责人为同一人或者存在直接控股、管理关系的不同供应商，不得参加同一合同项下的政府采购活动。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（2）凡为采购项目提供整体设计、规范编制或者项目管理、监理、检测等服务的供应商，不得再参加该项目的其他采购活动。</w:t>
      </w:r>
      <w:r/>
    </w:p>
    <w:p>
      <w:pPr>
        <w:ind w:firstLine="420"/>
        <w:spacing w:line="360" w:lineRule="auto"/>
        <w:rPr>
          <w:color w:val="auto"/>
          <w:highlight w:val="none"/>
        </w:rPr>
      </w:pPr>
      <w:r>
        <w:rPr>
          <w:rFonts w:hint="eastAsia" w:ascii="宋体" w:hAnsi="宋体" w:cs="宋体"/>
          <w:color w:val="auto"/>
          <w:highlight w:val="none"/>
        </w:rPr>
        <w:t xml:space="preserve">（3）供应商被“信用中国”网站、“中国政府采购网”列入失信被执行人、重大税收违法案件当事人名单、政府采购严重违法失信行为记录名单。</w:t>
      </w:r>
      <w:r/>
    </w:p>
    <w:p>
      <w:pPr>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三、获取招标文件</w:t>
      </w:r>
      <w:bookmarkEnd w:id="13"/>
      <w:r/>
      <w:bookmarkEnd w:id="14"/>
      <w:r/>
      <w:bookmarkEnd w:id="15"/>
      <w:r/>
      <w:bookmarkEnd w:id="16"/>
      <w:r/>
      <w:bookmarkEnd w:id="17"/>
      <w:r/>
      <w:r/>
    </w:p>
    <w:p>
      <w:pPr>
        <w:ind w:firstLine="540"/>
        <w:spacing w:line="360" w:lineRule="auto"/>
        <w:rPr>
          <w:rFonts w:hint="eastAsia" w:ascii="宋体" w:hAnsi="宋体" w:cs="宋体"/>
          <w:color w:val="auto"/>
          <w:highlight w:val="none"/>
        </w:rPr>
      </w:pPr>
      <w:r/>
      <w:bookmarkStart w:id="18" w:name="_Toc28359005"/>
      <w:r/>
      <w:bookmarkStart w:id="19" w:name="_Toc28359082"/>
      <w:r/>
      <w:bookmarkStart w:id="20" w:name="_Toc35393624"/>
      <w:r/>
      <w:bookmarkStart w:id="21" w:name="_Toc38985266"/>
      <w:r/>
      <w:bookmarkStart w:id="22" w:name="_Toc35393793"/>
      <w:r>
        <w:rPr>
          <w:rFonts w:hint="eastAsia" w:ascii="宋体" w:hAnsi="宋体" w:cs="宋体"/>
          <w:color w:val="auto"/>
          <w:highlight w:val="none"/>
        </w:rPr>
        <w:t xml:space="preserve">1.时间：自招标文件公告发布之日起5个工作日。5个工作日后仍可下载招标文件，但不作为供应商权益受到损害的证明材料和依据。</w:t>
      </w:r>
      <w:r/>
    </w:p>
    <w:p>
      <w:pPr>
        <w:ind w:firstLine="540"/>
        <w:spacing w:line="360" w:lineRule="auto"/>
        <w:rPr>
          <w:rFonts w:hint="eastAsia" w:ascii="宋体" w:hAnsi="宋体"/>
          <w:b/>
          <w:bCs/>
          <w:color w:val="auto"/>
          <w:sz w:val="24"/>
          <w:szCs w:val="24"/>
          <w:highlight w:val="none"/>
        </w:rPr>
      </w:pPr>
      <w:r>
        <w:rPr>
          <w:rFonts w:hint="eastAsia" w:ascii="宋体" w:hAnsi="宋体" w:cs="宋体"/>
          <w:b/>
          <w:bCs/>
          <w:color w:val="auto"/>
          <w:highlight w:val="none"/>
        </w:rPr>
        <w:t xml:space="preserve">2.获取方式：</w:t>
      </w:r>
      <w:r>
        <w:rPr>
          <w:rFonts w:hint="eastAsia" w:ascii="宋体" w:hAnsi="宋体"/>
          <w:b/>
          <w:bCs/>
          <w:color w:val="auto"/>
          <w:szCs w:val="21"/>
          <w:highlight w:val="none"/>
        </w:rPr>
        <w:t xml:space="preserve">本项目采用网上注册登记方式。</w:t>
      </w:r>
      <w:r/>
    </w:p>
    <w:p>
      <w:pPr>
        <w:ind w:firstLine="54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3.潜在供应商访问政府采购管理交易系统（苏采云）的网络地址和方法：</w:t>
      </w:r>
      <w:r/>
    </w:p>
    <w:p>
      <w:pPr>
        <w:ind w:firstLine="600"/>
        <w:spacing w:line="360" w:lineRule="auto"/>
        <w:rPr>
          <w:rFonts w:hint="eastAsia" w:ascii="宋体" w:hAnsi="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600"/>
        <w:spacing w:line="360" w:lineRule="auto"/>
        <w:rPr>
          <w:rFonts w:hint="eastAsia" w:ascii="宋体" w:hAnsi="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highlight w:val="none"/>
        </w:rPr>
        <w:t xml:space="preserve">（2）“CA数字证书”的获取：供应商需办理CA锁，“苏采云”系统目前仅支持“苏采云”系统下的政务CA，省内各地区办理的“苏采云”系统下的政务CA全省通用。</w:t>
      </w:r>
      <w:r/>
    </w:p>
    <w:p>
      <w:pPr>
        <w:ind w:firstLine="600"/>
        <w:spacing w:line="360" w:lineRule="auto"/>
        <w:rPr>
          <w:rFonts w:hint="eastAsia" w:ascii="宋体" w:hAnsi="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highlight w:val="none"/>
        </w:rPr>
        <w:t xml:space="preserve">（3）“CA数字证书”的办理材料以及供应商操作手册详见：</w:t>
      </w:r>
      <w:r/>
    </w:p>
    <w:p>
      <w:pPr>
        <w:ind w:firstLine="600"/>
        <w:spacing w:line="360" w:lineRule="auto"/>
        <w:rPr>
          <w:rFonts w:hint="eastAsia" w:ascii="宋体" w:hAnsi="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highlight w:val="none"/>
        </w:rPr>
        <w:t xml:space="preserve">http://zfcg.yangzhou.gov.cn/zfcg/xzzx/202309/4d7de1f7865f4a2894fc22bc452f94d8.shtml。</w:t>
      </w:r>
      <w:r/>
    </w:p>
    <w:p>
      <w:pPr>
        <w:ind w:firstLine="600"/>
        <w:spacing w:line="360" w:lineRule="auto"/>
        <w:rPr>
          <w:rFonts w:hint="eastAsia" w:ascii="宋体" w:hAnsi="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highlight w:val="none"/>
        </w:rPr>
        <w:t xml:space="preserve">（4）潜在供应商访问“苏采云”系统的网络地址和方法：“苏采云”系统的网址：http://jszfcg.jsczt.cn/。</w:t>
      </w:r>
      <w:r/>
    </w:p>
    <w:p>
      <w:pPr>
        <w:ind w:firstLine="600"/>
        <w:spacing w:line="360" w:lineRule="auto"/>
        <w:rPr>
          <w:rFonts w:hint="eastAsia" w:ascii="宋体" w:hAnsi="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highlight w:val="none"/>
        </w:rPr>
        <w:t xml:space="preserve">（5）采购文件（后缀名为“.kedt”）、供应商操作手册及政府采购客户端工具也可通过“苏采云”系统--已报名项目--报名详情页面内相应链接进行下载。</w:t>
      </w:r>
      <w:r/>
    </w:p>
    <w:p>
      <w:pPr>
        <w:ind w:firstLine="600"/>
        <w:spacing w:line="360" w:lineRule="auto"/>
        <w:rPr>
          <w:rFonts w:hint="eastAsia" w:ascii="宋体" w:hAnsi="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highlight w:val="none"/>
        </w:rPr>
        <w:t xml:space="preserve">（6）招标代理机构（采购代理机构）将数据电文形式的采购文件加载至“苏采云”系统，供潜在供应商下载或者查阅。</w:t>
      </w:r>
      <w:r/>
    </w:p>
    <w:p>
      <w:pPr>
        <w:ind w:firstLine="60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highlight w:val="none"/>
        </w:rPr>
        <w:t xml:space="preserve">（7）苏采云系统使用谷歌浏览器参与不见面开标。</w:t>
      </w:r>
      <w:r/>
    </w:p>
    <w:p>
      <w:pPr>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四、提交投标文件</w:t>
      </w:r>
      <w:bookmarkEnd w:id="18"/>
      <w:r/>
      <w:bookmarkEnd w:id="19"/>
      <w:r>
        <w:rPr>
          <w:rFonts w:hint="eastAsia" w:ascii="宋体" w:hAnsi="宋体" w:cs="宋体"/>
          <w:b/>
          <w:bCs/>
          <w:color w:val="auto"/>
          <w:highlight w:val="none"/>
        </w:rPr>
        <w:t xml:space="preserve">截止时间、开标时间和地点</w:t>
      </w:r>
      <w:bookmarkEnd w:id="20"/>
      <w:r/>
      <w:bookmarkEnd w:id="21"/>
      <w:r/>
      <w:bookmarkEnd w:id="22"/>
      <w:r/>
      <w:r/>
    </w:p>
    <w:p>
      <w:pPr>
        <w:ind w:firstLine="420"/>
        <w:spacing w:line="360" w:lineRule="auto"/>
        <w:rPr>
          <w:rFonts w:hint="eastAsia" w:ascii="宋体" w:hAnsi="宋体" w:cs="宋体"/>
          <w:bCs/>
          <w:color w:val="auto"/>
          <w:szCs w:val="21"/>
          <w:highlight w:val="none"/>
          <w:u w:val="single"/>
        </w:rPr>
      </w:pPr>
      <w:r>
        <w:rPr>
          <w:rFonts w:hint="eastAsia" w:ascii="宋体" w:hAnsi="宋体" w:cs="宋体"/>
          <w:color w:val="auto"/>
          <w:highlight w:val="none"/>
        </w:rPr>
        <w:t xml:space="preserve">1.时间：</w:t>
      </w:r>
      <w:r>
        <w:rPr>
          <w:rFonts w:hint="eastAsia" w:ascii="宋体" w:hAnsi="宋体" w:cs="宋体"/>
          <w:bCs/>
          <w:color w:val="auto"/>
          <w:highlight w:val="none"/>
          <w:u w:val="single"/>
        </w:rPr>
        <w:t xml:space="preserve">2026年</w:t>
      </w:r>
      <w:r>
        <w:rPr>
          <w:rFonts w:hint="eastAsia" w:ascii="宋体" w:hAnsi="宋体" w:cs="宋体"/>
          <w:bCs/>
          <w:color w:val="auto"/>
          <w:highlight w:val="none"/>
          <w:u w:val="single"/>
          <w:lang w:val="en-US" w:eastAsia="zh-CN"/>
        </w:rPr>
        <w:t xml:space="preserve">9</w:t>
      </w:r>
      <w:r>
        <w:rPr>
          <w:rFonts w:hint="eastAsia" w:ascii="宋体" w:hAnsi="宋体" w:cs="宋体"/>
          <w:bCs/>
          <w:color w:val="auto"/>
          <w:highlight w:val="none"/>
          <w:u w:val="single"/>
        </w:rPr>
        <w:t xml:space="preserve">月</w:t>
      </w:r>
      <w:r>
        <w:rPr>
          <w:rFonts w:hint="eastAsia" w:ascii="宋体" w:hAnsi="宋体" w:cs="宋体"/>
          <w:bCs/>
          <w:color w:val="auto"/>
          <w:highlight w:val="none"/>
          <w:u w:val="single"/>
          <w:lang w:val="en-US" w:eastAsia="zh-CN"/>
        </w:rPr>
        <w:t xml:space="preserve">29</w:t>
      </w:r>
      <w:r>
        <w:rPr>
          <w:rFonts w:hint="eastAsia" w:ascii="宋体" w:hAnsi="宋体" w:cs="宋体"/>
          <w:bCs/>
          <w:color w:val="auto"/>
          <w:highlight w:val="none"/>
          <w:u w:val="single"/>
        </w:rPr>
        <w:t xml:space="preserve">日</w:t>
      </w:r>
      <w:r>
        <w:rPr>
          <w:rFonts w:ascii="宋体" w:hAnsi="宋体" w:cs="宋体"/>
          <w:bCs/>
          <w:color w:val="auto"/>
          <w:highlight w:val="none"/>
          <w:u w:val="single"/>
        </w:rPr>
        <w:t xml:space="preserve"> </w:t>
      </w:r>
      <w:r>
        <w:rPr>
          <w:rFonts w:hint="eastAsia" w:ascii="宋体" w:hAnsi="宋体" w:cs="宋体"/>
          <w:bCs/>
          <w:color w:val="auto"/>
          <w:highlight w:val="none"/>
          <w:u w:val="single"/>
        </w:rPr>
        <w:t xml:space="preserve">9点30分</w:t>
      </w:r>
      <w:r>
        <w:rPr>
          <w:rFonts w:hint="eastAsia" w:ascii="宋体" w:hAnsi="宋体"/>
          <w:color w:val="auto"/>
          <w:highlight w:val="none"/>
        </w:rPr>
        <w:t xml:space="preserve">（北京时间）</w:t>
      </w:r>
      <w:r/>
    </w:p>
    <w:p>
      <w:pPr>
        <w:ind w:firstLine="420"/>
        <w:spacing w:line="360" w:lineRule="auto"/>
        <w:rPr>
          <w:rFonts w:hint="eastAsia" w:ascii="宋体" w:hAnsi="宋体" w:cs="宋体"/>
          <w:bCs/>
          <w:color w:val="auto"/>
          <w:highlight w:val="none"/>
          <w:u w:val="single"/>
        </w:rPr>
      </w:pPr>
      <w:r>
        <w:rPr>
          <w:rFonts w:hint="eastAsia" w:ascii="宋体" w:hAnsi="宋体" w:cs="宋体"/>
          <w:color w:val="auto"/>
          <w:highlight w:val="none"/>
        </w:rPr>
        <w:t xml:space="preserve">2.开标地点：</w:t>
      </w:r>
      <w:r>
        <w:rPr>
          <w:rFonts w:hint="eastAsia" w:ascii="宋体" w:hAnsi="宋体"/>
          <w:b/>
          <w:color w:val="auto"/>
          <w:szCs w:val="21"/>
          <w:highlight w:val="none"/>
        </w:rPr>
        <w:t xml:space="preserve">“苏采云”系统（网址：http://jszfcg.jsczt.cn/）</w:t>
      </w:r>
      <w:r/>
    </w:p>
    <w:p>
      <w:pPr>
        <w:spacing w:line="360" w:lineRule="auto"/>
        <w:tabs>
          <w:tab w:val="left" w:pos="266" w:leader="none"/>
        </w:tabs>
        <w:rPr>
          <w:rFonts w:hint="eastAsia" w:ascii="宋体" w:hAnsi="宋体" w:cs="宋体"/>
          <w:b/>
          <w:bCs/>
          <w:color w:val="auto"/>
          <w:highlight w:val="none"/>
        </w:rPr>
      </w:pPr>
      <w:r/>
      <w:bookmarkStart w:id="23" w:name="_Toc35393625"/>
      <w:r/>
      <w:bookmarkStart w:id="24" w:name="_Toc28359007"/>
      <w:r/>
      <w:bookmarkStart w:id="25" w:name="_Toc28359084"/>
      <w:r/>
      <w:bookmarkStart w:id="26" w:name="_Toc38985267"/>
      <w:r/>
      <w:bookmarkStart w:id="27" w:name="_Toc35393794"/>
      <w:r>
        <w:rPr>
          <w:rFonts w:hint="eastAsia" w:ascii="宋体" w:hAnsi="宋体" w:cs="宋体"/>
          <w:b/>
          <w:bCs/>
          <w:color w:val="auto"/>
          <w:highlight w:val="none"/>
        </w:rPr>
        <w:t xml:space="preserve">五、公告期限</w:t>
      </w:r>
      <w:bookmarkEnd w:id="23"/>
      <w:r/>
      <w:bookmarkEnd w:id="24"/>
      <w:r/>
      <w:bookmarkEnd w:id="25"/>
      <w:r/>
      <w:bookmarkEnd w:id="26"/>
      <w:r/>
      <w:bookmarkEnd w:id="27"/>
      <w:r/>
      <w:r/>
    </w:p>
    <w:p>
      <w:pPr>
        <w:ind w:firstLine="420"/>
        <w:spacing w:line="360" w:lineRule="auto"/>
        <w:rPr>
          <w:rFonts w:hint="eastAsia" w:ascii="宋体" w:hAnsi="宋体" w:cs="宋体"/>
          <w:color w:val="auto"/>
          <w:highlight w:val="none"/>
        </w:rPr>
      </w:pPr>
      <w:r/>
      <w:bookmarkStart w:id="28" w:name="_Toc38985268"/>
      <w:r/>
      <w:bookmarkStart w:id="29" w:name="_Toc35393626"/>
      <w:r/>
      <w:bookmarkStart w:id="30" w:name="_Toc35393795"/>
      <w:r>
        <w:rPr>
          <w:rFonts w:hint="eastAsia" w:ascii="宋体" w:hAnsi="宋体" w:cs="宋体"/>
          <w:color w:val="auto"/>
          <w:highlight w:val="none"/>
        </w:rPr>
        <w:t xml:space="preserve">自本公告发布之日起5个工作日。</w:t>
      </w:r>
      <w:r/>
    </w:p>
    <w:p>
      <w:pPr>
        <w:numPr>
          <w:ilvl w:val="0"/>
          <w:numId w:val="2"/>
        </w:numPr>
        <w:spacing w:line="360" w:lineRule="auto"/>
        <w:tabs>
          <w:tab w:val="left" w:pos="266" w:leader="none"/>
        </w:tabs>
        <w:rPr>
          <w:color w:val="auto"/>
          <w:highlight w:val="none"/>
        </w:rPr>
      </w:pPr>
      <w:r>
        <w:rPr>
          <w:rFonts w:hint="eastAsia" w:ascii="宋体" w:hAnsi="宋体" w:cs="宋体"/>
          <w:b/>
          <w:bCs/>
          <w:color w:val="auto"/>
          <w:highlight w:val="none"/>
        </w:rPr>
        <w:t xml:space="preserve">其他补充事宜</w:t>
      </w:r>
      <w:bookmarkEnd w:id="28"/>
      <w:r/>
      <w:bookmarkEnd w:id="29"/>
      <w:r/>
      <w:bookmarkEnd w:id="30"/>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1.本次采购</w:t>
      </w:r>
      <w:r>
        <w:rPr>
          <w:rFonts w:hint="eastAsia" w:ascii="宋体" w:hAnsi="宋体"/>
          <w:b/>
          <w:bCs/>
          <w:color w:val="auto"/>
          <w:szCs w:val="21"/>
          <w:highlight w:val="none"/>
        </w:rPr>
        <w:t xml:space="preserve">采用“政府采购管理交易系统（苏采云）”，招标、投标、评标和中标结果发布全程电子化，开标方式为不见面开标。投标人应当按照</w:t>
      </w:r>
      <w:r>
        <w:rPr>
          <w:rFonts w:hint="eastAsia" w:ascii="宋体" w:hAnsi="宋体" w:cs="宋体"/>
          <w:b/>
          <w:bCs/>
          <w:color w:val="auto"/>
          <w:highlight w:val="none"/>
        </w:rPr>
        <w:t xml:space="preserve">《政府采购管理交易系统（苏采云）供应商操作手册》</w:t>
      </w:r>
      <w:r>
        <w:rPr>
          <w:rFonts w:hint="eastAsia" w:ascii="宋体" w:hAnsi="宋体"/>
          <w:b/>
          <w:bCs/>
          <w:color w:val="auto"/>
          <w:szCs w:val="21"/>
          <w:highlight w:val="none"/>
        </w:rPr>
        <w:t xml:space="preserve">参加投标活动。</w:t>
      </w:r>
      <w:r>
        <w:rPr>
          <w:rFonts w:hint="eastAsia" w:ascii="宋体" w:hAnsi="宋体"/>
          <w:b/>
          <w:bCs/>
          <w:color w:val="auto"/>
          <w:highlight w:val="none"/>
        </w:rPr>
        <w:t xml:space="preserve">如投标人未按要求操作，由此所产生的风险由投标人自行承担。</w:t>
      </w:r>
      <w:r/>
    </w:p>
    <w:p>
      <w:pPr>
        <w:ind w:firstLine="422"/>
        <w:spacing w:line="360" w:lineRule="auto"/>
        <w:shd w:val="clear" w:color="auto" w:fill="ffffff" w:themeFill="background1"/>
        <w:rPr>
          <w:rFonts w:hint="eastAsia" w:ascii="宋体" w:hAnsi="宋体"/>
          <w:b/>
          <w:bCs/>
          <w:color w:val="auto"/>
          <w:szCs w:val="21"/>
          <w:highlight w:val="none"/>
        </w:rPr>
      </w:pPr>
      <w:r>
        <w:rPr>
          <w:rFonts w:hint="eastAsia" w:ascii="宋体" w:hAnsi="宋体"/>
          <w:b/>
          <w:bCs/>
          <w:color w:val="auto"/>
          <w:highlight w:val="none"/>
        </w:rPr>
        <w:t xml:space="preserve">2.</w:t>
      </w:r>
      <w:r>
        <w:rPr>
          <w:rFonts w:hint="eastAsia" w:ascii="宋体" w:hAnsi="宋体" w:cs="宋体"/>
          <w:b/>
          <w:bCs/>
          <w:color w:val="auto"/>
          <w:highlight w:val="none"/>
        </w:rPr>
        <w:t xml:space="preserve">供应商如确定参加投标，可自行下载招标文件及有关资料，按照《操作手册》进行注</w:t>
      </w:r>
      <w:r>
        <w:rPr>
          <w:rFonts w:hint="eastAsia" w:ascii="宋体" w:hAnsi="宋体"/>
          <w:b/>
          <w:bCs/>
          <w:color w:val="auto"/>
          <w:szCs w:val="21"/>
          <w:highlight w:val="none"/>
        </w:rPr>
        <w:t xml:space="preserve">册，领取CA和办理电子签章，并按《操作手册》要求制作、上传电子投标文件，技术支持联系方式：13813140731。</w:t>
      </w:r>
      <w:r/>
    </w:p>
    <w:p>
      <w:pPr>
        <w:ind w:firstLine="422"/>
        <w:jc w:val="left"/>
        <w:spacing w:line="360" w:lineRule="auto"/>
        <w:widowControl/>
        <w:rPr>
          <w:rFonts w:hint="eastAsia" w:ascii="宋体" w:hAnsi="宋体" w:cs="宋体"/>
          <w:b/>
          <w:color w:val="auto"/>
          <w:highlight w:val="none"/>
        </w:rPr>
      </w:pPr>
      <w:r>
        <w:rPr>
          <w:rFonts w:hint="eastAsia" w:ascii="宋体" w:hAnsi="宋体" w:cs="宋体"/>
          <w:b/>
          <w:color w:val="auto"/>
          <w:highlight w:val="none"/>
        </w:rPr>
        <w:t xml:space="preserve">3.潜在投标人对招标文件项目需求部分的询问、质疑请向采购人提出，由采购人负责答复。</w:t>
      </w:r>
      <w:r/>
    </w:p>
    <w:p>
      <w:pPr>
        <w:ind w:firstLine="420"/>
        <w:spacing w:line="360" w:lineRule="auto"/>
        <w:rPr>
          <w:rFonts w:hint="eastAsia" w:ascii="宋体" w:hAnsi="宋体" w:cs="宋体"/>
          <w:b/>
          <w:bCs/>
          <w:color w:val="auto"/>
          <w:highlight w:val="none"/>
        </w:rPr>
      </w:pPr>
      <w:r>
        <w:rPr>
          <w:rFonts w:hint="eastAsia" w:ascii="宋体" w:hAnsi="宋体" w:cs="宋体"/>
          <w:b/>
          <w:bCs/>
          <w:color w:val="auto"/>
          <w:szCs w:val="21"/>
          <w:highlight w:val="none"/>
        </w:rPr>
        <w:t xml:space="preserve">4.</w:t>
      </w:r>
      <w:r>
        <w:rPr>
          <w:rFonts w:hint="eastAsia" w:ascii="宋体" w:hAnsi="宋体"/>
          <w:b/>
          <w:bCs/>
          <w:color w:val="auto"/>
          <w:highlight w:val="none"/>
        </w:rPr>
        <w:t xml:space="preserve">本次招标不收取投标保证金。</w:t>
      </w:r>
      <w:r/>
    </w:p>
    <w:p>
      <w:pPr>
        <w:ind w:firstLine="420"/>
        <w:spacing w:line="360" w:lineRule="auto"/>
        <w:rPr>
          <w:rFonts w:hint="eastAsia" w:ascii="宋体" w:hAnsi="宋体" w:cs="宋体"/>
          <w:b/>
          <w:bCs/>
          <w:color w:val="auto"/>
          <w:highlight w:val="none"/>
        </w:rPr>
      </w:pPr>
      <w:r>
        <w:rPr>
          <w:rFonts w:hint="eastAsia" w:ascii="宋体" w:hAnsi="宋体"/>
          <w:b/>
          <w:bCs/>
          <w:color w:val="auto"/>
          <w:szCs w:val="21"/>
          <w:highlight w:val="none"/>
        </w:rPr>
        <w:t xml:space="preserve">5.</w:t>
      </w:r>
      <w:r>
        <w:rPr>
          <w:rFonts w:hint="eastAsia" w:ascii="宋体" w:hAnsi="宋体" w:cs="宋体"/>
          <w:b/>
          <w:bCs/>
          <w:color w:val="auto"/>
          <w:highlight w:val="none"/>
        </w:rPr>
        <w:t xml:space="preserve">有关本次招标的事项若存在变动或修改，敬请及时关注“扬州市政府采购网”、“江苏政府采购网”发布的信息。</w:t>
      </w:r>
      <w:r/>
    </w:p>
    <w:p>
      <w:pPr>
        <w:ind w:firstLine="420"/>
        <w:spacing w:line="360" w:lineRule="auto"/>
        <w:rPr>
          <w:rFonts w:hint="eastAsia" w:ascii="宋体" w:hAnsi="宋体" w:cs="宋体"/>
          <w:b/>
          <w:i/>
          <w:iCs/>
          <w:color w:val="auto"/>
          <w:highlight w:val="none"/>
          <w:u w:val="single"/>
        </w:rPr>
      </w:pPr>
      <w:r>
        <w:rPr>
          <w:rFonts w:hint="eastAsia" w:ascii="宋体" w:hAnsi="宋体" w:cs="宋体"/>
          <w:b/>
          <w:i/>
          <w:iCs/>
          <w:color w:val="auto"/>
          <w:highlight w:val="none"/>
          <w:u w:val="single"/>
        </w:rPr>
        <w:t xml:space="preserve">6.本项目招标文件中所有斜体下划线部分为实质性条款，如不满足，则为无效投标。</w:t>
      </w:r>
      <w:r/>
    </w:p>
    <w:p>
      <w:pPr>
        <w:ind w:firstLine="420"/>
        <w:spacing w:line="360" w:lineRule="auto"/>
        <w:rPr>
          <w:rFonts w:hint="eastAsia" w:ascii="宋体" w:hAnsi="宋体" w:cs="宋体"/>
          <w:b/>
          <w:i/>
          <w:iCs/>
          <w:color w:val="auto"/>
          <w:highlight w:val="none"/>
          <w:u w:val="single"/>
        </w:rPr>
      </w:pPr>
      <w:r>
        <w:rPr>
          <w:rFonts w:hint="eastAsia" w:ascii="宋体" w:hAnsi="宋体" w:cs="宋体"/>
          <w:b/>
          <w:color w:val="auto"/>
          <w:highlight w:val="none"/>
        </w:rPr>
        <w:t xml:space="preserve">7.根据《政府采购促进中小企业发展管理办法》（财库【2020】46号）文件的要求，本项目对小型和微型企业产品价格给予20%的扣除，用扣除后的价格参与评审。请各参与项目的供应商按采购文件的要求如实填写《中小企业声明函》，并上传于投标文件中。未提供《中小企业声明函》的，概不享用上述政策。</w:t>
      </w:r>
      <w:r/>
    </w:p>
    <w:p>
      <w:pPr>
        <w:spacing w:line="360" w:lineRule="auto"/>
        <w:tabs>
          <w:tab w:val="left" w:pos="266" w:leader="none"/>
        </w:tabs>
        <w:rPr>
          <w:rFonts w:hint="eastAsia" w:ascii="宋体" w:hAnsi="宋体" w:cs="宋体"/>
          <w:b/>
          <w:bCs/>
          <w:color w:val="auto"/>
          <w:highlight w:val="none"/>
        </w:rPr>
      </w:pPr>
      <w:r/>
      <w:bookmarkStart w:id="31" w:name="_Toc28359085"/>
      <w:r/>
      <w:bookmarkStart w:id="32" w:name="_Toc35393796"/>
      <w:r/>
      <w:bookmarkStart w:id="33" w:name="_Toc28359008"/>
      <w:r/>
      <w:bookmarkStart w:id="34" w:name="_Toc38985269"/>
      <w:r/>
      <w:bookmarkStart w:id="35" w:name="_Toc35393627"/>
      <w:r>
        <w:rPr>
          <w:rFonts w:hint="eastAsia" w:ascii="宋体" w:hAnsi="宋体" w:cs="宋体"/>
          <w:b/>
          <w:bCs/>
          <w:color w:val="auto"/>
          <w:highlight w:val="none"/>
        </w:rPr>
        <w:t xml:space="preserve">七、本次招标联系方式</w:t>
      </w:r>
      <w:bookmarkEnd w:id="31"/>
      <w:r/>
      <w:bookmarkEnd w:id="32"/>
      <w:r/>
      <w:bookmarkEnd w:id="33"/>
      <w:r/>
      <w:bookmarkEnd w:id="34"/>
      <w:r/>
      <w:bookmarkEnd w:id="35"/>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highlight w:val="none"/>
        </w:rPr>
        <w:t xml:space="preserve">1.采购人信息</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名称：扬州市公安局江都分局</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地址：扬州市江都区江洲路66号</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联系人：曹先生</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联系方式：15952583609</w:t>
      </w:r>
      <w:r/>
    </w:p>
    <w:p>
      <w:pPr>
        <w:pStyle w:val="814"/>
        <w:spacing w:line="360" w:lineRule="auto"/>
        <w:rPr>
          <w:rFonts w:hint="eastAsia" w:ascii="宋体" w:hAns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采购代理机构信息</w:t>
      </w:r>
      <w:r/>
    </w:p>
    <w:p>
      <w:pPr>
        <w:ind w:firstLine="420"/>
        <w:spacing w:line="360" w:lineRule="auto"/>
        <w:rPr>
          <w:rFonts w:ascii="宋体"/>
          <w:color w:val="auto"/>
          <w:highlight w:val="none"/>
        </w:rPr>
      </w:pPr>
      <w:r>
        <w:rPr>
          <w:rFonts w:hint="eastAsia" w:ascii="宋体" w:hAnsi="宋体"/>
          <w:color w:val="auto"/>
          <w:highlight w:val="none"/>
        </w:rPr>
        <w:t xml:space="preserve">名称：扬州星光建设咨询有限公司</w:t>
      </w:r>
      <w:r/>
    </w:p>
    <w:p>
      <w:pPr>
        <w:ind w:firstLine="420"/>
        <w:spacing w:line="360" w:lineRule="auto"/>
        <w:rPr>
          <w:rFonts w:ascii="宋体"/>
          <w:color w:val="auto"/>
          <w:highlight w:val="none"/>
        </w:rPr>
      </w:pPr>
      <w:r>
        <w:rPr>
          <w:rFonts w:hint="eastAsia" w:ascii="宋体" w:hAnsi="宋体"/>
          <w:color w:val="auto"/>
          <w:highlight w:val="none"/>
        </w:rPr>
        <w:t xml:space="preserve">地址：扬州市江都区金御文昌7栋8楼</w:t>
      </w:r>
      <w:r/>
    </w:p>
    <w:p>
      <w:pPr>
        <w:ind w:firstLine="420"/>
        <w:spacing w:line="360" w:lineRule="auto"/>
        <w:rPr>
          <w:rFonts w:hint="default" w:ascii="宋体" w:hAnsi="宋体" w:eastAsia="宋体"/>
          <w:color w:val="auto"/>
          <w:highlight w:val="none"/>
          <w:lang w:val="en-US" w:eastAsia="zh-CN"/>
        </w:rPr>
      </w:pPr>
      <w:r>
        <w:rPr>
          <w:rFonts w:hint="eastAsia" w:ascii="宋体" w:hAnsi="宋体"/>
          <w:color w:val="auto"/>
          <w:highlight w:val="none"/>
          <w:lang w:val="en-US" w:eastAsia="zh-CN"/>
        </w:rPr>
        <w:t xml:space="preserve">联系人：张女士</w:t>
      </w:r>
      <w:r/>
    </w:p>
    <w:p>
      <w:pPr>
        <w:ind w:firstLine="420"/>
        <w:spacing w:line="360" w:lineRule="auto"/>
        <w:rPr>
          <w:rFonts w:ascii="宋体"/>
          <w:color w:val="auto"/>
          <w:highlight w:val="none"/>
        </w:rPr>
      </w:pPr>
      <w:r>
        <w:rPr>
          <w:rFonts w:hint="eastAsia" w:ascii="宋体" w:hAnsi="宋体"/>
          <w:color w:val="auto"/>
          <w:highlight w:val="none"/>
        </w:rPr>
        <w:t xml:space="preserve">联系方式：</w:t>
      </w:r>
      <w:r>
        <w:rPr>
          <w:rFonts w:ascii="宋体" w:hAnsi="宋体"/>
          <w:color w:val="auto"/>
          <w:highlight w:val="none"/>
        </w:rPr>
        <w:t xml:space="preserve">0514-8623</w:t>
      </w:r>
      <w:r>
        <w:rPr>
          <w:rFonts w:hint="eastAsia" w:ascii="宋体" w:hAnsi="宋体"/>
          <w:color w:val="auto"/>
          <w:highlight w:val="none"/>
        </w:rPr>
        <w:t xml:space="preserve">1609</w:t>
      </w:r>
      <w:r/>
    </w:p>
    <w:p>
      <w:pPr>
        <w:pStyle w:val="814"/>
        <w:spacing w:line="360" w:lineRule="auto"/>
        <w:rPr>
          <w:rFonts w:hint="eastAsia" w:ascii="宋体" w:hAnsi="宋体" w:cs="宋体"/>
          <w:color w:val="auto"/>
          <w:highlight w:val="none"/>
        </w:rPr>
      </w:pPr>
      <w:r/>
      <w:bookmarkStart w:id="36" w:name="_Toc35393639"/>
      <w:r/>
      <w:bookmarkStart w:id="37" w:name="_Toc35393808"/>
      <w:r/>
      <w:bookmarkStart w:id="38" w:name="_Toc28359098"/>
      <w:r/>
      <w:bookmarkStart w:id="39" w:name="_Toc28359021"/>
      <w:r>
        <w:rPr>
          <w:rFonts w:ascii="宋体" w:hAnsi="宋体" w:cs="宋体"/>
          <w:color w:val="auto"/>
          <w:highlight w:val="none"/>
        </w:rPr>
        <w:t xml:space="preserve">3.</w:t>
      </w:r>
      <w:r>
        <w:rPr>
          <w:rFonts w:hint="eastAsia" w:ascii="宋体" w:hAnsi="宋体" w:cs="宋体"/>
          <w:color w:val="auto"/>
          <w:highlight w:val="none"/>
        </w:rPr>
        <w:t xml:space="preserve">项目联系方式</w:t>
      </w:r>
      <w:bookmarkEnd w:id="36"/>
      <w:r/>
      <w:bookmarkEnd w:id="37"/>
      <w:r/>
      <w:bookmarkEnd w:id="38"/>
      <w:r/>
      <w:bookmarkEnd w:id="39"/>
      <w:r/>
      <w:r/>
    </w:p>
    <w:p>
      <w:pPr>
        <w:pStyle w:val="821"/>
        <w:ind w:firstLine="420"/>
        <w:spacing w:line="360" w:lineRule="auto"/>
        <w:rPr>
          <w:rFonts w:hint="eastAsia" w:hAnsi="宋体"/>
          <w:color w:val="auto"/>
          <w:sz w:val="21"/>
          <w:highlight w:val="none"/>
        </w:rPr>
      </w:pPr>
      <w:r>
        <w:rPr>
          <w:rFonts w:hint="eastAsia" w:hAnsi="宋体"/>
          <w:color w:val="auto"/>
          <w:sz w:val="21"/>
          <w:highlight w:val="none"/>
        </w:rPr>
        <w:t xml:space="preserve">项目联系人：张女士</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电话：</w:t>
      </w:r>
      <w:r>
        <w:rPr>
          <w:rFonts w:ascii="宋体" w:hAnsi="宋体"/>
          <w:color w:val="auto"/>
          <w:highlight w:val="none"/>
        </w:rPr>
        <w:t xml:space="preserve"> 0514-8623</w:t>
      </w:r>
      <w:r>
        <w:rPr>
          <w:rFonts w:hint="eastAsia" w:ascii="宋体" w:hAnsi="宋体"/>
          <w:color w:val="auto"/>
          <w:highlight w:val="none"/>
        </w:rPr>
        <w:t xml:space="preserve">1609</w:t>
      </w:r>
      <w:r/>
    </w:p>
    <w:p>
      <w:pPr>
        <w:rPr>
          <w:color w:val="auto"/>
          <w:highlight w:val="none"/>
        </w:rPr>
      </w:pPr>
      <w:r>
        <w:rPr>
          <w:color w:val="auto"/>
          <w:highlight w:val="none"/>
        </w:rPr>
        <w:br w:type="page" w:clear="all"/>
      </w:r>
      <w:r/>
    </w:p>
    <w:p>
      <w:pPr>
        <w:pStyle w:val="802"/>
        <w:jc w:val="center"/>
        <w:spacing w:line="240" w:lineRule="auto"/>
        <w:rPr>
          <w:rFonts w:hint="eastAsia" w:ascii="宋体" w:hAnsi="宋体"/>
          <w:color w:val="auto"/>
          <w:szCs w:val="36"/>
          <w:highlight w:val="none"/>
        </w:rPr>
      </w:pPr>
      <w:r/>
      <w:bookmarkStart w:id="40" w:name="_Toc55204178"/>
      <w:r>
        <w:rPr>
          <w:rFonts w:hint="eastAsia" w:ascii="宋体" w:hAnsi="宋体"/>
          <w:color w:val="auto"/>
          <w:szCs w:val="36"/>
          <w:highlight w:val="none"/>
        </w:rPr>
        <w:t xml:space="preserve">第二章 投标人须知</w:t>
      </w:r>
      <w:bookmarkEnd w:id="40"/>
      <w:r/>
      <w:r/>
    </w:p>
    <w:p>
      <w:pPr>
        <w:ind w:firstLine="422"/>
        <w:rPr>
          <w:rFonts w:hint="eastAsia" w:ascii="宋体" w:hAnsi="宋体"/>
          <w:b/>
          <w:color w:val="auto"/>
          <w:szCs w:val="21"/>
          <w:highlight w:val="none"/>
        </w:rPr>
      </w:pPr>
      <w:r>
        <w:rPr>
          <w:rFonts w:hint="eastAsia" w:ascii="宋体" w:hAnsi="宋体"/>
          <w:b/>
          <w:color w:val="auto"/>
          <w:szCs w:val="21"/>
          <w:highlight w:val="none"/>
        </w:rPr>
        <w:t xml:space="preserve">1、招标方式</w:t>
      </w:r>
      <w:r/>
    </w:p>
    <w:p>
      <w:pPr>
        <w:ind w:firstLine="420"/>
        <w:spacing w:line="440" w:lineRule="exact"/>
        <w:rPr>
          <w:rFonts w:hint="eastAsia" w:ascii="宋体" w:hAnsi="宋体"/>
          <w:bCs/>
          <w:color w:val="auto"/>
          <w:szCs w:val="21"/>
          <w:highlight w:val="none"/>
        </w:rPr>
      </w:pPr>
      <w:r>
        <w:rPr>
          <w:rFonts w:hint="eastAsia" w:ascii="宋体" w:hAnsi="宋体"/>
          <w:bCs/>
          <w:color w:val="auto"/>
          <w:szCs w:val="21"/>
          <w:highlight w:val="none"/>
        </w:rPr>
        <w:t xml:space="preserve">1.1 本次招标采取公开招标方式，本招标文件仅适用于</w:t>
      </w:r>
      <w:r>
        <w:rPr>
          <w:rFonts w:hint="eastAsia" w:ascii="宋体" w:hAnsi="宋体"/>
          <w:color w:val="auto"/>
          <w:szCs w:val="21"/>
          <w:highlight w:val="none"/>
        </w:rPr>
        <w:t xml:space="preserve">JSZC-321012-XGZX-G2026-00</w:t>
      </w:r>
      <w:r>
        <w:rPr>
          <w:rFonts w:hint="eastAsia" w:ascii="宋体" w:hAnsi="宋体"/>
          <w:color w:val="auto"/>
          <w:szCs w:val="21"/>
          <w:highlight w:val="none"/>
          <w:lang w:val="en-US" w:eastAsia="zh-CN"/>
        </w:rPr>
        <w:t xml:space="preserve">03</w:t>
      </w:r>
      <w:r>
        <w:rPr>
          <w:rFonts w:hint="eastAsia" w:ascii="宋体" w:hAnsi="宋体"/>
          <w:bCs/>
          <w:color w:val="auto"/>
          <w:szCs w:val="21"/>
          <w:highlight w:val="none"/>
        </w:rPr>
        <w:t xml:space="preserve">号项目。</w:t>
      </w:r>
      <w:r/>
    </w:p>
    <w:p>
      <w:pPr>
        <w:ind w:firstLine="422"/>
        <w:spacing w:line="440" w:lineRule="exact"/>
        <w:rPr>
          <w:rFonts w:hint="eastAsia" w:ascii="宋体" w:hAnsi="宋体"/>
          <w:b/>
          <w:color w:val="auto"/>
          <w:szCs w:val="21"/>
          <w:highlight w:val="none"/>
        </w:rPr>
      </w:pPr>
      <w:r>
        <w:rPr>
          <w:rFonts w:hint="eastAsia" w:ascii="宋体" w:hAnsi="宋体"/>
          <w:b/>
          <w:color w:val="auto"/>
          <w:szCs w:val="21"/>
          <w:highlight w:val="none"/>
        </w:rPr>
        <w:t xml:space="preserve">2、投标人</w:t>
      </w:r>
      <w:r/>
    </w:p>
    <w:p>
      <w:pPr>
        <w:ind w:firstLine="420"/>
        <w:spacing w:line="440" w:lineRule="exact"/>
        <w:rPr>
          <w:rFonts w:hint="eastAsia" w:ascii="宋体" w:hAnsi="宋体"/>
          <w:bCs/>
          <w:color w:val="auto"/>
          <w:szCs w:val="21"/>
          <w:highlight w:val="none"/>
        </w:rPr>
      </w:pPr>
      <w:r>
        <w:rPr>
          <w:rFonts w:hint="eastAsia" w:ascii="宋体" w:hAnsi="宋体"/>
          <w:bCs/>
          <w:color w:val="auto"/>
          <w:szCs w:val="21"/>
          <w:highlight w:val="none"/>
        </w:rPr>
        <w:t xml:space="preserve">2.1 本招标文件中“供应商”，即“投标人”，是指参加投标竞争，并符合招标文件规定资格条件的法人、其他组织或者自然人。</w:t>
      </w:r>
      <w:r/>
    </w:p>
    <w:p>
      <w:pPr>
        <w:ind w:firstLine="420"/>
        <w:spacing w:line="440" w:lineRule="exact"/>
        <w:rPr>
          <w:rFonts w:hint="eastAsia" w:ascii="宋体" w:hAnsi="宋体"/>
          <w:bCs/>
          <w:color w:val="auto"/>
          <w:szCs w:val="21"/>
          <w:highlight w:val="none"/>
        </w:rPr>
      </w:pPr>
      <w:r>
        <w:rPr>
          <w:rFonts w:hint="eastAsia" w:ascii="宋体" w:hAnsi="宋体"/>
          <w:bCs/>
          <w:color w:val="auto"/>
          <w:szCs w:val="21"/>
          <w:highlight w:val="none"/>
        </w:rPr>
        <w:t xml:space="preserve">2.2合格的投标人</w:t>
      </w:r>
      <w:r/>
    </w:p>
    <w:p>
      <w:pPr>
        <w:ind w:firstLine="420"/>
        <w:spacing w:line="440" w:lineRule="exact"/>
        <w:rPr>
          <w:rFonts w:hint="eastAsia" w:ascii="宋体" w:hAnsi="宋体"/>
          <w:bCs/>
          <w:color w:val="auto"/>
          <w:szCs w:val="21"/>
          <w:highlight w:val="none"/>
        </w:rPr>
      </w:pPr>
      <w:r>
        <w:rPr>
          <w:rFonts w:hint="eastAsia" w:ascii="宋体" w:hAnsi="宋体"/>
          <w:bCs/>
          <w:color w:val="auto"/>
          <w:szCs w:val="21"/>
          <w:highlight w:val="none"/>
        </w:rPr>
        <w:t xml:space="preserve">2.2.1 满足招标公告中供应商的资格条件要求的规定。</w:t>
      </w:r>
      <w:r/>
    </w:p>
    <w:p>
      <w:pPr>
        <w:ind w:firstLine="420"/>
        <w:spacing w:line="440" w:lineRule="exact"/>
        <w:rPr>
          <w:rFonts w:hint="eastAsia" w:ascii="宋体" w:hAnsi="宋体"/>
          <w:bCs/>
          <w:color w:val="auto"/>
          <w:szCs w:val="21"/>
          <w:highlight w:val="none"/>
        </w:rPr>
      </w:pPr>
      <w:r>
        <w:rPr>
          <w:rFonts w:hint="eastAsia" w:ascii="宋体" w:hAnsi="宋体"/>
          <w:bCs/>
          <w:color w:val="auto"/>
          <w:szCs w:val="21"/>
          <w:highlight w:val="none"/>
        </w:rPr>
        <w:t xml:space="preserve">2.2.2 满足本文件实质性条款的规定。</w:t>
      </w:r>
      <w:r/>
    </w:p>
    <w:p>
      <w:pPr>
        <w:ind w:firstLine="422"/>
        <w:spacing w:line="440" w:lineRule="exact"/>
        <w:rPr>
          <w:rFonts w:hint="eastAsia" w:ascii="宋体" w:hAnsi="宋体"/>
          <w:b/>
          <w:color w:val="auto"/>
          <w:szCs w:val="21"/>
          <w:highlight w:val="none"/>
        </w:rPr>
      </w:pPr>
      <w:r>
        <w:rPr>
          <w:rFonts w:hint="eastAsia" w:ascii="宋体" w:hAnsi="宋体"/>
          <w:b/>
          <w:color w:val="auto"/>
          <w:szCs w:val="21"/>
          <w:highlight w:val="none"/>
        </w:rPr>
        <w:t xml:space="preserve">3、适用法律</w:t>
      </w:r>
      <w:r/>
    </w:p>
    <w:p>
      <w:pPr>
        <w:ind w:firstLine="420"/>
        <w:spacing w:line="440" w:lineRule="exact"/>
        <w:rPr>
          <w:rFonts w:hint="eastAsia" w:ascii="宋体" w:hAnsi="宋体"/>
          <w:bCs/>
          <w:color w:val="auto"/>
          <w:szCs w:val="21"/>
          <w:highlight w:val="none"/>
        </w:rPr>
      </w:pPr>
      <w:r>
        <w:rPr>
          <w:rFonts w:hint="eastAsia" w:ascii="宋体" w:hAnsi="宋体"/>
          <w:bCs/>
          <w:color w:val="auto"/>
          <w:szCs w:val="21"/>
          <w:highlight w:val="none"/>
        </w:rPr>
        <w:t xml:space="preserve">3.1 本次招标及由此产生的合同受中华人民共和国有关的法律法规制约和保护。</w:t>
      </w:r>
      <w:r/>
    </w:p>
    <w:p>
      <w:pPr>
        <w:ind w:firstLine="422"/>
        <w:spacing w:line="440" w:lineRule="exact"/>
        <w:rPr>
          <w:rFonts w:hint="eastAsia" w:ascii="宋体" w:hAnsi="宋体"/>
          <w:b/>
          <w:color w:val="auto"/>
          <w:szCs w:val="21"/>
          <w:highlight w:val="none"/>
        </w:rPr>
      </w:pPr>
      <w:r>
        <w:rPr>
          <w:rFonts w:hint="eastAsia" w:ascii="宋体" w:hAnsi="宋体"/>
          <w:b/>
          <w:color w:val="auto"/>
          <w:szCs w:val="21"/>
          <w:highlight w:val="none"/>
        </w:rPr>
        <w:t xml:space="preserve">4、投标费用</w:t>
      </w:r>
      <w:r/>
    </w:p>
    <w:p>
      <w:pPr>
        <w:ind w:firstLine="420"/>
        <w:spacing w:line="440" w:lineRule="exact"/>
        <w:rPr>
          <w:rFonts w:hint="eastAsia" w:ascii="宋体" w:hAnsi="宋体"/>
          <w:bCs/>
          <w:color w:val="auto"/>
          <w:szCs w:val="21"/>
          <w:highlight w:val="none"/>
        </w:rPr>
      </w:pPr>
      <w:r>
        <w:rPr>
          <w:rFonts w:hint="eastAsia" w:ascii="宋体" w:hAnsi="宋体"/>
          <w:bCs/>
          <w:color w:val="auto"/>
          <w:szCs w:val="21"/>
          <w:highlight w:val="none"/>
        </w:rPr>
        <w:t xml:space="preserve">4.1 投标人应自行承担所有与参加投标有关的费用，无论投标过程中的做法和结果如 何，代理机构在任何情况下均无义务和责任承担这些费用。 </w:t>
      </w:r>
      <w:r/>
    </w:p>
    <w:p>
      <w:pPr>
        <w:ind w:firstLine="420"/>
        <w:spacing w:line="440" w:lineRule="exact"/>
        <w:rPr>
          <w:rFonts w:hint="eastAsia" w:ascii="宋体" w:hAnsi="宋体"/>
          <w:bCs/>
          <w:color w:val="auto"/>
          <w:szCs w:val="21"/>
          <w:highlight w:val="none"/>
        </w:rPr>
      </w:pPr>
      <w:r>
        <w:rPr>
          <w:rFonts w:hint="eastAsia" w:ascii="宋体" w:hAnsi="宋体"/>
          <w:bCs/>
          <w:color w:val="auto"/>
          <w:szCs w:val="21"/>
          <w:highlight w:val="none"/>
        </w:rPr>
        <w:t xml:space="preserve">4.2 </w:t>
      </w:r>
      <w:r>
        <w:rPr>
          <w:rFonts w:ascii="宋体" w:hAnsi="宋体" w:cs="宋体"/>
          <w:color w:val="auto"/>
          <w:highlight w:val="none"/>
        </w:rPr>
        <w:t xml:space="preserve">招标代理费：本招标文件约定由中标单位支付招标代理费，计取金额</w:t>
      </w:r>
      <w:r>
        <w:rPr>
          <w:rFonts w:hint="eastAsia" w:ascii="宋体" w:hAnsi="宋体" w:cs="宋体"/>
          <w:color w:val="auto"/>
          <w:highlight w:val="none"/>
        </w:rPr>
        <w:t xml:space="preserve">为人民币叁仟捌佰元整</w:t>
      </w:r>
      <w:r>
        <w:rPr>
          <w:rFonts w:ascii="宋体" w:hAnsi="宋体" w:cs="宋体"/>
          <w:color w:val="auto"/>
          <w:highlight w:val="none"/>
        </w:rPr>
        <w:t xml:space="preserve">。该费用由中标单位在领取中标通知书前，向招标代理机构付清。</w:t>
      </w:r>
      <w:r/>
    </w:p>
    <w:p>
      <w:pPr>
        <w:ind w:firstLine="420"/>
        <w:spacing w:line="440" w:lineRule="exact"/>
        <w:rPr>
          <w:color w:val="auto"/>
          <w:highlight w:val="none"/>
        </w:rPr>
      </w:pPr>
      <w:r>
        <w:rPr>
          <w:rFonts w:hint="eastAsia" w:ascii="宋体" w:hAnsi="宋体"/>
          <w:bCs/>
          <w:color w:val="auto"/>
          <w:szCs w:val="21"/>
          <w:highlight w:val="none"/>
        </w:rPr>
        <w:t xml:space="preserve">（1）</w:t>
      </w:r>
      <w:r>
        <w:rPr>
          <w:color w:val="auto"/>
          <w:highlight w:val="none"/>
        </w:rPr>
        <w:t xml:space="preserve">招标代理费以人民币支付； </w:t>
      </w:r>
      <w:r/>
    </w:p>
    <w:p>
      <w:pPr>
        <w:ind w:firstLine="420"/>
        <w:spacing w:line="440" w:lineRule="exact"/>
        <w:rPr>
          <w:color w:val="auto"/>
          <w:highlight w:val="none"/>
        </w:rPr>
      </w:pPr>
      <w:r>
        <w:rPr>
          <w:color w:val="auto"/>
          <w:highlight w:val="none"/>
        </w:rPr>
        <w:t xml:space="preserve">（2）招标代理费一次性以电汇、转账等形式支付； </w:t>
      </w:r>
      <w:r/>
    </w:p>
    <w:p>
      <w:pPr>
        <w:ind w:firstLine="420"/>
        <w:spacing w:line="440" w:lineRule="exact"/>
        <w:rPr>
          <w:color w:val="auto"/>
          <w:highlight w:val="none"/>
        </w:rPr>
      </w:pPr>
      <w:r>
        <w:rPr>
          <w:color w:val="auto"/>
          <w:highlight w:val="none"/>
        </w:rPr>
        <w:t xml:space="preserve">（3）招标代理费不在投标报价中单列，包含在投标总价中。 </w:t>
      </w:r>
      <w:r/>
    </w:p>
    <w:p>
      <w:pPr>
        <w:ind w:firstLine="422"/>
        <w:spacing w:line="440" w:lineRule="exact"/>
        <w:rPr>
          <w:rFonts w:hint="eastAsia" w:ascii="宋体" w:hAnsi="宋体"/>
          <w:b/>
          <w:color w:val="auto"/>
          <w:szCs w:val="21"/>
          <w:highlight w:val="none"/>
        </w:rPr>
      </w:pPr>
      <w:r>
        <w:rPr>
          <w:rFonts w:hint="eastAsia" w:ascii="宋体" w:hAnsi="宋体"/>
          <w:b/>
          <w:color w:val="auto"/>
          <w:szCs w:val="21"/>
          <w:highlight w:val="none"/>
        </w:rPr>
        <w:t xml:space="preserve">5、招标文件的约束力</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5.1 投标人一旦参加本项目采购活动，即被认为接受了本招标文件的规定和约束。</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6、招标文件构成</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6.1 招标文件有以下部分组成：</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（1）招标公告</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（2）投标人须知</w:t>
      </w:r>
      <w:r>
        <w:rPr>
          <w:rFonts w:hint="eastAsia" w:ascii="宋体" w:hAnsi="宋体"/>
          <w:bCs/>
          <w:color w:val="auto"/>
          <w:szCs w:val="21"/>
          <w:highlight w:val="none"/>
        </w:rPr>
        <w:tab/>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（3）合同条款及格式</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（4）项目需求</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（5）评标方法与评标标准</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（6）投标文件格式</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请仔细检查招标文件是否齐全，如有缺漏请立即与代理机构联系解决。</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6.3 招标文件如果要求供应商提交备选投标方案的，供应商可以提交备选方案；否则，备选方案将被拒绝。</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7、招标文件的澄清</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8、招标文件的修改</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8.1 在投标截止时间前，代理机构可以对招标文件进行修改。</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8.3招标文件的修改将在“扬州市政府采购网”、“江苏政府采购网”公布，补充文件将作为招标文件的组成部分，并对投标人具有约束力。</w:t>
      </w:r>
      <w:r/>
    </w:p>
    <w:p>
      <w:pPr>
        <w:ind w:firstLine="420"/>
        <w:spacing w:line="360" w:lineRule="auto"/>
        <w:rPr>
          <w:color w:val="auto"/>
          <w:highlight w:val="none"/>
        </w:rPr>
      </w:pPr>
      <w:r>
        <w:rPr>
          <w:rFonts w:hint="eastAsia" w:ascii="宋体" w:hAnsi="宋体"/>
          <w:color w:val="auto"/>
          <w:szCs w:val="21"/>
          <w:highlight w:val="none"/>
        </w:rPr>
        <w:t xml:space="preserve">8.4投标人应在投标截止时间前关注原采购信息发布媒体上有关本招标项目有无变更公告。</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9、投标文件的语言、度量衡单位、货币</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9.2 除技术性能另有规定外，投标文件所使用的度量衡单位，均须采用国家法定计量单位。</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9.3投标人应使用人民币报价。</w:t>
      </w:r>
      <w:r/>
    </w:p>
    <w:p>
      <w:pPr>
        <w:ind w:firstLine="420"/>
        <w:spacing w:line="360" w:lineRule="auto"/>
        <w:rPr>
          <w:rFonts w:hint="eastAsia" w:ascii="宋体" w:hAnsi="宋体"/>
          <w:bCs/>
          <w:color w:val="auto"/>
          <w:szCs w:val="21"/>
          <w:highlight w:val="none"/>
        </w:rPr>
      </w:pPr>
      <w:r>
        <w:rPr>
          <w:rFonts w:hint="eastAsia" w:ascii="宋体" w:hAnsi="宋体"/>
          <w:color w:val="auto"/>
          <w:szCs w:val="21"/>
          <w:highlight w:val="none"/>
        </w:rPr>
        <w:t xml:space="preserve">9.4投标文件应字迹清楚、内容齐全、不得涂改。如有修改，修改处须有投标人加盖公章和法定代表人或其授权代表签字。</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10、投标文件构成</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10.1投标文件由以下部分组成</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（1）资格审查响应对照表</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（2）符合性审查响应对照表</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（3）开标一览表 </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（4）产品配置及分项报价表 </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（5）商务条款响应及偏离表</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w:t>
      </w:r>
      <w:r>
        <w:rPr>
          <w:rFonts w:hint="eastAsia" w:ascii="宋体" w:hAnsi="宋体"/>
          <w:bCs/>
          <w:color w:val="auto"/>
          <w:szCs w:val="21"/>
          <w:highlight w:val="none"/>
          <w:lang w:val="en-US" w:eastAsia="zh-CN"/>
        </w:rPr>
        <w:t xml:space="preserve">6</w:t>
      </w:r>
      <w:r>
        <w:rPr>
          <w:rFonts w:hint="eastAsia" w:ascii="宋体" w:hAnsi="宋体"/>
          <w:bCs/>
          <w:color w:val="auto"/>
          <w:szCs w:val="21"/>
          <w:highlight w:val="none"/>
        </w:rPr>
        <w:t xml:space="preserve">）技术参数响应及偏离表</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w:t>
      </w:r>
      <w:r>
        <w:rPr>
          <w:rFonts w:hint="eastAsia" w:ascii="宋体" w:hAnsi="宋体"/>
          <w:bCs/>
          <w:color w:val="auto"/>
          <w:szCs w:val="21"/>
          <w:highlight w:val="none"/>
          <w:lang w:val="en-US" w:eastAsia="zh-CN"/>
        </w:rPr>
        <w:t xml:space="preserve">7</w:t>
      </w:r>
      <w:r>
        <w:rPr>
          <w:rFonts w:hint="eastAsia" w:ascii="宋体" w:hAnsi="宋体"/>
          <w:bCs/>
          <w:color w:val="auto"/>
          <w:szCs w:val="21"/>
          <w:highlight w:val="none"/>
        </w:rPr>
        <w:t xml:space="preserve">）主要标的信息</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w:t>
      </w:r>
      <w:r>
        <w:rPr>
          <w:rFonts w:hint="eastAsia" w:ascii="宋体" w:hAnsi="宋体"/>
          <w:bCs/>
          <w:color w:val="auto"/>
          <w:szCs w:val="21"/>
          <w:highlight w:val="none"/>
          <w:lang w:val="en-US" w:eastAsia="zh-CN"/>
        </w:rPr>
        <w:t xml:space="preserve">8</w:t>
      </w:r>
      <w:r>
        <w:rPr>
          <w:rFonts w:hint="eastAsia" w:ascii="宋体" w:hAnsi="宋体"/>
          <w:bCs/>
          <w:color w:val="auto"/>
          <w:szCs w:val="21"/>
          <w:highlight w:val="none"/>
        </w:rPr>
        <w:t xml:space="preserve">）其他（投标人认为有必要提供的声明和文件，如有自拟并自行添加）</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11、证明投标人资格及符合招标文件规定的文件</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11.1投标人应按要求提交资格证明文件及符合招标文件规定的文件。</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11.2投标人应提交证明其有资格参加投标和中标后有能力独立履行合同的文件。</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11.3投标人除必须具有履行合同所需提供的产品或服务的能力外，还必须具备相应的财务、技术方面的能力。</w:t>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    11.4投标人应提交根据合同要求提供的证明服务质量合格以及符合招标文件规定的证明文件。</w:t>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    11.5证明投标人所提供服务与招标文件的要求相一致的文件可以是手册、图纸、文字资料和数据。</w:t>
      </w:r>
      <w:r/>
    </w:p>
    <w:p>
      <w:pPr>
        <w:ind w:left="420"/>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12、</w:t>
      </w:r>
      <w:r>
        <w:rPr>
          <w:rFonts w:hint="eastAsia"/>
          <w:b/>
          <w:bCs/>
          <w:color w:val="auto"/>
          <w:highlight w:val="none"/>
        </w:rPr>
        <w:t xml:space="preserve">分项报价表</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12.1 </w:t>
      </w:r>
      <w:r>
        <w:rPr>
          <w:rFonts w:hint="eastAsia" w:ascii="宋体" w:hAnsi="宋体"/>
          <w:color w:val="auto"/>
          <w:highlight w:val="none"/>
        </w:rPr>
        <w:t xml:space="preserve">投标人应按照招标文件规定格式填报分项报价表，每项服务只允许有一个报价，任何有选择的报价将不予接受。</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12.2 标的物</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采购人需求的服务供应、安装，调试及有关技术服务等。</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12.3其它费用处理</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招标文件未列明，而投标人认为必需的费用也需列入报价。</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12.4投标货币</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投标文件中的服务单价和总价无特殊规定的采用人民币报价，以元为单位标注。招标文件中另有规定的按规定执行。</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13、技术参数响应及偏离表、商务条款响应及偏离表及投标货物说明</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13.1 对招标文件中的技术与商务条款要求逐项作出响应或偏离，并说明原因；</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13.2 提供参加本项目类似案例简介；</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13.3 详细阐述所投服务的主要组成部分、功能设计、实现思路及关键技术；</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13.4 投标人认为需要的其他技术文件或说明。</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14、服务承诺及售后服务机构、人员的情况介绍</w:t>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    14.1投标人的服务承诺应按不低于招标文件中商务要求的标准。</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15、投标函和开标一览表</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15.1 投标人应按照招标文件中提供的格式完整、正确填写投标函、开标一览表。</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16、投标有效期</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16.1 投标有效期为开标之日起六十（60）天。投标有效期比规定短的将被视为非响应性投标而予以拒绝。</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b/>
          <w:color w:val="auto"/>
          <w:szCs w:val="21"/>
          <w:highlight w:val="none"/>
        </w:rPr>
      </w:pPr>
      <w:r/>
      <w:bookmarkStart w:id="41" w:name="_Toc20823297"/>
      <w:r/>
      <w:bookmarkStart w:id="42" w:name="_Toc462564084"/>
      <w:r/>
      <w:bookmarkStart w:id="43" w:name="_Toc513029225"/>
      <w:r/>
      <w:bookmarkStart w:id="44" w:name="_Toc16938541"/>
      <w:r>
        <w:rPr>
          <w:rFonts w:hint="eastAsia" w:ascii="宋体" w:hAnsi="宋体"/>
          <w:b/>
          <w:color w:val="auto"/>
          <w:szCs w:val="21"/>
          <w:highlight w:val="none"/>
        </w:rPr>
        <w:t xml:space="preserve">17、投标文件</w:t>
      </w:r>
      <w:bookmarkEnd w:id="41"/>
      <w:r/>
      <w:bookmarkEnd w:id="42"/>
      <w:r/>
      <w:bookmarkEnd w:id="43"/>
      <w:r/>
      <w:bookmarkEnd w:id="44"/>
      <w:r>
        <w:rPr>
          <w:rFonts w:hint="eastAsia" w:ascii="宋体" w:hAnsi="宋体"/>
          <w:b/>
          <w:color w:val="auto"/>
          <w:szCs w:val="21"/>
          <w:highlight w:val="none"/>
        </w:rPr>
        <w:t xml:space="preserve">的递交</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17.1 电子投标文件的递交投标人应当按照《操作手册》规定，在投标截止时间前制作并上传电子投标文件。</w:t>
      </w:r>
      <w:bookmarkStart w:id="45" w:name="_Toc513029226"/>
      <w:r/>
      <w:bookmarkStart w:id="46" w:name="_Toc16938542"/>
      <w:r/>
      <w:bookmarkStart w:id="47" w:name="_Toc20823298"/>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17.2</w:t>
      </w:r>
      <w:r>
        <w:rPr>
          <w:rFonts w:hint="eastAsia" w:ascii="宋体" w:hAnsi="宋体"/>
          <w:b/>
          <w:bCs/>
          <w:color w:val="auto"/>
          <w:szCs w:val="21"/>
          <w:highlight w:val="none"/>
        </w:rPr>
        <w:t xml:space="preserve">政府采购管理交易系统（苏采云）</w:t>
      </w:r>
      <w:r>
        <w:rPr>
          <w:rFonts w:hint="eastAsia" w:ascii="宋体" w:hAnsi="宋体"/>
          <w:b/>
          <w:color w:val="auto"/>
          <w:szCs w:val="21"/>
          <w:highlight w:val="none"/>
        </w:rPr>
        <w:t xml:space="preserve">相关要求是本招标文件的组成部分。</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17.3投标人应对 CA 证书妥善保管，如被他人盗用投标，因此带来的结果均由投标人自行承担。</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17.4投标人应当对招标文件提出的要求和条件作出实质性响应，并在电子投标系统逐条应答。</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rPr>
          <w:color w:val="auto"/>
          <w:highlight w:val="none"/>
        </w:rPr>
      </w:pPr>
      <w:r>
        <w:rPr>
          <w:rFonts w:hint="eastAsia" w:ascii="宋体" w:hAnsi="宋体"/>
          <w:b/>
          <w:color w:val="auto"/>
          <w:szCs w:val="21"/>
          <w:highlight w:val="none"/>
        </w:rPr>
        <w:t xml:space="preserve">17.7各投标人应在规定时间内凭CA证书进行网上解密。</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18、投标截止日期</w:t>
      </w:r>
      <w:bookmarkEnd w:id="45"/>
      <w:r/>
      <w:bookmarkEnd w:id="46"/>
      <w:r/>
      <w:bookmarkEnd w:id="47"/>
      <w:r/>
      <w:r/>
    </w:p>
    <w:p>
      <w:pPr>
        <w:ind w:firstLine="420"/>
        <w:spacing w:line="360" w:lineRule="auto"/>
        <w:rPr>
          <w:rFonts w:hint="eastAsia" w:ascii="宋体" w:hAnsi="宋体"/>
          <w:bCs/>
          <w:i/>
          <w:iCs/>
          <w:color w:val="auto"/>
          <w:szCs w:val="21"/>
          <w:highlight w:val="none"/>
          <w:u w:val="single"/>
        </w:rPr>
      </w:pPr>
      <w:r>
        <w:rPr>
          <w:rFonts w:hint="eastAsia" w:ascii="宋体" w:hAnsi="宋体"/>
          <w:bCs/>
          <w:i/>
          <w:iCs/>
          <w:color w:val="auto"/>
          <w:szCs w:val="21"/>
          <w:highlight w:val="none"/>
          <w:u w:val="single"/>
        </w:rPr>
        <w:t xml:space="preserve">18.1 投标人上传电子投标文件的时间不得迟于招标公告中规定的投标截止时间。</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b/>
          <w:color w:val="auto"/>
          <w:szCs w:val="21"/>
          <w:highlight w:val="none"/>
        </w:rPr>
      </w:pPr>
      <w:r/>
      <w:bookmarkStart w:id="48" w:name="_Toc20823299"/>
      <w:r/>
      <w:bookmarkStart w:id="49" w:name="_Toc513029227"/>
      <w:r/>
      <w:bookmarkStart w:id="50" w:name="_Toc16938543"/>
      <w:r>
        <w:rPr>
          <w:rFonts w:hint="eastAsia" w:ascii="宋体" w:hAnsi="宋体"/>
          <w:b/>
          <w:color w:val="auto"/>
          <w:szCs w:val="21"/>
          <w:highlight w:val="none"/>
        </w:rPr>
        <w:t xml:space="preserve">19、投标文件</w:t>
      </w:r>
      <w:bookmarkEnd w:id="48"/>
      <w:r/>
      <w:bookmarkEnd w:id="49"/>
      <w:r/>
      <w:bookmarkEnd w:id="50"/>
      <w:r>
        <w:rPr>
          <w:rFonts w:hint="eastAsia" w:ascii="宋体" w:hAnsi="宋体"/>
          <w:b/>
          <w:color w:val="auto"/>
          <w:szCs w:val="21"/>
          <w:highlight w:val="none"/>
        </w:rPr>
        <w:t xml:space="preserve">的拒收</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19.1代理机构拒绝接收在其规定的投标截止时间后上传的任何投标文件。</w:t>
      </w:r>
      <w:r/>
    </w:p>
    <w:p>
      <w:pPr>
        <w:ind w:firstLine="422"/>
        <w:spacing w:line="360" w:lineRule="auto"/>
        <w:rPr>
          <w:rFonts w:hint="eastAsia" w:ascii="宋体" w:hAnsi="宋体"/>
          <w:b/>
          <w:color w:val="auto"/>
          <w:szCs w:val="21"/>
          <w:highlight w:val="none"/>
        </w:rPr>
      </w:pPr>
      <w:r/>
      <w:bookmarkStart w:id="51" w:name="_Toc16938544"/>
      <w:r/>
      <w:bookmarkStart w:id="52" w:name="_Toc513029228"/>
      <w:r/>
      <w:bookmarkStart w:id="53" w:name="_Toc20823300"/>
      <w:r>
        <w:rPr>
          <w:rFonts w:hint="eastAsia" w:ascii="宋体" w:hAnsi="宋体"/>
          <w:b/>
          <w:color w:val="auto"/>
          <w:szCs w:val="21"/>
          <w:highlight w:val="none"/>
        </w:rPr>
        <w:t xml:space="preserve">20、投标文件的撤回和修改</w:t>
      </w:r>
      <w:bookmarkEnd w:id="51"/>
      <w:r/>
      <w:bookmarkEnd w:id="52"/>
      <w:r/>
      <w:bookmarkEnd w:id="53"/>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20.1 投标文件的撤回</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20.1.1 电子投标文件的撤回</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投标人可在投标截止时间前，撤回其电子投标文件，具体操作方法见《操作手册》。</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20.1.2 投标人撤回电子投标文件，则认为其不再参与本项目投标活动。</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20.2 投标文件的修改</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投标人可在投标截止时间前，对其电子投标文件进行修改，具体操作方法见《操作手册》。</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20.3 在投标截止时间之后，投标人不得对其电子投标文件作任何修改。</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20.4 在投标截止时间至招标文件中规定的投标有效期满之间的这段时间内，投标人不得撤回其投标。</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21、开标</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21.2投标人不足3家的，不得开标。</w:t>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    </w:t>
      </w:r>
      <w:r>
        <w:rPr>
          <w:rFonts w:hint="eastAsia" w:ascii="宋体" w:hAnsi="宋体"/>
          <w:b/>
          <w:color w:val="auto"/>
          <w:szCs w:val="21"/>
          <w:highlight w:val="none"/>
        </w:rPr>
        <w:t xml:space="preserve">21.3开标仪式由代理机构主持。“政府采购管理交易系统（苏采云）”将自动对项目进行开标，并宣读各投标人的《开标一览表》。</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21.4投标人在开标过程中涉及到的投标文件解密、开标结果确认等工作，应按照《操作手册》规定执行。</w:t>
      </w:r>
      <w:r/>
    </w:p>
    <w:p>
      <w:pPr>
        <w:ind w:firstLine="420"/>
        <w:spacing w:line="360" w:lineRule="auto"/>
        <w:rPr>
          <w:color w:val="auto"/>
          <w:highlight w:val="none"/>
        </w:rPr>
      </w:pPr>
      <w:r>
        <w:rPr>
          <w:rFonts w:hint="eastAsia" w:ascii="宋体" w:hAnsi="宋体"/>
          <w:color w:val="auto"/>
          <w:highlight w:val="none"/>
        </w:rPr>
        <w:t xml:space="preserve">21.5投标人如果对开标过程和开标记录有疑义，应当根据《操作手册》规定提出， “</w:t>
      </w:r>
      <w:r>
        <w:rPr>
          <w:rFonts w:hint="eastAsia" w:ascii="宋体" w:hAnsi="宋体"/>
          <w:color w:val="auto"/>
          <w:szCs w:val="21"/>
          <w:highlight w:val="none"/>
        </w:rPr>
        <w:t xml:space="preserve">政府采购交易管理系统（苏采云）</w:t>
      </w:r>
      <w:r>
        <w:rPr>
          <w:rFonts w:hint="eastAsia" w:ascii="宋体" w:hAnsi="宋体"/>
          <w:color w:val="auto"/>
          <w:highlight w:val="none"/>
        </w:rPr>
        <w:t xml:space="preserve">”中《开标记录表》宣布后5分钟内未提出的，视同认可开标结果。</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22、评标委员会</w:t>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    22.1 开标后，代理机构将立即组织评标委员会（以下简称评委会）进行评标。</w:t>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    22.2 评委会由采购人代表和有关技术、经济等方面的专家组成，且人员构成符合政府采购有关规定。</w:t>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    22.3评委会独立工作，负责评审所有投标文件并确定中标候选人。</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23、评标过程的保密与公正</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23.3 在评标期间，代理机构将设专门工作人员与投标人联系。</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23.4 代理机构和评委会不向未中标的投标人解释未中标原因，也不公布评标过程中的相关细节。</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24、投标的澄清</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    24.3 接到评委会澄清要求的投标人如未按规定做出澄清，其风险由投标人自行承担。</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25、对投标文件的初审</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25.1投标文件初审分为资格审查和符合性审查。</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采购人在进行资格性审查的同时，将在“信用中国”网站（http://www.creditchina.gov.cn）、“中国政府采购网"(http://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（1）投标文件中开标一览表内容与投标文件中相应内容不一致的，以开标一览表为准。</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（2）大写金额与小写金额不一致的，以大写金额为准。</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（4）总价金额与按单价汇总金额不一致的，以单价金额计算结果为准。</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同时出现两种以上错误的，按照前款规定的顺序修正。对不同文字文本投标文件的解释发生异议的，以中文文本为准。</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25.7</w:t>
      </w:r>
      <w:r>
        <w:rPr>
          <w:rFonts w:ascii="宋体" w:hAnsi="宋体"/>
          <w:color w:val="auto"/>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auto"/>
          <w:szCs w:val="21"/>
          <w:highlight w:val="none"/>
        </w:rPr>
        <w:t xml:space="preserve">按照招标文件规定的方式确定招标文件未规定的通过</w:t>
      </w:r>
      <w:r>
        <w:rPr>
          <w:rFonts w:ascii="宋体" w:hAnsi="宋体"/>
          <w:color w:val="auto"/>
          <w:szCs w:val="21"/>
          <w:highlight w:val="none"/>
        </w:rPr>
        <w:t xml:space="preserve">随机抽取</w:t>
      </w:r>
      <w:r>
        <w:rPr>
          <w:rFonts w:hint="eastAsia" w:ascii="宋体" w:hAnsi="宋体"/>
          <w:color w:val="auto"/>
          <w:szCs w:val="21"/>
          <w:highlight w:val="none"/>
        </w:rPr>
        <w:t xml:space="preserve">的</w:t>
      </w:r>
      <w:r>
        <w:rPr>
          <w:rFonts w:ascii="宋体" w:hAnsi="宋体"/>
          <w:color w:val="auto"/>
          <w:szCs w:val="21"/>
          <w:highlight w:val="none"/>
        </w:rPr>
        <w:t xml:space="preserve">方式确定一个参加评标的投标人，其他投标无效。</w:t>
      </w:r>
      <w:r/>
    </w:p>
    <w:p>
      <w:pPr>
        <w:ind w:firstLine="420"/>
        <w:jc w:val="left"/>
        <w:spacing w:line="360" w:lineRule="auto"/>
        <w:rPr>
          <w:rFonts w:hint="eastAsia" w:ascii="宋体" w:hAnsi="宋体"/>
          <w:color w:val="auto"/>
          <w:szCs w:val="21"/>
          <w:highlight w:val="none"/>
        </w:rPr>
      </w:pPr>
      <w:r>
        <w:rPr>
          <w:rFonts w:ascii="宋体" w:hAnsi="宋体"/>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auto"/>
          <w:szCs w:val="21"/>
          <w:highlight w:val="none"/>
        </w:rPr>
        <w:t xml:space="preserve">根据招标文件规定的方式确定，招标文件未规定的采取随机抽取的方式</w:t>
      </w:r>
      <w:r>
        <w:rPr>
          <w:rFonts w:ascii="宋体" w:hAnsi="宋体"/>
          <w:color w:val="auto"/>
          <w:szCs w:val="21"/>
          <w:highlight w:val="none"/>
        </w:rPr>
        <w:t xml:space="preserve">确定</w:t>
      </w:r>
      <w:r>
        <w:rPr>
          <w:rFonts w:hint="eastAsia" w:ascii="宋体" w:hAnsi="宋体"/>
          <w:color w:val="auto"/>
          <w:szCs w:val="21"/>
          <w:highlight w:val="none"/>
        </w:rPr>
        <w:t xml:space="preserve">一个中标候选人</w:t>
      </w:r>
      <w:r>
        <w:rPr>
          <w:rFonts w:ascii="宋体" w:hAnsi="宋体"/>
          <w:color w:val="auto"/>
          <w:szCs w:val="21"/>
          <w:highlight w:val="none"/>
        </w:rPr>
        <w:t xml:space="preserve">，其他同品牌投标人不作为中标候选人。</w:t>
      </w:r>
      <w:r/>
    </w:p>
    <w:p>
      <w:pPr>
        <w:ind w:firstLine="420"/>
        <w:jc w:val="left"/>
        <w:spacing w:line="360" w:lineRule="auto"/>
        <w:rPr>
          <w:rFonts w:hint="eastAsia" w:ascii="宋体" w:hAnsi="宋体"/>
          <w:color w:val="auto"/>
          <w:szCs w:val="21"/>
          <w:highlight w:val="none"/>
        </w:rPr>
      </w:pPr>
      <w:r>
        <w:rPr>
          <w:rFonts w:ascii="宋体" w:hAnsi="宋体"/>
          <w:color w:val="auto"/>
          <w:szCs w:val="21"/>
          <w:highlight w:val="none"/>
        </w:rPr>
        <w:t xml:space="preserve">非单一产品采购项目，招标文件中</w:t>
      </w:r>
      <w:r>
        <w:rPr>
          <w:rFonts w:hint="eastAsia" w:ascii="宋体" w:hAnsi="宋体"/>
          <w:color w:val="auto"/>
          <w:szCs w:val="21"/>
          <w:highlight w:val="none"/>
        </w:rPr>
        <w:t xml:space="preserve">将载明其中的核心产品</w:t>
      </w:r>
      <w:r>
        <w:rPr>
          <w:rFonts w:ascii="宋体" w:hAnsi="宋体"/>
          <w:color w:val="auto"/>
          <w:szCs w:val="21"/>
          <w:highlight w:val="none"/>
        </w:rPr>
        <w:t xml:space="preserve">。多家投标人提供的核心产品品牌相同的，按前两款规定处理。</w:t>
      </w:r>
      <w:r/>
    </w:p>
    <w:p>
      <w:pPr>
        <w:ind w:firstLine="420"/>
        <w:jc w:val="left"/>
        <w:spacing w:line="360" w:lineRule="auto"/>
        <w:rPr>
          <w:color w:val="auto"/>
          <w:highlight w:val="none"/>
        </w:rPr>
      </w:pPr>
      <w:r>
        <w:rPr>
          <w:rFonts w:hint="eastAsia" w:ascii="宋体" w:hAnsi="宋体"/>
          <w:color w:val="auto"/>
          <w:highlight w:val="none"/>
        </w:rPr>
        <w:t xml:space="preserve">25.8 投标人在开、评标全过程中应保持通讯畅通，并安排专人与代理机构及评委会联系。</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26、无效投标、废标及投标人不足三家的处理</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26.1无效投标条款</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26.1.1 投标人未成功解密电子投标文件的。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26.1.2 投标人未按照招标文件要求上传电子投标文件的。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26.1.3投标人在报价时采用选择性报价的。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26.1.4投标人不具备招标文件中规定资格要求的。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26.1.5投标人的报价超过了采购预算或最高限价的。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26.1.6未通过符合性审查的。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26.1.7不符合招标文件中规定的其他实质性要求和条件的（</w:t>
      </w:r>
      <w:r>
        <w:rPr>
          <w:rFonts w:hint="eastAsia" w:ascii="宋体" w:hAnsi="宋体"/>
          <w:b/>
          <w:i/>
          <w:iCs/>
          <w:color w:val="auto"/>
          <w:szCs w:val="21"/>
          <w:highlight w:val="none"/>
          <w:u w:val="single"/>
        </w:rPr>
        <w:t xml:space="preserve">本招标文件中斜体且有下划线部分为实质性要求和条件</w:t>
      </w:r>
      <w:r>
        <w:rPr>
          <w:rFonts w:hint="eastAsia" w:ascii="宋体" w:hAnsi="宋体"/>
          <w:bCs/>
          <w:color w:val="auto"/>
          <w:szCs w:val="21"/>
          <w:highlight w:val="none"/>
        </w:rPr>
        <w:t xml:space="preserve">）。</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26.1.8 投标人被 “信用中国”网站（http://www.creditchina.gov.cn）、“中国政府采购网”(http://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26.1.9  投标文件含有采购人不能接受的附加条件的。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26.1.10 异常低价投标（响应）</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26.1.10.1投标（响应）报价低于全部通过符合性审查供应商投标（响应）报价平均值50%的，即投标（响应）报价&lt;全部通过符合性审查供应商投标（响应）报价平均值×50%；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26.1.10.2投标（响应）报价低于通过符合性审查的次低报价供应商投标（响应）报价50%的，即投标（响应）报价&lt;通过符合性审查的次低报价供应商投标（响应）报价×50%；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26.1.10.3投标（响应）报价低于采购项目最高限价45%的，即投标（响应）报价&lt;采购项目最高限价×45%；</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26.1.10.4评审委员会认定的供应商报价过低、有可能影响产品质量或者不能诚信履约的其他情形。</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26.1.11 投标文件未按照招标文件要求加盖电子签章。</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26.1.12其他法律、法规及本招标文件规定的属无效投标的情形。</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26.2废标条款：</w:t>
      </w:r>
      <w:r/>
    </w:p>
    <w:p>
      <w:pPr>
        <w:ind w:left="420"/>
        <w:spacing w:line="360" w:lineRule="auto"/>
        <w:rPr>
          <w:rFonts w:hint="eastAsia" w:ascii="宋体" w:hAnsi="宋体"/>
          <w:color w:val="auto"/>
          <w:highlight w:val="none"/>
        </w:rPr>
      </w:pPr>
      <w:r>
        <w:rPr>
          <w:rFonts w:hint="eastAsia" w:ascii="宋体" w:hAnsi="宋体"/>
          <w:bCs/>
          <w:color w:val="auto"/>
          <w:szCs w:val="21"/>
          <w:highlight w:val="none"/>
        </w:rPr>
        <w:t xml:space="preserve">26.2.1符合专业条件的供应商或者对招标文件作实质响应的供应商不足三家的。</w:t>
      </w:r>
      <w:r/>
    </w:p>
    <w:p>
      <w:pPr>
        <w:ind w:left="420"/>
        <w:spacing w:line="360" w:lineRule="auto"/>
        <w:rPr>
          <w:rFonts w:hint="eastAsia" w:ascii="宋体" w:hAnsi="宋体"/>
          <w:color w:val="auto"/>
          <w:highlight w:val="none"/>
        </w:rPr>
      </w:pPr>
      <w:r>
        <w:rPr>
          <w:rFonts w:hint="eastAsia" w:ascii="宋体" w:hAnsi="宋体"/>
          <w:bCs/>
          <w:color w:val="auto"/>
          <w:szCs w:val="21"/>
          <w:highlight w:val="none"/>
        </w:rPr>
        <w:t xml:space="preserve">26.2.2投标人的报价均超过采购预算或最高限价。</w:t>
      </w:r>
      <w:r/>
    </w:p>
    <w:p>
      <w:pPr>
        <w:ind w:left="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26.2.3出现影响采购公正的违法、违规行为的。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26.2.4因重大变故，采购任务取消的。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26.2.5评委会认定招标文件存在歧义、重大缺陷导致评审工作无法进行。</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26.3 投标截止时间结束后参加投标的投标人不足三家或者通过资格审查或符合性审查的投标人不足三家的，除采购任务取消情形外，按照以下方式处理： </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26.3.1招标文件存在不合理条款或者招标程序不符合规定的，由采购人、代理机构改正后依法重新招标；</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26.3.2招标文件没有不合理条款、招标程序符合规定，需要采用其他采购方式采购的，采购人应当依法报财政部门批准。</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27、确定中标单位</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27.1评委会根据本招标文件规定评标方法与评标标准向采购人推荐出中标候选人。</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27.2 采购人应根据评委会推荐的中标候选人确定中标人。</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27.3代理机构将在“扬州市政府采购网”、“江苏政府采购网”发布中标公告，公告期限为1个工作日。</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27.4若有充分证据证明，中标人出现下列情况之一的，一经查实，将被取消中标资格：</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27.4.1提供虚假材料谋取中标的；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27.4.2向采购人、代理机构行贿或者提供其他不正当利益的；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27.4.3恶意竞争，投标总报价明显低于其自身合理成本且又无法提供证明的；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27.4.4属于本文件规定的无效条件，但在评标过程中又未被评委会发现的；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27.4.5与采购人或者其他投标人恶意串通的；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27.4.6采取不正当手段诋毁、排挤其他供应商的；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27.4.7不符合法律、法规的规定的。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27.5. 有下列情形之一的，视为投标人串通投标，投标无效：</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27.5.1不同投标人的投标文件由同一单位或者个人编制。</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27.5.2不同投标人委托同一单位或者个人办理投标事宜。</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经查实，不同投标人的电子投标文件出自同一台电脑的；不同投标人的标书制作工具客户端标识码存在一致的；不同投标人从同一互联网协议地址上传投标文件的。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27.5.3 不同投标人的投标文件载明的项目管理成员或者联系人员为同一人。</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27.5.4不同投标人的投标文件异常一致或者投标报价呈规律性差异。</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27.5.5不同投标人的投标文件相互混装。</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28、质疑处理</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对项目需求部分的质疑，潜在供应商应向采购人或代理机构提出，由采购人或代理机构负责答复。</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28.2.1对采购文件提出质疑的，应当在获取采购文件之日或者采购文件公告期限届满之日起7个工作日内提出。</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28.2.2对采购过程提出质疑的，为各采购程序环节结束之日起7个工作日内提出。</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28.2.3对中标结果提出质疑的，为中标结果公告期限届满之日起7个工作日内提出。</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color w:val="auto"/>
          <w:szCs w:val="21"/>
          <w:highlight w:val="none"/>
        </w:rPr>
      </w:pPr>
      <w:r>
        <w:rPr>
          <w:rFonts w:hint="eastAsia" w:ascii="宋体" w:hAnsi="宋体"/>
          <w:bCs/>
          <w:color w:val="auto"/>
          <w:szCs w:val="21"/>
          <w:highlight w:val="none"/>
        </w:rPr>
        <w:t xml:space="preserve">28.5 </w:t>
      </w:r>
      <w:r>
        <w:rPr>
          <w:rFonts w:hint="eastAsia" w:ascii="宋体" w:hAnsi="宋体"/>
          <w:color w:val="auto"/>
          <w:szCs w:val="21"/>
          <w:highlight w:val="none"/>
        </w:rPr>
        <w:t xml:space="preserve">提出质疑的供应商（以下简称质疑供应商）应当是参与所质疑项目采购活动的供应商。</w:t>
      </w:r>
      <w:r/>
    </w:p>
    <w:p>
      <w:pPr>
        <w:ind w:firstLine="420"/>
        <w:spacing w:line="360" w:lineRule="auto"/>
        <w:rPr>
          <w:rFonts w:hint="eastAsia" w:ascii="宋体" w:hAnsi="宋体"/>
          <w:bCs/>
          <w:color w:val="auto"/>
          <w:szCs w:val="21"/>
          <w:highlight w:val="none"/>
        </w:rPr>
      </w:pPr>
      <w:r>
        <w:rPr>
          <w:rFonts w:hint="eastAsia" w:ascii="宋体" w:hAnsi="宋体"/>
          <w:color w:val="auto"/>
          <w:szCs w:val="21"/>
          <w:highlight w:val="none"/>
        </w:rPr>
        <w:t xml:space="preserve">潜在供应商已依法获取其可质疑的采购文件的，可以对该文件提出质疑。对采购文件提出质疑的，应当在获取采购文件或者采购文件公告期限届满之日起7个工作日内提出。</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28.6代理机构及采购人只接收以纸质原件形式送达的质疑。采购人质疑接收人及联系方式见招标文件第一章。</w:t>
      </w:r>
      <w:r/>
    </w:p>
    <w:p>
      <w:pPr>
        <w:ind w:firstLine="420"/>
        <w:spacing w:line="360" w:lineRule="auto"/>
        <w:rPr>
          <w:rFonts w:hint="eastAsia" w:ascii="宋体" w:hAnsi="宋体"/>
          <w:color w:val="auto"/>
          <w:szCs w:val="21"/>
          <w:highlight w:val="none"/>
        </w:rPr>
      </w:pPr>
      <w:r>
        <w:rPr>
          <w:rFonts w:hint="eastAsia" w:ascii="宋体" w:hAnsi="宋体"/>
          <w:bCs/>
          <w:color w:val="auto"/>
          <w:szCs w:val="21"/>
          <w:highlight w:val="none"/>
        </w:rPr>
        <w:t xml:space="preserve">28.7</w:t>
      </w:r>
      <w:r>
        <w:rPr>
          <w:rFonts w:hint="eastAsia" w:ascii="宋体" w:hAnsi="宋体"/>
          <w:color w:val="auto"/>
          <w:szCs w:val="21"/>
          <w:highlight w:val="none"/>
        </w:rPr>
        <w:t xml:space="preserve">供应商提出质疑应当提交质疑函和必要的证明材料。质疑函应当包括下列内容：</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　　28.7.1供应商的姓名或者名称、地址、邮编、联系人及联系电话；</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　　28.7.2质疑项目的名称、编号；</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　　28.7.3具体、明确的质疑事项和与质疑事项相关的请求；</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　  28.7.4事实依据；</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28.7.5必要的法律依据；</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28.7.6提出质疑的日期。</w:t>
      </w:r>
      <w:r/>
    </w:p>
    <w:p>
      <w:pPr>
        <w:ind w:firstLine="420"/>
        <w:spacing w:line="360" w:lineRule="auto"/>
        <w:rPr>
          <w:color w:val="auto"/>
          <w:highlight w:val="none"/>
        </w:rPr>
      </w:pPr>
      <w:r>
        <w:rPr>
          <w:rFonts w:hint="eastAsia" w:ascii="宋体" w:hAnsi="宋体"/>
          <w:color w:val="auto"/>
          <w:szCs w:val="21"/>
          <w:highlight w:val="none"/>
        </w:rPr>
        <w:t xml:space="preserve">供应商为自然人的，应当由本人签字；供应商为法人或者其他组织的，应当由法定代表人、主要负责人，或者其授权代表签字或者盖章，并加盖公章。</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28.8代理机构收到质疑申请后，将对质疑的形式和内容进行审查，如质疑内容、格式不符合规定，代理机构将告知质疑人进行补正。</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28.7质疑人应当在法定质疑期限内进行补正并重新提交质疑函，拒不补正或者在法定期限内未重新提交质疑函的，为无效质疑，采购代理机构有权不予受理。</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28.8 以下情形的质疑不予受理</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28.8.1 内容不符合《政府采购质疑和投诉办法》第十二条规定的质疑。</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28.8.2 超出政府采购法定期限的质疑。</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28.8.3 以传真、电子邮件等方式递交的非原件形式的质疑。</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28.8.4 未参加投标活动的供应商或在投标活动中自身权益未受到损害的供应商所提出的质疑。</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28.9代理机构应当在收到供应商的书面质疑后7个工作日内作出答复，并以书面形式通知质疑供应商和其他有关供应商，但答复的内容不得涉及商业秘密。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28.10 诚实信用</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28.10.1 投标人之间不得相互串通投标报价，不得妨碍其他投标人的公平竞争，不得损害采购人和其他投标人的合法权益。</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28.10.2 投标人不得以向代理机构工作人员、评标委员会成员行贿或者采取其他不正当手段谋取中标。经查实投标人有此行为的，政府采购管理部门将投标人列入不良行为记录名单，按照《政府采购法》有关规定处理。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28.10.3 投标人提出书面质疑必须有理、有据，不得虚假质疑和恶意质疑，并对质疑内容的真实性承担责任。一经查实，代理机构有权依据政府采购的有关规定，报请政府采购监管部门对该投标人进行相应的行政处罚并在网站上予以公示。如果投标人或者其他利害关系人通过捏造事实、伪造证明材料等方式提出质疑，干扰政府采购活动正常进行的，属于严重不良行为，代理机构将提请政府采购监管部门将其列入不良行为记录名单，并依法予以处罚。</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28.10.4 投标人不得虚假承诺，否则，按照提供虚假材料谋取中标成交处理。</w:t>
      </w:r>
      <w:r/>
    </w:p>
    <w:p>
      <w:pPr>
        <w:ind w:firstLine="420"/>
        <w:spacing w:line="360" w:lineRule="auto"/>
        <w:rPr>
          <w:color w:val="auto"/>
          <w:highlight w:val="none"/>
        </w:rPr>
      </w:pPr>
      <w:r>
        <w:rPr>
          <w:rFonts w:hint="eastAsia" w:ascii="宋体" w:hAnsi="宋体"/>
          <w:color w:val="auto"/>
          <w:szCs w:val="21"/>
          <w:highlight w:val="none"/>
        </w:rPr>
        <w:t xml:space="preserve">28.10.5 投标人应自觉遵守开标、评标纪律，扰乱开标评标现场秩序的，属于失信行为，根据《江苏省政府采购供应商监督管理暂行办法》，失信行为将被记入投标人诚信档案。</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29、中标通知书</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29.l 中标结果确定后，代理机构将向中标人发出中标通知书。</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29.2 中标人可在“政府采购管理交易系统（苏采云）”中标通知书下载模块中自行下载中标通知书。</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30、签订合同</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30.l中标人应在中标通知书发出之日起三十日内，按照招标文件确定的事项与采购人签订政府采购合同。</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30.2 招标文件、中标人的投标文件及招标过程中有关澄清、承诺文件均应作为合同附件。</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30.3 合同在“政府采购管理交易系统（苏采云）”中签订，签订合同后，</w:t>
      </w:r>
      <w:r>
        <w:rPr>
          <w:rFonts w:hint="eastAsia" w:ascii="宋体" w:hAnsi="宋体"/>
          <w:bCs/>
          <w:i/>
          <w:iCs/>
          <w:color w:val="auto"/>
          <w:szCs w:val="21"/>
          <w:highlight w:val="none"/>
          <w:u w:val="single"/>
        </w:rPr>
        <w:t xml:space="preserve">中标人不得将货物或服务及其他服务进行转包</w:t>
      </w:r>
      <w:r>
        <w:rPr>
          <w:rFonts w:hint="eastAsia" w:ascii="宋体" w:hAnsi="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31、其他</w:t>
      </w:r>
      <w:r/>
    </w:p>
    <w:p>
      <w:pPr>
        <w:ind w:firstLine="422"/>
        <w:jc w:val="left"/>
        <w:spacing w:line="360" w:lineRule="auto"/>
        <w:rPr>
          <w:rFonts w:hint="eastAsia" w:ascii="宋体" w:hAnsi="宋体"/>
          <w:bCs/>
          <w:color w:val="auto"/>
          <w:szCs w:val="21"/>
          <w:highlight w:val="none"/>
        </w:rPr>
      </w:pPr>
      <w:r>
        <w:rPr>
          <w:color w:val="auto"/>
          <w:highlight w:val="none"/>
        </w:rPr>
        <w:t xml:space="preserve">3</w:t>
      </w:r>
      <w:r>
        <w:rPr>
          <w:rFonts w:hint="eastAsia"/>
          <w:color w:val="auto"/>
          <w:highlight w:val="none"/>
        </w:rPr>
        <w:t xml:space="preserve">1</w:t>
      </w:r>
      <w:r>
        <w:rPr>
          <w:color w:val="auto"/>
          <w:highlight w:val="none"/>
        </w:rPr>
        <w:t xml:space="preserve">.1 </w:t>
      </w:r>
      <w:r>
        <w:rPr>
          <w:rFonts w:hint="eastAsia"/>
          <w:color w:val="auto"/>
          <w:highlight w:val="none"/>
        </w:rPr>
        <w:t xml:space="preserve">依据《政府采购促进中小企业发展管理办法》享受扶持政策获得政府采购合同的，小微企业不得将合同分包给大中型企业，中型企业不得将合同分包给大型企业。</w:t>
      </w:r>
      <w:r/>
    </w:p>
    <w:p>
      <w:pPr>
        <w:ind w:firstLine="420"/>
        <w:jc w:val="center"/>
        <w:spacing w:line="440" w:lineRule="exact"/>
        <w:rPr>
          <w:rFonts w:hint="eastAsia" w:ascii="宋体" w:hAnsi="宋体"/>
          <w:color w:val="auto"/>
          <w:highlight w:val="none"/>
        </w:rPr>
      </w:pPr>
      <w:r>
        <w:rPr>
          <w:rFonts w:hint="eastAsia" w:ascii="宋体" w:hAnsi="宋体"/>
          <w:color w:val="auto"/>
          <w:highlight w:val="none"/>
        </w:rPr>
      </w:r>
      <w:r/>
    </w:p>
    <w:p>
      <w:pPr>
        <w:ind w:firstLine="420"/>
        <w:jc w:val="center"/>
        <w:spacing w:line="440" w:lineRule="exact"/>
        <w:rPr>
          <w:color w:val="auto"/>
          <w:highlight w:val="none"/>
        </w:rPr>
      </w:pPr>
      <w:r>
        <w:rPr>
          <w:color w:val="auto"/>
          <w:highlight w:val="none"/>
        </w:rPr>
      </w:r>
      <w:r/>
    </w:p>
    <w:p>
      <w:pPr>
        <w:ind w:firstLine="420"/>
        <w:jc w:val="center"/>
        <w:spacing w:line="440" w:lineRule="exact"/>
        <w:rPr>
          <w:color w:val="auto"/>
          <w:highlight w:val="none"/>
        </w:rPr>
      </w:pPr>
      <w:r>
        <w:rPr>
          <w:color w:val="auto"/>
          <w:highlight w:val="none"/>
        </w:rPr>
      </w:r>
      <w:r/>
    </w:p>
    <w:p>
      <w:pPr>
        <w:ind w:firstLine="420"/>
        <w:jc w:val="center"/>
        <w:spacing w:line="440" w:lineRule="exact"/>
        <w:rPr>
          <w:color w:val="auto"/>
          <w:highlight w:val="none"/>
        </w:rPr>
      </w:pPr>
      <w:r>
        <w:rPr>
          <w:color w:val="auto"/>
          <w:highlight w:val="none"/>
        </w:rPr>
      </w:r>
      <w:r/>
    </w:p>
    <w:p>
      <w:pPr>
        <w:ind w:firstLine="420"/>
        <w:jc w:val="center"/>
        <w:spacing w:line="440" w:lineRule="exact"/>
        <w:rPr>
          <w:color w:val="auto"/>
          <w:highlight w:val="none"/>
        </w:rPr>
      </w:pPr>
      <w:r>
        <w:rPr>
          <w:color w:val="auto"/>
          <w:highlight w:val="none"/>
        </w:rPr>
      </w:r>
      <w:r/>
    </w:p>
    <w:p>
      <w:pPr>
        <w:ind w:firstLine="420"/>
        <w:jc w:val="center"/>
        <w:spacing w:line="440" w:lineRule="exact"/>
        <w:rPr>
          <w:color w:val="auto"/>
          <w:highlight w:val="none"/>
        </w:rPr>
      </w:pPr>
      <w:r>
        <w:rPr>
          <w:color w:val="auto"/>
          <w:highlight w:val="none"/>
        </w:rPr>
      </w:r>
      <w:r/>
    </w:p>
    <w:p>
      <w:pPr>
        <w:ind w:firstLine="420"/>
        <w:jc w:val="center"/>
        <w:spacing w:line="440" w:lineRule="exact"/>
        <w:rPr>
          <w:color w:val="auto"/>
          <w:highlight w:val="none"/>
        </w:rPr>
      </w:pPr>
      <w:r>
        <w:rPr>
          <w:color w:val="auto"/>
          <w:highlight w:val="none"/>
        </w:rPr>
      </w:r>
      <w:r/>
    </w:p>
    <w:p>
      <w:pPr>
        <w:ind w:firstLine="420"/>
        <w:jc w:val="center"/>
        <w:spacing w:line="440" w:lineRule="exact"/>
        <w:rPr>
          <w:color w:val="auto"/>
          <w:highlight w:val="none"/>
        </w:rPr>
      </w:pPr>
      <w:r>
        <w:rPr>
          <w:color w:val="auto"/>
          <w:highlight w:val="none"/>
        </w:rPr>
      </w:r>
      <w:r/>
    </w:p>
    <w:p>
      <w:pPr>
        <w:ind w:firstLine="420"/>
        <w:jc w:val="center"/>
        <w:spacing w:line="440" w:lineRule="exact"/>
        <w:rPr>
          <w:color w:val="auto"/>
          <w:highlight w:val="none"/>
        </w:rPr>
      </w:pPr>
      <w:r>
        <w:rPr>
          <w:color w:val="auto"/>
          <w:highlight w:val="none"/>
        </w:rPr>
      </w:r>
      <w:r/>
    </w:p>
    <w:p>
      <w:pPr>
        <w:ind w:firstLine="420"/>
        <w:jc w:val="center"/>
        <w:spacing w:line="440" w:lineRule="exact"/>
        <w:rPr>
          <w:color w:val="auto"/>
          <w:highlight w:val="none"/>
        </w:rPr>
      </w:pPr>
      <w:r>
        <w:rPr>
          <w:color w:val="auto"/>
          <w:highlight w:val="none"/>
        </w:rPr>
      </w:r>
      <w:r/>
    </w:p>
    <w:p>
      <w:pPr>
        <w:ind w:firstLine="420"/>
        <w:jc w:val="center"/>
        <w:spacing w:line="440" w:lineRule="exact"/>
        <w:rPr>
          <w:color w:val="auto"/>
          <w:highlight w:val="none"/>
        </w:rPr>
      </w:pPr>
      <w:r>
        <w:rPr>
          <w:color w:val="auto"/>
          <w:highlight w:val="none"/>
        </w:rPr>
      </w:r>
      <w:r/>
    </w:p>
    <w:p>
      <w:pPr>
        <w:ind w:firstLine="420"/>
        <w:jc w:val="center"/>
        <w:spacing w:line="440" w:lineRule="exact"/>
        <w:rPr>
          <w:color w:val="auto"/>
          <w:highlight w:val="none"/>
        </w:rPr>
      </w:pPr>
      <w:r>
        <w:rPr>
          <w:color w:val="auto"/>
          <w:highlight w:val="none"/>
        </w:rPr>
      </w:r>
      <w:r/>
    </w:p>
    <w:p>
      <w:pPr>
        <w:ind w:firstLine="420"/>
        <w:jc w:val="center"/>
        <w:spacing w:line="440" w:lineRule="exact"/>
        <w:rPr>
          <w:color w:val="auto"/>
          <w:highlight w:val="none"/>
        </w:rPr>
      </w:pPr>
      <w:r>
        <w:rPr>
          <w:color w:val="auto"/>
          <w:highlight w:val="none"/>
        </w:rPr>
      </w:r>
      <w:r/>
    </w:p>
    <w:p>
      <w:pPr>
        <w:ind w:firstLine="420"/>
        <w:jc w:val="center"/>
        <w:spacing w:line="440" w:lineRule="exact"/>
        <w:rPr>
          <w:color w:val="auto"/>
          <w:highlight w:val="none"/>
        </w:rPr>
      </w:pPr>
      <w:r>
        <w:rPr>
          <w:color w:val="auto"/>
          <w:highlight w:val="none"/>
        </w:rPr>
      </w:r>
      <w:r/>
    </w:p>
    <w:p>
      <w:pPr>
        <w:ind w:firstLine="420"/>
        <w:jc w:val="center"/>
        <w:spacing w:line="440" w:lineRule="exact"/>
        <w:rPr>
          <w:color w:val="auto"/>
          <w:highlight w:val="none"/>
        </w:rPr>
      </w:pPr>
      <w:r>
        <w:rPr>
          <w:color w:val="auto"/>
          <w:highlight w:val="none"/>
        </w:rPr>
      </w:r>
      <w:r/>
    </w:p>
    <w:p>
      <w:pPr>
        <w:ind w:firstLine="420"/>
        <w:jc w:val="center"/>
        <w:spacing w:line="440" w:lineRule="exact"/>
        <w:rPr>
          <w:color w:val="auto"/>
          <w:highlight w:val="none"/>
        </w:rPr>
      </w:pPr>
      <w:r>
        <w:rPr>
          <w:color w:val="auto"/>
          <w:highlight w:val="none"/>
        </w:rPr>
      </w:r>
      <w:r/>
    </w:p>
    <w:p>
      <w:pPr>
        <w:ind w:firstLine="420"/>
        <w:jc w:val="center"/>
        <w:spacing w:line="440" w:lineRule="exact"/>
        <w:rPr>
          <w:color w:val="auto"/>
          <w:highlight w:val="none"/>
        </w:rPr>
      </w:pPr>
      <w:r/>
      <w:bookmarkStart w:id="54" w:name="_Toc55204179"/>
      <w:r>
        <w:rPr>
          <w:rFonts w:hint="eastAsia" w:ascii="宋体" w:hAnsi="宋体"/>
          <w:b/>
          <w:bCs/>
          <w:color w:val="auto"/>
          <w:szCs w:val="36"/>
          <w:highlight w:val="none"/>
        </w:rPr>
        <w:t xml:space="preserve">第三章 合同条款及格式</w:t>
      </w:r>
      <w:bookmarkEnd w:id="54"/>
      <w:r/>
      <w:r/>
    </w:p>
    <w:p>
      <w:pPr>
        <w:pStyle w:val="821"/>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以下为中标后签定本项目合同的通用条款，中标人不得提出实质性的修改，关于专用条款将由采购人与中标人结合本项目具体情况协商后签订。</w:t>
      </w:r>
      <w:r/>
    </w:p>
    <w:p>
      <w:pPr>
        <w:pStyle w:val="821"/>
        <w:ind w:firstLine="422"/>
        <w:jc w:val="center"/>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扬州市政府采购合同（货物)（合同编号）</w:t>
      </w:r>
      <w:r/>
    </w:p>
    <w:p>
      <w:pPr>
        <w:pStyle w:val="82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项目名称：</w:t>
      </w:r>
      <w:r/>
    </w:p>
    <w:p>
      <w:pPr>
        <w:pStyle w:val="82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项目编号：</w:t>
      </w:r>
      <w:r/>
    </w:p>
    <w:p>
      <w:pPr>
        <w:pStyle w:val="82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甲方：（买方）_________</w:t>
      </w:r>
      <w:r/>
    </w:p>
    <w:p>
      <w:pPr>
        <w:pStyle w:val="82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乙方：（卖方）_________</w:t>
      </w:r>
      <w:r/>
    </w:p>
    <w:p>
      <w:pPr>
        <w:pStyle w:val="82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甲、乙双方根据（代理公司）</w:t>
      </w:r>
      <w:r>
        <w:rPr>
          <w:rFonts w:hint="eastAsia" w:hAnsi="宋体" w:cs="宋体"/>
          <w:color w:val="auto"/>
          <w:sz w:val="21"/>
          <w:highlight w:val="none"/>
          <w:u w:val="single"/>
        </w:rPr>
        <w:t xml:space="preserve">                       </w:t>
      </w:r>
      <w:r>
        <w:rPr>
          <w:rFonts w:hint="eastAsia" w:hAnsi="宋体" w:cs="宋体"/>
          <w:color w:val="auto"/>
          <w:sz w:val="21"/>
          <w:highlight w:val="none"/>
        </w:rPr>
        <w:t xml:space="preserve">项目公开招标的结果，签署本合同。</w:t>
      </w:r>
      <w:r/>
    </w:p>
    <w:p>
      <w:pPr>
        <w:pStyle w:val="821"/>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一、货物及伴随服务</w:t>
      </w:r>
      <w:r/>
    </w:p>
    <w:p>
      <w:pPr>
        <w:pStyle w:val="82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1.1 货物及服务名称：</w:t>
      </w:r>
      <w:r/>
    </w:p>
    <w:p>
      <w:pPr>
        <w:pStyle w:val="82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1.2 型号规格：</w:t>
      </w:r>
      <w:r/>
    </w:p>
    <w:p>
      <w:pPr>
        <w:pStyle w:val="82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1.3 数量（单位）</w:t>
      </w:r>
      <w:r/>
    </w:p>
    <w:p>
      <w:pPr>
        <w:pStyle w:val="821"/>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二、合同金额</w:t>
      </w:r>
      <w:r/>
    </w:p>
    <w:p>
      <w:pPr>
        <w:pStyle w:val="82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2.1本合同金额为（大写）：___________________________元（_______________元）人民币。</w:t>
      </w:r>
      <w:r/>
    </w:p>
    <w:p>
      <w:pPr>
        <w:pStyle w:val="821"/>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三、技术资料</w:t>
      </w:r>
      <w:r/>
    </w:p>
    <w:p>
      <w:pPr>
        <w:pStyle w:val="82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3.1乙方应按采购文件规定的时间向甲方提供使用货物及服务的有关技术资料。</w:t>
      </w:r>
      <w:r/>
    </w:p>
    <w:p>
      <w:pPr>
        <w:pStyle w:val="82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21"/>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四、知识产权</w:t>
      </w:r>
      <w:r/>
    </w:p>
    <w:p>
      <w:pPr>
        <w:pStyle w:val="82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821"/>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五、产权担保</w:t>
      </w:r>
      <w:r/>
    </w:p>
    <w:p>
      <w:pPr>
        <w:pStyle w:val="82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5.1 乙方保证所交付的货物及服务的所有权完全属于乙方且无任何抵押、查封等产权瑕疵。</w:t>
      </w:r>
      <w:r/>
    </w:p>
    <w:p>
      <w:pPr>
        <w:pStyle w:val="821"/>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六、履约保证金</w:t>
      </w:r>
      <w:r/>
    </w:p>
    <w:p>
      <w:pPr>
        <w:pStyle w:val="82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6.1收取履约保证金的，</w:t>
      </w:r>
      <w:r>
        <w:rPr>
          <w:rFonts w:hint="eastAsia" w:hAnsi="宋体"/>
          <w:color w:val="auto"/>
          <w:sz w:val="21"/>
          <w:highlight w:val="none"/>
        </w:rPr>
        <w:t xml:space="preserve">允许中标人自主选择支票、汇票、本票、保函等非现金形式缴纳或提交，</w:t>
      </w:r>
      <w:r>
        <w:rPr>
          <w:rFonts w:hint="eastAsia" w:hAnsi="宋体" w:cs="宋体"/>
          <w:color w:val="auto"/>
          <w:sz w:val="21"/>
          <w:highlight w:val="none"/>
        </w:rPr>
        <w:t xml:space="preserve">应当在采购合同中约定履约保证金退还的方式、时间、条件和不予退还的情形，明确逾期退还履约保证金的违约责任。</w:t>
      </w:r>
      <w:r/>
    </w:p>
    <w:p>
      <w:pPr>
        <w:pStyle w:val="82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82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6.3 履约保证金扣除甲方应得的补偿后的余额，在本合同履行结束后由甲方退还。逾期退还的，按中国人民银行同期贷款基准利率上浮20%后的利率支付超期资金占用费，但因乙方自身原因导致无法及时退还的除外。 </w:t>
      </w:r>
      <w:r/>
    </w:p>
    <w:p>
      <w:pPr>
        <w:pStyle w:val="821"/>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6.4 履约保证收取：无</w:t>
      </w:r>
      <w:r/>
    </w:p>
    <w:p>
      <w:pPr>
        <w:pStyle w:val="821"/>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七、转包或分包</w:t>
      </w:r>
      <w:r/>
    </w:p>
    <w:p>
      <w:pPr>
        <w:pStyle w:val="82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7.1本合同范围的货物及服务，应由乙方直接供应，不得转让他人供应；</w:t>
      </w:r>
      <w:r/>
    </w:p>
    <w:p>
      <w:pPr>
        <w:pStyle w:val="82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7.2 除非得到甲方的书面同意，乙方不得部分分包给他人供应。</w:t>
      </w:r>
      <w:r/>
    </w:p>
    <w:p>
      <w:pPr>
        <w:pStyle w:val="82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7.3如有转让和未经甲方同意的分包行为，甲方有权给予终止合同。</w:t>
      </w:r>
      <w:r/>
    </w:p>
    <w:p>
      <w:pPr>
        <w:pStyle w:val="821"/>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八、质保期</w:t>
      </w:r>
      <w:r/>
    </w:p>
    <w:p>
      <w:pPr>
        <w:pStyle w:val="82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8.1 质保期</w:t>
      </w:r>
      <w:r>
        <w:rPr>
          <w:rFonts w:hint="eastAsia" w:hAnsi="宋体" w:cs="宋体"/>
          <w:color w:val="auto"/>
          <w:sz w:val="21"/>
          <w:highlight w:val="none"/>
          <w:u w:val="single"/>
        </w:rPr>
        <w:t xml:space="preserve">    </w:t>
      </w:r>
      <w:r>
        <w:rPr>
          <w:rFonts w:hint="eastAsia" w:hAnsi="宋体" w:cs="宋体"/>
          <w:color w:val="auto"/>
          <w:sz w:val="21"/>
          <w:highlight w:val="none"/>
        </w:rPr>
        <w:t xml:space="preserve">年。（自交货验收合格之日起计）</w:t>
      </w:r>
      <w:r/>
    </w:p>
    <w:p>
      <w:pPr>
        <w:pStyle w:val="821"/>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九、交付期、交付方式及交付地点</w:t>
      </w:r>
      <w:r/>
    </w:p>
    <w:p>
      <w:pPr>
        <w:pStyle w:val="82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9.1 交付期：_________</w:t>
      </w:r>
      <w:r/>
    </w:p>
    <w:p>
      <w:pPr>
        <w:pStyle w:val="82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9.2 交付方式：_________</w:t>
      </w:r>
      <w:r/>
    </w:p>
    <w:p>
      <w:pPr>
        <w:pStyle w:val="821"/>
        <w:ind w:firstLine="420"/>
        <w:spacing w:before="120" w:after="120" w:line="360" w:lineRule="auto"/>
        <w:rPr>
          <w:rFonts w:hint="eastAsia" w:hAnsi="宋体" w:cs="宋体"/>
          <w:b/>
          <w:bCs/>
          <w:color w:val="auto"/>
          <w:sz w:val="21"/>
          <w:highlight w:val="none"/>
        </w:rPr>
      </w:pPr>
      <w:r>
        <w:rPr>
          <w:rFonts w:hint="eastAsia" w:hAnsi="宋体" w:cs="宋体"/>
          <w:color w:val="auto"/>
          <w:sz w:val="21"/>
          <w:highlight w:val="none"/>
        </w:rPr>
        <w:t xml:space="preserve">9.3 交付地点：_________</w:t>
      </w:r>
      <w:r>
        <w:rPr>
          <w:rFonts w:hint="eastAsia" w:hAnsi="宋体"/>
          <w:bCs/>
          <w:color w:val="auto"/>
          <w:highlight w:val="none"/>
        </w:rPr>
        <w:t xml:space="preserve"> </w:t>
      </w:r>
      <w:r/>
    </w:p>
    <w:p>
      <w:pPr>
        <w:pStyle w:val="821"/>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十、货款支付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10.1 本合同项下所有款项均以人民币支付。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10.2 本合同项下的采购资金由甲方支付，付款前乙方向甲方开具发票。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10.3 </w:t>
      </w:r>
      <w:r>
        <w:rPr>
          <w:rFonts w:hint="eastAsia" w:hAnsi="宋体" w:cs="宋体"/>
          <w:color w:val="auto"/>
          <w:highlight w:val="none"/>
        </w:rPr>
        <w:t xml:space="preserve">甲方付款方式：</w:t>
      </w: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 1 \* GB3 </w:instrText>
      </w:r>
      <w:r>
        <w:rPr>
          <w:rFonts w:hint="eastAsia" w:ascii="宋体" w:hAnsi="宋体" w:cs="宋体"/>
          <w:color w:val="auto"/>
          <w:szCs w:val="21"/>
          <w:highlight w:val="none"/>
        </w:rPr>
        <w:fldChar w:fldCharType="separate"/>
      </w:r>
      <w:r>
        <w:rPr>
          <w:rFonts w:hint="eastAsia" w:ascii="宋体" w:hAnsi="宋体" w:cs="宋体"/>
          <w:color w:val="auto"/>
          <w:szCs w:val="21"/>
          <w:highlight w:val="none"/>
        </w:rPr>
        <w:t xml:space="preserve">①</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合同签订后，甲方自收到乙方发票之日起10个工作日内支付合同价30%；</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 2 \* GB3 </w:instrText>
      </w:r>
      <w:r>
        <w:rPr>
          <w:rFonts w:hint="eastAsia" w:ascii="宋体" w:hAnsi="宋体" w:cs="宋体"/>
          <w:color w:val="auto"/>
          <w:szCs w:val="21"/>
          <w:highlight w:val="none"/>
        </w:rPr>
        <w:fldChar w:fldCharType="separate"/>
      </w:r>
      <w:r>
        <w:rPr>
          <w:rFonts w:hint="eastAsia" w:ascii="宋体" w:hAnsi="宋体" w:cs="宋体"/>
          <w:color w:val="auto"/>
          <w:szCs w:val="21"/>
          <w:highlight w:val="none"/>
        </w:rPr>
        <w:t xml:space="preserve">②</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试剂和耗材必须在30天内供货完毕，经采购方验收合格后，一次性支付剩余货款。</w:t>
      </w:r>
      <w:r/>
    </w:p>
    <w:p>
      <w:pPr>
        <w:pStyle w:val="835"/>
        <w:ind w:firstLine="420"/>
        <w:spacing w:line="360" w:lineRule="auto"/>
        <w:widowControl/>
        <w:rPr>
          <w:rFonts w:hint="eastAsia" w:hAnsi="宋体" w:cs="宋体"/>
          <w:color w:val="auto"/>
          <w:sz w:val="21"/>
          <w:highlight w:val="none"/>
        </w:rPr>
      </w:pPr>
      <w:r>
        <w:rPr>
          <w:rFonts w:hint="eastAsia" w:ascii="宋体" w:hAnsi="宋体" w:cs="宋体"/>
          <w:color w:val="auto"/>
          <w:sz w:val="21"/>
          <w:szCs w:val="21"/>
          <w:highlight w:val="none"/>
        </w:rPr>
        <w:t xml:space="preserve">（注：每次支付，甲方应自收到乙方发票之日起10个工作日内付款）</w:t>
      </w:r>
      <w:r/>
    </w:p>
    <w:p>
      <w:pPr>
        <w:pStyle w:val="821"/>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十一、税费</w:t>
      </w:r>
      <w:r/>
    </w:p>
    <w:p>
      <w:pPr>
        <w:pStyle w:val="82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11.1本合同执行中相关的一切税费均由乙方负担。</w:t>
      </w:r>
      <w:r/>
    </w:p>
    <w:p>
      <w:pPr>
        <w:pStyle w:val="821"/>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十二、质量保证及售后服务</w:t>
      </w:r>
      <w:r/>
    </w:p>
    <w:p>
      <w:pPr>
        <w:pStyle w:val="82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12.1 乙方应按采购文件规定的货物及服务性能、技术要求、质量标准向甲方提供。</w:t>
      </w:r>
      <w:r/>
    </w:p>
    <w:p>
      <w:pPr>
        <w:pStyle w:val="82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12.2 乙方提供的货物及服务在质量期内因服务及产品本身的质量问题发生故障，乙方应负责免费更换。对达不到技术要求者，根据实际情况，经双方协商，可按以下办法处理：</w:t>
      </w:r>
      <w:r/>
    </w:p>
    <w:p>
      <w:pPr>
        <w:pStyle w:val="82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⑴更换：由乙方承担所发生的全部费用。</w:t>
      </w:r>
      <w:r/>
    </w:p>
    <w:p>
      <w:pPr>
        <w:pStyle w:val="82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⑵贬值处理：由甲乙双方合议定价。</w:t>
      </w:r>
      <w:r/>
    </w:p>
    <w:p>
      <w:pPr>
        <w:pStyle w:val="82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⑶退还处理：乙方应退还甲方支付的合同款，同时应承担该货物及服务的直接费用（运输、保险、检验、款项利息及银行手续费等）。</w:t>
      </w:r>
      <w:r/>
    </w:p>
    <w:p>
      <w:pPr>
        <w:pStyle w:val="82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12.3 如在使用过程中发生质量问题，乙方在接到甲方通知后在</w:t>
      </w:r>
      <w:r>
        <w:rPr>
          <w:rFonts w:hint="eastAsia" w:hAnsi="宋体" w:cs="宋体"/>
          <w:color w:val="auto"/>
          <w:sz w:val="21"/>
          <w:highlight w:val="none"/>
          <w:u w:val="single"/>
        </w:rPr>
        <w:t xml:space="preserve">     </w:t>
      </w:r>
      <w:r>
        <w:rPr>
          <w:rFonts w:hint="eastAsia" w:hAnsi="宋体" w:cs="宋体"/>
          <w:color w:val="auto"/>
          <w:sz w:val="21"/>
          <w:highlight w:val="none"/>
        </w:rPr>
        <w:t xml:space="preserve">小时内到达甲方现场。</w:t>
      </w:r>
      <w:r/>
    </w:p>
    <w:p>
      <w:pPr>
        <w:pStyle w:val="82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12.4 在质保期内，乙方应对货物及服务出现的质量及安全问题负责处理解决并承担一切费用。</w:t>
      </w:r>
      <w:r/>
    </w:p>
    <w:p>
      <w:pPr>
        <w:pStyle w:val="82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12.5上述的货物及服务免费保修期为</w:t>
      </w:r>
      <w:r>
        <w:rPr>
          <w:rFonts w:hint="eastAsia" w:hAnsi="宋体" w:cs="宋体"/>
          <w:color w:val="auto"/>
          <w:sz w:val="21"/>
          <w:highlight w:val="none"/>
          <w:u w:val="single"/>
        </w:rPr>
        <w:t xml:space="preserve">      </w:t>
      </w:r>
      <w:r>
        <w:rPr>
          <w:rFonts w:hint="eastAsia" w:hAnsi="宋体" w:cs="宋体"/>
          <w:color w:val="auto"/>
          <w:sz w:val="21"/>
          <w:highlight w:val="none"/>
        </w:rPr>
        <w:t xml:space="preserve">年，因人为因素出现的故障不在免费保修范围内。超过保修期的机器设备，终生维修，维修时只收部件成本费。</w:t>
      </w:r>
      <w:r/>
    </w:p>
    <w:p>
      <w:pPr>
        <w:pStyle w:val="821"/>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十三、调试和验收</w:t>
      </w:r>
      <w:r/>
    </w:p>
    <w:p>
      <w:pPr>
        <w:pStyle w:val="82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13.1 甲方对乙方提交的货物及服务依据采购文件上的技术规格要求和国家有关质量标准进行现场初步验收，外观、说明书符合采购文件技术要求的，给予签收，初步验收不合格的不予签收。交付后，甲方需在五个工作日内验收。</w:t>
      </w:r>
      <w:r/>
    </w:p>
    <w:p>
      <w:pPr>
        <w:pStyle w:val="82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13.2 乙方交付前应对货物及服务作出全面检查和对验收文件进行整理，并列出清单，作为甲方交付验收和使用的技术条件依据，检验的结果应随货物及服务交甲方。</w:t>
      </w:r>
      <w:r/>
    </w:p>
    <w:p>
      <w:pPr>
        <w:pStyle w:val="82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13.3 甲方对乙方提供的货物及服务在使用前进行调试时，乙方需负责安装并培训甲方的使用操作人员，并协助甲方一起调试，直到符合技术要求，甲方才做最终验收。</w:t>
      </w:r>
      <w:r/>
    </w:p>
    <w:p>
      <w:pPr>
        <w:pStyle w:val="82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13.4 对技术复杂的货物及服务，甲方可请国家认可的专业检测机构参与初步验收及最终验收，并由其出具质量检测报告。</w:t>
      </w:r>
      <w:r/>
    </w:p>
    <w:p>
      <w:pPr>
        <w:pStyle w:val="82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13.5 验收时乙方必须在现场，验收完毕后作出验收结果报告；验收费用由甲乙双方协商解决。</w:t>
      </w:r>
      <w:r/>
    </w:p>
    <w:p>
      <w:pPr>
        <w:pStyle w:val="821"/>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十四、货物及服务包装、发运及运输</w:t>
      </w:r>
      <w:r/>
    </w:p>
    <w:p>
      <w:pPr>
        <w:pStyle w:val="82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14.1 乙方应在货物及服务发运前对其进行满足运输距离、防潮、防震、防锈和防破损装卸等要求包装，以保证货物及服务安全运达甲方指定地点。</w:t>
      </w:r>
      <w:r/>
    </w:p>
    <w:p>
      <w:pPr>
        <w:pStyle w:val="82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14.2 使用说明书、质量检验证明书、随配附件和工具以及清单一并交付甲方。</w:t>
      </w:r>
      <w:r/>
    </w:p>
    <w:p>
      <w:pPr>
        <w:pStyle w:val="82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14.3 乙方在货物及服务发运手续办理完毕后24小时内或交付到甲方48小时前通知甲方，以准备接受交付。</w:t>
      </w:r>
      <w:r/>
    </w:p>
    <w:p>
      <w:pPr>
        <w:pStyle w:val="82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14.4 货物在交付甲方前发生的风险均由乙方负责。</w:t>
      </w:r>
      <w:r/>
    </w:p>
    <w:p>
      <w:pPr>
        <w:pStyle w:val="82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14.5 货物及服务在规定的交付期限内由乙方送达甲方指定的地点视为交付，乙方同时需通知甲方货物及服务已送达。</w:t>
      </w:r>
      <w:r/>
    </w:p>
    <w:p>
      <w:pPr>
        <w:pStyle w:val="821"/>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十五、违约责任</w:t>
      </w:r>
      <w:r/>
    </w:p>
    <w:p>
      <w:pPr>
        <w:pStyle w:val="82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15.1 甲方无正当理由拒收货物及服务的，甲方向乙方偿付拒收款项总值的百分之五违约金。</w:t>
      </w:r>
      <w:r/>
    </w:p>
    <w:p>
      <w:pPr>
        <w:pStyle w:val="82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15.2 甲方无故逾期验收和办理款项支付手续的,甲方应按逾期付款总额每日万分之五向乙方支付违约金。</w:t>
      </w:r>
      <w:r/>
    </w:p>
    <w:p>
      <w:pPr>
        <w:pStyle w:val="82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w:t>
      </w:r>
      <w:r/>
    </w:p>
    <w:p>
      <w:pPr>
        <w:pStyle w:val="82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15.4 乙方所交的货物及服务数量、质量不符合合同规定及采购文件规定标准的，甲方有权拒收该货物及服务，乙方愿意更换货物及服务但逾期交付的，按乙方逾期交付处理。乙方拒绝更换货物及服务的，甲方可单方面解除合同。</w:t>
      </w:r>
      <w:r/>
    </w:p>
    <w:p>
      <w:pPr>
        <w:pStyle w:val="821"/>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十六、不可抗力事件处理</w:t>
      </w:r>
      <w:r/>
    </w:p>
    <w:p>
      <w:pPr>
        <w:pStyle w:val="82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16.1 在合同有效期内，任何一方因不可抗力事件导致不能履行合同，则合同履行期可延长，其延长期与不可抗力影响期相同。</w:t>
      </w:r>
      <w:r/>
    </w:p>
    <w:p>
      <w:pPr>
        <w:pStyle w:val="82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16.2 不可抗力事件发生后，应立即通知对方，并寄送有关权威机构出具的证明。</w:t>
      </w:r>
      <w:r/>
    </w:p>
    <w:p>
      <w:pPr>
        <w:pStyle w:val="821"/>
        <w:ind w:firstLine="420"/>
        <w:spacing w:before="120" w:after="120" w:line="360" w:lineRule="auto"/>
        <w:rPr>
          <w:rFonts w:hint="eastAsia" w:hAnsi="宋体" w:cs="宋体"/>
          <w:b/>
          <w:bCs/>
          <w:color w:val="auto"/>
          <w:sz w:val="21"/>
          <w:highlight w:val="none"/>
        </w:rPr>
      </w:pPr>
      <w:r>
        <w:rPr>
          <w:rFonts w:hint="eastAsia" w:hAnsi="宋体" w:cs="宋体"/>
          <w:color w:val="auto"/>
          <w:sz w:val="21"/>
          <w:highlight w:val="none"/>
        </w:rPr>
        <w:t xml:space="preserve">16.3 不可抗力事件延续120天以上，双方应通过友好协商，确定是否继续履行合同。</w:t>
      </w:r>
      <w:r/>
    </w:p>
    <w:p>
      <w:pPr>
        <w:pStyle w:val="821"/>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十七、诉讼</w:t>
      </w:r>
      <w:r/>
    </w:p>
    <w:p>
      <w:pPr>
        <w:pStyle w:val="82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17.1 双方在执行合同中所发生的一切争议，应通过协商解决。如协商不成，可向合同签订地法院起诉，合同签订地在此约定为扬州市江都区。</w:t>
      </w:r>
      <w:r/>
    </w:p>
    <w:p>
      <w:pPr>
        <w:pStyle w:val="821"/>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十八、合同生效及其它</w:t>
      </w:r>
      <w:r/>
    </w:p>
    <w:p>
      <w:pPr>
        <w:pStyle w:val="82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18.1 合同经双方法定代表人签章并加盖单位公章，并经（代理公司）见证盖章后生效。</w:t>
      </w:r>
      <w:r/>
    </w:p>
    <w:p>
      <w:pPr>
        <w:pStyle w:val="82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18.2本合同未尽事宜，遵照《中华人民共和国民法典》有关条文执行。</w:t>
      </w:r>
      <w:r/>
    </w:p>
    <w:p>
      <w:pPr>
        <w:pStyle w:val="82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18.3 本合同正本一式六份，具有同等法律效力，甲方、乙方各执二份，见证方及财政监管部门（扬州市江都区财政局政府采购管理科）各执一份。</w:t>
      </w:r>
      <w:r/>
    </w:p>
    <w:tbl>
      <w:tblPr>
        <w:tblStyle w:val="812"/>
        <w:tblW w:w="8522" w:type="dxa"/>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W w:w="4284" w:type="dxa"/>
            <w:textDirection w:val="lrTb"/>
            <w:noWrap w:val="false"/>
          </w:tcPr>
          <w:p>
            <w:pPr>
              <w:pStyle w:val="821"/>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甲方：</w:t>
            </w:r>
            <w:r/>
          </w:p>
        </w:tc>
        <w:tc>
          <w:tcPr>
            <w:tcW w:w="4238" w:type="dxa"/>
            <w:textDirection w:val="lrTb"/>
            <w:noWrap w:val="false"/>
          </w:tcPr>
          <w:p>
            <w:pPr>
              <w:pStyle w:val="821"/>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乙方：</w:t>
            </w:r>
            <w:r/>
          </w:p>
        </w:tc>
      </w:tr>
      <w:tr>
        <w:trPr/>
        <w:tc>
          <w:tcPr>
            <w:tcW w:w="4284" w:type="dxa"/>
            <w:textDirection w:val="lrTb"/>
            <w:noWrap w:val="false"/>
          </w:tcPr>
          <w:p>
            <w:pPr>
              <w:pStyle w:val="821"/>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地址：</w:t>
            </w:r>
            <w:r/>
          </w:p>
        </w:tc>
        <w:tc>
          <w:tcPr>
            <w:tcW w:w="4238" w:type="dxa"/>
            <w:textDirection w:val="lrTb"/>
            <w:noWrap w:val="false"/>
          </w:tcPr>
          <w:p>
            <w:pPr>
              <w:pStyle w:val="821"/>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地址：</w:t>
            </w:r>
            <w:r/>
          </w:p>
        </w:tc>
      </w:tr>
      <w:tr>
        <w:trPr/>
        <w:tc>
          <w:tcPr>
            <w:tcW w:w="4284" w:type="dxa"/>
            <w:textDirection w:val="lrTb"/>
            <w:noWrap w:val="false"/>
          </w:tcPr>
          <w:p>
            <w:pPr>
              <w:pStyle w:val="821"/>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法定代表人或授权代表：</w:t>
            </w:r>
            <w:r/>
          </w:p>
        </w:tc>
        <w:tc>
          <w:tcPr>
            <w:tcW w:w="4238" w:type="dxa"/>
            <w:textDirection w:val="lrTb"/>
            <w:noWrap w:val="false"/>
          </w:tcPr>
          <w:p>
            <w:pPr>
              <w:pStyle w:val="821"/>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法定代表人或授权代表：</w:t>
            </w:r>
            <w:r/>
          </w:p>
        </w:tc>
      </w:tr>
      <w:tr>
        <w:trPr/>
        <w:tc>
          <w:tcPr>
            <w:tcW w:w="4284" w:type="dxa"/>
            <w:textDirection w:val="lrTb"/>
            <w:noWrap w:val="false"/>
          </w:tcPr>
          <w:p>
            <w:pPr>
              <w:pStyle w:val="821"/>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联系电话：</w:t>
            </w:r>
            <w:r/>
          </w:p>
        </w:tc>
        <w:tc>
          <w:tcPr>
            <w:tcW w:w="4238" w:type="dxa"/>
            <w:textDirection w:val="lrTb"/>
            <w:noWrap w:val="false"/>
          </w:tcPr>
          <w:p>
            <w:pPr>
              <w:pStyle w:val="821"/>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联系电话：</w:t>
            </w:r>
            <w:r/>
          </w:p>
        </w:tc>
      </w:tr>
      <w:tr>
        <w:trPr/>
        <w:tc>
          <w:tcPr>
            <w:tcW w:w="4284" w:type="dxa"/>
            <w:textDirection w:val="lrTb"/>
            <w:noWrap w:val="false"/>
          </w:tcPr>
          <w:p>
            <w:pPr>
              <w:pStyle w:val="821"/>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日期：   年  月  日</w:t>
            </w:r>
            <w:r/>
          </w:p>
        </w:tc>
        <w:tc>
          <w:tcPr>
            <w:tcW w:w="4238" w:type="dxa"/>
            <w:textDirection w:val="lrTb"/>
            <w:noWrap w:val="false"/>
          </w:tcPr>
          <w:p>
            <w:pPr>
              <w:pStyle w:val="821"/>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日期：   年  月  日</w:t>
            </w:r>
            <w:r/>
          </w:p>
        </w:tc>
      </w:tr>
    </w:tbl>
    <w:p>
      <w:pPr>
        <w:pStyle w:val="821"/>
        <w:spacing w:before="120" w:after="120" w:line="360" w:lineRule="auto"/>
        <w:rPr>
          <w:rFonts w:hint="eastAsia" w:hAnsi="宋体" w:cs="宋体"/>
          <w:color w:val="auto"/>
          <w:highlight w:val="none"/>
        </w:rPr>
      </w:pPr>
      <w:r>
        <w:rPr>
          <w:rFonts w:hint="eastAsia" w:hAnsi="宋体" w:cs="宋体"/>
          <w:color w:val="auto"/>
          <w:highlight w:val="none"/>
        </w:rPr>
      </w:r>
      <w:r/>
    </w:p>
    <w:p>
      <w:pPr>
        <w:pStyle w:val="821"/>
        <w:ind w:firstLine="21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见证方：</w:t>
      </w:r>
      <w:r/>
    </w:p>
    <w:p>
      <w:pPr>
        <w:pStyle w:val="1036"/>
        <w:ind w:firstLine="210"/>
        <w:spacing w:before="156" w:after="156" w:line="440" w:lineRule="exact"/>
        <w:rPr>
          <w:rFonts w:hint="eastAsia" w:hAnsi="宋体" w:cs="宋体"/>
          <w:color w:val="auto"/>
          <w:sz w:val="21"/>
          <w:highlight w:val="none"/>
        </w:rPr>
      </w:pPr>
      <w:r>
        <w:rPr>
          <w:rFonts w:hint="eastAsia" w:hAnsi="宋体" w:cs="宋体"/>
          <w:color w:val="auto"/>
          <w:sz w:val="21"/>
          <w:highlight w:val="none"/>
        </w:rPr>
        <w:t xml:space="preserve">日期：   年   月   日</w:t>
      </w:r>
      <w:r/>
    </w:p>
    <w:p>
      <w:pPr>
        <w:pStyle w:val="1036"/>
        <w:spacing w:before="156" w:after="156" w:line="440" w:lineRule="exact"/>
        <w:rPr>
          <w:rFonts w:hint="eastAsia" w:hAnsi="宋体" w:cs="宋体"/>
          <w:color w:val="auto"/>
          <w:sz w:val="21"/>
          <w:highlight w:val="none"/>
        </w:rPr>
      </w:pPr>
      <w:r>
        <w:rPr>
          <w:rFonts w:hint="eastAsia" w:hAnsi="宋体" w:cs="宋体"/>
          <w:color w:val="auto"/>
          <w:sz w:val="21"/>
          <w:highlight w:val="none"/>
        </w:rPr>
      </w:r>
      <w:r/>
    </w:p>
    <w:p>
      <w:pPr>
        <w:pStyle w:val="1036"/>
        <w:spacing w:before="156" w:after="156" w:line="440" w:lineRule="exact"/>
        <w:rPr>
          <w:rFonts w:hint="eastAsia" w:hAnsi="宋体" w:cs="宋体"/>
          <w:color w:val="auto"/>
          <w:sz w:val="21"/>
          <w:highlight w:val="none"/>
        </w:rPr>
      </w:pPr>
      <w:r>
        <w:rPr>
          <w:rFonts w:hint="eastAsia" w:hAnsi="宋体" w:cs="宋体"/>
          <w:color w:val="auto"/>
          <w:sz w:val="21"/>
          <w:highlight w:val="none"/>
        </w:rPr>
      </w:r>
      <w:r/>
    </w:p>
    <w:p>
      <w:pPr>
        <w:pStyle w:val="1036"/>
        <w:spacing w:before="156" w:after="156" w:line="440" w:lineRule="exact"/>
        <w:rPr>
          <w:rFonts w:hint="eastAsia" w:hAnsi="宋体" w:cs="宋体"/>
          <w:color w:val="auto"/>
          <w:sz w:val="21"/>
          <w:highlight w:val="none"/>
        </w:rPr>
      </w:pPr>
      <w:r>
        <w:rPr>
          <w:rFonts w:hint="eastAsia" w:hAnsi="宋体" w:cs="宋体"/>
          <w:color w:val="auto"/>
          <w:sz w:val="21"/>
          <w:highlight w:val="none"/>
        </w:rPr>
      </w:r>
      <w:r/>
    </w:p>
    <w:p>
      <w:pPr>
        <w:pStyle w:val="1036"/>
        <w:spacing w:before="156" w:after="156" w:line="440" w:lineRule="exact"/>
        <w:rPr>
          <w:rFonts w:hint="eastAsia" w:hAnsi="宋体" w:cs="宋体"/>
          <w:color w:val="auto"/>
          <w:sz w:val="21"/>
          <w:highlight w:val="none"/>
        </w:rPr>
      </w:pPr>
      <w:r>
        <w:rPr>
          <w:rFonts w:hint="eastAsia" w:hAnsi="宋体" w:cs="宋体"/>
          <w:color w:val="auto"/>
          <w:sz w:val="21"/>
          <w:highlight w:val="none"/>
        </w:rPr>
      </w:r>
      <w:r/>
    </w:p>
    <w:p>
      <w:pPr>
        <w:pStyle w:val="1036"/>
        <w:spacing w:before="156" w:after="156" w:line="440" w:lineRule="exact"/>
        <w:rPr>
          <w:rFonts w:hint="eastAsia" w:hAnsi="宋体" w:cs="宋体"/>
          <w:color w:val="auto"/>
          <w:sz w:val="21"/>
          <w:highlight w:val="none"/>
        </w:rPr>
      </w:pPr>
      <w:r>
        <w:rPr>
          <w:rFonts w:hint="eastAsia" w:hAnsi="宋体" w:cs="宋体"/>
          <w:color w:val="auto"/>
          <w:sz w:val="21"/>
          <w:highlight w:val="none"/>
        </w:rPr>
      </w:r>
      <w:r/>
    </w:p>
    <w:p>
      <w:pPr>
        <w:pStyle w:val="1036"/>
        <w:spacing w:before="156" w:after="156" w:line="440" w:lineRule="exact"/>
        <w:rPr>
          <w:rFonts w:hint="eastAsia" w:hAnsi="宋体" w:cs="宋体"/>
          <w:color w:val="auto"/>
          <w:sz w:val="21"/>
          <w:highlight w:val="none"/>
        </w:rPr>
      </w:pPr>
      <w:r>
        <w:rPr>
          <w:rFonts w:hint="eastAsia" w:hAnsi="宋体" w:cs="宋体"/>
          <w:color w:val="auto"/>
          <w:sz w:val="21"/>
          <w:highlight w:val="none"/>
        </w:rPr>
      </w:r>
      <w:r/>
    </w:p>
    <w:p>
      <w:pPr>
        <w:pStyle w:val="1036"/>
        <w:spacing w:before="156" w:after="156" w:line="440" w:lineRule="exact"/>
        <w:rPr>
          <w:rFonts w:hint="eastAsia" w:hAnsi="宋体" w:cs="宋体"/>
          <w:color w:val="auto"/>
          <w:sz w:val="21"/>
          <w:highlight w:val="none"/>
        </w:rPr>
      </w:pPr>
      <w:r>
        <w:rPr>
          <w:rFonts w:hint="eastAsia" w:hAnsi="宋体" w:cs="宋体"/>
          <w:color w:val="auto"/>
          <w:sz w:val="21"/>
          <w:highlight w:val="none"/>
        </w:rPr>
      </w:r>
      <w:r/>
    </w:p>
    <w:p>
      <w:pPr>
        <w:pStyle w:val="1036"/>
        <w:spacing w:before="156" w:after="156" w:line="440" w:lineRule="exact"/>
        <w:rPr>
          <w:rFonts w:hint="eastAsia" w:hAnsi="宋体" w:cs="宋体"/>
          <w:color w:val="auto"/>
          <w:sz w:val="21"/>
          <w:highlight w:val="none"/>
        </w:rPr>
      </w:pPr>
      <w:r>
        <w:rPr>
          <w:rFonts w:hint="eastAsia" w:hAnsi="宋体" w:cs="宋体"/>
          <w:color w:val="auto"/>
          <w:sz w:val="21"/>
          <w:highlight w:val="none"/>
        </w:rPr>
      </w:r>
      <w:r/>
    </w:p>
    <w:p>
      <w:pPr>
        <w:pStyle w:val="1036"/>
        <w:spacing w:before="156" w:after="156" w:line="440" w:lineRule="exact"/>
        <w:rPr>
          <w:rFonts w:hint="eastAsia" w:hAnsi="宋体" w:cs="宋体"/>
          <w:color w:val="auto"/>
          <w:sz w:val="21"/>
          <w:highlight w:val="none"/>
        </w:rPr>
      </w:pPr>
      <w:r>
        <w:rPr>
          <w:rFonts w:hint="eastAsia" w:hAnsi="宋体" w:cs="宋体"/>
          <w:color w:val="auto"/>
          <w:sz w:val="21"/>
          <w:highlight w:val="none"/>
        </w:rPr>
      </w:r>
      <w:r/>
    </w:p>
    <w:p>
      <w:pPr>
        <w:pStyle w:val="1036"/>
        <w:spacing w:before="156" w:after="156" w:line="440" w:lineRule="exact"/>
        <w:rPr>
          <w:rFonts w:hint="eastAsia" w:hAnsi="宋体" w:cs="宋体"/>
          <w:color w:val="auto"/>
          <w:sz w:val="21"/>
          <w:highlight w:val="none"/>
        </w:rPr>
      </w:pPr>
      <w:r>
        <w:rPr>
          <w:rFonts w:hint="eastAsia" w:hAnsi="宋体" w:cs="宋体"/>
          <w:color w:val="auto"/>
          <w:sz w:val="21"/>
          <w:highlight w:val="none"/>
        </w:rPr>
      </w:r>
      <w:r/>
    </w:p>
    <w:p>
      <w:pPr>
        <w:pStyle w:val="1036"/>
        <w:spacing w:before="156" w:after="156" w:line="440" w:lineRule="exact"/>
        <w:rPr>
          <w:rFonts w:hint="eastAsia" w:hAnsi="宋体" w:cs="宋体"/>
          <w:color w:val="auto"/>
          <w:sz w:val="21"/>
          <w:highlight w:val="none"/>
        </w:rPr>
      </w:pPr>
      <w:r>
        <w:rPr>
          <w:rFonts w:hint="eastAsia" w:hAnsi="宋体" w:cs="宋体"/>
          <w:color w:val="auto"/>
          <w:sz w:val="21"/>
          <w:highlight w:val="none"/>
        </w:rPr>
      </w:r>
      <w:r/>
    </w:p>
    <w:p>
      <w:pPr>
        <w:pStyle w:val="802"/>
        <w:numPr>
          <w:ilvl w:val="0"/>
          <w:numId w:val="3"/>
        </w:numPr>
        <w:jc w:val="center"/>
        <w:spacing w:line="360" w:lineRule="auto"/>
        <w:rPr>
          <w:rFonts w:hint="eastAsia" w:ascii="宋体" w:hAnsi="宋体"/>
          <w:color w:val="auto"/>
          <w:highlight w:val="none"/>
        </w:rPr>
      </w:pPr>
      <w:r>
        <w:rPr>
          <w:rFonts w:hint="eastAsia"/>
          <w:color w:val="auto"/>
          <w:highlight w:val="none"/>
        </w:rPr>
        <w:t xml:space="preserve"> </w:t>
      </w:r>
      <w:r>
        <w:rPr>
          <w:rFonts w:hint="eastAsia" w:ascii="宋体" w:hAnsi="宋体"/>
          <w:color w:val="auto"/>
          <w:highlight w:val="none"/>
        </w:rPr>
        <w:t xml:space="preserve">项目需求</w:t>
      </w:r>
      <w:r/>
    </w:p>
    <w:p>
      <w:pPr>
        <w:rPr>
          <w:b/>
          <w:bCs/>
          <w:color w:val="auto"/>
          <w:highlight w:val="none"/>
        </w:rPr>
      </w:pPr>
      <w:r>
        <w:rPr>
          <w:rFonts w:hint="eastAsia"/>
          <w:b/>
          <w:bCs/>
          <w:color w:val="auto"/>
          <w:highlight w:val="none"/>
        </w:rPr>
        <w:t xml:space="preserve">项目属性：货物类</w:t>
      </w:r>
      <w:r/>
    </w:p>
    <w:p>
      <w:pPr>
        <w:ind w:right="-155" w:firstLine="422"/>
        <w:spacing w:line="360" w:lineRule="auto"/>
        <w:rPr>
          <w:rFonts w:hint="eastAsia" w:ascii="宋体" w:hAnsi="宋体"/>
          <w:b/>
          <w:bCs/>
          <w:color w:val="000000"/>
        </w:rPr>
      </w:pPr>
      <w:r>
        <w:rPr>
          <w:rFonts w:hint="eastAsia" w:ascii="宋体" w:hAnsi="宋体"/>
          <w:b/>
          <w:bCs/>
          <w:color w:val="000000"/>
        </w:rPr>
        <w:t xml:space="preserve">政府采购中实施本国产品标准及相关政策</w:t>
      </w:r>
      <w:r/>
    </w:p>
    <w:p>
      <w:pPr>
        <w:ind w:right="-155" w:firstLine="420"/>
        <w:spacing w:line="360" w:lineRule="auto"/>
        <w:rPr>
          <w:rFonts w:hint="eastAsia" w:ascii="宋体" w:hAnsi="宋体"/>
          <w:color w:val="000000"/>
        </w:rPr>
      </w:pPr>
      <w:r>
        <w:rPr>
          <w:rFonts w:ascii="宋体" w:hAnsi="宋体"/>
          <w:color w:val="000000"/>
        </w:rPr>
        <w:t xml:space="preserve">1.本项目对采购本国产品给予政策支持。</w:t>
      </w:r>
      <w:r/>
    </w:p>
    <w:p>
      <w:pPr>
        <w:ind w:right="-155" w:firstLine="420"/>
        <w:spacing w:line="360" w:lineRule="auto"/>
        <w:rPr>
          <w:rFonts w:hint="eastAsia" w:ascii="宋体" w:hAnsi="宋体"/>
          <w:color w:val="000000"/>
        </w:rPr>
      </w:pPr>
      <w:r>
        <w:rPr>
          <w:rFonts w:ascii="宋体" w:hAnsi="宋体"/>
          <w:color w:val="000000"/>
        </w:rPr>
        <w:t xml:space="preserve">2.适用本国产品标准的货物具体是指《</w:t>
      </w:r>
      <w:bookmarkStart w:id="55" w:name="OLE_LINK19"/>
      <w:r>
        <w:rPr>
          <w:rFonts w:ascii="宋体" w:hAnsi="宋体"/>
          <w:color w:val="000000"/>
        </w:rPr>
        <w:t xml:space="preserve">政府采购品目分类目录</w:t>
      </w:r>
      <w:bookmarkEnd w:id="55"/>
      <w:r>
        <w:rPr>
          <w:rFonts w:ascii="宋体" w:hAnsi="宋体"/>
          <w:color w:val="000000"/>
        </w:rPr>
        <w:t xml:space="preserve">》中的货物类产品，但不包括其中的房屋和构筑物，文物和陈列品，图书和档案，特种动植物，农林牧渔业产品，矿与矿物，电力、城市燃气、蒸汽和热水、水，食品、饮料和烟草原料，无形资产。</w:t>
      </w:r>
      <w:r/>
    </w:p>
    <w:p>
      <w:pPr>
        <w:ind w:right="-155" w:firstLine="420"/>
        <w:spacing w:line="360" w:lineRule="auto"/>
        <w:rPr>
          <w:rFonts w:hint="eastAsia" w:ascii="宋体" w:hAnsi="宋体"/>
          <w:color w:val="000000"/>
        </w:rPr>
      </w:pPr>
      <w:r>
        <w:rPr>
          <w:rFonts w:ascii="宋体" w:hAnsi="宋体"/>
          <w:color w:val="000000"/>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right="-155" w:firstLine="422"/>
        <w:spacing w:line="360" w:lineRule="auto"/>
        <w:rPr>
          <w:rFonts w:ascii="宋体" w:hAnsi="宋体"/>
          <w:b/>
          <w:bCs/>
          <w:color w:val="000000"/>
        </w:rPr>
      </w:pPr>
      <w:r>
        <w:rPr>
          <w:rFonts w:hint="eastAsia" w:ascii="宋体" w:hAnsi="宋体"/>
          <w:b/>
          <w:bCs/>
          <w:color w:val="000000"/>
        </w:rPr>
        <w:t xml:space="preserve">其他要求</w:t>
      </w:r>
      <w:r/>
    </w:p>
    <w:p>
      <w:pPr>
        <w:ind w:right="-155" w:firstLine="422"/>
        <w:spacing w:line="360" w:lineRule="auto"/>
        <w:rPr>
          <w:rFonts w:hint="eastAsia" w:ascii="宋体" w:hAnsi="宋体"/>
          <w:b w:val="0"/>
          <w:bCs w:val="0"/>
          <w:color w:val="000000"/>
        </w:rPr>
      </w:pPr>
      <w:r>
        <w:rPr>
          <w:rFonts w:hint="eastAsia" w:ascii="宋体" w:hAnsi="宋体"/>
          <w:b w:val="0"/>
          <w:bCs w:val="0"/>
          <w:color w:val="000000"/>
        </w:rPr>
        <w:t xml:space="preserve">严格执行政府采购关于支持</w:t>
      </w:r>
      <w:r>
        <w:rPr>
          <w:rFonts w:hint="eastAsia" w:ascii="宋体" w:hAnsi="宋体"/>
          <w:b w:val="0"/>
          <w:bCs w:val="0"/>
          <w:color w:val="000000"/>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right="-155" w:firstLine="422"/>
        <w:spacing w:line="360" w:lineRule="auto"/>
        <w:rPr>
          <w:rFonts w:hint="eastAsia" w:ascii="宋体" w:hAnsi="宋体" w:cs="宋体"/>
          <w:b w:val="0"/>
          <w:bCs w:val="0"/>
          <w:color w:val="auto"/>
          <w:highlight w:val="none"/>
        </w:rPr>
      </w:pPr>
      <w:r>
        <w:rPr>
          <w:rFonts w:hint="eastAsia" w:ascii="宋体" w:hAnsi="宋体"/>
          <w:b w:val="0"/>
          <w:bCs w:val="0"/>
          <w:color w:val="000000"/>
        </w:rPr>
        <w:t xml:space="preserve">供应商对于投标产品的包装应按照“财办库〔2020〕123号《关于印发《商品包装政府采购需求标准（试行）》、《快递包装政府采购需求标准（试行）》的通知》”执行。</w:t>
      </w:r>
      <w:r/>
    </w:p>
    <w:p>
      <w:pPr>
        <w:ind w:firstLine="422"/>
        <w:spacing w:line="360" w:lineRule="auto"/>
        <w:rPr>
          <w:b/>
          <w:bCs/>
          <w:color w:val="auto"/>
          <w:highlight w:val="none"/>
        </w:rPr>
      </w:pPr>
      <w:r>
        <w:rPr>
          <w:rFonts w:hint="eastAsia"/>
          <w:b/>
          <w:bCs/>
          <w:color w:val="auto"/>
          <w:highlight w:val="none"/>
        </w:rPr>
        <w:t xml:space="preserve">注：本章内容里斜体且有下划线部分为实质性要求和条件，投标文件不满足的，视为无效投标处理。请各供应商制作电子投标文件时，将实质性响应的内容在政府采购交易系统</w:t>
      </w:r>
      <w:r>
        <w:rPr>
          <w:b/>
          <w:bCs/>
          <w:color w:val="auto"/>
          <w:highlight w:val="none"/>
        </w:rPr>
        <w:t xml:space="preserve">“</w:t>
      </w:r>
      <w:r>
        <w:rPr>
          <w:rFonts w:hint="eastAsia"/>
          <w:b/>
          <w:bCs/>
          <w:color w:val="auto"/>
          <w:highlight w:val="none"/>
        </w:rPr>
        <w:t xml:space="preserve">符合证明文件格式</w:t>
      </w:r>
      <w:r>
        <w:rPr>
          <w:b/>
          <w:bCs/>
          <w:color w:val="auto"/>
          <w:highlight w:val="none"/>
        </w:rPr>
        <w:t xml:space="preserve">”</w:t>
      </w:r>
      <w:r>
        <w:rPr>
          <w:rFonts w:hint="eastAsia"/>
          <w:b/>
          <w:bCs/>
          <w:color w:val="auto"/>
          <w:highlight w:val="none"/>
        </w:rPr>
        <w:t xml:space="preserve">中准确填写或上传。</w:t>
      </w:r>
      <w:r/>
    </w:p>
    <w:p>
      <w:pPr>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本项目主要标的所属行业为：工业。</w:t>
      </w:r>
      <w:r/>
    </w:p>
    <w:p>
      <w:pPr>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一、项目概况 </w:t>
      </w:r>
      <w:r/>
    </w:p>
    <w:p>
      <w:pPr>
        <w:ind w:firstLine="420"/>
        <w:spacing w:line="360" w:lineRule="auto"/>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、项目名称</w:t>
      </w:r>
      <w:r>
        <w:rPr>
          <w:rFonts w:ascii="宋体" w:hAnsi="宋体" w:cs="宋体"/>
          <w:color w:val="auto"/>
          <w:highlight w:val="none"/>
        </w:rPr>
        <w:t xml:space="preserve">: </w:t>
      </w:r>
      <w:r>
        <w:rPr>
          <w:rFonts w:hint="eastAsia" w:ascii="宋体" w:hAnsi="宋体" w:cs="宋体"/>
          <w:color w:val="auto"/>
          <w:highlight w:val="none"/>
        </w:rPr>
        <w:t xml:space="preserve">扬州市公安局江都分局2026年度DNA实验室试剂耗材和服务采购。</w:t>
      </w:r>
      <w:r/>
    </w:p>
    <w:p>
      <w:pPr>
        <w:ind w:firstLine="420"/>
        <w:spacing w:line="360" w:lineRule="auto"/>
        <w:rPr>
          <w:rFonts w:hint="eastAsia" w:ascii="宋体" w:hAns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、项目内容：本项目共分两个包，采购包1：DNA检验配套试剂耗材和服务；采购包2：国产人员样本建库试剂盒。</w:t>
      </w:r>
      <w:r/>
    </w:p>
    <w:p>
      <w:pPr>
        <w:ind w:firstLine="420"/>
        <w:spacing w:line="360" w:lineRule="auto"/>
        <w:rPr>
          <w:rFonts w:hint="eastAsia" w:ascii="宋体" w:hAnsi="宋体" w:cs="宋体"/>
          <w:color w:val="auto"/>
          <w:highlight w:val="none"/>
        </w:rPr>
      </w:pPr>
      <w:r>
        <w:rPr>
          <w:rFonts w:ascii="宋体" w:hAnsi="宋体" w:cs="宋体"/>
          <w:color w:val="auto"/>
          <w:highlight w:val="none"/>
        </w:rPr>
        <w:t xml:space="preserve">3</w:t>
      </w:r>
      <w:r>
        <w:rPr>
          <w:rFonts w:hint="eastAsia" w:ascii="宋体" w:hAnsi="宋体" w:cs="宋体"/>
          <w:color w:val="auto"/>
          <w:highlight w:val="none"/>
        </w:rPr>
        <w:t xml:space="preserve">、项目最高限价：</w:t>
      </w:r>
      <w:r>
        <w:rPr>
          <w:rFonts w:hint="eastAsia" w:ascii="宋体" w:hAnsi="宋体" w:cs="宋体"/>
          <w:color w:val="auto"/>
          <w:szCs w:val="21"/>
          <w:highlight w:val="none"/>
        </w:rPr>
        <w:t xml:space="preserve">采购包1：62.5万元，采购包2：69万元。</w:t>
      </w:r>
      <w:r/>
    </w:p>
    <w:p>
      <w:pPr>
        <w:ind w:firstLine="420"/>
        <w:spacing w:line="360" w:lineRule="auto"/>
        <w:rPr>
          <w:rFonts w:hint="eastAsia" w:ascii="宋体" w:hAnsi="宋体" w:cs="宋体"/>
          <w:color w:val="auto"/>
          <w:highlight w:val="none"/>
        </w:rPr>
      </w:pPr>
      <w:r>
        <w:rPr>
          <w:rFonts w:ascii="宋体" w:hAnsi="宋体" w:cs="宋体"/>
          <w:color w:val="auto"/>
          <w:highlight w:val="none"/>
        </w:rPr>
        <w:t xml:space="preserve">4</w:t>
      </w:r>
      <w:r>
        <w:rPr>
          <w:rFonts w:hint="eastAsia" w:ascii="宋体" w:hAnsi="宋体" w:cs="宋体"/>
          <w:color w:val="auto"/>
          <w:highlight w:val="none"/>
        </w:rPr>
        <w:t xml:space="preserve">、供货期：合同签订之日起30天内完成供货。</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5、</w:t>
      </w:r>
      <w:r>
        <w:rPr>
          <w:rFonts w:hint="eastAsia"/>
          <w:color w:val="auto"/>
          <w:highlight w:val="none"/>
        </w:rPr>
        <w:t xml:space="preserve">质保期：1年。</w:t>
      </w:r>
      <w:r/>
    </w:p>
    <w:p>
      <w:pPr>
        <w:numPr>
          <w:ilvl w:val="0"/>
          <w:numId w:val="4"/>
        </w:numPr>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产品参数及采购数量</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采购包1：DNA检验配套试剂耗材和服务</w:t>
      </w:r>
      <w:r/>
    </w:p>
    <w:p>
      <w:pPr>
        <w:ind w:firstLine="420"/>
        <w:rPr>
          <w:color w:val="auto"/>
          <w:highlight w:val="none"/>
        </w:rPr>
      </w:pPr>
      <w:r>
        <w:rPr>
          <w:rFonts w:hint="eastAsia"/>
          <w:color w:val="auto"/>
          <w:highlight w:val="none"/>
        </w:rPr>
        <w:t xml:space="preserve">核心产品：24个以上常染色体STR基因座试剂盒</w:t>
      </w:r>
      <w:r/>
    </w:p>
    <w:tbl>
      <w:tblPr>
        <w:tblStyle w:val="812"/>
        <w:tblW w:w="8714" w:type="dxa"/>
        <w:jc w:val="center"/>
        <w:tblLayout w:type="fixed"/>
        <w:tblCellMar>
          <w:left w:w="108" w:type="dxa"/>
          <w:top w:w="0" w:type="dxa"/>
          <w:right w:w="108" w:type="dxa"/>
          <w:bottom w:w="0" w:type="dxa"/>
        </w:tblCellMar>
        <w:tblLook w:val="04A0" w:firstRow="1" w:lastRow="0" w:firstColumn="1" w:lastColumn="0" w:noHBand="0" w:noVBand="1"/>
      </w:tblPr>
      <w:tblGrid>
        <w:gridCol w:w="562"/>
        <w:gridCol w:w="968"/>
        <w:gridCol w:w="887"/>
        <w:gridCol w:w="575"/>
        <w:gridCol w:w="625"/>
        <w:gridCol w:w="4090"/>
        <w:gridCol w:w="1007"/>
      </w:tblGrid>
      <w:tr>
        <w:trPr>
          <w:jc w:val="center"/>
          <w:trHeight w:val="666"/>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 规格</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4090" w:type="dxa"/>
            <w:vAlign w:val="center"/>
            <w:textDirection w:val="lrTb"/>
            <w:noWrap w:val="false"/>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技术参数</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widowControl/>
              <w:rPr>
                <w:rFonts w:hint="eastAsia" w:ascii="宋体" w:hAnsi="宋体" w:cs="宋体"/>
                <w:b/>
                <w:bCs/>
                <w:color w:val="auto"/>
                <w:sz w:val="20"/>
                <w:szCs w:val="20"/>
                <w:highlight w:val="none"/>
                <w:lang w:bidi="ar"/>
              </w:rPr>
            </w:pPr>
            <w:r>
              <w:rPr>
                <w:rFonts w:hint="eastAsia" w:ascii="宋体" w:hAnsi="宋体" w:cs="宋体"/>
                <w:b/>
                <w:bCs/>
                <w:color w:val="auto"/>
                <w:sz w:val="20"/>
                <w:szCs w:val="20"/>
                <w:highlight w:val="none"/>
                <w:lang w:bidi="ar"/>
              </w:rPr>
              <w:t xml:space="preserve">备注</w:t>
            </w:r>
            <w:r/>
          </w:p>
        </w:tc>
      </w:tr>
      <w:tr>
        <w:trPr>
          <w:jc w:val="center"/>
          <w:trHeight w:val="1062"/>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hint="eastAsia" w:ascii="宋体" w:hAnsi="宋体" w:cs="宋体"/>
                <w:color w:val="auto"/>
                <w:szCs w:val="21"/>
                <w:highlight w:val="none"/>
              </w:rPr>
            </w:pPr>
            <w:r>
              <w:rPr>
                <w:rStyle w:val="1040"/>
                <w:color w:val="auto"/>
                <w:sz w:val="21"/>
                <w:szCs w:val="21"/>
                <w:highlight w:val="none"/>
                <w:lang w:bidi="ar"/>
              </w:rPr>
              <w:t xml:space="preserve">POP4</w:t>
            </w:r>
            <w:r>
              <w:rPr>
                <w:rStyle w:val="1041"/>
                <w:rFonts w:hint="default"/>
                <w:color w:val="auto"/>
                <w:sz w:val="21"/>
                <w:szCs w:val="21"/>
                <w:highlight w:val="none"/>
                <w:lang w:bidi="ar"/>
              </w:rPr>
              <w:t xml:space="preserve">胶</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widowControl/>
              <w:rPr>
                <w:rFonts w:hint="eastAsia" w:ascii="宋体" w:hAnsi="宋体" w:cs="宋体"/>
                <w:color w:val="auto"/>
                <w:szCs w:val="21"/>
                <w:highlight w:val="none"/>
              </w:rPr>
            </w:pPr>
            <w:r>
              <w:rPr>
                <w:rStyle w:val="1041"/>
                <w:rFonts w:hint="default"/>
                <w:color w:val="auto"/>
                <w:sz w:val="21"/>
                <w:szCs w:val="21"/>
                <w:highlight w:val="none"/>
                <w:lang w:bidi="ar"/>
              </w:rPr>
              <w:t xml:space="preserve">384次</w:t>
            </w:r>
            <w:r>
              <w:rPr>
                <w:rStyle w:val="1040"/>
                <w:color w:val="auto"/>
                <w:sz w:val="21"/>
                <w:szCs w:val="21"/>
                <w:highlight w:val="none"/>
                <w:lang w:bidi="ar"/>
              </w:rPr>
              <w:t xml:space="preserve">/</w:t>
            </w:r>
            <w:r>
              <w:rPr>
                <w:rStyle w:val="1041"/>
                <w:rFonts w:hint="default"/>
                <w:color w:val="auto"/>
                <w:sz w:val="21"/>
                <w:szCs w:val="21"/>
                <w:highlight w:val="none"/>
                <w:lang w:bidi="ar"/>
              </w:rPr>
              <w:t xml:space="preserve">袋</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袋</w:t>
            </w:r>
            <w:r/>
          </w:p>
        </w:tc>
        <w:tc>
          <w:tcPr>
            <w:tcBorders>
              <w:top w:val="single" w:color="000000" w:sz="4" w:space="0"/>
              <w:left w:val="single" w:color="000000" w:sz="4" w:space="0"/>
              <w:bottom w:val="single" w:color="000000" w:sz="4" w:space="0"/>
              <w:right w:val="single" w:color="000000" w:sz="4" w:space="0"/>
            </w:tcBorders>
            <w:tcW w:w="409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适用于3500系列遗传分析仪电泳分离胶，贴有无线射频识别（RFID）标签，能够满足384人份样本的检测，含4%非交联的二甲基聚丙烯酰胺、高浓度的尿素。</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接受进口产品</w:t>
            </w:r>
            <w:r/>
          </w:p>
        </w:tc>
      </w:tr>
      <w:tr>
        <w:trPr>
          <w:jc w:val="center"/>
          <w:trHeight w:val="211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阳极缓冲液</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widowControl/>
              <w:rPr>
                <w:rFonts w:hint="eastAsia" w:ascii="宋体" w:hAnsi="宋体" w:cs="宋体"/>
                <w:color w:val="auto"/>
                <w:szCs w:val="21"/>
                <w:highlight w:val="none"/>
              </w:rPr>
            </w:pPr>
            <w:r>
              <w:rPr>
                <w:rStyle w:val="1041"/>
                <w:rFonts w:hint="default"/>
                <w:color w:val="auto"/>
                <w:sz w:val="21"/>
                <w:szCs w:val="21"/>
                <w:highlight w:val="none"/>
                <w:lang w:bidi="ar"/>
              </w:rPr>
              <w:t xml:space="preserve">4个</w:t>
            </w:r>
            <w:r>
              <w:rPr>
                <w:rStyle w:val="1040"/>
                <w:color w:val="auto"/>
                <w:sz w:val="21"/>
                <w:szCs w:val="21"/>
                <w:highlight w:val="none"/>
                <w:lang w:bidi="ar"/>
              </w:rPr>
              <w:t xml:space="preserve">/</w:t>
            </w:r>
            <w:r>
              <w:rPr>
                <w:rStyle w:val="1041"/>
                <w:rFonts w:hint="default"/>
                <w:color w:val="auto"/>
                <w:sz w:val="21"/>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409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适用于3500系列遗传分析仪</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1、内含有1倍浓度的阳极缓冲液，可支持3500系列基因分析仪进行各种电泳应用。</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2、缓冲液保存于一次性的即用型容器中，容器上贴有无线射频识别（RFID）标签的商标。</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3、该盒顶部以塑粘性盖膜进行热封，该塑粘性盖膜在直接装入仪器之前应去除；每个包装内含有4个独立容器。</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接受进口产品</w:t>
            </w:r>
            <w:r/>
          </w:p>
        </w:tc>
      </w:tr>
      <w:tr>
        <w:trPr>
          <w:jc w:val="center"/>
          <w:trHeight w:val="2378"/>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阴极缓冲液</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widowControl/>
              <w:rPr>
                <w:rFonts w:hint="eastAsia" w:ascii="宋体" w:hAnsi="宋体" w:cs="宋体"/>
                <w:color w:val="auto"/>
                <w:szCs w:val="21"/>
                <w:highlight w:val="none"/>
              </w:rPr>
            </w:pPr>
            <w:r>
              <w:rPr>
                <w:rStyle w:val="1041"/>
                <w:rFonts w:hint="default"/>
                <w:color w:val="auto"/>
                <w:sz w:val="21"/>
                <w:szCs w:val="21"/>
                <w:highlight w:val="none"/>
                <w:lang w:bidi="ar"/>
              </w:rPr>
              <w:t xml:space="preserve">4个</w:t>
            </w:r>
            <w:r>
              <w:rPr>
                <w:rStyle w:val="1040"/>
                <w:color w:val="auto"/>
                <w:sz w:val="21"/>
                <w:szCs w:val="21"/>
                <w:highlight w:val="none"/>
                <w:lang w:bidi="ar"/>
              </w:rPr>
              <w:t xml:space="preserve">/</w:t>
            </w:r>
            <w:r>
              <w:rPr>
                <w:rStyle w:val="1041"/>
                <w:rFonts w:hint="default"/>
                <w:color w:val="auto"/>
                <w:sz w:val="21"/>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409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适用于3500系列遗传分析仪</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1、内含有1倍浓度的运行缓冲液，可支持3500系列基因分析仪进行各种电泳应用。容器内两个独立的隔间，左侧提供电泳所需的阴极缓冲液，右侧可进行两次注射间的毛细管清洗和聚合物废物清除。</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2、缓冲液保存于一次性的即用型容器中，容器上贴有无线射频识别（RFID）标签的商标。该盒的顶部以塑粘性盖膜进行了热封，该塑粘性盖膜在直接装入仪器之前应去除。每个包装内含有4个独立容器。</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接受进口产品</w:t>
            </w:r>
            <w:r/>
          </w:p>
        </w:tc>
      </w:tr>
      <w:tr>
        <w:trPr>
          <w:jc w:val="center"/>
          <w:trHeight w:val="799"/>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甲酰胺</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25ml</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409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纯度高于99.9%，电导率小于40uS/cm，高纯度去离子甲酰氨，用于在毛细管电泳前对样本进行变性，25ml/瓶包装。</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接受进口产品</w:t>
            </w:r>
            <w:r/>
          </w:p>
        </w:tc>
      </w:tr>
      <w:tr>
        <w:trPr>
          <w:jc w:val="center"/>
          <w:trHeight w:val="609"/>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24通道毛细管</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409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适用于3500系列遗传分析仪，36cm长、24道毛细管阵列，内无涂层</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接受进口产品</w:t>
            </w:r>
            <w:r/>
          </w:p>
        </w:tc>
      </w:tr>
      <w:tr>
        <w:trPr>
          <w:jc w:val="center"/>
          <w:trHeight w:val="785"/>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24个以上常染色体STR基因座试剂盒</w:t>
            </w:r>
            <w:r>
              <w:rPr>
                <w:rFonts w:hint="eastAsia" w:ascii="宋体" w:hAnsi="宋体" w:cs="宋体"/>
                <w:b/>
                <w:bCs/>
                <w:color w:val="auto"/>
                <w:szCs w:val="21"/>
                <w:highlight w:val="none"/>
                <w:lang w:bidi="ar"/>
              </w:rPr>
              <w:t xml:space="preserve">（核心产品）</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扩增体系为25ul，200人份/盒</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409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★1.单管同时扩增不少于24个基因座，其中必须包括以下基因座：D8S1179、D21S11、D22S1045、D7S820、CSF1PO、D3S1358、TH01、D13S317、D16S539、D2S1338、D19S433、vWA、TPOX、D18S51、D5S818、FGA、D10S1248、D2S441、D1S1656、D12S391、Penta D、Penta E。</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2.采用六色荧光技术，使用具有专利技术的内标作为分子量内标，便于更清晰的分辨基因座标记。</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★3.每个基因座等位基因分型结果良好，Ladder 清晰完整含有充足的标准等位基因，为了减少OL的产生，真实bin和虚拟Bin合计不少于620个，其中真实的bin大于360个。</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★4.最大扩增产物小于440bp，包含不少于11个Mini-STR，有利于降解检材和疑难样品的检测。</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5.PCR扩增时间不超过80分钟。</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6.试剂盒为200人份/盒，25ul标准扩增体系，包含扩增所需全部试剂，包含不少于2个用于样品质量评估的IQC位点。</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7.所投试剂盒获得中国安全技术防范认证中心颁发的《中国公共安全产品认证证书》。</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jc w:val="center"/>
          <w:trHeight w:val="8953"/>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国产24个以上常染色体STR基因座试剂盒（案件版)</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扩增体系为25ul，200人份</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4090" w:type="dxa"/>
            <w:vAlign w:val="center"/>
            <w:textDirection w:val="lrTb"/>
            <w:noWrap w:val="false"/>
          </w:tcPr>
          <w:p>
            <w:pPr>
              <w:jc w:val="left"/>
              <w:widowControl/>
              <w:rPr>
                <w:rFonts w:hint="eastAsia" w:ascii="宋体" w:hAnsi="宋体" w:cs="宋体"/>
                <w:color w:val="auto"/>
                <w:szCs w:val="21"/>
                <w:highlight w:val="none"/>
              </w:rPr>
            </w:pPr>
            <w:r>
              <w:rPr>
                <w:rStyle w:val="1042"/>
                <w:rFonts w:hint="default"/>
                <w:color w:val="auto"/>
                <w:sz w:val="21"/>
                <w:szCs w:val="21"/>
                <w:highlight w:val="none"/>
                <w:lang w:bidi="ar"/>
              </w:rPr>
              <w:t xml:space="preserve">★1、规格：200人份/盒（25ul标准体系），包含扩增、检测所需全部配套试剂。扩增前试剂（热启动酶、引物、混合物、超纯水、阳性对照），扩增后试剂（内标、等位基因Ladder）。</w:t>
            </w:r>
            <w:r>
              <w:rPr>
                <w:rStyle w:val="1042"/>
                <w:rFonts w:hint="default"/>
                <w:color w:val="auto"/>
                <w:sz w:val="21"/>
                <w:szCs w:val="21"/>
                <w:highlight w:val="none"/>
                <w:lang w:bidi="ar"/>
              </w:rPr>
              <w:br/>
            </w:r>
            <w:r>
              <w:rPr>
                <w:rStyle w:val="1042"/>
                <w:rFonts w:hint="default"/>
                <w:color w:val="auto"/>
                <w:sz w:val="21"/>
                <w:szCs w:val="21"/>
                <w:highlight w:val="none"/>
                <w:lang w:bidi="ar"/>
              </w:rPr>
              <w:t xml:space="preserve">2、采用六色荧光技术，实现了一色荧光标记分子量内标，五色荧光标记引物，便于更清晰的分辨基因座的多态性信息，每种荧光标记基因座分配均衡，保证荧光电泳通道顺畅。</w:t>
            </w:r>
            <w:r>
              <w:rPr>
                <w:rStyle w:val="1042"/>
                <w:rFonts w:hint="default"/>
                <w:color w:val="auto"/>
                <w:sz w:val="21"/>
                <w:szCs w:val="21"/>
                <w:highlight w:val="none"/>
                <w:lang w:bidi="ar"/>
              </w:rPr>
              <w:br/>
            </w:r>
            <w:r>
              <w:rPr>
                <w:rStyle w:val="1042"/>
                <w:rFonts w:hint="default"/>
                <w:color w:val="auto"/>
                <w:sz w:val="21"/>
                <w:szCs w:val="21"/>
                <w:highlight w:val="none"/>
                <w:lang w:bidi="ar"/>
              </w:rPr>
              <w:t xml:space="preserve">★3、同时扩增和检测25个人类基因座，包含 20 个新 CODIS 核心位点和Y-indel，用于疑难案件当中辅助性别鉴定；包含的基因座：D2S441、D5S818、D21S11、D16S539、D1S1656、AMEL、D3S1358、D13S317、D7S820、D2S1338、D18S51、Yindel、D19S433、D22S1045、D8S1179、vWA、TPOX、D10S1248、D12S391、CSF1PO、FGA、Penta D、D6S1043、TH01、Penta E。</w:t>
            </w:r>
            <w:r>
              <w:rPr>
                <w:rStyle w:val="1042"/>
                <w:rFonts w:hint="default"/>
                <w:color w:val="auto"/>
                <w:sz w:val="21"/>
                <w:szCs w:val="21"/>
                <w:highlight w:val="none"/>
                <w:lang w:bidi="ar"/>
              </w:rPr>
              <w:br/>
            </w:r>
            <w:r>
              <w:rPr>
                <w:rStyle w:val="1042"/>
                <w:rFonts w:hint="default"/>
                <w:color w:val="auto"/>
                <w:sz w:val="21"/>
                <w:szCs w:val="21"/>
                <w:highlight w:val="none"/>
                <w:lang w:bidi="ar"/>
              </w:rPr>
              <w:t xml:space="preserve">★4、为提高疑难、陈旧样本检出率，公安部要求的20个核心位点最大片段不超过425bp。</w:t>
            </w:r>
            <w:r>
              <w:rPr>
                <w:rStyle w:val="1042"/>
                <w:rFonts w:hint="default"/>
                <w:color w:val="auto"/>
                <w:sz w:val="21"/>
                <w:szCs w:val="21"/>
                <w:highlight w:val="none"/>
                <w:lang w:bidi="ar"/>
              </w:rPr>
              <w:br/>
            </w:r>
            <w:r>
              <w:rPr>
                <w:rStyle w:val="1042"/>
                <w:rFonts w:hint="default"/>
                <w:color w:val="auto"/>
                <w:sz w:val="21"/>
                <w:szCs w:val="21"/>
                <w:highlight w:val="none"/>
                <w:lang w:bidi="ar"/>
              </w:rPr>
              <w:t xml:space="preserve">★5、扩增产物中须包含内控质量参考（IQC）标记物，可用于样品质量（如抑制物、降解）的快速评估。</w:t>
            </w:r>
            <w:r>
              <w:rPr>
                <w:rStyle w:val="1042"/>
                <w:rFonts w:hint="default"/>
                <w:color w:val="auto"/>
                <w:sz w:val="21"/>
                <w:szCs w:val="21"/>
                <w:highlight w:val="none"/>
                <w:lang w:bidi="ar"/>
              </w:rPr>
              <w:br/>
            </w:r>
            <w:r>
              <w:rPr>
                <w:rStyle w:val="1042"/>
                <w:rFonts w:hint="default"/>
                <w:color w:val="auto"/>
                <w:sz w:val="21"/>
                <w:szCs w:val="21"/>
                <w:highlight w:val="none"/>
                <w:lang w:bidi="ar"/>
              </w:rPr>
              <w:t xml:space="preserve">6、包含11个扩增长度小于220bp的 Mini位点，便于降解样品信息的获取，对于降解 DNA 和疑难样品更容易得到完整 DNA 分型信息，数据更精确更可靠。</w:t>
            </w:r>
            <w:r>
              <w:rPr>
                <w:rStyle w:val="1042"/>
                <w:rFonts w:hint="default"/>
                <w:color w:val="auto"/>
                <w:sz w:val="21"/>
                <w:szCs w:val="21"/>
                <w:highlight w:val="none"/>
                <w:lang w:bidi="ar"/>
              </w:rPr>
              <w:br/>
            </w:r>
            <w:r>
              <w:rPr>
                <w:rStyle w:val="1042"/>
                <w:rFonts w:hint="default"/>
                <w:color w:val="auto"/>
                <w:sz w:val="21"/>
                <w:szCs w:val="21"/>
                <w:highlight w:val="none"/>
                <w:lang w:bidi="ar"/>
              </w:rPr>
              <w:t xml:space="preserve">7、为提高检出灵敏度，对低浓度模板尽可能获得有效分型，扩增体系中模板占比不低于70%。</w:t>
            </w:r>
            <w:r>
              <w:rPr>
                <w:rStyle w:val="1042"/>
                <w:rFonts w:hint="default"/>
                <w:color w:val="auto"/>
                <w:sz w:val="21"/>
                <w:szCs w:val="21"/>
                <w:highlight w:val="none"/>
                <w:lang w:bidi="ar"/>
              </w:rPr>
              <w:br/>
            </w:r>
            <w:r>
              <w:rPr>
                <w:rStyle w:val="1042"/>
                <w:rFonts w:hint="default"/>
                <w:color w:val="auto"/>
                <w:sz w:val="21"/>
                <w:szCs w:val="21"/>
                <w:highlight w:val="none"/>
                <w:lang w:bidi="ar"/>
              </w:rPr>
              <w:t xml:space="preserve">★8、</w:t>
            </w:r>
            <w:r>
              <w:rPr>
                <w:rStyle w:val="1043"/>
                <w:rFonts w:hint="default"/>
                <w:color w:val="auto"/>
                <w:sz w:val="21"/>
                <w:szCs w:val="21"/>
                <w:highlight w:val="none"/>
                <w:lang w:bidi="ar"/>
              </w:rPr>
              <w:t xml:space="preserve">针对极微量降解检材，投标人有能力提供同品牌MINI试剂盒，位点数大于23个且所有扩增片段长度小于280bp。（需提供相关证明文件</w:t>
            </w:r>
            <w:r>
              <w:rPr>
                <w:rStyle w:val="1043"/>
                <w:rFonts w:hint="eastAsia"/>
                <w:color w:val="auto"/>
                <w:sz w:val="21"/>
                <w:szCs w:val="21"/>
                <w:highlight w:val="none"/>
                <w:lang w:val="en-US" w:eastAsia="zh-CN" w:bidi="ar"/>
              </w:rPr>
              <w:t xml:space="preserve">原件扫描上传</w:t>
            </w:r>
            <w:r>
              <w:rPr>
                <w:rStyle w:val="1043"/>
                <w:rFonts w:hint="default"/>
                <w:color w:val="auto"/>
                <w:sz w:val="21"/>
                <w:szCs w:val="21"/>
                <w:highlight w:val="none"/>
                <w:lang w:bidi="ar"/>
              </w:rPr>
              <w:t xml:space="preserve">） </w:t>
            </w:r>
            <w:r>
              <w:rPr>
                <w:rStyle w:val="1041"/>
                <w:rFonts w:hint="default"/>
                <w:color w:val="auto"/>
                <w:sz w:val="21"/>
                <w:szCs w:val="21"/>
                <w:highlight w:val="none"/>
                <w:lang w:bidi="ar"/>
              </w:rPr>
              <w:br/>
            </w:r>
            <w:r>
              <w:rPr>
                <w:rStyle w:val="1041"/>
                <w:rFonts w:hint="default"/>
                <w:color w:val="auto"/>
                <w:sz w:val="21"/>
                <w:szCs w:val="21"/>
                <w:highlight w:val="none"/>
                <w:lang w:bidi="ar"/>
              </w:rPr>
              <w:t xml:space="preserve">★9、为保证分型准确，试剂盒采用分子量内标不少于18个标准片段，内标覆盖范围不少于60-462bp。</w:t>
            </w:r>
            <w:r>
              <w:rPr>
                <w:rStyle w:val="1041"/>
                <w:rFonts w:hint="default"/>
                <w:color w:val="auto"/>
                <w:sz w:val="21"/>
                <w:szCs w:val="21"/>
                <w:highlight w:val="none"/>
                <w:lang w:bidi="ar"/>
              </w:rPr>
              <w:br/>
            </w:r>
            <w:r>
              <w:rPr>
                <w:rStyle w:val="1041"/>
                <w:rFonts w:hint="default"/>
                <w:color w:val="auto"/>
                <w:sz w:val="21"/>
                <w:szCs w:val="21"/>
                <w:highlight w:val="none"/>
                <w:lang w:bidi="ar"/>
              </w:rPr>
              <w:t xml:space="preserve">10、使用试剂盒说明书所推荐的扩增仪进行扩增，扩增时间不超过80分钟。</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left"/>
              <w:widowControl/>
              <w:rPr>
                <w:rStyle w:val="1042"/>
                <w:rFonts w:hint="default"/>
                <w:color w:val="auto"/>
                <w:sz w:val="21"/>
                <w:szCs w:val="21"/>
                <w:highlight w:val="none"/>
                <w:lang w:bidi="ar"/>
              </w:rPr>
            </w:pPr>
            <w:r>
              <w:rPr>
                <w:rFonts w:hint="default"/>
                <w:color w:val="auto"/>
                <w:sz w:val="21"/>
                <w:szCs w:val="21"/>
                <w:highlight w:val="none"/>
                <w:lang w:bidi="ar"/>
              </w:rPr>
            </w:r>
            <w:r/>
          </w:p>
        </w:tc>
      </w:tr>
      <w:tr>
        <w:trPr>
          <w:jc w:val="center"/>
          <w:trHeight w:val="7901"/>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41位点男性染色体案件版扩增试剂盒</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扩增体系为25ul，100人份/盒</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409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1、采用六色荧光技术，在维持扩增产物大小不变的条件下，有效提高单个泳道分辨的片段数。多色荧光标记，便于更清晰的分辨基因座标记。</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2、单管同时扩增38个Y染色体基因座和3个Y-Indel遗传标记。DYS19， DYS385 a，DYS385b， DYF387S1 a，DYF387S1b， DYS389 I，DYS389II，DYS390，DYS391， DYS392， DYS393， </w:t>
            </w:r>
            <w:r>
              <w:rPr>
                <w:rFonts w:hint="eastAsia" w:ascii="宋体" w:hAnsi="宋体" w:cs="宋体"/>
                <w:color w:val="auto"/>
                <w:szCs w:val="21"/>
                <w:highlight w:val="none"/>
                <w:lang w:bidi="ar"/>
              </w:rPr>
              <w:t xml:space="preserve">DYS437， DYS438， DYS439， DYS444， DYS447， DYS448， DYS449， DYS456， DYS458， DYS460， DYS481，DYS518， DYS522， DYS527a，DYS527b, DYS533，DYS549，DYS557，DYS570，DYS576，DYS593，DYS596，DYS627，DYS635，DYS643，DYS645，and GATA H4，andY-indel rs199815934，rs759551978，rs771783753。</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3、扩增产物中含有2个内部质量参考（IQC，Internal Quality Control），用于判定PCR扩增效能。</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4、应用快速扩增酶和高效缓冲体系，扩增时间不超过62分钟。</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★5、在具有高女性背景的情况下，如男性：女性=1:4000 时，使用试剂盒检测都可分辨获得完整的Y-STR分型信息</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6、含有464个等位基因和218个虚拟Bin,增强等位基因的判读，有效降低OL的产生。</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7、试剂盒产品须具备其包含基因座stutter峰比率表</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★8、最大检测片段小于535 bp，核心位点最大片段长度不超过410 bp，内含有11个Mini-STR (扩增子长度在250 bp以下) 有利于对案件样本中降解检材的检测, 可以获得更多Y染色体信息。</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jc w:val="center"/>
          <w:trHeight w:val="553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磁珠纯化DNA提取试剂盒</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人份/盒</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2320</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份</w:t>
            </w:r>
            <w:r/>
          </w:p>
        </w:tc>
        <w:tc>
          <w:tcPr>
            <w:tcBorders>
              <w:top w:val="single" w:color="000000" w:sz="4" w:space="0"/>
              <w:left w:val="single" w:color="000000" w:sz="4" w:space="0"/>
              <w:bottom w:val="single" w:color="000000" w:sz="4" w:space="0"/>
              <w:right w:val="single" w:color="000000" w:sz="4" w:space="0"/>
            </w:tcBorders>
            <w:tcW w:w="409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一体式封装试剂，用于DNA提取的磁珠和各种试剂通过塑料膜密封在可与博坤全自动24道微量DNA提取工作站配套使用的塑料反应板内，使用时撕开密封膜置于本实验室已安装的博坤全自动24道微量DNA提取工作站中即可直接用于DNA的自动化提取</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一个完整试剂盒包装含有封装试剂的反应板共有5块且均为深孔板，另配有试剂相应数量的盒装吸头（吸头为封装好的盒装吸头，撕开外包装即可整盒放在工作站上使用），封装好的消化液（一次性使用，无需二次整体转移消化液，撕开封膜即可放在工作站上使用），1块24孔磁套及1块24孔空白浅孔板，浅孔板可以实现30ul小体积洗脱；</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3、完整试剂盒外另配和试剂盒规格相应数量的24孔离心套板，该24孔离心套板为嵌套反应板，上下部分可分离，另配相应数量封装好的洗脱液；</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4、产品规格：8人份/盒；4人份/盒两种规格可供选择；</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★5、该产品为仪器配套试剂，需保证与现有博坤24通道全自动工作站进行优化配合使用（投标时需承诺中标后提供试剂制造商原厂售后服务</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t xml:space="preserve">承诺书原件扫描上传。）</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jc w:val="center"/>
          <w:trHeight w:val="7375"/>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精斑分离磁珠纯化DNA提取试剂盒</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4人份/盒</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409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1、全自动混合斑DNA提取试剂盒（全自动专用）为一体式封装、一次性产品，打开试剂耗材外包装即能使用，试剂无需人工配制及分装，专用于分离纯化性侵案件中混合斑检材；</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全自动混合斑DNA提取试剂盒能与本实验室已安装的博坤24通道全自动工作站配合使用，全程自动化操作，无需人工干预，3小时以内即能完成混合斑检材男女成分的分离和纯化，分离纯化效果能够达到手工精细化操作水平；</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3、产品规格：4人份/盒（可分离纯化2男2女或4男）、8人份/盒（可分离纯化4男4女或8男）可供选择；</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全自动混合斑DNA提取试剂盒需含有以下几部分，分别为封装试剂的反应板共5块且均为深孔板，相应数量的封装盒装吸头，封装的消化液（能够消化女性成分，但不破坏精子细胞），封装的裂解液（无需手工另加DTT即能裂解精子细胞），1块24孔磁套，1块24孔空白浅孔板；</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5、除完整试剂盒外，需配套有专用于处理混合斑检材的24孔离心套板、24孔空白收集板和洗脱液。</w:t>
            </w:r>
            <w:r>
              <w:rPr>
                <w:rFonts w:hint="eastAsia" w:ascii="宋体" w:hAnsi="宋体" w:cs="宋体"/>
                <w:strike/>
                <w:color w:val="auto"/>
                <w:szCs w:val="21"/>
                <w:highlight w:val="none"/>
                <w:lang w:bidi="ar"/>
              </w:rPr>
              <w:br/>
            </w:r>
            <w:r>
              <w:rPr>
                <w:rFonts w:hint="eastAsia" w:ascii="宋体" w:hAnsi="宋体" w:cs="宋体"/>
                <w:color w:val="auto"/>
                <w:szCs w:val="21"/>
                <w:highlight w:val="none"/>
                <w:lang w:bidi="ar"/>
              </w:rPr>
              <w:t xml:space="preserve">★6、该产品为仪器配套试剂，需保证与现有博坤24通道全自动工作站进行优化配合使用（投标时需承诺中标后提供试剂制造商原厂售后服务</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t xml:space="preserve">承诺书原件扫描上传。）</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jc w:val="center"/>
          <w:trHeight w:val="840"/>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现场DNA专用提取液</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50瓶/盒</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409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用于现场遗留生物物证的提取，能有效防止因现场生物检材的霉变、腐败所导致的DNA降解丢失，大幅提高现场勘查人员的工作效率。20ml/瓶，10瓶/包。</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jc w:val="center"/>
          <w:trHeight w:val="666"/>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脱落细胞粘取器</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100个/盒</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409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用于直接粘取微量生物检材</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jc w:val="center"/>
          <w:trHeight w:val="1325"/>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推杆式生物物证棉签</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2根*50/盒</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409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1、独立密封包装，避免交叉污染，携带安全；</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2、适应不同生物物证、载体需求，将物证提取标准化，提高效率；</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3、棉头、棉杆分体结构，检验环节可直接推进离心管。</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jc w:val="center"/>
          <w:trHeight w:val="706"/>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10ul加样枪头</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96个×10片/盒</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409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枪头要求epTIPS RELOADS 预装版。灭菌，PCR洁净级，0.1ul-10ul  无外源性DNA</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jc w:val="center"/>
          <w:trHeight w:val="608"/>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PCR反应板</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50块/箱</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箱</w:t>
            </w:r>
            <w:r/>
          </w:p>
        </w:tc>
        <w:tc>
          <w:tcPr>
            <w:tcBorders>
              <w:top w:val="single" w:color="000000" w:sz="4" w:space="0"/>
              <w:left w:val="single" w:color="000000" w:sz="4" w:space="0"/>
              <w:bottom w:val="single" w:color="000000" w:sz="4" w:space="0"/>
              <w:right w:val="single" w:color="000000" w:sz="4" w:space="0"/>
            </w:tcBorders>
            <w:tcW w:w="409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带裙边，适用于ABI9700扩增仪，产品性能与AxyGen公司产品相同</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jc w:val="center"/>
          <w:trHeight w:val="1062"/>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PCR扩增管</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半裙边，8联排管（125套/盒）</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409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0.2ml、无外源性DNA，鼓盖，125套/盒，产品性能与AxyGen公司产品相同</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jc w:val="center"/>
          <w:trHeight w:val="879"/>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丁腈防化手套</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50付/盒</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409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一次性医用丁腈防化手套，无粉，50付/盒，L号</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jc w:val="center"/>
          <w:trHeight w:val="782"/>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物证袋</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50个/包</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包</w:t>
            </w:r>
            <w:r/>
          </w:p>
        </w:tc>
        <w:tc>
          <w:tcPr>
            <w:tcBorders>
              <w:top w:val="single" w:color="000000" w:sz="4" w:space="0"/>
              <w:left w:val="single" w:color="000000" w:sz="4" w:space="0"/>
              <w:bottom w:val="single" w:color="000000" w:sz="4" w:space="0"/>
              <w:right w:val="single" w:color="000000" w:sz="4" w:space="0"/>
            </w:tcBorders>
            <w:tcW w:w="409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规格14cm*21cm</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jc w:val="center"/>
          <w:trHeight w:val="590"/>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眼科剪</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409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医用不锈钢，直尖剪，9.5-10cm</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jc w:val="center"/>
          <w:trHeight w:val="590"/>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眼科镊</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409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医用不锈钢，直有齿</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jc w:val="center"/>
          <w:trHeight w:val="590"/>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手术剪</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409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医用不锈钢，直尖剪，16cm</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jc w:val="center"/>
          <w:trHeight w:val="590"/>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PSA试剂条</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100份/盒</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409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抗人精试剂条，100份/盒</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jc w:val="center"/>
          <w:trHeight w:val="590"/>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FOB试剂条</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100份/盒</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409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抗人血试剂条，100份/盒</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jc w:val="center"/>
          <w:trHeight w:val="590"/>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纯水</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 4.5L/桶</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桶</w:t>
            </w:r>
            <w:r/>
          </w:p>
        </w:tc>
        <w:tc>
          <w:tcPr>
            <w:tcBorders>
              <w:top w:val="single" w:color="000000" w:sz="4" w:space="0"/>
              <w:left w:val="single" w:color="000000" w:sz="4" w:space="0"/>
              <w:bottom w:val="single" w:color="000000" w:sz="4" w:space="0"/>
              <w:right w:val="single" w:color="000000" w:sz="4" w:space="0"/>
            </w:tcBorders>
            <w:tcW w:w="409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纯净水</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jc w:val="center"/>
          <w:trHeight w:val="590"/>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酒精湿巾</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80片/包</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包</w:t>
            </w:r>
            <w:r/>
          </w:p>
        </w:tc>
        <w:tc>
          <w:tcPr>
            <w:tcBorders>
              <w:top w:val="single" w:color="000000" w:sz="4" w:space="0"/>
              <w:left w:val="single" w:color="000000" w:sz="4" w:space="0"/>
              <w:bottom w:val="single" w:color="000000" w:sz="4" w:space="0"/>
              <w:right w:val="single" w:color="000000" w:sz="4" w:space="0"/>
            </w:tcBorders>
            <w:tcW w:w="409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75%酒精湿巾/规格200mm*150mm</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jc w:val="center"/>
          <w:trHeight w:val="590"/>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无尘抽纸</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280抽/盒</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409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无尘擦拭纸</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jc w:val="center"/>
          <w:trHeight w:val="590"/>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黑色硒鼓</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409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适用于HP LaserJet CP1025  CE310A黑色硒鼓</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jc w:val="center"/>
          <w:trHeight w:val="2378"/>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高速彩色两面扫描仪</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09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扫描方式：馈纸式（文稿移动）；</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扫描仪幅面：A4（可支持A3拼接扫描）；</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扫描速度：200dpi/300dpi(彩色/灰度/黑白)，35ppm/70ipm；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分辨率：600*1200dpi；</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进纸器容量：100页；</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支持纸张厚度范围27-413g/m²；</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4.3英寸可触摸LCD液晶屏，同时支持Windows系统及国产系统，3年整机保修。</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jc w:val="center"/>
          <w:trHeight w:val="799"/>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视频会议平板一体机</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09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新锐PRO-智锐系列/75英寸i7-win版/8G+256G含商务支架+传屏器+翻页笔</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jc w:val="center"/>
          <w:trHeight w:val="590"/>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初效空气过滤器</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650*600*25</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09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符合相关标准</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jc w:val="center"/>
          <w:trHeight w:val="799"/>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无隔板中效空气过滤器</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600*360*500</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09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符合相关标准</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jc w:val="center"/>
          <w:trHeight w:val="799"/>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无隔板高效空气过滤器</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630*630*80</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09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符合相关标准</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jc w:val="center"/>
          <w:trHeight w:val="799"/>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无隔板高效空气过滤器</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484*484*80</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09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符合相关标准</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jc w:val="center"/>
          <w:trHeight w:val="6822"/>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3500XL基因测序仪系统维保(包含ABI9700型96孔PCR扩增仪、Veriti 96孔PCR扩增仪)</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1年</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年</w:t>
            </w:r>
            <w:r/>
          </w:p>
        </w:tc>
        <w:tc>
          <w:tcPr>
            <w:tcBorders>
              <w:top w:val="single" w:color="000000" w:sz="4" w:space="0"/>
              <w:left w:val="single" w:color="000000" w:sz="4" w:space="0"/>
              <w:bottom w:val="single" w:color="000000" w:sz="4" w:space="0"/>
              <w:right w:val="single" w:color="000000" w:sz="4" w:space="0"/>
            </w:tcBorders>
            <w:tcW w:w="409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ABI 3500XL基因分析仪系统机器维保技术参数：</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（一）ABI 3500XL基因分析仪</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ABI 3500XL是高端精密的电子产品，需要原厂提供的维修、调校和保养以保障仪器的稳定运行和良好性能。ABI 3500XL属于大型综合实验仪器，为了满足DNA室对于实验数据稳定性可靠性的控制要求以及符合实验室资质认定要求等实验室相关规范性法规，需要ABI售后服务部门上门对ABI产品进行维护校正以及维修服务。</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    1、ABI 3500XL基因分析仪整机保修，合同期内中标方提供对ABI 3500XL基因分析仪提供每年一次上门维护校正，更换机内的损耗部件，对仪器内部系统进行调整有效的避免可能产生的故障，减少可能的停机带来的不必要麻烦，使其工作在最优的指标范围内。包含电脑的保修。</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    2.维护保养工作依据APPLIED BIOSYSTEMS维修手册中所订标准进行。维护保养工作完成后，出具维护校准报告，由仪器使用方现场确认验收，验收合格后由中标方加盖公司公章并递交仪器使用方存档，维护保养工作必须包括如下内容。</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    1）系统维护：包括设备主机内外构件的检查、清理及运行状态确定；</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    2）系统信息：机器信息、软件注册码等信息确认；</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    3）系统确认：确认机器各主要部件的工作状态及性能参数；</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    4）光路系统：光路系统检查，必要时对光路系统进行调整；</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    5）机械臂位置校准：对仪器的机械位置如自动进样器进行校准，必要的进行调整；</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    6）空间定位和光谱校正：检测各通道空间定位及光谱校正，必要时进行调校。</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    3、用于修复仪器设备的零部件必须是仪器原厂商的、全新的、性能合格的、型号、性能及指标符合国家现行有关技术、质量、安全标准。</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    4、服务期内，设备出现故障时，在4工作时内提供电话响应，2工作日内到达设备现场，维修完成后，由仪器使用方对维修后的设备进行确认并签署相关服务报告，服务报告需提供给仪器使用方进行存档。</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    5、正常使用条件下，一旦发生维修，以上所有维修费用全免（包括人工费，差旅费，备件费等相关费用）。</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    6、</w:t>
            </w:r>
            <w:r>
              <w:rPr>
                <w:rFonts w:hint="eastAsia" w:ascii="宋体" w:hAnsi="宋体" w:cs="宋体"/>
                <w:i/>
                <w:iCs/>
                <w:color w:val="auto"/>
                <w:szCs w:val="21"/>
                <w:highlight w:val="none"/>
                <w:u w:val="single"/>
                <w:lang w:bidi="ar"/>
              </w:rPr>
              <w:t xml:space="preserve">ABI基因分析仪、扩增仪的维保必须是原品牌制造商技术人员进行维护，投标人在投标时必需提供该设备制造商技术人员培训合格证书和投标售后服务承诺书原件扫描上传（承诺书中须显示本项目名称和项目编号）</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（二）ABI 扩增仪维保</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    维保合同期内中标方对ABI9700型96孔PCR扩增仪、Veriti 96孔PCR扩增仪进行每年1次的维护校正并出具维护校正报告；如果发生硬件维修，所有费用（人工费 备件费 差旅费 物流费）全免，维修送至上海维修中心。</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   （三）甲方将对乙方维保工作满意度进行考核。响应不及时，未按方案维保，或未使用约定的配件，单次扣除维保款的10%；如累计达到5次，影响甲方正常工作，将扣除维保款的50%；乙方未按规定维保，损坏甲方仪器设备，需赔偿甲方仪器设备，并用维保款支付赔偿款，不足部分由乙方承担。</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bl>
    <w:p>
      <w:pPr>
        <w:ind w:firstLine="420"/>
        <w:rPr>
          <w:color w:val="auto"/>
          <w:highlight w:val="none"/>
        </w:rPr>
      </w:pPr>
      <w:r>
        <w:rPr>
          <w:rFonts w:hint="eastAsia"/>
          <w:color w:val="auto"/>
          <w:highlight w:val="none"/>
        </w:rPr>
        <w:t xml:space="preserve"> </w:t>
      </w:r>
      <w:r/>
    </w:p>
    <w:p>
      <w:pPr>
        <w:spacing w:line="360" w:lineRule="auto"/>
        <w:rPr>
          <w:rFonts w:hint="eastAsia" w:ascii="宋体" w:hAnsi="宋体" w:cs="宋体"/>
          <w:i/>
          <w:iCs/>
          <w:color w:val="auto"/>
          <w:szCs w:val="21"/>
          <w:highlight w:val="none"/>
          <w:u w:val="single"/>
          <w:lang w:bidi="ar"/>
        </w:rPr>
      </w:pPr>
      <w:r>
        <w:rPr>
          <w:rFonts w:hint="eastAsia" w:ascii="宋体" w:hAnsi="宋体" w:cs="宋体"/>
          <w:color w:val="auto"/>
          <w:szCs w:val="21"/>
          <w:highlight w:val="none"/>
          <w:lang w:bidi="ar"/>
        </w:rPr>
        <w:t xml:space="preserve">注：1、</w:t>
      </w:r>
      <w:r>
        <w:rPr>
          <w:rFonts w:hint="eastAsia" w:ascii="宋体" w:hAnsi="宋体" w:cs="宋体"/>
          <w:i/>
          <w:iCs/>
          <w:color w:val="auto"/>
          <w:szCs w:val="21"/>
          <w:highlight w:val="none"/>
          <w:u w:val="single"/>
          <w:lang w:bidi="ar"/>
        </w:rPr>
        <w:t xml:space="preserve">供应商需承诺在中标后合同签订前，提供所投进口产品（如有）的制造商出具的针对本项目的售后服务承诺书。（承诺书原件扫描上传）</w:t>
      </w:r>
      <w:r/>
    </w:p>
    <w:p>
      <w:pPr>
        <w:numPr>
          <w:ilvl w:val="0"/>
          <w:numId w:val="5"/>
        </w:numPr>
        <w:ind w:firstLine="422"/>
        <w:rPr>
          <w:rFonts w:hint="eastAsia" w:ascii="宋体" w:hAnsi="宋体" w:cs="宋体"/>
          <w:b/>
          <w:bCs/>
          <w:color w:val="auto"/>
          <w:szCs w:val="21"/>
          <w:highlight w:val="none"/>
          <w:lang w:bidi="ar"/>
        </w:rPr>
      </w:pPr>
      <w:r>
        <w:rPr>
          <w:rFonts w:hint="eastAsia" w:ascii="宋体" w:hAnsi="宋体" w:cs="宋体"/>
          <w:b/>
          <w:bCs/>
          <w:color w:val="auto"/>
          <w:szCs w:val="21"/>
          <w:highlight w:val="none"/>
          <w:lang w:bidi="ar"/>
        </w:rPr>
        <w:t xml:space="preserve">接受进口产品投标的在产品备注栏中已标注，未标注的均不接受进口产品投标。</w:t>
      </w:r>
      <w:r/>
    </w:p>
    <w:p>
      <w:pPr>
        <w:rPr>
          <w:rFonts w:hint="eastAsia" w:ascii="宋体" w:hAnsi="宋体" w:cs="宋体"/>
          <w:b/>
          <w:bCs/>
          <w:color w:val="auto"/>
          <w:szCs w:val="21"/>
          <w:highlight w:val="none"/>
          <w:lang w:bidi="ar"/>
        </w:rPr>
      </w:pPr>
      <w:r>
        <w:rPr>
          <w:rFonts w:hint="eastAsia" w:ascii="宋体" w:hAnsi="宋体" w:cs="宋体"/>
          <w:b/>
          <w:bCs/>
          <w:color w:val="auto"/>
          <w:szCs w:val="21"/>
          <w:highlight w:val="none"/>
          <w:lang w:bidi="ar"/>
        </w:rPr>
      </w:r>
      <w:r/>
    </w:p>
    <w:p>
      <w:pPr>
        <w:rPr>
          <w:rFonts w:hint="eastAsia" w:ascii="宋体" w:hAnsi="宋体" w:cs="宋体"/>
          <w:b/>
          <w:bCs/>
          <w:color w:val="auto"/>
          <w:szCs w:val="21"/>
          <w:highlight w:val="none"/>
          <w:lang w:bidi="ar"/>
        </w:rPr>
      </w:pPr>
      <w:r>
        <w:rPr>
          <w:rFonts w:hint="eastAsia" w:ascii="宋体" w:hAnsi="宋体" w:cs="宋体"/>
          <w:b/>
          <w:bCs/>
          <w:color w:val="auto"/>
          <w:szCs w:val="21"/>
          <w:highlight w:val="none"/>
          <w:lang w:bidi="ar"/>
        </w:rPr>
      </w:r>
      <w:r/>
    </w:p>
    <w:p>
      <w:pPr>
        <w:rPr>
          <w:rFonts w:hint="eastAsia" w:ascii="宋体" w:hAnsi="宋体" w:cs="宋体"/>
          <w:b/>
          <w:bCs/>
          <w:color w:val="auto"/>
          <w:szCs w:val="21"/>
          <w:highlight w:val="none"/>
          <w:lang w:bidi="ar"/>
        </w:rPr>
      </w:pPr>
      <w:r>
        <w:rPr>
          <w:rFonts w:hint="eastAsia" w:ascii="宋体" w:hAnsi="宋体" w:cs="宋体"/>
          <w:b/>
          <w:bCs/>
          <w:color w:val="auto"/>
          <w:szCs w:val="21"/>
          <w:highlight w:val="none"/>
          <w:lang w:bidi="ar"/>
        </w:rPr>
      </w:r>
      <w:r/>
    </w:p>
    <w:p>
      <w:pPr>
        <w:rPr>
          <w:rFonts w:ascii="宋体" w:hAnsi="宋体" w:cs="宋体"/>
          <w:b/>
          <w:bCs/>
          <w:color w:val="auto"/>
          <w:szCs w:val="21"/>
          <w:highlight w:val="none"/>
          <w:lang w:bidi="ar"/>
        </w:rPr>
      </w:pPr>
      <w:r>
        <w:rPr>
          <w:rFonts w:ascii="宋体" w:hAnsi="宋体" w:cs="宋体"/>
          <w:b/>
          <w:bCs/>
          <w:color w:val="auto"/>
          <w:szCs w:val="21"/>
          <w:highlight w:val="none"/>
          <w:lang w:bidi="ar"/>
        </w:rPr>
      </w:r>
      <w:r/>
    </w:p>
    <w:p>
      <w:pPr>
        <w:rPr>
          <w:rFonts w:ascii="宋体" w:hAnsi="宋体" w:cs="宋体"/>
          <w:b/>
          <w:bCs/>
          <w:color w:val="auto"/>
          <w:szCs w:val="21"/>
          <w:highlight w:val="none"/>
          <w:lang w:bidi="ar"/>
        </w:rPr>
      </w:pPr>
      <w:r>
        <w:rPr>
          <w:rFonts w:ascii="宋体" w:hAnsi="宋体" w:cs="宋体"/>
          <w:b/>
          <w:bCs/>
          <w:color w:val="auto"/>
          <w:szCs w:val="21"/>
          <w:highlight w:val="none"/>
          <w:lang w:bidi="ar"/>
        </w:rPr>
      </w:r>
      <w:r/>
    </w:p>
    <w:p>
      <w:pPr>
        <w:rPr>
          <w:rFonts w:ascii="宋体" w:hAnsi="宋体" w:cs="宋体"/>
          <w:b/>
          <w:bCs/>
          <w:color w:val="auto"/>
          <w:szCs w:val="21"/>
          <w:highlight w:val="none"/>
          <w:lang w:bidi="ar"/>
        </w:rPr>
      </w:pPr>
      <w:r>
        <w:rPr>
          <w:rFonts w:ascii="宋体" w:hAnsi="宋体" w:cs="宋体"/>
          <w:b/>
          <w:bCs/>
          <w:color w:val="auto"/>
          <w:szCs w:val="21"/>
          <w:highlight w:val="none"/>
          <w:lang w:bidi="ar"/>
        </w:rPr>
      </w:r>
      <w:r/>
    </w:p>
    <w:p>
      <w:pPr>
        <w:rPr>
          <w:rFonts w:ascii="宋体" w:hAnsi="宋体" w:cs="宋体"/>
          <w:b/>
          <w:bCs/>
          <w:color w:val="auto"/>
          <w:szCs w:val="21"/>
          <w:highlight w:val="none"/>
          <w:lang w:bidi="ar"/>
        </w:rPr>
      </w:pPr>
      <w:r>
        <w:rPr>
          <w:rFonts w:ascii="宋体" w:hAnsi="宋体" w:cs="宋体"/>
          <w:b/>
          <w:bCs/>
          <w:color w:val="auto"/>
          <w:szCs w:val="21"/>
          <w:highlight w:val="none"/>
          <w:lang w:bidi="ar"/>
        </w:rPr>
      </w:r>
      <w:r/>
    </w:p>
    <w:p>
      <w:pPr>
        <w:rPr>
          <w:rFonts w:ascii="宋体" w:hAnsi="宋体" w:cs="宋体"/>
          <w:b/>
          <w:bCs/>
          <w:color w:val="auto"/>
          <w:szCs w:val="21"/>
          <w:highlight w:val="none"/>
          <w:lang w:bidi="ar"/>
        </w:rPr>
      </w:pPr>
      <w:r>
        <w:rPr>
          <w:rFonts w:ascii="宋体" w:hAnsi="宋体" w:cs="宋体"/>
          <w:b/>
          <w:bCs/>
          <w:color w:val="auto"/>
          <w:szCs w:val="21"/>
          <w:highlight w:val="none"/>
          <w:lang w:bidi="ar"/>
        </w:rPr>
      </w:r>
      <w:r/>
    </w:p>
    <w:p>
      <w:pPr>
        <w:rPr>
          <w:rFonts w:ascii="宋体" w:hAnsi="宋体" w:cs="宋体"/>
          <w:b/>
          <w:bCs/>
          <w:color w:val="auto"/>
          <w:szCs w:val="21"/>
          <w:highlight w:val="none"/>
          <w:lang w:bidi="ar"/>
        </w:rPr>
      </w:pPr>
      <w:r>
        <w:rPr>
          <w:rFonts w:ascii="宋体" w:hAnsi="宋体" w:cs="宋体"/>
          <w:b/>
          <w:bCs/>
          <w:color w:val="auto"/>
          <w:szCs w:val="21"/>
          <w:highlight w:val="none"/>
          <w:lang w:bidi="ar"/>
        </w:rPr>
      </w:r>
      <w:r/>
    </w:p>
    <w:p>
      <w:pPr>
        <w:rPr>
          <w:rFonts w:ascii="宋体" w:hAnsi="宋体" w:cs="宋体"/>
          <w:b/>
          <w:bCs/>
          <w:color w:val="auto"/>
          <w:szCs w:val="21"/>
          <w:highlight w:val="none"/>
          <w:lang w:bidi="ar"/>
        </w:rPr>
      </w:pPr>
      <w:r>
        <w:rPr>
          <w:rFonts w:ascii="宋体" w:hAnsi="宋体" w:cs="宋体"/>
          <w:b/>
          <w:bCs/>
          <w:color w:val="auto"/>
          <w:szCs w:val="21"/>
          <w:highlight w:val="none"/>
          <w:lang w:bidi="ar"/>
        </w:rPr>
      </w:r>
      <w:r/>
    </w:p>
    <w:p>
      <w:pPr>
        <w:rPr>
          <w:rFonts w:hint="eastAsia" w:ascii="宋体" w:hAnsi="宋体" w:cs="宋体"/>
          <w:b/>
          <w:bCs/>
          <w:color w:val="auto"/>
          <w:szCs w:val="21"/>
          <w:highlight w:val="none"/>
          <w:lang w:bidi="ar"/>
        </w:rPr>
      </w:pPr>
      <w:r>
        <w:rPr>
          <w:rFonts w:hint="eastAsia" w:ascii="宋体" w:hAnsi="宋体" w:cs="宋体"/>
          <w:b/>
          <w:bCs/>
          <w:color w:val="auto"/>
          <w:szCs w:val="21"/>
          <w:highlight w:val="none"/>
          <w:lang w:bidi="ar"/>
        </w:rPr>
      </w:r>
      <w:r/>
    </w:p>
    <w:p>
      <w:pPr>
        <w:rPr>
          <w:rFonts w:hint="eastAsia" w:ascii="宋体" w:hAnsi="宋体" w:cs="宋体"/>
          <w:b/>
          <w:bCs/>
          <w:color w:val="auto"/>
          <w:szCs w:val="21"/>
          <w:highlight w:val="none"/>
          <w:lang w:bidi="ar"/>
        </w:rPr>
      </w:pPr>
      <w:r>
        <w:rPr>
          <w:rFonts w:hint="eastAsia" w:ascii="宋体" w:hAnsi="宋体" w:cs="宋体"/>
          <w:b/>
          <w:bCs/>
          <w:color w:val="auto"/>
          <w:szCs w:val="21"/>
          <w:highlight w:val="none"/>
          <w:lang w:bidi="ar"/>
        </w:rPr>
      </w:r>
      <w:r/>
    </w:p>
    <w:p>
      <w:pPr>
        <w:rPr>
          <w:rFonts w:hint="eastAsia" w:ascii="宋体" w:hAnsi="宋体" w:cs="宋体"/>
          <w:b/>
          <w:bCs/>
          <w:color w:val="auto"/>
          <w:szCs w:val="21"/>
          <w:highlight w:val="none"/>
          <w:lang w:bidi="ar"/>
        </w:rPr>
      </w:pPr>
      <w:r>
        <w:rPr>
          <w:rFonts w:hint="eastAsia" w:ascii="宋体" w:hAnsi="宋体" w:cs="宋体"/>
          <w:b/>
          <w:bCs/>
          <w:color w:val="auto"/>
          <w:szCs w:val="21"/>
          <w:highlight w:val="none"/>
          <w:lang w:bidi="ar"/>
        </w:rPr>
      </w:r>
      <w:r/>
    </w:p>
    <w:p>
      <w:pPr>
        <w:rPr>
          <w:rFonts w:hint="eastAsia" w:ascii="宋体" w:hAnsi="宋体" w:eastAsia="宋体" w:cs="宋体"/>
          <w:color w:val="auto"/>
          <w:highlight w:val="none"/>
          <w:lang w:eastAsia="zh-CN"/>
        </w:rPr>
      </w:pPr>
      <w:r>
        <w:rPr>
          <w:rFonts w:hint="eastAsia" w:ascii="宋体" w:hAnsi="宋体" w:cs="宋体"/>
          <w:color w:val="auto"/>
          <w:highlight w:val="none"/>
        </w:rPr>
        <w:t xml:space="preserve">采购包2：国产人员样本建库试剂盒</w:t>
      </w:r>
      <w:r>
        <w:rPr>
          <w:rFonts w:hint="eastAsia" w:ascii="宋体" w:hAnsi="宋体" w:cs="宋体"/>
          <w:color w:val="auto"/>
          <w:highlight w:val="none"/>
          <w:lang w:eastAsia="zh-CN"/>
        </w:rPr>
        <w:t xml:space="preserve">（</w:t>
      </w:r>
      <w:r>
        <w:rPr>
          <w:rFonts w:hint="eastAsia"/>
          <w:color w:val="auto"/>
          <w:highlight w:val="none"/>
        </w:rPr>
        <w:t xml:space="preserve">采购包2不接受进口产品投标</w:t>
      </w:r>
      <w:r>
        <w:rPr>
          <w:rFonts w:hint="eastAsia" w:ascii="宋体" w:hAnsi="宋体" w:cs="宋体"/>
          <w:color w:val="auto"/>
          <w:highlight w:val="none"/>
          <w:lang w:eastAsia="zh-CN"/>
        </w:rPr>
        <w:t xml:space="preserve">）</w:t>
      </w:r>
      <w:r/>
    </w:p>
    <w:p>
      <w:pPr>
        <w:rPr>
          <w:rFonts w:hint="eastAsia" w:ascii="宋体" w:hAnsi="宋体" w:cs="宋体"/>
          <w:color w:val="auto"/>
          <w:highlight w:val="none"/>
        </w:rPr>
      </w:pPr>
      <w:r>
        <w:rPr>
          <w:rFonts w:hint="eastAsia" w:ascii="宋体" w:hAnsi="宋体" w:cs="宋体"/>
          <w:color w:val="auto"/>
          <w:highlight w:val="none"/>
        </w:rPr>
        <w:t xml:space="preserve">核心产品：国产40个以上Y STR扩增试剂盒</w:t>
      </w:r>
      <w:r/>
    </w:p>
    <w:p>
      <w:pPr>
        <w:rPr>
          <w:rFonts w:hint="eastAsia" w:ascii="宋体" w:hAnsi="宋体" w:cs="宋体"/>
          <w:color w:val="auto"/>
          <w:highlight w:val="none"/>
        </w:rPr>
      </w:pPr>
      <w:r>
        <w:rPr>
          <w:rFonts w:hint="eastAsia" w:ascii="宋体" w:hAnsi="宋体" w:cs="宋体"/>
          <w:color w:val="auto"/>
          <w:highlight w:val="none"/>
        </w:rPr>
      </w:r>
      <w:r/>
    </w:p>
    <w:tbl>
      <w:tblPr>
        <w:tblStyle w:val="812"/>
        <w:tblW w:w="9022" w:type="dxa"/>
        <w:jc w:val="center"/>
        <w:tblInd w:w="-333" w:type="dxa"/>
        <w:tblLayout w:type="fixed"/>
        <w:tblCellMar>
          <w:left w:w="108" w:type="dxa"/>
          <w:top w:w="0" w:type="dxa"/>
          <w:right w:w="108" w:type="dxa"/>
          <w:bottom w:w="0" w:type="dxa"/>
        </w:tblCellMar>
        <w:tblLook w:val="04A0" w:firstRow="1" w:lastRow="0" w:firstColumn="1" w:lastColumn="0" w:noHBand="0" w:noVBand="1"/>
      </w:tblPr>
      <w:tblGrid>
        <w:gridCol w:w="677"/>
        <w:gridCol w:w="741"/>
        <w:gridCol w:w="684"/>
        <w:gridCol w:w="592"/>
        <w:gridCol w:w="567"/>
        <w:gridCol w:w="5762"/>
      </w:tblGrid>
      <w:tr>
        <w:trPr>
          <w:jc w:val="center"/>
          <w:trHeight w:val="380"/>
        </w:trPr>
        <w:tc>
          <w:tcPr>
            <w:tcBorders>
              <w:top w:val="single" w:color="000000" w:sz="4" w:space="0"/>
              <w:left w:val="single" w:color="000000" w:sz="4" w:space="0"/>
              <w:bottom w:val="none" w:color="000000" w:sz="4" w:space="0"/>
              <w:right w:val="single" w:color="000000" w:sz="4" w:space="0"/>
            </w:tcBorders>
            <w:tcW w:w="677" w:type="dxa"/>
            <w:vAlign w:val="center"/>
            <w:textDirection w:val="lrTb"/>
            <w:noWrap/>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序号</w:t>
            </w:r>
            <w:r/>
          </w:p>
        </w:tc>
        <w:tc>
          <w:tcPr>
            <w:tcBorders>
              <w:top w:val="single" w:color="000000" w:sz="4" w:space="0"/>
              <w:left w:val="single" w:color="000000" w:sz="4" w:space="0"/>
              <w:bottom w:val="none" w:color="000000" w:sz="4" w:space="0"/>
              <w:right w:val="single" w:color="000000" w:sz="4" w:space="0"/>
            </w:tcBorders>
            <w:tcW w:w="741" w:type="dxa"/>
            <w:vAlign w:val="center"/>
            <w:textDirection w:val="lrTb"/>
            <w:noWrap w:val="false"/>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名称</w:t>
            </w:r>
            <w:r/>
          </w:p>
        </w:tc>
        <w:tc>
          <w:tcPr>
            <w:tcBorders>
              <w:top w:val="single" w:color="000000" w:sz="4" w:space="0"/>
              <w:left w:val="single" w:color="000000" w:sz="4" w:space="0"/>
              <w:bottom w:val="none" w:color="000000" w:sz="4" w:space="0"/>
              <w:right w:val="single" w:color="000000" w:sz="4" w:space="0"/>
            </w:tcBorders>
            <w:tcW w:w="684" w:type="dxa"/>
            <w:vAlign w:val="center"/>
            <w:textDirection w:val="lrTb"/>
            <w:noWrap w:val="false"/>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 </w:t>
            </w:r>
            <w:r>
              <w:rPr>
                <w:rFonts w:hint="eastAsia" w:ascii="宋体" w:hAnsi="宋体" w:cs="宋体"/>
                <w:b/>
                <w:bCs/>
                <w:color w:val="auto"/>
                <w:sz w:val="20"/>
                <w:szCs w:val="20"/>
                <w:highlight w:val="none"/>
                <w:lang w:bidi="ar"/>
              </w:rPr>
              <w:t xml:space="preserve">规</w:t>
            </w:r>
            <w:r>
              <w:rPr>
                <w:rFonts w:hint="eastAsia" w:ascii="宋体" w:hAnsi="宋体" w:cs="宋体"/>
                <w:b/>
                <w:bCs/>
                <w:color w:val="auto"/>
                <w:sz w:val="20"/>
                <w:szCs w:val="20"/>
                <w:highlight w:val="none"/>
                <w:lang w:bidi="ar"/>
              </w:rPr>
              <w:t xml:space="preserve">格</w:t>
            </w:r>
            <w:r/>
          </w:p>
        </w:tc>
        <w:tc>
          <w:tcPr>
            <w:tcBorders>
              <w:top w:val="single" w:color="000000" w:sz="4" w:space="0"/>
              <w:left w:val="single" w:color="000000" w:sz="4" w:space="0"/>
              <w:bottom w:val="none" w:color="000000" w:sz="4" w:space="0"/>
              <w:right w:val="single" w:color="000000" w:sz="4" w:space="0"/>
            </w:tcBorders>
            <w:tcW w:w="592" w:type="dxa"/>
            <w:vAlign w:val="center"/>
            <w:textDirection w:val="lrTb"/>
            <w:noWrap w:val="false"/>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数量</w:t>
            </w:r>
            <w:r/>
          </w:p>
        </w:tc>
        <w:tc>
          <w:tcPr>
            <w:tcBorders>
              <w:top w:val="single" w:color="000000" w:sz="4" w:space="0"/>
              <w:left w:val="single" w:color="000000" w:sz="4" w:space="0"/>
              <w:bottom w:val="none" w:color="000000" w:sz="4" w:space="0"/>
              <w:right w:val="single" w:color="000000" w:sz="4" w:space="0"/>
            </w:tcBorders>
            <w:tcW w:w="567" w:type="dxa"/>
            <w:vAlign w:val="center"/>
            <w:textDirection w:val="lrTb"/>
            <w:noWrap w:val="false"/>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单位</w:t>
            </w:r>
            <w:r/>
          </w:p>
        </w:tc>
        <w:tc>
          <w:tcPr>
            <w:tcBorders>
              <w:top w:val="single" w:color="000000" w:sz="4" w:space="0"/>
              <w:left w:val="single" w:color="000000" w:sz="4" w:space="0"/>
              <w:bottom w:val="none" w:color="000000" w:sz="4" w:space="0"/>
              <w:right w:val="single" w:color="000000" w:sz="4" w:space="0"/>
            </w:tcBorders>
            <w:tcW w:w="5762" w:type="dxa"/>
            <w:vAlign w:val="center"/>
            <w:textDirection w:val="lrTb"/>
            <w:noWrap w:val="false"/>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技术参数</w:t>
            </w:r>
            <w:r/>
          </w:p>
        </w:tc>
      </w:tr>
      <w:tr>
        <w:trPr>
          <w:jc w:val="center"/>
          <w:trHeight w:val="5638"/>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国产35个以上常染色体STR扩增试剂盒</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Times New Roman" w:hAnsi="Times New Roman"/>
                <w:color w:val="auto"/>
                <w:sz w:val="20"/>
                <w:szCs w:val="20"/>
                <w:highlight w:val="none"/>
              </w:rPr>
            </w:pPr>
            <w:r>
              <w:rPr>
                <w:rStyle w:val="1044"/>
                <w:color w:val="auto"/>
                <w:highlight w:val="none"/>
                <w:lang w:bidi="ar"/>
              </w:rPr>
              <w:t xml:space="preserve">200</w:t>
            </w:r>
            <w:r>
              <w:rPr>
                <w:rStyle w:val="1045"/>
                <w:rFonts w:hint="default"/>
                <w:color w:val="auto"/>
                <w:highlight w:val="none"/>
                <w:lang w:bidi="ar"/>
              </w:rPr>
              <w:t xml:space="preserve">人份</w:t>
            </w:r>
            <w:r>
              <w:rPr>
                <w:rStyle w:val="1044"/>
                <w:color w:val="auto"/>
                <w:highlight w:val="none"/>
                <w:lang w:bidi="ar"/>
              </w:rPr>
              <w:t xml:space="preserve">/</w:t>
            </w:r>
            <w:r>
              <w:rPr>
                <w:rStyle w:val="1045"/>
                <w:rFonts w:hint="default"/>
                <w:color w:val="auto"/>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5762" w:type="dxa"/>
            <w:vAlign w:val="center"/>
            <w:textDirection w:val="lrTb"/>
            <w:noWrap w:val="false"/>
          </w:tcPr>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★1、所投打拐STR扩增试剂盒满足公安部打拐位点要求，单管同时扩增不少于35个常染色体基因座，包含D3S1358、D13S</w:t>
            </w:r>
            <w:r>
              <w:rPr>
                <w:rFonts w:hint="eastAsia" w:ascii="宋体" w:hAnsi="宋体" w:cs="宋体"/>
                <w:color w:val="auto"/>
                <w:sz w:val="20"/>
                <w:szCs w:val="20"/>
                <w:highlight w:val="none"/>
                <w:lang w:bidi="ar"/>
              </w:rPr>
              <w:t xml:space="preserve">317、D7S820、D16S539、D1S1656、PentaE、TPOX、TH01、D2S1338、CSF1PO、PentaD、D19S433、vWA、D21S11、D18S51、D6S1043、D8S1179、D5S818、D12S391、D22S1045、D2S441、D10S1248、FGA、D8S1132、D19S253、D3S3045、D6S477、D15S659、D10S1435以及一个Amelogenin性别识别位点。（提供经由Genemapper IDX软件分析出的STR分型彩色图谱。）</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2、所投常STR试剂盒名称和基因座参数信息已收录入全国公安机关DNA数据库。</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3、所投常STR扩增试剂盒采用六色荧光标记，便于更清晰的分辨基因座位点，所有基因座位点的扩增片段大小不超过550bp。</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4、根据比中复合需要，所投标产品需具备有同一生产厂商生产的基因座补充试剂盒，同步检测15个以上基因座，包括D6S474、D12ATA63、D22S1045、D10S1435、D1S1677、D11S4463、D3S4529、D6S1017、D4S2408、D17S1301、D1GATA113、D20S482、D14S1434、D9S1122、D5S2500和Amelogenin等。（须提供性能参数证明材料原件扫描上传</w:t>
            </w:r>
            <w:r>
              <w:rPr>
                <w:rFonts w:hint="eastAsia" w:ascii="宋体" w:hAnsi="宋体" w:cs="宋体"/>
                <w:i/>
                <w:iCs/>
                <w:color w:val="auto"/>
                <w:sz w:val="20"/>
                <w:szCs w:val="20"/>
                <w:highlight w:val="none"/>
                <w:lang w:bidi="ar"/>
              </w:rPr>
              <w:t xml:space="preserve">）</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5、所投常STR扩增试剂盒产品具备中国公共安全技术防范认证中心颁发的《中国公共安全产品认证证书》。</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6、规格：200人份/盒（25ul体系）；包含扩增所需全部试剂。扩增前试剂（引物对、Reaction Mix、超纯水、对照样本、control DNA9948）扩增后试剂（内标、等位基因Ladder）。</w:t>
            </w:r>
            <w:r/>
          </w:p>
          <w:p>
            <w:pPr>
              <w:jc w:val="left"/>
              <w:widowControl/>
              <w:rPr>
                <w:rFonts w:hint="eastAsia" w:ascii="宋体" w:hAnsi="宋体" w:cs="宋体"/>
                <w:color w:val="auto"/>
                <w:sz w:val="20"/>
                <w:szCs w:val="20"/>
                <w:highlight w:val="none"/>
              </w:rPr>
            </w:pPr>
            <w:r>
              <w:rPr>
                <w:rFonts w:hint="eastAsia" w:ascii="宋体" w:hAnsi="宋体" w:cs="宋体"/>
                <w:i/>
                <w:iCs/>
                <w:color w:val="auto"/>
                <w:sz w:val="20"/>
                <w:szCs w:val="20"/>
                <w:highlight w:val="none"/>
                <w:u w:val="single"/>
                <w:lang w:bidi="ar"/>
              </w:rPr>
              <w:t xml:space="preserve">7、投标方在投标文件中必须承诺每半个月及时提供上门技术支持（费用自理）服务，技术人员服从采购方的管理；出现2次以上未按服务承诺履行上门服务的，采购方有权终止合同，并追究中标方的违约责任、损失责任。（提供承诺函原件扫描上传）</w:t>
            </w:r>
            <w:r/>
          </w:p>
        </w:tc>
      </w:tr>
      <w:tr>
        <w:trPr>
          <w:jc w:val="center"/>
          <w:trHeight w:val="895"/>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国产40个以上Y STR扩增试剂盒</w:t>
            </w:r>
            <w:r>
              <w:rPr>
                <w:rFonts w:hint="eastAsia" w:ascii="宋体" w:hAnsi="宋体" w:cs="宋体"/>
                <w:b/>
                <w:bCs/>
                <w:color w:val="auto"/>
                <w:sz w:val="20"/>
                <w:szCs w:val="20"/>
                <w:highlight w:val="none"/>
                <w:lang w:bidi="ar"/>
              </w:rPr>
              <w:t xml:space="preserve">（核心产品）</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Times New Roman" w:hAnsi="Times New Roman"/>
                <w:color w:val="auto"/>
                <w:sz w:val="20"/>
                <w:szCs w:val="20"/>
                <w:highlight w:val="none"/>
              </w:rPr>
            </w:pPr>
            <w:r>
              <w:rPr>
                <w:rStyle w:val="1044"/>
                <w:color w:val="auto"/>
                <w:highlight w:val="none"/>
                <w:lang w:bidi="ar"/>
              </w:rPr>
              <w:t xml:space="preserve">100</w:t>
            </w:r>
            <w:r>
              <w:rPr>
                <w:rStyle w:val="1045"/>
                <w:rFonts w:hint="default"/>
                <w:color w:val="auto"/>
                <w:highlight w:val="none"/>
                <w:lang w:bidi="ar"/>
              </w:rPr>
              <w:t xml:space="preserve">人份</w:t>
            </w:r>
            <w:r>
              <w:rPr>
                <w:rStyle w:val="1044"/>
                <w:color w:val="auto"/>
                <w:highlight w:val="none"/>
                <w:lang w:bidi="ar"/>
              </w:rPr>
              <w:t xml:space="preserve">/</w:t>
            </w:r>
            <w:r>
              <w:rPr>
                <w:rStyle w:val="1045"/>
                <w:rFonts w:hint="default"/>
                <w:color w:val="auto"/>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5762" w:type="dxa"/>
            <w:vAlign w:val="center"/>
            <w:textDirection w:val="lrTb"/>
            <w:noWrap w:val="false"/>
          </w:tcPr>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★1、试剂盒单管扩增至少40个Y-STR基因座，必须含有公安部要求的20个Y-STR核心基因座，15个优选基因座，多出的基因座必须涵盖在公安部备选基因座中。（提供经由Genemapper IDX软件分析出的STR分型彩色图谱。）</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★2、试剂盒包含4个以上（包含4个）Y-indel 基因座。</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3、所投Y STR扩增试剂盒名称和基因座参数信息已收录入全国公安机关DNA数据库。（提供全国公安机关DNA数据库截图）</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w:t>
            </w:r>
            <w:r>
              <w:rPr>
                <w:rFonts w:hint="eastAsia" w:ascii="宋体" w:hAnsi="宋体" w:cs="宋体"/>
                <w:color w:val="auto"/>
                <w:sz w:val="20"/>
                <w:szCs w:val="20"/>
                <w:highlight w:val="none"/>
                <w:lang w:bidi="ar"/>
              </w:rPr>
              <w:t xml:space="preserve">4、试剂盒采用6色以上（含6色）荧光。一色荧光标记分子量内标，五色荧光标记待测样品。荧光标记分子量内标由橙色荧光素标记，包含：60、80、100、114、120、140、160、180、200、214、220、240、250、260、280、300、314、320、340、360、380、400、414、420、440、460、480、500、514、520、540、560、580和600bp的片段，所有扩增片段长度不得超过600bp。（提供经由Genemapper IDX软件分析出的STR分型彩色图谱。）</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5、针对“假比中”，有能力提供补充检测Y试剂盒，补充Y试剂盒包含不低于30个基因座，要求包含公安部推荐的25个备选基因座中的20个基因座，同时包含核心及优选中的9个基因座用于复核。提供由省厅级公安部门出具的测试报告（报告内容必须包含：试剂盒制造商名称、试剂盒基因座个数和基因座名称、经由Genemapper IDX软件分析出的STR分型图谱）。</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6、试剂盒每个基因座等位基因分型结果良好，Ladder 清晰完整含有充足的标准等位基因，为了减少OL的产生，真实bin和虚拟Bin合计不少于620个，其中真实的bin大于460个。（提供第三方检测机构出具的检测报告原件扫描上传）</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7、试剂盒规格：100 人份/盒（ 25UL 标准体系）。试剂盒采用免提取直接扩增技术，可对FTA卡、口腔卡免提直扩。</w:t>
            </w:r>
            <w:r/>
          </w:p>
          <w:p>
            <w:pPr>
              <w:jc w:val="left"/>
              <w:widowControl/>
              <w:rPr>
                <w:rFonts w:hint="eastAsia" w:ascii="宋体" w:hAnsi="宋体" w:cs="宋体"/>
                <w:color w:val="auto"/>
                <w:sz w:val="20"/>
                <w:szCs w:val="20"/>
                <w:highlight w:val="none"/>
              </w:rPr>
            </w:pPr>
            <w:r>
              <w:rPr>
                <w:rFonts w:hint="eastAsia" w:ascii="宋体" w:hAnsi="宋体" w:cs="宋体"/>
                <w:i/>
                <w:iCs/>
                <w:color w:val="auto"/>
                <w:sz w:val="20"/>
                <w:szCs w:val="20"/>
                <w:highlight w:val="none"/>
                <w:u w:val="single"/>
                <w:lang w:val="en-US" w:eastAsia="zh-CN" w:bidi="ar"/>
              </w:rPr>
              <w:t xml:space="preserve">8</w:t>
            </w:r>
            <w:r>
              <w:rPr>
                <w:rFonts w:hint="eastAsia" w:ascii="宋体" w:hAnsi="宋体" w:cs="宋体"/>
                <w:i/>
                <w:iCs/>
                <w:color w:val="auto"/>
                <w:sz w:val="20"/>
                <w:szCs w:val="20"/>
                <w:highlight w:val="none"/>
                <w:u w:val="single"/>
                <w:lang w:bidi="ar"/>
              </w:rPr>
              <w:t xml:space="preserve">、投标方在投标文件中须承诺每半个月及时提供上门技术支持（费用自理）服务，技术人员服从采购方的管理；出现2次以上未按服务承诺履行上门服务的，采购方有权终止合同，并追究中标方的违约责任、损失责任。（提供承诺函原件扫描上传）</w:t>
            </w:r>
            <w:r/>
          </w:p>
        </w:tc>
      </w:tr>
      <w:tr>
        <w:trPr>
          <w:jc w:val="center"/>
          <w:trHeight w:val="4232"/>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国产Y STR补充扩增试剂盒</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Times New Roman" w:hAnsi="Times New Roman"/>
                <w:color w:val="auto"/>
                <w:sz w:val="20"/>
                <w:szCs w:val="20"/>
                <w:highlight w:val="none"/>
              </w:rPr>
            </w:pPr>
            <w:r>
              <w:rPr>
                <w:rStyle w:val="1044"/>
                <w:color w:val="auto"/>
                <w:highlight w:val="none"/>
                <w:lang w:bidi="ar"/>
              </w:rPr>
              <w:t xml:space="preserve">100</w:t>
            </w:r>
            <w:r>
              <w:rPr>
                <w:rStyle w:val="1045"/>
                <w:rFonts w:hint="default"/>
                <w:color w:val="auto"/>
                <w:highlight w:val="none"/>
                <w:lang w:bidi="ar"/>
              </w:rPr>
              <w:t xml:space="preserve">人份</w:t>
            </w:r>
            <w:r>
              <w:rPr>
                <w:rStyle w:val="1044"/>
                <w:color w:val="auto"/>
                <w:highlight w:val="none"/>
                <w:lang w:bidi="ar"/>
              </w:rPr>
              <w:t xml:space="preserve">/</w:t>
            </w:r>
            <w:r>
              <w:rPr>
                <w:rStyle w:val="1045"/>
                <w:rFonts w:hint="default"/>
                <w:color w:val="auto"/>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5762"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★1、所投Y补充扩增试剂盒与所投建库STR扩增试剂盒同一生产厂家，单管同时扩增不少</w:t>
            </w:r>
            <w:r>
              <w:rPr>
                <w:rFonts w:hint="eastAsia" w:ascii="宋体" w:hAnsi="宋体" w:cs="宋体"/>
                <w:color w:val="auto"/>
                <w:sz w:val="20"/>
                <w:szCs w:val="20"/>
                <w:highlight w:val="none"/>
                <w:lang w:bidi="ar"/>
              </w:rPr>
              <w:t xml:space="preserve">于30个基因座，包含DYS531、DYS630、DYS622、DYS510、DYS533、DYF404S1a/b、DYS459a/b、DYS446、DYS443、DYS388、DYS587、DYS522、DYS626、DYS460、Y_GATA_A10、DYS520、DYS557、DYS527a/b、DYS481、DYS508、DYS444、DYS552、DYS526a、DYS617、DYS713、DYS526b以及1个Y-indel。（提供经由Genemapper IDX软件分析出的STR分型彩色图谱。）</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2、Y补充扩增试剂盒采用免提取直接扩增技术，可对FTA卡、口腔卡免提直扩。</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3、所投Y补充扩增试剂盒采用六色荧光标记，便于更清晰的分辨基因座位点，所有基因座位点的扩增片段大小不超过500bp。</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4、规格：100人份/盒（25ul体系）；包含扩增所需全部试剂。扩增前试剂（热启动酶、引物对、Reaction Mix、超纯水、对照样本control DNA9947A、control DNA9948）扩增后试剂（内标、等位基因Ladder）。</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5、所投Y补充扩增试剂盒名称已录入国家DNA数据库名录。</w:t>
            </w:r>
            <w:r/>
          </w:p>
        </w:tc>
      </w:tr>
      <w:tr>
        <w:trPr>
          <w:jc w:val="center"/>
          <w:trHeight w:val="3857"/>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国产常染色体补充扩增试剂盒</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Times New Roman" w:hAnsi="Times New Roman"/>
                <w:color w:val="auto"/>
                <w:sz w:val="20"/>
                <w:szCs w:val="20"/>
                <w:highlight w:val="none"/>
              </w:rPr>
            </w:pPr>
            <w:r>
              <w:rPr>
                <w:rStyle w:val="1044"/>
                <w:color w:val="auto"/>
                <w:highlight w:val="none"/>
                <w:lang w:bidi="ar"/>
              </w:rPr>
              <w:t xml:space="preserve">100</w:t>
            </w:r>
            <w:r>
              <w:rPr>
                <w:rStyle w:val="1045"/>
                <w:rFonts w:hint="default"/>
                <w:color w:val="auto"/>
                <w:highlight w:val="none"/>
                <w:lang w:bidi="ar"/>
              </w:rPr>
              <w:t xml:space="preserve">人份</w:t>
            </w:r>
            <w:r>
              <w:rPr>
                <w:rStyle w:val="1044"/>
                <w:color w:val="auto"/>
                <w:highlight w:val="none"/>
                <w:lang w:bidi="ar"/>
              </w:rPr>
              <w:t xml:space="preserve">/</w:t>
            </w:r>
            <w:r>
              <w:rPr>
                <w:rStyle w:val="1045"/>
                <w:rFonts w:hint="default"/>
                <w:color w:val="auto"/>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5762"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★1、所投常染色体补充扩</w:t>
            </w:r>
            <w:r>
              <w:rPr>
                <w:rFonts w:hint="eastAsia" w:ascii="宋体" w:hAnsi="宋体" w:cs="宋体"/>
                <w:color w:val="auto"/>
                <w:sz w:val="20"/>
                <w:szCs w:val="20"/>
                <w:highlight w:val="none"/>
                <w:lang w:bidi="ar"/>
              </w:rPr>
              <w:t xml:space="preserve">增试剂盒与所投建库STR扩增试剂盒同一生产厂家，包含不少于20个STR基因座，所提供的基因座包含：Amelogenin、D6S474、D12ATA63、D22S1045、D10S1248、D1S1677、D11S4463、D1S1627、D3S4529、D6S1017、D4S2408、D17S1301、D1GATA113、D18S853、D20S482、D14S1434、D9S1122、D2S1776、D10S1435和D5S2500。（提供经由Genemapper IDX软件分析出的STR分型彩色图谱。）</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 试剂盒采用免提取直接扩增技术，针对血滤纸、FTA卡、口腔卡免提直扩，扩增时间两小时以内。</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3、规格：100人份/盒（25ul体系）；包含扩增所需全部试剂。扩增前试剂（热启动酶、引物对、Reaction Mix、超纯水、对照样本control DNA9947A、control DNA9948）扩增后试剂（内标、等位基因Ladder）。</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4、所投常染色体补充试剂盒采用五色荧光标记，便于更清晰的分辨基因座位点，所有基因座位点的扩增片段大小不超过500bp。</w:t>
            </w:r>
            <w:r/>
          </w:p>
        </w:tc>
      </w:tr>
    </w:tbl>
    <w:p>
      <w:pPr>
        <w:pStyle w:val="802"/>
        <w:jc w:val="center"/>
        <w:spacing w:line="360" w:lineRule="auto"/>
        <w:rPr>
          <w:rFonts w:hint="eastAsia" w:ascii="宋体" w:hAnsi="宋体"/>
          <w:color w:val="auto"/>
          <w:highlight w:val="none"/>
        </w:rPr>
      </w:pPr>
      <w:r/>
      <w:bookmarkStart w:id="56" w:name="_Toc55204181"/>
      <w:r>
        <w:rPr>
          <w:rFonts w:hint="eastAsia" w:ascii="宋体" w:hAnsi="宋体"/>
          <w:color w:val="auto"/>
          <w:highlight w:val="none"/>
        </w:rPr>
        <w:t xml:space="preserve">第五章 评标方法及评标标准</w:t>
      </w:r>
      <w:bookmarkEnd w:id="56"/>
      <w:r/>
      <w:r/>
    </w:p>
    <w:p>
      <w:pPr>
        <w:pStyle w:val="1023"/>
        <w:ind w:firstLine="422"/>
        <w:rPr>
          <w:rFonts w:hint="eastAsia" w:ascii="宋体" w:hAnsi="宋体"/>
          <w:b/>
          <w:color w:val="auto"/>
          <w:sz w:val="21"/>
          <w:szCs w:val="21"/>
          <w:highlight w:val="none"/>
        </w:rPr>
      </w:pPr>
      <w:r>
        <w:rPr>
          <w:rFonts w:hint="eastAsia" w:ascii="宋体" w:hAnsi="宋体"/>
          <w:b/>
          <w:color w:val="auto"/>
          <w:sz w:val="21"/>
          <w:szCs w:val="21"/>
          <w:highlight w:val="none"/>
        </w:rPr>
        <w:t xml:space="preserve">一、评标方法</w:t>
      </w:r>
      <w:r/>
    </w:p>
    <w:p>
      <w:pPr>
        <w:pStyle w:val="1023"/>
        <w:ind w:firstLine="420"/>
        <w:rPr>
          <w:rFonts w:hint="eastAsia" w:ascii="宋体" w:hAnsi="宋体"/>
          <w:color w:val="auto"/>
          <w:sz w:val="21"/>
          <w:szCs w:val="21"/>
          <w:highlight w:val="none"/>
        </w:rPr>
      </w:pPr>
      <w:r>
        <w:rPr>
          <w:rFonts w:hint="eastAsia" w:ascii="宋体" w:hAnsi="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b/>
          <w:color w:val="auto"/>
          <w:szCs w:val="21"/>
          <w:highlight w:val="none"/>
        </w:rPr>
      </w:pPr>
      <w:r/>
      <w:bookmarkStart w:id="57" w:name="_Toc449016388"/>
      <w:r/>
      <w:bookmarkStart w:id="58" w:name="_Toc449017024"/>
      <w:r>
        <w:rPr>
          <w:rFonts w:ascii="宋体" w:hAnsi="宋体"/>
          <w:b/>
          <w:color w:val="auto"/>
          <w:szCs w:val="21"/>
          <w:highlight w:val="none"/>
        </w:rPr>
        <w:t xml:space="preserve">二、</w:t>
      </w:r>
      <w:r>
        <w:rPr>
          <w:rFonts w:hint="eastAsia" w:ascii="宋体" w:hAnsi="宋体"/>
          <w:b/>
          <w:color w:val="auto"/>
          <w:szCs w:val="21"/>
          <w:highlight w:val="none"/>
        </w:rPr>
        <w:t xml:space="preserve">政府采购政策功能落实</w:t>
      </w:r>
      <w:bookmarkEnd w:id="57"/>
      <w:r/>
      <w:bookmarkEnd w:id="58"/>
      <w:r/>
      <w:r/>
    </w:p>
    <w:p>
      <w:pPr>
        <w:ind w:firstLine="420"/>
        <w:spacing w:line="360" w:lineRule="auto"/>
        <w:rPr>
          <w:rFonts w:hint="eastAsia" w:ascii="宋体" w:hAnsi="宋体"/>
          <w:b/>
          <w:color w:val="auto"/>
          <w:szCs w:val="21"/>
          <w:highlight w:val="none"/>
        </w:rPr>
      </w:pPr>
      <w:r>
        <w:rPr>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023"/>
        <w:ind w:left="315" w:firstLine="105"/>
        <w:rPr>
          <w:rFonts w:hint="eastAsia" w:ascii="宋体" w:hAnsi="宋体"/>
          <w:color w:val="auto"/>
          <w:sz w:val="21"/>
          <w:szCs w:val="21"/>
          <w:highlight w:val="none"/>
        </w:rPr>
      </w:pPr>
      <w:r>
        <w:rPr>
          <w:rFonts w:ascii="宋体" w:hAnsi="宋体"/>
          <w:color w:val="auto"/>
          <w:sz w:val="21"/>
          <w:szCs w:val="21"/>
          <w:highlight w:val="none"/>
        </w:rPr>
        <w:t xml:space="preserve">1、小微型企业价格扣除</w:t>
      </w:r>
      <w:r/>
    </w:p>
    <w:p>
      <w:pPr>
        <w:pStyle w:val="1023"/>
        <w:ind w:firstLine="420"/>
        <w:rPr>
          <w:rFonts w:hint="eastAsia" w:ascii="宋体" w:hAnsi="宋体"/>
          <w:color w:val="auto"/>
          <w:sz w:val="21"/>
          <w:szCs w:val="21"/>
          <w:highlight w:val="none"/>
        </w:rPr>
      </w:pPr>
      <w:r>
        <w:rPr>
          <w:rFonts w:ascii="宋体" w:hAnsi="宋体"/>
          <w:color w:val="auto"/>
          <w:sz w:val="21"/>
          <w:szCs w:val="21"/>
          <w:highlight w:val="none"/>
        </w:rPr>
        <w:t xml:space="preserve">（1）对小型和微型企业产品给予</w:t>
      </w:r>
      <w:r>
        <w:rPr>
          <w:rFonts w:hint="eastAsia" w:ascii="宋体" w:hAnsi="宋体"/>
          <w:color w:val="auto"/>
          <w:sz w:val="21"/>
          <w:szCs w:val="21"/>
          <w:highlight w:val="none"/>
        </w:rPr>
        <w:t xml:space="preserve">20</w:t>
      </w:r>
      <w:r>
        <w:rPr>
          <w:rFonts w:ascii="宋体" w:hAnsi="宋体"/>
          <w:color w:val="auto"/>
          <w:sz w:val="21"/>
          <w:szCs w:val="21"/>
          <w:highlight w:val="none"/>
        </w:rPr>
        <w:t xml:space="preserve">%的扣除价格，用扣除后的价格参与评审。</w:t>
      </w:r>
      <w:r/>
    </w:p>
    <w:p>
      <w:pPr>
        <w:pStyle w:val="1023"/>
        <w:ind w:firstLine="420"/>
        <w:rPr>
          <w:rFonts w:hint="eastAsia" w:ascii="宋体" w:hAnsi="宋体"/>
          <w:color w:val="auto"/>
          <w:sz w:val="21"/>
          <w:szCs w:val="21"/>
          <w:highlight w:val="none"/>
        </w:rPr>
      </w:pPr>
      <w:r>
        <w:rPr>
          <w:rFonts w:ascii="宋体" w:hAnsi="宋体"/>
          <w:color w:val="auto"/>
          <w:sz w:val="21"/>
          <w:szCs w:val="21"/>
          <w:highlight w:val="none"/>
        </w:rPr>
        <w:t xml:space="preserve">（2）供应商需按照采购文件的要求提供相应的《企业声明函》。</w:t>
      </w:r>
      <w:r/>
    </w:p>
    <w:p>
      <w:pPr>
        <w:pStyle w:val="1023"/>
        <w:ind w:left="420" w:firstLine="0"/>
        <w:rPr>
          <w:rFonts w:hint="eastAsia" w:ascii="宋体" w:hAnsi="宋体"/>
          <w:color w:val="auto"/>
          <w:sz w:val="21"/>
          <w:szCs w:val="21"/>
          <w:highlight w:val="none"/>
        </w:rPr>
      </w:pPr>
      <w:r>
        <w:rPr>
          <w:rFonts w:ascii="宋体" w:hAnsi="宋体"/>
          <w:color w:val="auto"/>
          <w:sz w:val="21"/>
          <w:szCs w:val="21"/>
          <w:highlight w:val="none"/>
        </w:rPr>
        <w:t xml:space="preserve">2、残疾人福利单位价格扣除</w:t>
      </w:r>
      <w:r/>
    </w:p>
    <w:p>
      <w:pPr>
        <w:pStyle w:val="1023"/>
        <w:ind w:left="315" w:firstLine="105"/>
        <w:rPr>
          <w:rFonts w:hint="eastAsia" w:ascii="宋体" w:hAnsi="宋体"/>
          <w:color w:val="auto"/>
          <w:sz w:val="21"/>
          <w:szCs w:val="21"/>
          <w:highlight w:val="none"/>
        </w:rPr>
      </w:pPr>
      <w:r>
        <w:rPr>
          <w:rFonts w:ascii="宋体" w:hAnsi="宋体"/>
          <w:color w:val="auto"/>
          <w:sz w:val="21"/>
          <w:szCs w:val="21"/>
          <w:highlight w:val="none"/>
        </w:rPr>
        <w:t xml:space="preserve">（1）对残疾人福利性单位视同小型、微型企业，给予</w:t>
      </w:r>
      <w:r>
        <w:rPr>
          <w:rFonts w:hint="eastAsia" w:ascii="宋体" w:hAnsi="宋体"/>
          <w:color w:val="auto"/>
          <w:sz w:val="21"/>
          <w:szCs w:val="21"/>
          <w:highlight w:val="none"/>
        </w:rPr>
        <w:t xml:space="preserve">20</w:t>
      </w:r>
      <w:r>
        <w:rPr>
          <w:rFonts w:ascii="宋体" w:hAnsi="宋体"/>
          <w:color w:val="auto"/>
          <w:sz w:val="21"/>
          <w:szCs w:val="21"/>
          <w:highlight w:val="none"/>
        </w:rPr>
        <w:t xml:space="preserve">%的价格扣除，用扣除后的价格参与评审。</w:t>
      </w:r>
      <w:r/>
    </w:p>
    <w:p>
      <w:pPr>
        <w:pStyle w:val="1023"/>
        <w:ind w:left="420" w:firstLine="0"/>
        <w:rPr>
          <w:rFonts w:hint="eastAsia" w:ascii="宋体" w:hAnsi="宋体"/>
          <w:color w:val="auto"/>
          <w:sz w:val="21"/>
          <w:szCs w:val="21"/>
          <w:highlight w:val="none"/>
        </w:rPr>
      </w:pPr>
      <w:r>
        <w:rPr>
          <w:rFonts w:ascii="宋体" w:hAnsi="宋体"/>
          <w:color w:val="auto"/>
          <w:sz w:val="21"/>
          <w:szCs w:val="21"/>
          <w:highlight w:val="none"/>
        </w:rPr>
        <w:t xml:space="preserve">（2）残疾人福利单位需按照采购文件的要求提供《残疾人福利性单位声明函》。</w:t>
      </w:r>
      <w:r/>
    </w:p>
    <w:p>
      <w:pPr>
        <w:pStyle w:val="1023"/>
        <w:ind w:left="420" w:firstLine="0"/>
        <w:rPr>
          <w:rFonts w:hint="eastAsia" w:ascii="宋体" w:hAnsi="宋体"/>
          <w:color w:val="auto"/>
          <w:sz w:val="21"/>
          <w:szCs w:val="21"/>
          <w:highlight w:val="none"/>
        </w:rPr>
      </w:pPr>
      <w:r>
        <w:rPr>
          <w:rFonts w:ascii="宋体" w:hAnsi="宋体"/>
          <w:color w:val="auto"/>
          <w:sz w:val="21"/>
          <w:szCs w:val="21"/>
          <w:highlight w:val="none"/>
        </w:rPr>
        <w:t xml:space="preserve">（3）残疾人福利单位标准请参照《关于促进残疾人就业政府采购政策的通知》（财库</w:t>
      </w:r>
      <w:r/>
    </w:p>
    <w:p>
      <w:pPr>
        <w:pStyle w:val="1023"/>
        <w:ind w:left="420" w:hanging="420"/>
        <w:rPr>
          <w:rFonts w:hint="eastAsia" w:ascii="宋体" w:hAnsi="宋体"/>
          <w:color w:val="auto"/>
          <w:sz w:val="21"/>
          <w:szCs w:val="21"/>
          <w:highlight w:val="none"/>
        </w:rPr>
      </w:pPr>
      <w:r>
        <w:rPr>
          <w:rFonts w:ascii="宋体" w:hAnsi="宋体"/>
          <w:color w:val="auto"/>
          <w:sz w:val="21"/>
          <w:szCs w:val="21"/>
          <w:highlight w:val="none"/>
        </w:rPr>
        <w:t xml:space="preserve">〔2017〕141号）。</w:t>
      </w:r>
      <w:r/>
    </w:p>
    <w:p>
      <w:pPr>
        <w:pStyle w:val="1023"/>
        <w:ind w:left="420" w:firstLine="0"/>
        <w:rPr>
          <w:rFonts w:hint="eastAsia" w:ascii="宋体" w:hAnsi="宋体"/>
          <w:color w:val="auto"/>
          <w:sz w:val="21"/>
          <w:szCs w:val="21"/>
          <w:highlight w:val="none"/>
        </w:rPr>
      </w:pPr>
      <w:r>
        <w:rPr>
          <w:rFonts w:ascii="宋体" w:hAnsi="宋体"/>
          <w:color w:val="auto"/>
          <w:sz w:val="21"/>
          <w:szCs w:val="21"/>
          <w:highlight w:val="none"/>
        </w:rPr>
        <w:t xml:space="preserve">3、监狱和戒毒企业价格扣除</w:t>
      </w:r>
      <w:r/>
    </w:p>
    <w:p>
      <w:pPr>
        <w:pStyle w:val="1023"/>
        <w:ind w:left="420" w:firstLine="0"/>
        <w:rPr>
          <w:rFonts w:hint="eastAsia" w:ascii="宋体" w:hAnsi="宋体"/>
          <w:color w:val="auto"/>
          <w:sz w:val="21"/>
          <w:szCs w:val="21"/>
          <w:highlight w:val="none"/>
        </w:rPr>
      </w:pPr>
      <w:r>
        <w:rPr>
          <w:rFonts w:ascii="宋体" w:hAnsi="宋体"/>
          <w:color w:val="auto"/>
          <w:sz w:val="21"/>
          <w:szCs w:val="21"/>
          <w:highlight w:val="none"/>
        </w:rPr>
        <w:t xml:space="preserve">（1）对监狱和戒毒企业（简称监狱企业）视同小型、微型企业，给予</w:t>
      </w:r>
      <w:r>
        <w:rPr>
          <w:rFonts w:hint="eastAsia" w:ascii="宋体" w:hAnsi="宋体"/>
          <w:color w:val="auto"/>
          <w:sz w:val="21"/>
          <w:szCs w:val="21"/>
          <w:highlight w:val="none"/>
        </w:rPr>
        <w:t xml:space="preserve">20</w:t>
      </w:r>
      <w:r>
        <w:rPr>
          <w:rFonts w:ascii="宋体" w:hAnsi="宋体"/>
          <w:color w:val="auto"/>
          <w:sz w:val="21"/>
          <w:szCs w:val="21"/>
          <w:highlight w:val="none"/>
        </w:rPr>
        <w:t xml:space="preserve">%的价格扣除，用扣除后的价格参与评审。</w:t>
      </w:r>
      <w:r/>
    </w:p>
    <w:p>
      <w:pPr>
        <w:pStyle w:val="1023"/>
        <w:ind w:left="420" w:firstLine="0"/>
        <w:rPr>
          <w:rFonts w:hint="eastAsia" w:ascii="宋体" w:hAnsi="宋体"/>
          <w:color w:val="auto"/>
          <w:sz w:val="21"/>
          <w:szCs w:val="21"/>
          <w:highlight w:val="none"/>
        </w:rPr>
      </w:pPr>
      <w:r>
        <w:rPr>
          <w:rFonts w:ascii="宋体" w:hAnsi="宋体"/>
          <w:color w:val="auto"/>
          <w:sz w:val="21"/>
          <w:szCs w:val="21"/>
          <w:highlight w:val="none"/>
        </w:rPr>
        <w:t xml:space="preserve">（2）监狱企业参加政府采购活动时，需提供由省级以上监狱管理局、戒毒管理局(含</w:t>
      </w:r>
      <w:r/>
    </w:p>
    <w:p>
      <w:pPr>
        <w:pStyle w:val="1023"/>
        <w:ind w:firstLine="0"/>
        <w:rPr>
          <w:rFonts w:hint="eastAsia" w:ascii="宋体" w:hAnsi="宋体"/>
          <w:color w:val="auto"/>
          <w:sz w:val="21"/>
          <w:szCs w:val="21"/>
          <w:highlight w:val="none"/>
        </w:rPr>
      </w:pPr>
      <w:r>
        <w:rPr>
          <w:rFonts w:ascii="宋体" w:hAnsi="宋体"/>
          <w:color w:val="auto"/>
          <w:sz w:val="21"/>
          <w:szCs w:val="21"/>
          <w:highlight w:val="none"/>
        </w:rPr>
        <w:t xml:space="preserve">新疆生产建设兵团)出具的属于监狱企业的证明文件。供应商如不提供上述证明文件，价格将不做相应扣除。</w:t>
      </w:r>
      <w:r/>
    </w:p>
    <w:p>
      <w:pPr>
        <w:pStyle w:val="1023"/>
        <w:rPr>
          <w:rFonts w:hint="eastAsia" w:ascii="宋体" w:hAnsi="宋体"/>
          <w:color w:val="auto"/>
          <w:sz w:val="21"/>
          <w:szCs w:val="21"/>
          <w:highlight w:val="none"/>
        </w:rPr>
      </w:pPr>
      <w:r>
        <w:rPr>
          <w:rFonts w:ascii="宋体" w:hAnsi="宋体"/>
          <w:color w:val="auto"/>
          <w:sz w:val="21"/>
          <w:szCs w:val="21"/>
          <w:highlight w:val="none"/>
        </w:rPr>
        <w:t xml:space="preserve">（3）监狱企业标准请参照《关于政府采购支持监狱企业发展有关问题的通知》（财库[2014]68号）。</w:t>
      </w:r>
      <w:r/>
    </w:p>
    <w:p>
      <w:pPr>
        <w:pStyle w:val="1023"/>
        <w:ind w:firstLine="420"/>
        <w:rPr>
          <w:rFonts w:hint="eastAsia" w:ascii="宋体" w:hAnsi="宋体"/>
          <w:color w:val="auto"/>
          <w:sz w:val="21"/>
          <w:szCs w:val="21"/>
          <w:highlight w:val="none"/>
        </w:rPr>
      </w:pPr>
      <w:r>
        <w:rPr>
          <w:rFonts w:ascii="宋体" w:hAnsi="宋体"/>
          <w:color w:val="auto"/>
          <w:sz w:val="21"/>
          <w:szCs w:val="21"/>
          <w:highlight w:val="none"/>
        </w:rPr>
        <w:t xml:space="preserve">4、残疾人福利单位、监狱企业属于小型、微型企业的，不重复享受政策。</w:t>
      </w:r>
      <w:r/>
    </w:p>
    <w:p>
      <w:pPr>
        <w:pStyle w:val="1023"/>
        <w:ind w:left="420" w:firstLine="0"/>
        <w:rPr>
          <w:rFonts w:hint="eastAsia" w:ascii="宋体" w:hAnsi="宋体"/>
          <w:color w:val="auto"/>
          <w:sz w:val="21"/>
          <w:szCs w:val="21"/>
          <w:highlight w:val="none"/>
        </w:rPr>
      </w:pPr>
      <w:r>
        <w:rPr>
          <w:rFonts w:ascii="宋体" w:hAnsi="宋体"/>
          <w:color w:val="auto"/>
          <w:sz w:val="21"/>
          <w:szCs w:val="21"/>
          <w:highlight w:val="none"/>
        </w:rPr>
        <w:t xml:space="preserve">5、大中型企业和其他自然人、法人或者其他组织并与小型、微型企业（残疾人福利单</w:t>
      </w:r>
      <w:r/>
    </w:p>
    <w:p>
      <w:pPr>
        <w:pStyle w:val="1023"/>
        <w:ind w:firstLine="0"/>
        <w:rPr>
          <w:rFonts w:hint="eastAsia" w:ascii="宋体" w:hAnsi="宋体"/>
          <w:color w:val="auto"/>
          <w:sz w:val="21"/>
          <w:szCs w:val="21"/>
          <w:highlight w:val="none"/>
        </w:rPr>
      </w:pPr>
      <w:r>
        <w:rPr>
          <w:rFonts w:ascii="宋体" w:hAnsi="宋体"/>
          <w:color w:val="auto"/>
          <w:sz w:val="21"/>
          <w:szCs w:val="21"/>
          <w:highlight w:val="none"/>
        </w:rPr>
        <w:t xml:space="preserve">位、监狱企业）组成联合体共同参加政府采购活动。联合协议中约定，小型、微型企业（残疾人福利单位、监狱企业）的协议合同金额占到联合体协议合同总金额30%以上的，给予联合体</w:t>
      </w:r>
      <w:r>
        <w:rPr>
          <w:rFonts w:hint="eastAsia" w:ascii="宋体" w:hAnsi="宋体"/>
          <w:color w:val="auto"/>
          <w:sz w:val="21"/>
          <w:szCs w:val="21"/>
          <w:highlight w:val="none"/>
        </w:rPr>
        <w:t xml:space="preserve">6</w:t>
      </w:r>
      <w:r>
        <w:rPr>
          <w:rFonts w:ascii="宋体" w:hAnsi="宋体"/>
          <w:color w:val="auto"/>
          <w:sz w:val="21"/>
          <w:szCs w:val="21"/>
          <w:highlight w:val="none"/>
        </w:rPr>
        <w:t xml:space="preserve">%的价格扣除，用扣除后的价格参与评审。</w:t>
      </w:r>
      <w:r/>
    </w:p>
    <w:p>
      <w:pPr>
        <w:pStyle w:val="1023"/>
        <w:ind w:left="420" w:firstLine="0"/>
        <w:rPr>
          <w:rFonts w:hint="eastAsia" w:ascii="宋体" w:hAnsi="宋体"/>
          <w:color w:val="auto"/>
          <w:sz w:val="21"/>
          <w:szCs w:val="21"/>
          <w:highlight w:val="none"/>
        </w:rPr>
      </w:pPr>
      <w:r>
        <w:rPr>
          <w:rFonts w:ascii="宋体" w:hAnsi="宋体"/>
          <w:color w:val="auto"/>
          <w:sz w:val="21"/>
          <w:szCs w:val="21"/>
          <w:highlight w:val="none"/>
        </w:rPr>
        <w:t xml:space="preserve">6、联合体各方均为小型、微型企业（残疾人福利单位、监狱企业）的，联合体享受</w:t>
      </w:r>
      <w:r/>
    </w:p>
    <w:p>
      <w:pPr>
        <w:pStyle w:val="1023"/>
        <w:ind w:firstLine="0"/>
        <w:rPr>
          <w:rFonts w:hint="eastAsia" w:ascii="宋体" w:hAnsi="宋体"/>
          <w:color w:val="auto"/>
          <w:sz w:val="21"/>
          <w:szCs w:val="21"/>
          <w:highlight w:val="none"/>
        </w:rPr>
      </w:pPr>
      <w:r>
        <w:rPr>
          <w:rFonts w:hint="eastAsia" w:ascii="宋体" w:hAnsi="宋体"/>
          <w:color w:val="auto"/>
          <w:sz w:val="21"/>
          <w:szCs w:val="21"/>
          <w:highlight w:val="none"/>
        </w:rPr>
        <w:t xml:space="preserve">20</w:t>
      </w:r>
      <w:r>
        <w:rPr>
          <w:rFonts w:ascii="宋体" w:hAnsi="宋体"/>
          <w:color w:val="auto"/>
          <w:sz w:val="21"/>
          <w:szCs w:val="21"/>
          <w:highlight w:val="none"/>
        </w:rPr>
        <w:t xml:space="preserve">%价格扣除，用扣除后的价格参与评审。</w:t>
      </w:r>
      <w:r/>
    </w:p>
    <w:p>
      <w:pPr>
        <w:pStyle w:val="1023"/>
        <w:numPr>
          <w:ilvl w:val="0"/>
          <w:numId w:val="6"/>
        </w:numPr>
        <w:ind w:firstLine="420"/>
        <w:rPr>
          <w:rFonts w:hint="eastAsia" w:ascii="宋体" w:hAnsi="宋体"/>
          <w:color w:val="auto"/>
          <w:sz w:val="21"/>
          <w:szCs w:val="21"/>
          <w:highlight w:val="none"/>
        </w:rPr>
      </w:pPr>
      <w:r>
        <w:rPr>
          <w:rFonts w:hint="eastAsia" w:ascii="宋体" w:hAnsi="宋体"/>
          <w:color w:val="auto"/>
          <w:sz w:val="21"/>
          <w:szCs w:val="21"/>
          <w:highlight w:val="none"/>
        </w:rPr>
        <w:t xml:space="preserve">大中型企业向小型、微型企业分包的，分包意向协议约定小型、微型企业合同份额占到合同总金额30%以上的，给予6%的价格扣除，用扣除后的价格参与评审。</w:t>
      </w:r>
      <w:r/>
    </w:p>
    <w:p>
      <w:pPr>
        <w:pStyle w:val="1023"/>
        <w:numPr>
          <w:ilvl w:val="0"/>
          <w:numId w:val="6"/>
        </w:numPr>
        <w:ind w:firstLine="420"/>
      </w:pPr>
      <w:r>
        <w:rPr>
          <w:rFonts w:hint="eastAsia" w:ascii="宋体" w:hAnsi="宋体"/>
          <w:color w:val="auto"/>
          <w:sz w:val="21"/>
          <w:szCs w:val="21"/>
          <w:highlight w:val="none"/>
        </w:rPr>
        <w:t xml:space="preserve">对本国产品的支持政策</w:t>
      </w:r>
      <w:r>
        <w:rPr>
          <w:rFonts w:hint="eastAsia" w:ascii="宋体" w:hAnsi="宋体"/>
          <w:color w:val="auto"/>
          <w:sz w:val="21"/>
          <w:szCs w:val="21"/>
          <w:highlight w:val="none"/>
        </w:rPr>
      </w:r>
      <w:r/>
    </w:p>
    <w:p>
      <w:pPr>
        <w:pStyle w:val="1023"/>
        <w:ind w:left="0" w:firstLine="0"/>
      </w:pPr>
      <w:r>
        <w:rPr>
          <w:rFonts w:hint="eastAsia" w:ascii="宋体" w:hAnsi="宋体"/>
          <w:color w:val="auto"/>
          <w:sz w:val="21"/>
          <w:szCs w:val="21"/>
          <w:highlight w:val="none"/>
        </w:rPr>
        <w:t xml:space="preserve">    政府采购活动中既有本国产品又有非本国产品参与竞争的，依法对本国产品给予价格评审优惠，对本国产品的报价给予20%的价格扣除，用扣除后的价格参与评审。</w:t>
      </w:r>
      <w:r>
        <w:rPr>
          <w:rFonts w:hint="eastAsia" w:ascii="宋体" w:hAnsi="宋体"/>
          <w:color w:val="auto"/>
          <w:sz w:val="21"/>
          <w:szCs w:val="21"/>
          <w:highlight w:val="none"/>
        </w:rPr>
      </w:r>
      <w:r/>
    </w:p>
    <w:p>
      <w:pPr>
        <w:pStyle w:val="1023"/>
        <w:ind w:firstLine="0"/>
        <w:rPr>
          <w:rFonts w:hint="eastAsia" w:ascii="宋体" w:hAnsi="宋体"/>
          <w:color w:val="auto"/>
          <w:sz w:val="21"/>
          <w:szCs w:val="21"/>
          <w:highlight w:val="none"/>
        </w:rPr>
      </w:pPr>
      <w:r>
        <w:rPr>
          <w:rFonts w:hint="eastAsia" w:ascii="宋体" w:hAnsi="宋体"/>
          <w:color w:val="auto"/>
          <w:sz w:val="21"/>
          <w:szCs w:val="21"/>
          <w:highlight w:val="none"/>
        </w:rPr>
        <w:t xml:space="preserve">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olor w:val="auto"/>
          <w:sz w:val="21"/>
          <w:szCs w:val="21"/>
          <w:highlight w:val="none"/>
        </w:rPr>
      </w:r>
      <w:r/>
    </w:p>
    <w:p>
      <w:pPr>
        <w:pStyle w:val="1023"/>
        <w:ind w:firstLine="422"/>
        <w:rPr>
          <w:rFonts w:hint="eastAsia" w:ascii="宋体" w:hAnsi="宋体"/>
          <w:b/>
          <w:color w:val="auto"/>
          <w:sz w:val="21"/>
          <w:szCs w:val="21"/>
          <w:highlight w:val="none"/>
        </w:rPr>
      </w:pPr>
      <w:r>
        <w:rPr>
          <w:rFonts w:hint="eastAsia" w:ascii="宋体" w:hAnsi="宋体"/>
          <w:b/>
          <w:color w:val="auto"/>
          <w:sz w:val="21"/>
          <w:szCs w:val="21"/>
          <w:highlight w:val="none"/>
        </w:rPr>
        <w:t xml:space="preserve">三、评标标准</w:t>
      </w:r>
      <w:r/>
    </w:p>
    <w:p>
      <w:pPr>
        <w:rPr>
          <w:rFonts w:hint="eastAsia" w:ascii="宋体" w:hAnsi="宋体"/>
          <w:color w:val="auto"/>
          <w:szCs w:val="21"/>
          <w:highlight w:val="none"/>
        </w:rPr>
      </w:pPr>
      <w:r>
        <w:rPr>
          <w:rFonts w:hint="eastAsia" w:ascii="宋体" w:hAnsi="宋体"/>
          <w:color w:val="auto"/>
          <w:szCs w:val="21"/>
          <w:highlight w:val="none"/>
        </w:rPr>
        <w:t xml:space="preserve">采购包1：</w:t>
      </w:r>
      <w:r/>
    </w:p>
    <w:tbl>
      <w:tblPr>
        <w:tblStyle w:val="812"/>
        <w:tblW w:w="9270" w:type="dxa"/>
        <w:tblInd w:w="1" w:type="dxa"/>
        <w:tblLayout w:type="fixed"/>
        <w:tblCellMar>
          <w:left w:w="108" w:type="dxa"/>
          <w:top w:w="0" w:type="dxa"/>
          <w:right w:w="108" w:type="dxa"/>
          <w:bottom w:w="0" w:type="dxa"/>
        </w:tblCellMar>
        <w:tblLook w:val="04A0" w:firstRow="1" w:lastRow="0" w:firstColumn="1" w:lastColumn="0" w:noHBand="0" w:noVBand="1"/>
      </w:tblPr>
      <w:tblGrid>
        <w:gridCol w:w="750"/>
        <w:gridCol w:w="1065"/>
        <w:gridCol w:w="660"/>
        <w:gridCol w:w="6795"/>
      </w:tblGrid>
      <w:tr>
        <w:trPr>
          <w:trHeight w:val="485"/>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ascii="Times New Roman" w:hAnsi="Times New Roman"/>
                <w:b/>
                <w:bCs/>
                <w:color w:val="auto"/>
                <w:highlight w:val="none"/>
              </w:rPr>
            </w:pPr>
            <w:r>
              <w:rPr>
                <w:rFonts w:hint="eastAsia" w:ascii="Times New Roman" w:hAnsi="Times New Roman"/>
                <w:b/>
                <w:bCs/>
                <w:color w:val="auto"/>
                <w:highlight w:val="none"/>
              </w:rPr>
              <w:t xml:space="preserve">序号</w:t>
            </w:r>
            <w:r/>
          </w:p>
        </w:tc>
        <w:tc>
          <w:tcPr>
            <w:tcBorders>
              <w:top w:val="single" w:color="auto" w:sz="4" w:space="0"/>
              <w:left w:val="none" w:color="000000" w:sz="4" w:space="0"/>
              <w:bottom w:val="single" w:color="auto" w:sz="4" w:space="0"/>
              <w:right w:val="single" w:color="auto" w:sz="4" w:space="0"/>
            </w:tcBorders>
            <w:tcW w:w="1065" w:type="dxa"/>
            <w:vAlign w:val="center"/>
            <w:textDirection w:val="lrTb"/>
            <w:noWrap w:val="false"/>
          </w:tcPr>
          <w:p>
            <w:pPr>
              <w:jc w:val="center"/>
              <w:widowControl/>
              <w:rPr>
                <w:rFonts w:ascii="Times New Roman" w:hAnsi="Times New Roman"/>
                <w:b/>
                <w:bCs/>
                <w:color w:val="auto"/>
                <w:highlight w:val="none"/>
              </w:rPr>
            </w:pPr>
            <w:r>
              <w:rPr>
                <w:rFonts w:hint="eastAsia" w:ascii="Times New Roman" w:hAnsi="Times New Roman"/>
                <w:b/>
                <w:bCs/>
                <w:color w:val="auto"/>
                <w:highlight w:val="none"/>
              </w:rPr>
              <w:t xml:space="preserve">评分要素</w:t>
            </w:r>
            <w:r/>
          </w:p>
        </w:tc>
        <w:tc>
          <w:tcPr>
            <w:tcBorders>
              <w:top w:val="single" w:color="auto"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Times New Roman" w:hAnsi="Times New Roman"/>
                <w:b/>
                <w:bCs/>
                <w:color w:val="auto"/>
                <w:highlight w:val="none"/>
              </w:rPr>
            </w:pPr>
            <w:r>
              <w:rPr>
                <w:rFonts w:hint="eastAsia" w:ascii="Times New Roman" w:hAnsi="Times New Roman"/>
                <w:b/>
                <w:bCs/>
                <w:color w:val="auto"/>
                <w:highlight w:val="none"/>
              </w:rPr>
              <w:t xml:space="preserve">满分</w:t>
            </w:r>
            <w:r/>
          </w:p>
        </w:tc>
        <w:tc>
          <w:tcPr>
            <w:tcBorders>
              <w:top w:val="single" w:color="auto" w:sz="4" w:space="0"/>
              <w:left w:val="none" w:color="000000" w:sz="4" w:space="0"/>
              <w:bottom w:val="single" w:color="auto" w:sz="4" w:space="0"/>
              <w:right w:val="single" w:color="auto" w:sz="4" w:space="0"/>
            </w:tcBorders>
            <w:tcW w:w="6795" w:type="dxa"/>
            <w:vAlign w:val="center"/>
            <w:textDirection w:val="lrTb"/>
            <w:noWrap w:val="false"/>
          </w:tcPr>
          <w:p>
            <w:pPr>
              <w:jc w:val="center"/>
              <w:widowControl/>
              <w:rPr>
                <w:rFonts w:ascii="Times New Roman" w:hAnsi="Times New Roman"/>
                <w:b/>
                <w:bCs/>
                <w:color w:val="auto"/>
                <w:highlight w:val="none"/>
              </w:rPr>
            </w:pPr>
            <w:r>
              <w:rPr>
                <w:rFonts w:hint="eastAsia" w:ascii="Times New Roman" w:hAnsi="Times New Roman"/>
                <w:b/>
                <w:bCs/>
                <w:color w:val="auto"/>
                <w:highlight w:val="none"/>
              </w:rPr>
              <w:t xml:space="preserve">评  分  标  准</w:t>
            </w:r>
            <w:r/>
          </w:p>
        </w:tc>
      </w:tr>
      <w:tr>
        <w:trPr>
          <w:trHeight w:val="349"/>
        </w:trPr>
        <w:tc>
          <w:tcPr>
            <w:tcBorders>
              <w:top w:val="none" w:color="000000" w:sz="4" w:space="0"/>
              <w:left w:val="single" w:color="auto" w:sz="4" w:space="0"/>
              <w:bottom w:val="none" w:color="000000" w:sz="4" w:space="0"/>
              <w:right w:val="single" w:color="auto" w:sz="4" w:space="0"/>
            </w:tcBorders>
            <w:tcW w:w="750" w:type="dxa"/>
            <w:vAlign w:val="center"/>
            <w:vMerge w:val="restart"/>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1</w:t>
            </w:r>
            <w:r/>
          </w:p>
        </w:tc>
        <w:tc>
          <w:tcPr>
            <w:tcBorders>
              <w:top w:val="none" w:color="000000" w:sz="4" w:space="0"/>
              <w:left w:val="single" w:color="auto" w:sz="4" w:space="0"/>
              <w:bottom w:val="none" w:color="000000" w:sz="4" w:space="0"/>
              <w:right w:val="single" w:color="auto" w:sz="4" w:space="0"/>
            </w:tcBorders>
            <w:tcW w:w="1065" w:type="dxa"/>
            <w:vAlign w:val="center"/>
            <w:vMerge w:val="restart"/>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价 格</w:t>
            </w:r>
            <w:r/>
          </w:p>
        </w:tc>
        <w:tc>
          <w:tcPr>
            <w:tcBorders>
              <w:top w:val="none" w:color="000000" w:sz="4" w:space="0"/>
              <w:left w:val="single" w:color="auto" w:sz="4" w:space="0"/>
              <w:bottom w:val="none" w:color="000000" w:sz="4" w:space="0"/>
              <w:right w:val="single" w:color="auto" w:sz="4" w:space="0"/>
            </w:tcBorders>
            <w:tcW w:w="660" w:type="dxa"/>
            <w:vAlign w:val="center"/>
            <w:vMerge w:val="restart"/>
            <w:textDirection w:val="lrTb"/>
            <w:noWrap w:val="false"/>
          </w:tcPr>
          <w:p>
            <w:pPr>
              <w:jc w:val="center"/>
              <w:widowControl/>
              <w:rPr>
                <w:rFonts w:hint="eastAsia" w:ascii="宋体" w:hAnsi="宋体" w:cs="宋体"/>
                <w:color w:val="auto"/>
                <w:highlight w:val="none"/>
              </w:rPr>
            </w:pPr>
            <w:r>
              <w:rPr>
                <w:rFonts w:ascii="宋体" w:hAnsi="宋体" w:cs="宋体"/>
                <w:color w:val="auto"/>
                <w:highlight w:val="none"/>
              </w:rPr>
              <w:t xml:space="preserve">30</w:t>
            </w:r>
            <w:r/>
          </w:p>
        </w:tc>
        <w:tc>
          <w:tcPr>
            <w:tcBorders>
              <w:top w:val="single" w:color="auto" w:sz="4" w:space="0"/>
              <w:left w:val="single" w:color="auto" w:sz="4" w:space="0"/>
              <w:bottom w:val="single" w:color="000000" w:sz="4" w:space="0"/>
              <w:right w:val="single" w:color="000000" w:sz="4" w:space="0"/>
            </w:tcBorders>
            <w:tcW w:w="6795" w:type="dxa"/>
            <w:vAlign w:val="center"/>
            <w:vMerge w:val="restart"/>
            <w:textDirection w:val="lrTb"/>
            <w:noWrap w:val="false"/>
          </w:tcPr>
          <w:p>
            <w:pPr>
              <w:spacing w:line="0" w:lineRule="atLeast"/>
              <w:widowControl/>
              <w:rPr>
                <w:rFonts w:hint="eastAsia" w:ascii="宋体" w:hAnsi="宋体" w:cs="宋体"/>
                <w:bCs/>
                <w:color w:val="auto"/>
                <w:highlight w:val="none"/>
              </w:rPr>
            </w:pPr>
            <w:r>
              <w:rPr>
                <w:rFonts w:hint="eastAsia" w:ascii="宋体" w:hAnsi="宋体"/>
                <w:color w:val="auto"/>
                <w:highlight w:val="none"/>
              </w:rPr>
              <w:t xml:space="preserve">以</w:t>
            </w:r>
            <w:r>
              <w:rPr>
                <w:rFonts w:ascii="宋体" w:hAnsi="宋体"/>
                <w:color w:val="auto"/>
                <w:highlight w:val="none"/>
              </w:rPr>
              <w:t xml:space="preserve">满足</w:t>
            </w:r>
            <w:r>
              <w:rPr>
                <w:rFonts w:hint="eastAsia" w:ascii="宋体" w:hAnsi="宋体"/>
                <w:color w:val="auto"/>
                <w:highlight w:val="none"/>
              </w:rPr>
              <w:t xml:space="preserve">招标</w:t>
            </w:r>
            <w:r>
              <w:rPr>
                <w:rFonts w:ascii="宋体" w:hAnsi="宋体"/>
                <w:color w:val="auto"/>
                <w:highlight w:val="none"/>
              </w:rPr>
              <w:t xml:space="preserve">文件要求</w:t>
            </w:r>
            <w:r>
              <w:rPr>
                <w:rFonts w:hint="eastAsia" w:ascii="宋体" w:hAnsi="宋体"/>
                <w:color w:val="auto"/>
                <w:highlight w:val="none"/>
              </w:rPr>
              <w:t xml:space="preserve">的</w:t>
            </w:r>
            <w:r>
              <w:rPr>
                <w:rFonts w:ascii="宋体" w:hAnsi="宋体"/>
                <w:color w:val="auto"/>
                <w:highlight w:val="none"/>
              </w:rPr>
              <w:t xml:space="preserve">最低报价为评</w:t>
            </w:r>
            <w:r>
              <w:rPr>
                <w:rFonts w:hint="eastAsia" w:ascii="宋体" w:hAnsi="宋体"/>
                <w:color w:val="auto"/>
                <w:highlight w:val="none"/>
              </w:rPr>
              <w:t xml:space="preserve">标</w:t>
            </w:r>
            <w:r>
              <w:rPr>
                <w:rFonts w:ascii="宋体" w:hAnsi="宋体"/>
                <w:color w:val="auto"/>
                <w:highlight w:val="none"/>
              </w:rPr>
              <w:t xml:space="preserve">基准价，</w:t>
            </w:r>
            <w:r>
              <w:rPr>
                <w:rFonts w:hint="eastAsia" w:ascii="宋体" w:hAnsi="宋体"/>
                <w:color w:val="auto"/>
                <w:highlight w:val="none"/>
              </w:rPr>
              <w:t xml:space="preserve">得满分3</w:t>
            </w:r>
            <w:r>
              <w:rPr>
                <w:rFonts w:ascii="宋体" w:hAnsi="宋体"/>
                <w:color w:val="auto"/>
                <w:highlight w:val="none"/>
              </w:rPr>
              <w:t xml:space="preserve">0分</w:t>
            </w:r>
            <w:r>
              <w:rPr>
                <w:rFonts w:hint="eastAsia" w:ascii="宋体" w:hAnsi="宋体"/>
                <w:color w:val="auto"/>
                <w:highlight w:val="none"/>
              </w:rPr>
              <w:t xml:space="preserve">，</w:t>
            </w:r>
            <w:r>
              <w:rPr>
                <w:rFonts w:ascii="宋体" w:hAnsi="宋体"/>
                <w:color w:val="auto"/>
                <w:highlight w:val="none"/>
              </w:rPr>
              <w:t xml:space="preserve">其他报价得分=(评</w:t>
            </w:r>
            <w:r>
              <w:rPr>
                <w:rFonts w:hint="eastAsia" w:ascii="宋体" w:hAnsi="宋体"/>
                <w:color w:val="auto"/>
                <w:highlight w:val="none"/>
              </w:rPr>
              <w:t xml:space="preserve">标</w:t>
            </w:r>
            <w:r>
              <w:rPr>
                <w:rFonts w:ascii="宋体" w:hAnsi="宋体"/>
                <w:color w:val="auto"/>
                <w:highlight w:val="none"/>
              </w:rPr>
              <w:t xml:space="preserve">基准价／</w:t>
            </w:r>
            <w:r>
              <w:rPr>
                <w:rFonts w:hint="eastAsia" w:ascii="宋体" w:hAnsi="宋体"/>
                <w:color w:val="auto"/>
                <w:highlight w:val="none"/>
              </w:rPr>
              <w:t xml:space="preserve">其他投标</w:t>
            </w:r>
            <w:r>
              <w:rPr>
                <w:rFonts w:ascii="宋体" w:hAnsi="宋体"/>
                <w:color w:val="auto"/>
                <w:highlight w:val="none"/>
              </w:rPr>
              <w:t xml:space="preserve">报价)×</w:t>
            </w:r>
            <w:r>
              <w:rPr>
                <w:rFonts w:hint="eastAsia" w:ascii="宋体" w:hAnsi="宋体"/>
                <w:color w:val="auto"/>
                <w:highlight w:val="none"/>
              </w:rPr>
              <w:t xml:space="preserve">3</w:t>
            </w:r>
            <w:r>
              <w:rPr>
                <w:rFonts w:ascii="宋体" w:hAnsi="宋体"/>
                <w:color w:val="auto"/>
                <w:highlight w:val="none"/>
              </w:rPr>
              <w:t xml:space="preserve">0×</w:t>
            </w:r>
            <w:r>
              <w:rPr>
                <w:rFonts w:hint="eastAsia" w:ascii="宋体" w:hAnsi="宋体"/>
                <w:color w:val="auto"/>
                <w:highlight w:val="none"/>
              </w:rPr>
              <w:t xml:space="preserve">100%</w:t>
            </w:r>
            <w:r>
              <w:rPr>
                <w:rFonts w:hint="eastAsia" w:ascii="宋体" w:hAnsi="宋体" w:cs="宋体"/>
                <w:bCs/>
                <w:color w:val="auto"/>
                <w:highlight w:val="none"/>
              </w:rPr>
              <w:t xml:space="preserve">（保留两位小数）。</w:t>
            </w:r>
            <w:r/>
          </w:p>
        </w:tc>
      </w:tr>
      <w:tr>
        <w:trPr>
          <w:trHeight w:val="1308"/>
        </w:trPr>
        <w:tc>
          <w:tcPr>
            <w:tcBorders>
              <w:top w:val="single" w:color="auto" w:sz="4" w:space="0"/>
              <w:left w:val="single" w:color="auto" w:sz="4" w:space="0"/>
              <w:bottom w:val="none" w:color="000000" w:sz="4" w:space="0"/>
              <w:right w:val="single" w:color="auto" w:sz="4" w:space="0"/>
            </w:tcBorders>
            <w:tcW w:w="750" w:type="dxa"/>
            <w:vAlign w:val="center"/>
            <w:vMerge w:val="restart"/>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2</w:t>
            </w:r>
            <w:r/>
          </w:p>
        </w:tc>
        <w:tc>
          <w:tcPr>
            <w:tcBorders>
              <w:top w:val="single" w:color="auto" w:sz="4" w:space="0"/>
              <w:left w:val="single" w:color="auto" w:sz="4" w:space="0"/>
              <w:bottom w:val="none" w:color="000000" w:sz="4" w:space="0"/>
              <w:right w:val="single" w:color="auto" w:sz="4" w:space="0"/>
            </w:tcBorders>
            <w:tcW w:w="1065" w:type="dxa"/>
            <w:vAlign w:val="center"/>
            <w:vMerge w:val="restart"/>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产品性能</w:t>
            </w:r>
            <w:r/>
          </w:p>
        </w:tc>
        <w:tc>
          <w:tcPr>
            <w:tcBorders>
              <w:top w:val="single" w:color="auto" w:sz="4" w:space="0"/>
              <w:left w:val="single" w:color="auto" w:sz="4" w:space="0"/>
              <w:bottom w:val="none" w:color="000000" w:sz="4" w:space="0"/>
              <w:right w:val="single" w:color="auto" w:sz="4" w:space="0"/>
            </w:tcBorders>
            <w:tcW w:w="660" w:type="dxa"/>
            <w:vAlign w:val="center"/>
            <w:vMerge w:val="restart"/>
            <w:textDirection w:val="lrTb"/>
            <w:noWrap w:val="false"/>
          </w:tcPr>
          <w:p>
            <w:pPr>
              <w:jc w:val="center"/>
              <w:widowControl/>
              <w:rPr>
                <w:rFonts w:hint="eastAsia" w:ascii="宋体" w:hAnsi="宋体" w:cs="宋体"/>
                <w:color w:val="auto"/>
                <w:highlight w:val="none"/>
              </w:rPr>
            </w:pPr>
            <w:r>
              <w:rPr>
                <w:rFonts w:ascii="宋体" w:hAnsi="宋体" w:cs="宋体"/>
                <w:color w:val="auto"/>
                <w:highlight w:val="none"/>
              </w:rPr>
              <w:t xml:space="preserve">60</w:t>
            </w:r>
            <w:r/>
          </w:p>
        </w:tc>
        <w:tc>
          <w:tcPr>
            <w:tcBorders>
              <w:top w:val="single" w:color="auto" w:sz="4" w:space="0"/>
              <w:left w:val="single" w:color="auto" w:sz="4" w:space="0"/>
              <w:bottom w:val="single" w:color="auto" w:sz="4" w:space="0"/>
              <w:right w:val="single" w:color="auto" w:sz="4" w:space="0"/>
            </w:tcBorders>
            <w:tcW w:w="6795" w:type="dxa"/>
            <w:vAlign w:val="center"/>
            <w:vMerge w:val="restart"/>
            <w:textDirection w:val="lrTb"/>
            <w:noWrap w:val="false"/>
          </w:tcPr>
          <w:p>
            <w:pPr>
              <w:jc w:val="left"/>
              <w:spacing w:line="0" w:lineRule="atLeast"/>
              <w:widowControl/>
              <w:tabs>
                <w:tab w:val="left" w:pos="360" w:leader="none"/>
              </w:tabs>
              <w:rPr>
                <w:rFonts w:ascii="Times New Roman" w:hAnsi="Times New Roman"/>
                <w:color w:val="auto"/>
                <w:highlight w:val="none"/>
              </w:rPr>
            </w:pPr>
            <w:r>
              <w:rPr>
                <w:rFonts w:ascii="Times New Roman" w:hAnsi="Times New Roman"/>
                <w:color w:val="auto"/>
                <w:highlight w:val="none"/>
              </w:rPr>
              <w:t xml:space="preserve">根据投标产品规格、技术参数及要求与招标文件的响应程度</w:t>
            </w:r>
            <w:r>
              <w:rPr>
                <w:rFonts w:hint="eastAsia" w:ascii="Times New Roman" w:hAnsi="Times New Roman"/>
                <w:color w:val="auto"/>
                <w:highlight w:val="none"/>
              </w:rPr>
              <w:t xml:space="preserve">进行</w:t>
            </w:r>
            <w:r>
              <w:rPr>
                <w:rFonts w:ascii="Times New Roman" w:hAnsi="Times New Roman"/>
                <w:color w:val="auto"/>
                <w:highlight w:val="none"/>
              </w:rPr>
              <w:t xml:space="preserve">打分</w:t>
            </w:r>
            <w:r>
              <w:rPr>
                <w:rFonts w:hint="eastAsia" w:ascii="Times New Roman" w:hAnsi="Times New Roman"/>
                <w:color w:val="auto"/>
                <w:highlight w:val="none"/>
              </w:rPr>
              <w:t xml:space="preserve">： </w:t>
            </w:r>
            <w:r/>
          </w:p>
          <w:p>
            <w:pPr>
              <w:spacing w:line="0" w:lineRule="atLeast"/>
              <w:widowControl/>
              <w:rPr>
                <w:rFonts w:hint="eastAsia" w:ascii="宋体" w:hAnsi="宋体" w:cs="宋体"/>
                <w:color w:val="auto"/>
                <w:highlight w:val="none"/>
              </w:rPr>
            </w:pPr>
            <w:r>
              <w:rPr>
                <w:rFonts w:hint="eastAsia" w:ascii="宋体" w:hAnsi="宋体" w:cs="宋体"/>
                <w:color w:val="auto"/>
                <w:highlight w:val="none"/>
              </w:rPr>
              <w:t xml:space="preserve">带★项参数每满足一条加4分，满分60分。</w:t>
            </w:r>
            <w:r/>
          </w:p>
          <w:p>
            <w:pPr>
              <w:spacing w:line="0" w:lineRule="atLeast"/>
              <w:widowControl/>
              <w:rPr>
                <w:rFonts w:hint="eastAsia" w:ascii="宋体" w:hAnsi="宋体" w:cs="宋体"/>
                <w:color w:val="auto"/>
                <w:highlight w:val="none"/>
              </w:rPr>
            </w:pPr>
            <w:r>
              <w:rPr>
                <w:rFonts w:hint="eastAsia" w:ascii="Times New Roman" w:hAnsi="Times New Roman"/>
                <w:color w:val="auto"/>
                <w:highlight w:val="none"/>
              </w:rPr>
              <w:t xml:space="preserve">（</w:t>
            </w:r>
            <w:r>
              <w:rPr>
                <w:rFonts w:hint="eastAsia" w:ascii="宋体" w:hAnsi="宋体" w:cs="宋体"/>
                <w:color w:val="auto"/>
                <w:highlight w:val="none"/>
              </w:rPr>
              <w:t xml:space="preserve">带★号项参数有具体要求的按招标文件提供证明材料，未要求的</w:t>
            </w:r>
            <w:r>
              <w:rPr>
                <w:rFonts w:hint="eastAsia" w:ascii="Times New Roman" w:hAnsi="Times New Roman"/>
                <w:color w:val="auto"/>
                <w:highlight w:val="none"/>
              </w:rPr>
              <w:t xml:space="preserve">提供技术参数响应及偏离表</w:t>
            </w:r>
            <w:r>
              <w:rPr>
                <w:rFonts w:hint="eastAsia" w:ascii="宋体" w:hAnsi="宋体" w:cs="宋体"/>
                <w:color w:val="auto"/>
                <w:highlight w:val="none"/>
              </w:rPr>
              <w:t xml:space="preserve">，未提供或负偏离的不得分。）</w:t>
            </w:r>
            <w:r/>
          </w:p>
        </w:tc>
      </w:tr>
      <w:tr>
        <w:trPr>
          <w:trHeight w:val="349"/>
        </w:trPr>
        <w:tc>
          <w:tcPr>
            <w:tcBorders>
              <w:top w:val="single" w:color="auto" w:sz="4" w:space="0"/>
              <w:left w:val="single" w:color="auto" w:sz="4" w:space="0"/>
              <w:bottom w:val="single" w:color="000000" w:sz="4" w:space="0"/>
              <w:right w:val="single" w:color="auto" w:sz="4" w:space="0"/>
            </w:tcBorders>
            <w:tcW w:w="750" w:type="dxa"/>
            <w:vAlign w:val="center"/>
            <w:vMerge w:val="restart"/>
            <w:textDirection w:val="lrTb"/>
            <w:noWrap w:val="false"/>
          </w:tcPr>
          <w:p>
            <w:pPr>
              <w:jc w:val="center"/>
              <w:widowControl/>
              <w:rPr>
                <w:rFonts w:hint="eastAsia" w:ascii="宋体" w:hAnsi="宋体" w:cs="宋体"/>
                <w:color w:val="auto"/>
                <w:highlight w:val="none"/>
              </w:rPr>
            </w:pPr>
            <w:r>
              <w:rPr>
                <w:rFonts w:ascii="Times New Roman" w:hAnsi="Times New Roman"/>
                <w:color w:val="auto"/>
                <w:highlight w:val="none"/>
              </w:rPr>
              <w:t xml:space="preserve">3</w:t>
            </w:r>
            <w:r/>
          </w:p>
        </w:tc>
        <w:tc>
          <w:tcPr>
            <w:tcBorders>
              <w:top w:val="single" w:color="auto" w:sz="4" w:space="0"/>
              <w:left w:val="single" w:color="auto" w:sz="4" w:space="0"/>
              <w:bottom w:val="single" w:color="000000" w:sz="4" w:space="0"/>
              <w:right w:val="single" w:color="auto" w:sz="4" w:space="0"/>
            </w:tcBorders>
            <w:tcW w:w="1065" w:type="dxa"/>
            <w:vAlign w:val="center"/>
            <w:vMerge w:val="restart"/>
            <w:textDirection w:val="lrTb"/>
            <w:noWrap w:val="false"/>
          </w:tcPr>
          <w:p>
            <w:pPr>
              <w:jc w:val="center"/>
              <w:widowControl/>
              <w:rPr>
                <w:rFonts w:hint="eastAsia" w:ascii="宋体" w:hAnsi="宋体" w:cs="宋体"/>
                <w:color w:val="auto"/>
                <w:highlight w:val="none"/>
              </w:rPr>
            </w:pPr>
            <w:r>
              <w:rPr>
                <w:rFonts w:ascii="Times New Roman" w:hAnsi="Times New Roman"/>
                <w:color w:val="auto"/>
                <w:highlight w:val="none"/>
              </w:rPr>
              <w:t xml:space="preserve">类似业绩</w:t>
            </w:r>
            <w:r/>
          </w:p>
        </w:tc>
        <w:tc>
          <w:tcPr>
            <w:tcBorders>
              <w:top w:val="single" w:color="auto" w:sz="4" w:space="0"/>
              <w:left w:val="single" w:color="auto" w:sz="4" w:space="0"/>
              <w:bottom w:val="single" w:color="000000" w:sz="4" w:space="0"/>
              <w:right w:val="single" w:color="auto" w:sz="4" w:space="0"/>
            </w:tcBorders>
            <w:tcW w:w="660" w:type="dxa"/>
            <w:vAlign w:val="center"/>
            <w:vMerge w:val="restart"/>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6</w:t>
            </w:r>
            <w:r/>
          </w:p>
        </w:tc>
        <w:tc>
          <w:tcPr>
            <w:tcBorders>
              <w:top w:val="single" w:color="auto" w:sz="4" w:space="0"/>
              <w:left w:val="single" w:color="auto" w:sz="4" w:space="0"/>
              <w:bottom w:val="single" w:color="auto" w:sz="4" w:space="0"/>
              <w:right w:val="single" w:color="auto" w:sz="4" w:space="0"/>
            </w:tcBorders>
            <w:tcW w:w="6795" w:type="dxa"/>
            <w:vAlign w:val="center"/>
            <w:vMerge w:val="restart"/>
            <w:textDirection w:val="lrTb"/>
            <w:noWrap w:val="false"/>
          </w:tcPr>
          <w:p>
            <w:pPr>
              <w:spacing w:line="0" w:lineRule="atLeast"/>
              <w:widowControl/>
              <w:rPr>
                <w:rFonts w:hint="eastAsia" w:ascii="宋体" w:hAnsi="宋体" w:cs="宋体"/>
                <w:color w:val="auto"/>
                <w:highlight w:val="none"/>
              </w:rPr>
            </w:pPr>
            <w:r>
              <w:rPr>
                <w:rFonts w:ascii="Times New Roman" w:hAnsi="Times New Roman"/>
                <w:color w:val="auto"/>
                <w:highlight w:val="none"/>
              </w:rPr>
              <w:t xml:space="preserve">20</w:t>
            </w:r>
            <w:r>
              <w:rPr>
                <w:rFonts w:hint="eastAsia" w:ascii="Times New Roman" w:hAnsi="Times New Roman"/>
                <w:color w:val="auto"/>
                <w:highlight w:val="none"/>
              </w:rPr>
              <w:t xml:space="preserve">23</w:t>
            </w:r>
            <w:r>
              <w:rPr>
                <w:rFonts w:ascii="Times New Roman" w:hAnsi="Times New Roman"/>
                <w:color w:val="auto"/>
                <w:highlight w:val="none"/>
              </w:rPr>
              <w:t xml:space="preserve">年</w:t>
            </w:r>
            <w:r>
              <w:rPr>
                <w:rFonts w:hint="eastAsia" w:ascii="Times New Roman" w:hAnsi="Times New Roman"/>
                <w:color w:val="auto"/>
                <w:highlight w:val="none"/>
              </w:rPr>
              <w:t xml:space="preserve">1</w:t>
            </w:r>
            <w:r>
              <w:rPr>
                <w:rFonts w:ascii="Times New Roman" w:hAnsi="Times New Roman"/>
                <w:color w:val="auto"/>
                <w:highlight w:val="none"/>
              </w:rPr>
              <w:t xml:space="preserve">月</w:t>
            </w:r>
            <w:r>
              <w:rPr>
                <w:rFonts w:hint="eastAsia" w:ascii="Times New Roman" w:hAnsi="Times New Roman"/>
                <w:color w:val="auto"/>
                <w:highlight w:val="none"/>
              </w:rPr>
              <w:t xml:space="preserve">1日</w:t>
            </w:r>
            <w:r>
              <w:rPr>
                <w:rFonts w:ascii="Times New Roman" w:hAnsi="Times New Roman"/>
                <w:color w:val="auto"/>
                <w:highlight w:val="none"/>
              </w:rPr>
              <w:t xml:space="preserve">至今</w:t>
            </w:r>
            <w:r>
              <w:rPr>
                <w:rFonts w:hint="eastAsia" w:ascii="Times New Roman" w:hAnsi="Times New Roman"/>
                <w:color w:val="auto"/>
                <w:highlight w:val="none"/>
              </w:rPr>
              <w:t xml:space="preserve">，投标单位承担过</w:t>
            </w:r>
            <w:r>
              <w:rPr>
                <w:rFonts w:ascii="Times New Roman" w:hAnsi="Times New Roman"/>
                <w:color w:val="auto"/>
                <w:highlight w:val="none"/>
              </w:rPr>
              <w:t xml:space="preserve">类似项目业绩，每</w:t>
            </w:r>
            <w:r>
              <w:rPr>
                <w:rFonts w:hint="eastAsia" w:ascii="Times New Roman" w:hAnsi="Times New Roman"/>
                <w:color w:val="auto"/>
                <w:highlight w:val="none"/>
              </w:rPr>
              <w:t xml:space="preserve">提供一</w:t>
            </w:r>
            <w:r>
              <w:rPr>
                <w:rFonts w:ascii="Times New Roman" w:hAnsi="Times New Roman"/>
                <w:color w:val="auto"/>
                <w:highlight w:val="none"/>
              </w:rPr>
              <w:t xml:space="preserve">个合同得2分，满分6分。（</w:t>
            </w:r>
            <w:r>
              <w:rPr>
                <w:rFonts w:hint="eastAsia" w:ascii="Times New Roman" w:hAnsi="Times New Roman"/>
                <w:color w:val="auto"/>
                <w:highlight w:val="none"/>
              </w:rPr>
              <w:t xml:space="preserve">时间以合同签订时间为准，</w:t>
            </w:r>
            <w:r>
              <w:rPr>
                <w:rFonts w:ascii="Times New Roman" w:hAnsi="Times New Roman"/>
                <w:color w:val="auto"/>
                <w:highlight w:val="none"/>
              </w:rPr>
              <w:t xml:space="preserve">提供合同</w:t>
            </w:r>
            <w:r>
              <w:rPr>
                <w:rFonts w:hint="eastAsia" w:ascii="Times New Roman" w:hAnsi="Times New Roman"/>
                <w:color w:val="auto"/>
                <w:highlight w:val="none"/>
              </w:rPr>
              <w:t xml:space="preserve">原件扫描上传</w:t>
            </w:r>
            <w:r>
              <w:rPr>
                <w:rFonts w:ascii="Times New Roman" w:hAnsi="Times New Roman"/>
                <w:color w:val="auto"/>
                <w:highlight w:val="none"/>
              </w:rPr>
              <w:t xml:space="preserve">）</w:t>
            </w:r>
            <w:r/>
          </w:p>
        </w:tc>
      </w:tr>
      <w:tr>
        <w:trPr>
          <w:trHeight w:val="349"/>
        </w:trPr>
        <w:tc>
          <w:tcPr>
            <w:tcBorders>
              <w:top w:val="single" w:color="auto" w:sz="4" w:space="0"/>
              <w:left w:val="single" w:color="auto" w:sz="4" w:space="0"/>
              <w:bottom w:val="single" w:color="000000" w:sz="4" w:space="0"/>
              <w:right w:val="single" w:color="auto" w:sz="4" w:space="0"/>
            </w:tcBorders>
            <w:tcW w:w="750" w:type="dxa"/>
            <w:vAlign w:val="center"/>
            <w:textDirection w:val="lrTb"/>
            <w:noWrap w:val="false"/>
          </w:tcPr>
          <w:p>
            <w:pPr>
              <w:jc w:val="center"/>
              <w:widowControl/>
              <w:rPr>
                <w:rFonts w:hint="eastAsia" w:ascii="宋体" w:hAnsi="宋体" w:cs="宋体"/>
                <w:color w:val="auto"/>
                <w:highlight w:val="none"/>
              </w:rPr>
            </w:pPr>
            <w:r>
              <w:rPr>
                <w:rFonts w:ascii="Times New Roman" w:hAnsi="Times New Roman"/>
                <w:color w:val="auto"/>
                <w:highlight w:val="none"/>
              </w:rPr>
              <w:t xml:space="preserve">4</w:t>
            </w:r>
            <w:r/>
          </w:p>
        </w:tc>
        <w:tc>
          <w:tcPr>
            <w:tcBorders>
              <w:top w:val="single" w:color="auto" w:sz="4" w:space="0"/>
              <w:left w:val="single" w:color="auto" w:sz="4" w:space="0"/>
              <w:bottom w:val="single" w:color="000000" w:sz="4" w:space="0"/>
              <w:right w:val="single" w:color="auto" w:sz="4" w:space="0"/>
            </w:tcBorders>
            <w:tcW w:w="1065" w:type="dxa"/>
            <w:vAlign w:val="center"/>
            <w:textDirection w:val="lrTb"/>
            <w:noWrap w:val="false"/>
          </w:tcPr>
          <w:p>
            <w:pPr>
              <w:jc w:val="center"/>
              <w:widowControl/>
              <w:rPr>
                <w:rFonts w:hint="eastAsia" w:ascii="宋体" w:hAnsi="宋体" w:cs="宋体"/>
                <w:color w:val="auto"/>
                <w:highlight w:val="none"/>
              </w:rPr>
            </w:pPr>
            <w:r>
              <w:rPr>
                <w:rFonts w:ascii="Times New Roman" w:hAnsi="Times New Roman"/>
                <w:color w:val="auto"/>
                <w:highlight w:val="none"/>
              </w:rPr>
              <w:t xml:space="preserve">售后服务</w:t>
            </w:r>
            <w:r/>
          </w:p>
        </w:tc>
        <w:tc>
          <w:tcPr>
            <w:tcBorders>
              <w:top w:val="single" w:color="auto" w:sz="4" w:space="0"/>
              <w:left w:val="single" w:color="auto" w:sz="4" w:space="0"/>
              <w:bottom w:val="single" w:color="000000" w:sz="4" w:space="0"/>
              <w:right w:val="single" w:color="auto" w:sz="4" w:space="0"/>
            </w:tcBorders>
            <w:tcW w:w="660"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4</w:t>
            </w:r>
            <w:r/>
          </w:p>
        </w:tc>
        <w:tc>
          <w:tcPr>
            <w:tcBorders>
              <w:top w:val="single" w:color="auto" w:sz="4" w:space="0"/>
              <w:left w:val="single" w:color="auto" w:sz="4" w:space="0"/>
              <w:bottom w:val="single" w:color="auto" w:sz="4" w:space="0"/>
              <w:right w:val="single" w:color="auto" w:sz="4" w:space="0"/>
            </w:tcBorders>
            <w:tcW w:w="6795" w:type="dxa"/>
            <w:vAlign w:val="center"/>
            <w:textDirection w:val="lrTb"/>
            <w:noWrap w:val="false"/>
          </w:tcPr>
          <w:p>
            <w:pPr>
              <w:jc w:val="left"/>
              <w:widowControl/>
              <w:rPr>
                <w:rFonts w:hint="eastAsia" w:ascii="宋体" w:hAnsi="宋体" w:cs="宋体"/>
                <w:color w:val="auto"/>
                <w:highlight w:val="none"/>
              </w:rPr>
            </w:pPr>
            <w:r>
              <w:rPr>
                <w:rFonts w:ascii="Times New Roman" w:hAnsi="Times New Roman"/>
                <w:color w:val="auto"/>
                <w:highlight w:val="none"/>
              </w:rPr>
              <w:t xml:space="preserve">根据投标</w:t>
            </w:r>
            <w:r>
              <w:rPr>
                <w:rFonts w:hint="eastAsia" w:ascii="Times New Roman" w:hAnsi="Times New Roman"/>
                <w:color w:val="auto"/>
                <w:highlight w:val="none"/>
              </w:rPr>
              <w:t xml:space="preserve">单位</w:t>
            </w:r>
            <w:r>
              <w:rPr>
                <w:rFonts w:ascii="Times New Roman" w:hAnsi="Times New Roman"/>
                <w:color w:val="auto"/>
                <w:highlight w:val="none"/>
              </w:rPr>
              <w:t xml:space="preserve">售后服务方案进行评分</w:t>
            </w:r>
            <w:r>
              <w:rPr>
                <w:rFonts w:hint="eastAsia" w:ascii="Times New Roman" w:hAnsi="Times New Roman"/>
                <w:color w:val="auto"/>
                <w:highlight w:val="none"/>
              </w:rPr>
              <w:t xml:space="preserve">，</w:t>
            </w:r>
            <w:r>
              <w:rPr>
                <w:rFonts w:ascii="Times New Roman" w:hAnsi="Times New Roman"/>
                <w:color w:val="auto"/>
                <w:highlight w:val="none"/>
              </w:rPr>
              <w:t xml:space="preserve">主要包括</w:t>
            </w:r>
            <w:r>
              <w:rPr>
                <w:rFonts w:hint="eastAsia" w:ascii="Times New Roman" w:hAnsi="Times New Roman"/>
                <w:color w:val="auto"/>
                <w:highlight w:val="none"/>
              </w:rPr>
              <w:t xml:space="preserve">：</w:t>
            </w:r>
            <w:r>
              <w:rPr>
                <w:rFonts w:ascii="Times New Roman" w:hAnsi="Times New Roman"/>
                <w:color w:val="auto"/>
                <w:highlight w:val="none"/>
              </w:rPr>
              <w:t xml:space="preserve">售后服务组织是否健全</w:t>
            </w:r>
            <w:r>
              <w:rPr>
                <w:rFonts w:hint="eastAsia" w:ascii="Times New Roman" w:hAnsi="Times New Roman"/>
                <w:color w:val="auto"/>
                <w:highlight w:val="none"/>
              </w:rPr>
              <w:t xml:space="preserve">，</w:t>
            </w:r>
            <w:r>
              <w:rPr>
                <w:rFonts w:ascii="Times New Roman" w:hAnsi="Times New Roman"/>
                <w:color w:val="auto"/>
                <w:highlight w:val="none"/>
              </w:rPr>
              <w:t xml:space="preserve">服务质量能否满足用户需要</w:t>
            </w:r>
            <w:r>
              <w:rPr>
                <w:rFonts w:hint="eastAsia" w:ascii="Times New Roman" w:hAnsi="Times New Roman"/>
                <w:color w:val="auto"/>
                <w:highlight w:val="none"/>
              </w:rPr>
              <w:t xml:space="preserve">，</w:t>
            </w:r>
            <w:r>
              <w:rPr>
                <w:rFonts w:ascii="Times New Roman" w:hAnsi="Times New Roman"/>
                <w:color w:val="auto"/>
                <w:highlight w:val="none"/>
              </w:rPr>
              <w:t xml:space="preserve">出现紧急情况时</w:t>
            </w:r>
            <w:r>
              <w:rPr>
                <w:rFonts w:hint="eastAsia" w:ascii="Times New Roman" w:hAnsi="Times New Roman"/>
                <w:color w:val="auto"/>
                <w:highlight w:val="none"/>
              </w:rPr>
              <w:t xml:space="preserve">，</w:t>
            </w:r>
            <w:r>
              <w:rPr>
                <w:rFonts w:ascii="Times New Roman" w:hAnsi="Times New Roman"/>
                <w:color w:val="auto"/>
                <w:highlight w:val="none"/>
              </w:rPr>
              <w:t xml:space="preserve">满足用户需求的技术支持能否及时、技术支持能否得到保证等，</w:t>
            </w:r>
            <w:r>
              <w:rPr>
                <w:rFonts w:hint="eastAsia" w:ascii="宋体" w:hAnsi="宋体" w:cs="宋体"/>
                <w:color w:val="auto"/>
                <w:highlight w:val="none"/>
              </w:rPr>
              <w:t xml:space="preserve">①</w:t>
            </w:r>
            <w:r>
              <w:rPr>
                <w:rFonts w:hint="eastAsia" w:ascii="Times New Roman" w:hAnsi="Times New Roman"/>
                <w:color w:val="auto"/>
                <w:highlight w:val="none"/>
              </w:rPr>
              <w:t xml:space="preserve">方案科学合理、可行性强的得4分；</w:t>
            </w:r>
            <w:r>
              <w:rPr>
                <w:rFonts w:hint="eastAsia" w:ascii="宋体" w:hAnsi="宋体" w:cs="宋体"/>
                <w:color w:val="auto"/>
                <w:highlight w:val="none"/>
              </w:rPr>
              <w:t xml:space="preserve">②</w:t>
            </w:r>
            <w:r>
              <w:rPr>
                <w:rFonts w:hint="eastAsia" w:ascii="Times New Roman" w:hAnsi="Times New Roman"/>
                <w:color w:val="auto"/>
                <w:highlight w:val="none"/>
              </w:rPr>
              <w:t xml:space="preserve">方案较合理、可行性一般的得2分；</w:t>
            </w:r>
            <w:r>
              <w:rPr>
                <w:rFonts w:hint="eastAsia" w:ascii="宋体" w:hAnsi="宋体" w:cs="宋体"/>
                <w:color w:val="auto"/>
                <w:highlight w:val="none"/>
              </w:rPr>
              <w:t xml:space="preserve">③</w:t>
            </w:r>
            <w:r>
              <w:rPr>
                <w:rFonts w:hint="eastAsia" w:ascii="Times New Roman" w:hAnsi="Times New Roman"/>
                <w:color w:val="auto"/>
                <w:highlight w:val="none"/>
              </w:rPr>
              <w:t xml:space="preserve">方案基本合理、可行性弱的得1分；</w:t>
            </w:r>
            <w:r>
              <w:rPr>
                <w:rFonts w:hint="eastAsia" w:ascii="宋体" w:hAnsi="宋体" w:cs="宋体"/>
                <w:color w:val="auto"/>
                <w:highlight w:val="none"/>
              </w:rPr>
              <w:t xml:space="preserve">④</w:t>
            </w:r>
            <w:r>
              <w:rPr>
                <w:rFonts w:hint="eastAsia" w:ascii="Times New Roman" w:hAnsi="Times New Roman"/>
                <w:color w:val="auto"/>
                <w:highlight w:val="none"/>
              </w:rPr>
              <w:t xml:space="preserve">未提供不得分</w:t>
            </w:r>
            <w:r>
              <w:rPr>
                <w:rFonts w:ascii="Times New Roman" w:hAnsi="Times New Roman"/>
                <w:color w:val="auto"/>
                <w:highlight w:val="none"/>
              </w:rPr>
              <w:t xml:space="preserve">。</w:t>
            </w:r>
            <w:r/>
          </w:p>
        </w:tc>
      </w:tr>
      <w:tr>
        <w:trPr>
          <w:trHeight w:val="696"/>
        </w:trPr>
        <w:tc>
          <w:tcPr>
            <w:gridSpan w:val="2"/>
            <w:tcBorders>
              <w:top w:val="none" w:color="000000" w:sz="4" w:space="0"/>
              <w:left w:val="single" w:color="auto" w:sz="4" w:space="0"/>
              <w:bottom w:val="single" w:color="auto" w:sz="4" w:space="0"/>
              <w:right w:val="single" w:color="auto" w:sz="4" w:space="0"/>
            </w:tcBorders>
            <w:tcW w:w="1815"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合计</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100</w:t>
            </w:r>
            <w:r/>
          </w:p>
        </w:tc>
        <w:tc>
          <w:tcPr>
            <w:tcBorders>
              <w:top w:val="single" w:color="auto" w:sz="4" w:space="0"/>
              <w:left w:val="none" w:color="000000" w:sz="4" w:space="0"/>
              <w:bottom w:val="single" w:color="auto" w:sz="4" w:space="0"/>
              <w:right w:val="single" w:color="auto" w:sz="4" w:space="0"/>
            </w:tcBorders>
            <w:tcW w:w="6795" w:type="dxa"/>
            <w:vAlign w:val="center"/>
            <w:textDirection w:val="lrTb"/>
            <w:noWrap w:val="false"/>
          </w:tcPr>
          <w:p>
            <w:pPr>
              <w:spacing w:line="0" w:lineRule="atLeast"/>
              <w:widowControl/>
              <w:rPr>
                <w:rFonts w:hint="eastAsia" w:ascii="宋体" w:hAnsi="宋体" w:cs="宋体"/>
                <w:color w:val="auto"/>
                <w:highlight w:val="none"/>
              </w:rPr>
            </w:pPr>
            <w:r>
              <w:rPr>
                <w:rFonts w:hint="eastAsia" w:ascii="宋体" w:hAnsi="宋体" w:cs="宋体"/>
                <w:color w:val="auto"/>
                <w:highlight w:val="none"/>
              </w:rPr>
            </w:r>
            <w:r/>
          </w:p>
        </w:tc>
      </w:tr>
    </w:tbl>
    <w:p>
      <w:pPr>
        <w:pStyle w:val="827"/>
        <w:rPr>
          <w:color w:val="auto"/>
          <w:highlight w:val="none"/>
        </w:rPr>
      </w:pPr>
      <w:r>
        <w:rPr>
          <w:color w:val="auto"/>
          <w:highlight w:val="none"/>
        </w:rPr>
      </w:r>
      <w:r/>
    </w:p>
    <w:p>
      <w:pPr>
        <w:pStyle w:val="827"/>
        <w:rPr>
          <w:color w:val="auto"/>
          <w:highlight w:val="none"/>
        </w:rPr>
      </w:pPr>
      <w:r>
        <w:rPr>
          <w:color w:val="auto"/>
          <w:highlight w:val="none"/>
        </w:rPr>
      </w:r>
      <w:r/>
    </w:p>
    <w:p>
      <w:pPr>
        <w:pStyle w:val="827"/>
        <w:rPr>
          <w:color w:val="auto"/>
          <w:highlight w:val="none"/>
        </w:rPr>
      </w:pPr>
      <w:r>
        <w:rPr>
          <w:color w:val="auto"/>
          <w:highlight w:val="none"/>
        </w:rPr>
      </w:r>
      <w:r/>
    </w:p>
    <w:p>
      <w:pPr>
        <w:pStyle w:val="827"/>
        <w:rPr>
          <w:color w:val="auto"/>
          <w:highlight w:val="none"/>
        </w:rPr>
      </w:pPr>
      <w:r>
        <w:rPr>
          <w:rFonts w:hint="eastAsia"/>
          <w:color w:val="auto"/>
          <w:highlight w:val="none"/>
        </w:rPr>
        <w:t xml:space="preserve">采购包2：</w:t>
      </w:r>
      <w:r/>
    </w:p>
    <w:tbl>
      <w:tblPr>
        <w:tblStyle w:val="812"/>
        <w:tblW w:w="9180" w:type="dxa"/>
        <w:tblInd w:w="0" w:type="dxa"/>
        <w:tblLayout w:type="fixed"/>
        <w:tblCellMar>
          <w:left w:w="108" w:type="dxa"/>
          <w:top w:w="0" w:type="dxa"/>
          <w:right w:w="108" w:type="dxa"/>
          <w:bottom w:w="0" w:type="dxa"/>
        </w:tblCellMar>
        <w:tblLook w:val="04A0" w:firstRow="1" w:lastRow="0" w:firstColumn="1" w:lastColumn="0" w:noHBand="0" w:noVBand="1"/>
      </w:tblPr>
      <w:tblGrid>
        <w:gridCol w:w="747"/>
        <w:gridCol w:w="1204"/>
        <w:gridCol w:w="709"/>
        <w:gridCol w:w="6520"/>
      </w:tblGrid>
      <w:tr>
        <w:trPr>
          <w:trHeight w:val="541"/>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widowControl/>
              <w:rPr>
                <w:rFonts w:ascii="Times New Roman" w:hAnsi="Times New Roman"/>
                <w:b/>
                <w:bCs/>
                <w:color w:val="auto"/>
                <w:highlight w:val="none"/>
              </w:rPr>
            </w:pPr>
            <w:r>
              <w:rPr>
                <w:rFonts w:ascii="Times New Roman" w:hAnsi="Times New Roman"/>
                <w:b/>
                <w:bCs/>
                <w:color w:val="auto"/>
                <w:highlight w:val="none"/>
              </w:rPr>
              <w:t xml:space="preserve">序号</w:t>
            </w:r>
            <w:r/>
          </w:p>
        </w:tc>
        <w:tc>
          <w:tcPr>
            <w:tcBorders>
              <w:top w:val="single" w:color="auto" w:sz="4" w:space="0"/>
              <w:left w:val="none" w:color="000000" w:sz="4" w:space="0"/>
              <w:bottom w:val="single" w:color="auto" w:sz="4" w:space="0"/>
              <w:right w:val="single" w:color="auto" w:sz="4" w:space="0"/>
            </w:tcBorders>
            <w:tcW w:w="1204" w:type="dxa"/>
            <w:vAlign w:val="center"/>
            <w:textDirection w:val="lrTb"/>
            <w:noWrap w:val="false"/>
          </w:tcPr>
          <w:p>
            <w:pPr>
              <w:jc w:val="center"/>
              <w:widowControl/>
              <w:rPr>
                <w:rFonts w:ascii="Times New Roman" w:hAnsi="Times New Roman"/>
                <w:b/>
                <w:bCs/>
                <w:color w:val="auto"/>
                <w:highlight w:val="none"/>
              </w:rPr>
            </w:pPr>
            <w:r>
              <w:rPr>
                <w:rFonts w:ascii="Times New Roman" w:hAnsi="Times New Roman"/>
                <w:b/>
                <w:bCs/>
                <w:color w:val="auto"/>
                <w:highlight w:val="none"/>
              </w:rPr>
              <w:t xml:space="preserve">评分要素</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Times New Roman" w:hAnsi="Times New Roman"/>
                <w:b/>
                <w:bCs/>
                <w:color w:val="auto"/>
                <w:highlight w:val="none"/>
              </w:rPr>
            </w:pPr>
            <w:r>
              <w:rPr>
                <w:rFonts w:ascii="Times New Roman" w:hAnsi="Times New Roman"/>
                <w:b/>
                <w:bCs/>
                <w:color w:val="auto"/>
                <w:highlight w:val="none"/>
              </w:rPr>
              <w:t xml:space="preserve">满分</w:t>
            </w:r>
            <w:r/>
          </w:p>
        </w:tc>
        <w:tc>
          <w:tcPr>
            <w:tcBorders>
              <w:top w:val="single" w:color="auto" w:sz="4" w:space="0"/>
              <w:left w:val="none" w:color="000000" w:sz="4" w:space="0"/>
              <w:bottom w:val="single" w:color="auto" w:sz="4" w:space="0"/>
              <w:right w:val="single" w:color="auto" w:sz="4" w:space="0"/>
            </w:tcBorders>
            <w:tcW w:w="6520" w:type="dxa"/>
            <w:vAlign w:val="center"/>
            <w:textDirection w:val="lrTb"/>
            <w:noWrap w:val="false"/>
          </w:tcPr>
          <w:p>
            <w:pPr>
              <w:jc w:val="center"/>
              <w:widowControl/>
              <w:rPr>
                <w:rFonts w:ascii="Times New Roman" w:hAnsi="Times New Roman"/>
                <w:b/>
                <w:bCs/>
                <w:color w:val="auto"/>
                <w:highlight w:val="none"/>
              </w:rPr>
            </w:pPr>
            <w:r>
              <w:rPr>
                <w:rFonts w:ascii="Times New Roman" w:hAnsi="Times New Roman"/>
                <w:b/>
                <w:bCs/>
                <w:color w:val="auto"/>
                <w:highlight w:val="none"/>
              </w:rPr>
              <w:t xml:space="preserve">评分标准</w:t>
            </w:r>
            <w:r/>
          </w:p>
        </w:tc>
      </w:tr>
      <w:tr>
        <w:trPr>
          <w:trHeight w:val="6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widowControl/>
              <w:rPr>
                <w:rFonts w:ascii="Times New Roman" w:hAnsi="Times New Roman"/>
                <w:bCs/>
                <w:color w:val="auto"/>
                <w:highlight w:val="none"/>
              </w:rPr>
            </w:pPr>
            <w:r>
              <w:rPr>
                <w:rFonts w:ascii="Times New Roman" w:hAnsi="Times New Roman"/>
                <w:bCs/>
                <w:color w:val="auto"/>
                <w:highlight w:val="none"/>
              </w:rPr>
              <w:t xml:space="preserve">1</w:t>
            </w:r>
            <w:r/>
          </w:p>
        </w:tc>
        <w:tc>
          <w:tcPr>
            <w:tcBorders>
              <w:top w:val="single" w:color="auto" w:sz="4" w:space="0"/>
              <w:left w:val="none" w:color="000000" w:sz="4" w:space="0"/>
              <w:bottom w:val="single" w:color="auto" w:sz="4" w:space="0"/>
              <w:right w:val="single" w:color="auto" w:sz="4" w:space="0"/>
            </w:tcBorders>
            <w:tcW w:w="1204" w:type="dxa"/>
            <w:vAlign w:val="center"/>
            <w:textDirection w:val="lrTb"/>
            <w:noWrap w:val="false"/>
          </w:tcPr>
          <w:p>
            <w:pPr>
              <w:jc w:val="center"/>
              <w:widowControl/>
              <w:rPr>
                <w:rFonts w:ascii="Times New Roman" w:hAnsi="Times New Roman"/>
                <w:bCs/>
                <w:color w:val="auto"/>
                <w:highlight w:val="none"/>
              </w:rPr>
            </w:pPr>
            <w:r>
              <w:rPr>
                <w:rFonts w:ascii="Times New Roman" w:hAnsi="Times New Roman"/>
                <w:bCs/>
                <w:color w:val="auto"/>
                <w:highlight w:val="none"/>
              </w:rPr>
              <w:t xml:space="preserve">价格部分</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Times New Roman" w:hAnsi="Times New Roman"/>
                <w:bCs/>
                <w:color w:val="auto"/>
                <w:highlight w:val="none"/>
              </w:rPr>
            </w:pPr>
            <w:r>
              <w:rPr>
                <w:rFonts w:ascii="Times New Roman" w:hAnsi="Times New Roman"/>
                <w:bCs/>
                <w:color w:val="auto"/>
                <w:highlight w:val="none"/>
              </w:rPr>
              <w:t xml:space="preserve">3</w:t>
            </w:r>
            <w:r>
              <w:rPr>
                <w:rFonts w:hint="eastAsia" w:ascii="Times New Roman" w:hAnsi="Times New Roman"/>
                <w:bCs/>
                <w:color w:val="auto"/>
                <w:highlight w:val="none"/>
              </w:rPr>
              <w:t xml:space="preserve">0</w:t>
            </w:r>
            <w:r/>
          </w:p>
        </w:tc>
        <w:tc>
          <w:tcPr>
            <w:tcBorders>
              <w:top w:val="single" w:color="auto" w:sz="4" w:space="0"/>
              <w:left w:val="none" w:color="000000" w:sz="4" w:space="0"/>
              <w:bottom w:val="single" w:color="auto" w:sz="4" w:space="0"/>
              <w:right w:val="single" w:color="auto" w:sz="4" w:space="0"/>
            </w:tcBorders>
            <w:tcW w:w="6520" w:type="dxa"/>
            <w:vAlign w:val="center"/>
            <w:textDirection w:val="lrTb"/>
            <w:noWrap w:val="false"/>
          </w:tcPr>
          <w:p>
            <w:pPr>
              <w:spacing w:line="0" w:lineRule="atLeast"/>
              <w:widowControl/>
              <w:rPr>
                <w:rFonts w:hint="eastAsia" w:ascii="宋体" w:hAnsi="宋体" w:cs="宋体"/>
                <w:bCs/>
                <w:color w:val="auto"/>
                <w:highlight w:val="none"/>
              </w:rPr>
            </w:pPr>
            <w:r>
              <w:rPr>
                <w:rFonts w:hint="eastAsia" w:ascii="宋体" w:hAnsi="宋体"/>
                <w:color w:val="auto"/>
                <w:highlight w:val="none"/>
              </w:rPr>
              <w:t xml:space="preserve">以</w:t>
            </w:r>
            <w:r>
              <w:rPr>
                <w:rFonts w:ascii="宋体" w:hAnsi="宋体"/>
                <w:color w:val="auto"/>
                <w:highlight w:val="none"/>
              </w:rPr>
              <w:t xml:space="preserve">满足</w:t>
            </w:r>
            <w:r>
              <w:rPr>
                <w:rFonts w:hint="eastAsia" w:ascii="宋体" w:hAnsi="宋体"/>
                <w:color w:val="auto"/>
                <w:highlight w:val="none"/>
              </w:rPr>
              <w:t xml:space="preserve">招标</w:t>
            </w:r>
            <w:r>
              <w:rPr>
                <w:rFonts w:ascii="宋体" w:hAnsi="宋体"/>
                <w:color w:val="auto"/>
                <w:highlight w:val="none"/>
              </w:rPr>
              <w:t xml:space="preserve">文件要求</w:t>
            </w:r>
            <w:r>
              <w:rPr>
                <w:rFonts w:hint="eastAsia" w:ascii="宋体" w:hAnsi="宋体"/>
                <w:color w:val="auto"/>
                <w:highlight w:val="none"/>
              </w:rPr>
              <w:t xml:space="preserve">的</w:t>
            </w:r>
            <w:r>
              <w:rPr>
                <w:rFonts w:ascii="宋体" w:hAnsi="宋体"/>
                <w:color w:val="auto"/>
                <w:highlight w:val="none"/>
              </w:rPr>
              <w:t xml:space="preserve">最低报价为评</w:t>
            </w:r>
            <w:r>
              <w:rPr>
                <w:rFonts w:hint="eastAsia" w:ascii="宋体" w:hAnsi="宋体"/>
                <w:color w:val="auto"/>
                <w:highlight w:val="none"/>
              </w:rPr>
              <w:t xml:space="preserve">标</w:t>
            </w:r>
            <w:r>
              <w:rPr>
                <w:rFonts w:ascii="宋体" w:hAnsi="宋体"/>
                <w:color w:val="auto"/>
                <w:highlight w:val="none"/>
              </w:rPr>
              <w:t xml:space="preserve">基准价，</w:t>
            </w:r>
            <w:r>
              <w:rPr>
                <w:rFonts w:hint="eastAsia" w:ascii="宋体" w:hAnsi="宋体"/>
                <w:color w:val="auto"/>
                <w:highlight w:val="none"/>
              </w:rPr>
              <w:t xml:space="preserve">得满分3</w:t>
            </w:r>
            <w:r>
              <w:rPr>
                <w:rFonts w:ascii="宋体" w:hAnsi="宋体"/>
                <w:color w:val="auto"/>
                <w:highlight w:val="none"/>
              </w:rPr>
              <w:t xml:space="preserve">0分</w:t>
            </w:r>
            <w:r>
              <w:rPr>
                <w:rFonts w:hint="eastAsia" w:ascii="宋体" w:hAnsi="宋体"/>
                <w:color w:val="auto"/>
                <w:highlight w:val="none"/>
              </w:rPr>
              <w:t xml:space="preserve">，</w:t>
            </w:r>
            <w:r>
              <w:rPr>
                <w:rFonts w:ascii="宋体" w:hAnsi="宋体"/>
                <w:color w:val="auto"/>
                <w:highlight w:val="none"/>
              </w:rPr>
              <w:t xml:space="preserve">其他报价得分=(评</w:t>
            </w:r>
            <w:r>
              <w:rPr>
                <w:rFonts w:hint="eastAsia" w:ascii="宋体" w:hAnsi="宋体"/>
                <w:color w:val="auto"/>
                <w:highlight w:val="none"/>
              </w:rPr>
              <w:t xml:space="preserve">标</w:t>
            </w:r>
            <w:r>
              <w:rPr>
                <w:rFonts w:ascii="宋体" w:hAnsi="宋体"/>
                <w:color w:val="auto"/>
                <w:highlight w:val="none"/>
              </w:rPr>
              <w:t xml:space="preserve">基准价／</w:t>
            </w:r>
            <w:r>
              <w:rPr>
                <w:rFonts w:hint="eastAsia" w:ascii="宋体" w:hAnsi="宋体"/>
                <w:color w:val="auto"/>
                <w:highlight w:val="none"/>
              </w:rPr>
              <w:t xml:space="preserve">其他投标</w:t>
            </w:r>
            <w:r>
              <w:rPr>
                <w:rFonts w:ascii="宋体" w:hAnsi="宋体"/>
                <w:color w:val="auto"/>
                <w:highlight w:val="none"/>
              </w:rPr>
              <w:t xml:space="preserve">报价)×</w:t>
            </w:r>
            <w:r>
              <w:rPr>
                <w:rFonts w:hint="eastAsia" w:ascii="宋体" w:hAnsi="宋体"/>
                <w:color w:val="auto"/>
                <w:highlight w:val="none"/>
              </w:rPr>
              <w:t xml:space="preserve">3</w:t>
            </w:r>
            <w:r>
              <w:rPr>
                <w:rFonts w:ascii="宋体" w:hAnsi="宋体"/>
                <w:color w:val="auto"/>
                <w:highlight w:val="none"/>
              </w:rPr>
              <w:t xml:space="preserve">0×</w:t>
            </w:r>
            <w:r>
              <w:rPr>
                <w:rFonts w:hint="eastAsia" w:ascii="宋体" w:hAnsi="宋体"/>
                <w:color w:val="auto"/>
                <w:highlight w:val="none"/>
              </w:rPr>
              <w:t xml:space="preserve">100%</w:t>
            </w:r>
            <w:r>
              <w:rPr>
                <w:rFonts w:hint="eastAsia" w:ascii="宋体" w:hAnsi="宋体" w:cs="宋体"/>
                <w:bCs/>
                <w:color w:val="auto"/>
                <w:highlight w:val="none"/>
              </w:rPr>
              <w:t xml:space="preserve">（保留两位小数）。</w:t>
            </w:r>
            <w:r/>
          </w:p>
        </w:tc>
      </w:tr>
      <w:tr>
        <w:trPr>
          <w:trHeight w:val="1179"/>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widowControl/>
              <w:rPr>
                <w:rFonts w:ascii="Times New Roman" w:hAnsi="Times New Roman"/>
                <w:color w:val="auto"/>
                <w:highlight w:val="none"/>
              </w:rPr>
            </w:pPr>
            <w:r>
              <w:rPr>
                <w:rFonts w:ascii="Times New Roman" w:hAnsi="Times New Roman"/>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jc w:val="center"/>
              <w:widowControl/>
              <w:rPr>
                <w:rFonts w:ascii="Times New Roman" w:hAnsi="Times New Roman"/>
                <w:color w:val="auto"/>
                <w:highlight w:val="none"/>
              </w:rPr>
            </w:pPr>
            <w:r>
              <w:rPr>
                <w:rFonts w:ascii="Times New Roman" w:hAnsi="Times New Roman"/>
                <w:color w:val="auto"/>
                <w:highlight w:val="none"/>
              </w:rPr>
              <w:t xml:space="preserve">技术性能</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Times New Roman" w:hAnsi="Times New Roman"/>
                <w:color w:val="auto"/>
                <w:highlight w:val="none"/>
              </w:rPr>
            </w:pPr>
            <w:r>
              <w:rPr>
                <w:rFonts w:hint="eastAsia" w:ascii="Times New Roman" w:hAnsi="Times New Roman"/>
                <w:color w:val="auto"/>
                <w:highlight w:val="none"/>
              </w:rPr>
              <w:t xml:space="preserve">60</w:t>
            </w:r>
            <w:r/>
          </w:p>
        </w:tc>
        <w:tc>
          <w:tcPr>
            <w:tcBorders>
              <w:top w:val="single" w:color="auto" w:sz="4" w:space="0"/>
              <w:left w:val="none" w:color="000000" w:sz="4" w:space="0"/>
              <w:bottom w:val="single" w:color="auto" w:sz="4" w:space="0"/>
              <w:right w:val="single" w:color="auto" w:sz="4" w:space="0"/>
            </w:tcBorders>
            <w:tcW w:w="6520" w:type="dxa"/>
            <w:vAlign w:val="center"/>
            <w:textDirection w:val="lrTb"/>
            <w:noWrap w:val="false"/>
          </w:tcPr>
          <w:p>
            <w:pPr>
              <w:pStyle w:val="878"/>
              <w:ind w:left="0" w:right="-105"/>
              <w:jc w:val="left"/>
              <w:spacing w:line="0" w:lineRule="atLeast"/>
              <w:tabs>
                <w:tab w:val="left" w:pos="360" w:leader="none"/>
              </w:tabs>
              <w:rPr>
                <w:rFonts w:hint="default" w:ascii="Times New Roman" w:hAnsi="Times New Roman" w:eastAsia="宋体"/>
                <w:color w:val="auto"/>
                <w:highlight w:val="none"/>
                <w:lang w:val="en-US" w:eastAsia="zh-CN"/>
              </w:rPr>
              <w:outlineLvl w:val="0"/>
            </w:pPr>
            <w:r>
              <w:rPr>
                <w:rFonts w:ascii="Times New Roman" w:hAnsi="Times New Roman"/>
                <w:color w:val="auto"/>
                <w:highlight w:val="none"/>
              </w:rPr>
              <w:t xml:space="preserve">根据投标产品规格、技术参数及要求与招标文件的响应程度</w:t>
            </w:r>
            <w:r>
              <w:rPr>
                <w:rFonts w:hint="eastAsia" w:ascii="Times New Roman" w:hAnsi="Times New Roman"/>
                <w:color w:val="auto"/>
                <w:highlight w:val="none"/>
              </w:rPr>
              <w:t xml:space="preserve">进行</w:t>
            </w:r>
            <w:r>
              <w:rPr>
                <w:rFonts w:ascii="Times New Roman" w:hAnsi="Times New Roman"/>
                <w:color w:val="auto"/>
                <w:highlight w:val="none"/>
              </w:rPr>
              <w:t xml:space="preserve">打分：</w:t>
            </w:r>
            <w:r>
              <w:rPr>
                <w:rFonts w:hint="eastAsia" w:ascii="宋体" w:hAnsi="宋体" w:cs="宋体"/>
                <w:color w:val="auto"/>
                <w:highlight w:val="none"/>
              </w:rPr>
              <w:t xml:space="preserve">带</w:t>
            </w:r>
            <w:r>
              <w:rPr>
                <w:rFonts w:ascii="Times New Roman" w:hAnsi="Times New Roman"/>
                <w:color w:val="auto"/>
                <w:highlight w:val="none"/>
              </w:rPr>
              <w:t xml:space="preserve">★号项</w:t>
            </w:r>
            <w:r>
              <w:rPr>
                <w:rFonts w:hint="eastAsia" w:ascii="Times New Roman" w:hAnsi="Times New Roman"/>
                <w:color w:val="auto"/>
                <w:highlight w:val="none"/>
              </w:rPr>
              <w:t xml:space="preserve">参数每满足一</w:t>
            </w:r>
            <w:r>
              <w:rPr>
                <w:rFonts w:hint="eastAsia" w:ascii="Times New Roman" w:hAnsi="Times New Roman"/>
                <w:color w:val="auto"/>
                <w:highlight w:val="none"/>
                <w:lang w:val="en-US" w:eastAsia="zh-CN"/>
              </w:rPr>
              <w:t xml:space="preserve">条</w:t>
            </w:r>
            <w:r>
              <w:rPr>
                <w:rFonts w:hint="eastAsia" w:ascii="Times New Roman" w:hAnsi="Times New Roman"/>
                <w:color w:val="auto"/>
                <w:highlight w:val="none"/>
              </w:rPr>
              <w:t xml:space="preserve">加4分；其他参数每满足一</w:t>
            </w:r>
            <w:r>
              <w:rPr>
                <w:rFonts w:hint="eastAsia" w:ascii="Times New Roman" w:hAnsi="Times New Roman"/>
                <w:color w:val="auto"/>
                <w:highlight w:val="none"/>
                <w:lang w:val="en-US" w:eastAsia="zh-CN"/>
              </w:rPr>
              <w:t xml:space="preserve">条</w:t>
            </w:r>
            <w:r>
              <w:rPr>
                <w:rFonts w:hint="eastAsia" w:ascii="Times New Roman" w:hAnsi="Times New Roman"/>
                <w:color w:val="auto"/>
                <w:highlight w:val="none"/>
              </w:rPr>
              <w:t xml:space="preserve">加2分；满分60分。斜体且有下划线部分为实质性要求</w:t>
            </w:r>
            <w:r>
              <w:rPr>
                <w:rFonts w:hint="eastAsia" w:ascii="Times New Roman" w:hAnsi="Times New Roman"/>
                <w:color w:val="auto"/>
                <w:highlight w:val="none"/>
                <w:lang w:eastAsia="zh-CN"/>
              </w:rPr>
              <w:t xml:space="preserve">，</w:t>
            </w:r>
            <w:r>
              <w:rPr>
                <w:rFonts w:hint="eastAsia" w:ascii="Times New Roman" w:hAnsi="Times New Roman"/>
                <w:color w:val="auto"/>
                <w:highlight w:val="none"/>
                <w:lang w:val="en-US" w:eastAsia="zh-CN"/>
              </w:rPr>
              <w:t xml:space="preserve">不参与打分。</w:t>
            </w:r>
            <w:r/>
          </w:p>
          <w:p>
            <w:pPr>
              <w:pStyle w:val="878"/>
              <w:ind w:left="0" w:right="-105"/>
              <w:jc w:val="left"/>
              <w:spacing w:line="0" w:lineRule="atLeast"/>
              <w:tabs>
                <w:tab w:val="left" w:pos="360" w:leader="none"/>
              </w:tabs>
              <w:rPr>
                <w:rFonts w:ascii="Times New Roman" w:hAnsi="Times New Roman"/>
                <w:color w:val="auto"/>
                <w:highlight w:val="none"/>
              </w:rPr>
              <w:outlineLvl w:val="0"/>
            </w:pPr>
            <w:r>
              <w:rPr>
                <w:rFonts w:hint="eastAsia" w:ascii="Times New Roman" w:hAnsi="Times New Roman"/>
                <w:color w:val="auto"/>
                <w:highlight w:val="none"/>
              </w:rPr>
              <w:t xml:space="preserve">（</w:t>
            </w:r>
            <w:r>
              <w:rPr>
                <w:rFonts w:hint="eastAsia" w:ascii="宋体" w:hAnsi="宋体" w:cs="宋体"/>
                <w:color w:val="auto"/>
                <w:highlight w:val="none"/>
                <w:lang w:val="en-US" w:eastAsia="zh-CN"/>
              </w:rPr>
              <w:t xml:space="preserve">技术</w:t>
            </w:r>
            <w:r>
              <w:rPr>
                <w:rFonts w:hint="eastAsia" w:ascii="宋体" w:hAnsi="宋体" w:cs="宋体"/>
                <w:color w:val="auto"/>
                <w:highlight w:val="none"/>
              </w:rPr>
              <w:t xml:space="preserve">参数有具体要求的按招标文件提供证明材料，未要求的</w:t>
            </w:r>
            <w:r>
              <w:rPr>
                <w:rFonts w:hint="eastAsia" w:ascii="Times New Roman" w:hAnsi="Times New Roman"/>
                <w:color w:val="auto"/>
                <w:highlight w:val="none"/>
              </w:rPr>
              <w:t xml:space="preserve">提供技术参数响应及偏离表</w:t>
            </w:r>
            <w:r>
              <w:rPr>
                <w:rFonts w:hint="eastAsia" w:ascii="宋体" w:hAnsi="宋体" w:cs="宋体"/>
                <w:color w:val="auto"/>
                <w:highlight w:val="none"/>
              </w:rPr>
              <w:t xml:space="preserve">，未提供或负偏离的不得分。）</w:t>
            </w:r>
            <w:r/>
          </w:p>
        </w:tc>
      </w:tr>
      <w:tr>
        <w:trPr>
          <w:trHeight w:val="831"/>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widowControl/>
              <w:rPr>
                <w:rFonts w:ascii="Times New Roman" w:hAnsi="Times New Roman"/>
                <w:color w:val="auto"/>
                <w:highlight w:val="none"/>
              </w:rPr>
            </w:pPr>
            <w:r>
              <w:rPr>
                <w:rFonts w:ascii="Times New Roman" w:hAnsi="Times New Roman"/>
                <w:color w:val="auto"/>
                <w:highlight w:val="none"/>
              </w:rPr>
              <w:t xml:space="preserve">3</w:t>
            </w:r>
            <w:r/>
          </w:p>
        </w:tc>
        <w:tc>
          <w:tcPr>
            <w:tcBorders>
              <w:top w:val="single" w:color="auto" w:sz="4" w:space="0"/>
              <w:left w:val="none" w:color="000000" w:sz="4" w:space="0"/>
              <w:bottom w:val="single" w:color="auto" w:sz="4" w:space="0"/>
              <w:right w:val="single" w:color="auto" w:sz="4" w:space="0"/>
            </w:tcBorders>
            <w:tcW w:w="1204" w:type="dxa"/>
            <w:vAlign w:val="center"/>
            <w:textDirection w:val="lrTb"/>
            <w:noWrap w:val="false"/>
          </w:tcPr>
          <w:p>
            <w:pPr>
              <w:jc w:val="center"/>
              <w:widowControl/>
              <w:rPr>
                <w:rFonts w:ascii="Times New Roman" w:hAnsi="Times New Roman"/>
                <w:color w:val="auto"/>
                <w:highlight w:val="none"/>
              </w:rPr>
            </w:pPr>
            <w:r>
              <w:rPr>
                <w:rFonts w:ascii="Times New Roman" w:hAnsi="Times New Roman"/>
                <w:color w:val="auto"/>
                <w:highlight w:val="none"/>
              </w:rPr>
              <w:t xml:space="preserve">类似业绩</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Times New Roman" w:hAnsi="Times New Roman"/>
                <w:color w:val="auto"/>
                <w:highlight w:val="none"/>
              </w:rPr>
            </w:pPr>
            <w:r>
              <w:rPr>
                <w:rFonts w:hint="eastAsia" w:ascii="Times New Roman" w:hAnsi="Times New Roman"/>
                <w:color w:val="auto"/>
                <w:highlight w:val="none"/>
              </w:rPr>
              <w:t xml:space="preserve">6</w:t>
            </w:r>
            <w:r/>
          </w:p>
        </w:tc>
        <w:tc>
          <w:tcPr>
            <w:tcBorders>
              <w:top w:val="single" w:color="auto" w:sz="4" w:space="0"/>
              <w:left w:val="none" w:color="000000" w:sz="4" w:space="0"/>
              <w:bottom w:val="single" w:color="auto" w:sz="4" w:space="0"/>
              <w:right w:val="single" w:color="auto" w:sz="4" w:space="0"/>
            </w:tcBorders>
            <w:tcW w:w="6520" w:type="dxa"/>
            <w:vAlign w:val="center"/>
            <w:textDirection w:val="lrTb"/>
            <w:noWrap w:val="false"/>
          </w:tcPr>
          <w:p>
            <w:pPr>
              <w:spacing w:line="0" w:lineRule="atLeast"/>
              <w:widowControl/>
              <w:rPr>
                <w:rFonts w:ascii="Times New Roman" w:hAnsi="Times New Roman"/>
                <w:color w:val="auto"/>
                <w:highlight w:val="none"/>
              </w:rPr>
            </w:pPr>
            <w:r>
              <w:rPr>
                <w:rFonts w:ascii="Times New Roman" w:hAnsi="Times New Roman"/>
                <w:color w:val="auto"/>
                <w:highlight w:val="none"/>
              </w:rPr>
              <w:t xml:space="preserve">20</w:t>
            </w:r>
            <w:r>
              <w:rPr>
                <w:rFonts w:hint="eastAsia" w:ascii="Times New Roman" w:hAnsi="Times New Roman"/>
                <w:color w:val="auto"/>
                <w:highlight w:val="none"/>
              </w:rPr>
              <w:t xml:space="preserve">23</w:t>
            </w:r>
            <w:r>
              <w:rPr>
                <w:rFonts w:ascii="Times New Roman" w:hAnsi="Times New Roman"/>
                <w:color w:val="auto"/>
                <w:highlight w:val="none"/>
              </w:rPr>
              <w:t xml:space="preserve">年</w:t>
            </w:r>
            <w:r>
              <w:rPr>
                <w:rFonts w:hint="eastAsia" w:ascii="Times New Roman" w:hAnsi="Times New Roman"/>
                <w:color w:val="auto"/>
                <w:highlight w:val="none"/>
              </w:rPr>
              <w:t xml:space="preserve">1</w:t>
            </w:r>
            <w:r>
              <w:rPr>
                <w:rFonts w:ascii="Times New Roman" w:hAnsi="Times New Roman"/>
                <w:color w:val="auto"/>
                <w:highlight w:val="none"/>
              </w:rPr>
              <w:t xml:space="preserve">月</w:t>
            </w:r>
            <w:r>
              <w:rPr>
                <w:rFonts w:hint="eastAsia" w:ascii="Times New Roman" w:hAnsi="Times New Roman"/>
                <w:color w:val="auto"/>
                <w:highlight w:val="none"/>
              </w:rPr>
              <w:t xml:space="preserve">1日</w:t>
            </w:r>
            <w:r>
              <w:rPr>
                <w:rFonts w:ascii="Times New Roman" w:hAnsi="Times New Roman"/>
                <w:color w:val="auto"/>
                <w:highlight w:val="none"/>
              </w:rPr>
              <w:t xml:space="preserve">至今</w:t>
            </w:r>
            <w:r>
              <w:rPr>
                <w:rFonts w:hint="eastAsia" w:ascii="Times New Roman" w:hAnsi="Times New Roman"/>
                <w:color w:val="auto"/>
                <w:highlight w:val="none"/>
              </w:rPr>
              <w:t xml:space="preserve">，投标单位承担过</w:t>
            </w:r>
            <w:r>
              <w:rPr>
                <w:rFonts w:ascii="Times New Roman" w:hAnsi="Times New Roman"/>
                <w:color w:val="auto"/>
                <w:highlight w:val="none"/>
              </w:rPr>
              <w:t xml:space="preserve">类似项目业绩，每</w:t>
            </w:r>
            <w:r>
              <w:rPr>
                <w:rFonts w:hint="eastAsia" w:ascii="Times New Roman" w:hAnsi="Times New Roman"/>
                <w:color w:val="auto"/>
                <w:highlight w:val="none"/>
              </w:rPr>
              <w:t xml:space="preserve">提供一</w:t>
            </w:r>
            <w:r>
              <w:rPr>
                <w:rFonts w:ascii="Times New Roman" w:hAnsi="Times New Roman"/>
                <w:color w:val="auto"/>
                <w:highlight w:val="none"/>
              </w:rPr>
              <w:t xml:space="preserve">个合同得2分，满分6分。（</w:t>
            </w:r>
            <w:r>
              <w:rPr>
                <w:rFonts w:hint="eastAsia" w:ascii="Times New Roman" w:hAnsi="Times New Roman"/>
                <w:color w:val="auto"/>
                <w:highlight w:val="none"/>
              </w:rPr>
              <w:t xml:space="preserve">时间以合同签订时间为准，</w:t>
            </w:r>
            <w:r>
              <w:rPr>
                <w:rFonts w:ascii="Times New Roman" w:hAnsi="Times New Roman"/>
                <w:color w:val="auto"/>
                <w:highlight w:val="none"/>
              </w:rPr>
              <w:t xml:space="preserve">提供合同</w:t>
            </w:r>
            <w:r>
              <w:rPr>
                <w:rFonts w:hint="eastAsia" w:ascii="Times New Roman" w:hAnsi="Times New Roman"/>
                <w:color w:val="auto"/>
                <w:highlight w:val="none"/>
              </w:rPr>
              <w:t xml:space="preserve">原件扫描上传</w:t>
            </w:r>
            <w:r>
              <w:rPr>
                <w:rFonts w:ascii="Times New Roman" w:hAnsi="Times New Roman"/>
                <w:color w:val="auto"/>
                <w:highlight w:val="none"/>
              </w:rPr>
              <w:t xml:space="preserve">）</w:t>
            </w:r>
            <w:r/>
          </w:p>
        </w:tc>
      </w:tr>
      <w:tr>
        <w:trPr>
          <w:trHeight w:val="1321"/>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widowControl/>
              <w:rPr>
                <w:rFonts w:ascii="Times New Roman" w:hAnsi="Times New Roman"/>
                <w:color w:val="auto"/>
                <w:highlight w:val="none"/>
              </w:rPr>
            </w:pPr>
            <w:r>
              <w:rPr>
                <w:rFonts w:ascii="Times New Roman" w:hAnsi="Times New Roman"/>
                <w:color w:val="auto"/>
                <w:highlight w:val="none"/>
              </w:rPr>
              <w:t xml:space="preserve">4</w:t>
            </w:r>
            <w:r/>
          </w:p>
        </w:tc>
        <w:tc>
          <w:tcPr>
            <w:tcBorders>
              <w:top w:val="single" w:color="auto" w:sz="4" w:space="0"/>
              <w:left w:val="none" w:color="000000" w:sz="4" w:space="0"/>
              <w:bottom w:val="single" w:color="auto" w:sz="4" w:space="0"/>
              <w:right w:val="single" w:color="auto" w:sz="4" w:space="0"/>
            </w:tcBorders>
            <w:tcW w:w="1204" w:type="dxa"/>
            <w:vAlign w:val="center"/>
            <w:textDirection w:val="lrTb"/>
            <w:noWrap w:val="false"/>
          </w:tcPr>
          <w:p>
            <w:pPr>
              <w:jc w:val="center"/>
              <w:widowControl/>
              <w:rPr>
                <w:rFonts w:ascii="Times New Roman" w:hAnsi="Times New Roman"/>
                <w:color w:val="auto"/>
                <w:highlight w:val="none"/>
              </w:rPr>
            </w:pPr>
            <w:r>
              <w:rPr>
                <w:rFonts w:ascii="Times New Roman" w:hAnsi="Times New Roman"/>
                <w:color w:val="auto"/>
                <w:highlight w:val="none"/>
              </w:rPr>
              <w:t xml:space="preserve">售后服务</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Times New Roman" w:hAnsi="Times New Roman"/>
                <w:color w:val="auto"/>
                <w:highlight w:val="none"/>
              </w:rPr>
            </w:pPr>
            <w:r>
              <w:rPr>
                <w:rFonts w:hint="eastAsia" w:ascii="Times New Roman" w:hAnsi="Times New Roman"/>
                <w:color w:val="auto"/>
                <w:highlight w:val="none"/>
              </w:rPr>
              <w:t xml:space="preserve">4</w:t>
            </w:r>
            <w:r/>
          </w:p>
        </w:tc>
        <w:tc>
          <w:tcPr>
            <w:tcBorders>
              <w:top w:val="single" w:color="auto" w:sz="4" w:space="0"/>
              <w:left w:val="none" w:color="000000" w:sz="4" w:space="0"/>
              <w:bottom w:val="single" w:color="auto" w:sz="4" w:space="0"/>
              <w:right w:val="single" w:color="auto" w:sz="4" w:space="0"/>
            </w:tcBorders>
            <w:tcW w:w="6520" w:type="dxa"/>
            <w:vAlign w:val="center"/>
            <w:textDirection w:val="lrTb"/>
            <w:noWrap w:val="false"/>
          </w:tcPr>
          <w:p>
            <w:pPr>
              <w:spacing w:line="0" w:lineRule="atLeast"/>
              <w:widowControl/>
              <w:rPr>
                <w:rFonts w:ascii="Times New Roman" w:hAnsi="Times New Roman"/>
                <w:color w:val="auto"/>
                <w:highlight w:val="none"/>
              </w:rPr>
            </w:pPr>
            <w:r>
              <w:rPr>
                <w:rFonts w:ascii="Times New Roman" w:hAnsi="Times New Roman"/>
                <w:color w:val="auto"/>
                <w:highlight w:val="none"/>
              </w:rPr>
              <w:t xml:space="preserve">根据投标</w:t>
            </w:r>
            <w:r>
              <w:rPr>
                <w:rFonts w:hint="eastAsia" w:ascii="Times New Roman" w:hAnsi="Times New Roman"/>
                <w:color w:val="auto"/>
                <w:highlight w:val="none"/>
              </w:rPr>
              <w:t xml:space="preserve">单位</w:t>
            </w:r>
            <w:r>
              <w:rPr>
                <w:rFonts w:ascii="Times New Roman" w:hAnsi="Times New Roman"/>
                <w:color w:val="auto"/>
                <w:highlight w:val="none"/>
              </w:rPr>
              <w:t xml:space="preserve">售后服务方案进行评分</w:t>
            </w:r>
            <w:r>
              <w:rPr>
                <w:rFonts w:hint="eastAsia" w:ascii="Times New Roman" w:hAnsi="Times New Roman"/>
                <w:color w:val="auto"/>
                <w:highlight w:val="none"/>
              </w:rPr>
              <w:t xml:space="preserve">，</w:t>
            </w:r>
            <w:r>
              <w:rPr>
                <w:rFonts w:ascii="Times New Roman" w:hAnsi="Times New Roman"/>
                <w:color w:val="auto"/>
                <w:highlight w:val="none"/>
              </w:rPr>
              <w:t xml:space="preserve">主要包括</w:t>
            </w:r>
            <w:r>
              <w:rPr>
                <w:rFonts w:hint="eastAsia" w:ascii="Times New Roman" w:hAnsi="Times New Roman"/>
                <w:color w:val="auto"/>
                <w:highlight w:val="none"/>
              </w:rPr>
              <w:t xml:space="preserve">：</w:t>
            </w:r>
            <w:r>
              <w:rPr>
                <w:rFonts w:ascii="Times New Roman" w:hAnsi="Times New Roman"/>
                <w:color w:val="auto"/>
                <w:highlight w:val="none"/>
              </w:rPr>
              <w:t xml:space="preserve">售后服务组织是否健全</w:t>
            </w:r>
            <w:r>
              <w:rPr>
                <w:rFonts w:hint="eastAsia" w:ascii="Times New Roman" w:hAnsi="Times New Roman"/>
                <w:color w:val="auto"/>
                <w:highlight w:val="none"/>
              </w:rPr>
              <w:t xml:space="preserve">，</w:t>
            </w:r>
            <w:r>
              <w:rPr>
                <w:rFonts w:ascii="Times New Roman" w:hAnsi="Times New Roman"/>
                <w:color w:val="auto"/>
                <w:highlight w:val="none"/>
              </w:rPr>
              <w:t xml:space="preserve">服务质量能否满足用户需要</w:t>
            </w:r>
            <w:r>
              <w:rPr>
                <w:rFonts w:hint="eastAsia" w:ascii="Times New Roman" w:hAnsi="Times New Roman"/>
                <w:color w:val="auto"/>
                <w:highlight w:val="none"/>
              </w:rPr>
              <w:t xml:space="preserve">，</w:t>
            </w:r>
            <w:r>
              <w:rPr>
                <w:rFonts w:ascii="Times New Roman" w:hAnsi="Times New Roman"/>
                <w:color w:val="auto"/>
                <w:highlight w:val="none"/>
              </w:rPr>
              <w:t xml:space="preserve">出现紧急情况时</w:t>
            </w:r>
            <w:r>
              <w:rPr>
                <w:rFonts w:hint="eastAsia" w:ascii="Times New Roman" w:hAnsi="Times New Roman"/>
                <w:color w:val="auto"/>
                <w:highlight w:val="none"/>
              </w:rPr>
              <w:t xml:space="preserve">，</w:t>
            </w:r>
            <w:r>
              <w:rPr>
                <w:rFonts w:ascii="Times New Roman" w:hAnsi="Times New Roman"/>
                <w:color w:val="auto"/>
                <w:highlight w:val="none"/>
              </w:rPr>
              <w:t xml:space="preserve">满足用户需求的技术支持能否及时、技术支持能否得到保证等，</w:t>
            </w:r>
            <w:r>
              <w:rPr>
                <w:rFonts w:hint="eastAsia" w:ascii="宋体" w:hAnsi="宋体" w:cs="宋体"/>
                <w:color w:val="auto"/>
                <w:highlight w:val="none"/>
              </w:rPr>
              <w:t xml:space="preserve">①</w:t>
            </w:r>
            <w:r>
              <w:rPr>
                <w:rFonts w:hint="eastAsia" w:ascii="Times New Roman" w:hAnsi="Times New Roman"/>
                <w:color w:val="auto"/>
                <w:highlight w:val="none"/>
              </w:rPr>
              <w:t xml:space="preserve">方案科学合理、可行性强的得4分；</w:t>
            </w:r>
            <w:r>
              <w:rPr>
                <w:rFonts w:hint="eastAsia" w:ascii="宋体" w:hAnsi="宋体" w:cs="宋体"/>
                <w:color w:val="auto"/>
                <w:highlight w:val="none"/>
              </w:rPr>
              <w:t xml:space="preserve">②</w:t>
            </w:r>
            <w:r>
              <w:rPr>
                <w:rFonts w:hint="eastAsia" w:ascii="Times New Roman" w:hAnsi="Times New Roman"/>
                <w:color w:val="auto"/>
                <w:highlight w:val="none"/>
              </w:rPr>
              <w:t xml:space="preserve">方案较合理、可行性一般的得2分；</w:t>
            </w:r>
            <w:r>
              <w:rPr>
                <w:rFonts w:hint="eastAsia" w:ascii="宋体" w:hAnsi="宋体" w:cs="宋体"/>
                <w:color w:val="auto"/>
                <w:highlight w:val="none"/>
              </w:rPr>
              <w:t xml:space="preserve">③</w:t>
            </w:r>
            <w:r>
              <w:rPr>
                <w:rFonts w:hint="eastAsia" w:ascii="Times New Roman" w:hAnsi="Times New Roman"/>
                <w:color w:val="auto"/>
                <w:highlight w:val="none"/>
              </w:rPr>
              <w:t xml:space="preserve">方案基本合理、可行性弱的得1分；</w:t>
            </w:r>
            <w:r>
              <w:rPr>
                <w:rFonts w:hint="eastAsia" w:ascii="宋体" w:hAnsi="宋体" w:cs="宋体"/>
                <w:color w:val="auto"/>
                <w:highlight w:val="none"/>
              </w:rPr>
              <w:t xml:space="preserve">④</w:t>
            </w:r>
            <w:r>
              <w:rPr>
                <w:rFonts w:hint="eastAsia" w:ascii="Times New Roman" w:hAnsi="Times New Roman"/>
                <w:color w:val="auto"/>
                <w:highlight w:val="none"/>
              </w:rPr>
              <w:t xml:space="preserve">未提供不得分</w:t>
            </w:r>
            <w:r>
              <w:rPr>
                <w:rFonts w:ascii="Times New Roman" w:hAnsi="Times New Roman"/>
                <w:color w:val="auto"/>
                <w:highlight w:val="none"/>
              </w:rPr>
              <w:t xml:space="preserve">。</w:t>
            </w:r>
            <w:r/>
          </w:p>
        </w:tc>
      </w:tr>
      <w:tr>
        <w:trPr>
          <w:trHeight w:val="607"/>
        </w:trPr>
        <w:tc>
          <w:tcPr>
            <w:gridSpan w:val="2"/>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jc w:val="center"/>
              <w:widowControl/>
              <w:rPr>
                <w:rFonts w:ascii="Times New Roman" w:hAnsi="Times New Roman"/>
                <w:b/>
                <w:bCs/>
                <w:color w:val="auto"/>
                <w:highlight w:val="none"/>
              </w:rPr>
            </w:pPr>
            <w:r>
              <w:rPr>
                <w:rFonts w:ascii="Times New Roman" w:hAnsi="Times New Roman"/>
                <w:b/>
                <w:bCs/>
                <w:color w:val="auto"/>
                <w:highlight w:val="none"/>
              </w:rPr>
              <w:t xml:space="preserve">合计</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Times New Roman" w:hAnsi="Times New Roman"/>
                <w:b/>
                <w:bCs/>
                <w:color w:val="auto"/>
                <w:highlight w:val="none"/>
              </w:rPr>
            </w:pPr>
            <w:r>
              <w:rPr>
                <w:rFonts w:ascii="Times New Roman" w:hAnsi="Times New Roman"/>
                <w:b/>
                <w:bCs/>
                <w:color w:val="auto"/>
                <w:highlight w:val="none"/>
              </w:rPr>
              <w:t xml:space="preserve">100</w:t>
            </w:r>
            <w:r/>
          </w:p>
        </w:tc>
        <w:tc>
          <w:tcPr>
            <w:tcBorders>
              <w:top w:val="single" w:color="auto" w:sz="4" w:space="0"/>
              <w:left w:val="none" w:color="000000" w:sz="4" w:space="0"/>
              <w:bottom w:val="single" w:color="auto" w:sz="4" w:space="0"/>
              <w:right w:val="single" w:color="auto" w:sz="4" w:space="0"/>
            </w:tcBorders>
            <w:tcW w:w="6520" w:type="dxa"/>
            <w:vAlign w:val="center"/>
            <w:textDirection w:val="lrTb"/>
            <w:noWrap w:val="false"/>
          </w:tcPr>
          <w:p>
            <w:pPr>
              <w:jc w:val="left"/>
              <w:widowControl/>
              <w:rPr>
                <w:rFonts w:ascii="Times New Roman" w:hAnsi="Times New Roman"/>
                <w:color w:val="auto"/>
                <w:highlight w:val="none"/>
              </w:rPr>
            </w:pPr>
            <w:r>
              <w:rPr>
                <w:rFonts w:ascii="Times New Roman" w:hAnsi="Times New Roman"/>
                <w:color w:val="auto"/>
                <w:highlight w:val="none"/>
              </w:rPr>
            </w:r>
            <w:r/>
          </w:p>
        </w:tc>
      </w:tr>
    </w:tbl>
    <w:p>
      <w:pPr>
        <w:rPr>
          <w:color w:val="auto"/>
          <w:highlight w:val="none"/>
        </w:rPr>
      </w:pPr>
      <w:r>
        <w:rPr>
          <w:color w:val="auto"/>
          <w:highlight w:val="none"/>
        </w:rPr>
      </w:r>
      <w:r/>
    </w:p>
    <w:p>
      <w:pPr>
        <w:rPr>
          <w:color w:val="auto"/>
          <w:highlight w:val="none"/>
        </w:rPr>
      </w:pPr>
      <w:r>
        <w:rPr>
          <w:rFonts w:hint="eastAsia" w:ascii="宋体" w:hAnsi="宋体"/>
          <w:color w:val="auto"/>
          <w:szCs w:val="21"/>
          <w:highlight w:val="none"/>
        </w:rPr>
        <w:t xml:space="preserve">注：评委应对以上各得分项独立评分，</w:t>
      </w:r>
      <w:r>
        <w:rPr>
          <w:rFonts w:hint="eastAsia"/>
          <w:color w:val="auto"/>
          <w:highlight w:val="none"/>
        </w:rPr>
        <w:t xml:space="preserve">投标人最终得分为所有评委评分汇总的平均值。</w:t>
      </w:r>
      <w:r/>
    </w:p>
    <w:p>
      <w:pPr>
        <w:rPr>
          <w:rFonts w:hint="eastAsia" w:ascii="宋体" w:hAnsi="宋体"/>
          <w:color w:val="auto"/>
          <w:highlight w:val="none"/>
        </w:rPr>
      </w:pPr>
      <w:r>
        <w:rPr>
          <w:rFonts w:hint="eastAsia" w:ascii="宋体" w:hAnsi="宋体"/>
          <w:color w:val="auto"/>
          <w:highlight w:val="none"/>
        </w:rPr>
      </w:r>
      <w:r/>
    </w:p>
    <w:p>
      <w:pPr>
        <w:rPr>
          <w:color w:val="auto"/>
          <w:highlight w:val="none"/>
        </w:rPr>
      </w:pPr>
      <w:r>
        <w:rPr>
          <w:color w:val="auto"/>
          <w:highlight w:val="none"/>
        </w:rPr>
        <w:br w:type="page" w:clear="all"/>
      </w:r>
      <w:r/>
    </w:p>
    <w:p>
      <w:pPr>
        <w:pStyle w:val="802"/>
        <w:jc w:val="center"/>
        <w:rPr>
          <w:rFonts w:hint="eastAsia" w:ascii="宋体" w:hAnsi="宋体"/>
          <w:color w:val="auto"/>
          <w:highlight w:val="none"/>
        </w:rPr>
      </w:pPr>
      <w:r>
        <w:rPr>
          <w:rFonts w:hint="eastAsia" w:ascii="宋体" w:hAnsi="宋体"/>
          <w:color w:val="auto"/>
          <w:highlight w:val="none"/>
        </w:rPr>
        <w:t xml:space="preserve"> 第六章 投标文件格式 </w:t>
      </w:r>
      <w:r/>
    </w:p>
    <w:p>
      <w:pPr>
        <w:rPr>
          <w:rFonts w:ascii="黑体" w:eastAsia="黑体"/>
          <w:bCs/>
          <w:color w:val="auto"/>
          <w:sz w:val="44"/>
          <w:highlight w:val="none"/>
        </w:rPr>
      </w:pPr>
      <w:r>
        <w:rPr>
          <w:rFonts w:ascii="黑体" w:eastAsia="黑体"/>
          <w:bCs/>
          <w:color w:val="auto"/>
          <w:sz w:val="4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hint="eastAsia"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rPr>
          <w:rFonts w:hint="eastAsia" w:ascii="宋体" w:hAnsi="宋体"/>
          <w:b/>
          <w:color w:val="auto"/>
          <w:sz w:val="36"/>
          <w:highlight w:val="none"/>
        </w:rPr>
      </w:pPr>
      <w:r>
        <w:rPr>
          <w:rFonts w:hint="eastAsia" w:ascii="宋体" w:hAnsi="宋体"/>
          <w:b/>
          <w:color w:val="auto"/>
          <w:sz w:val="36"/>
          <w:highlight w:val="none"/>
        </w:rPr>
      </w:r>
      <w:r/>
    </w:p>
    <w:p>
      <w:pPr>
        <w:pStyle w:val="827"/>
        <w:rPr>
          <w:color w:val="auto"/>
          <w:highlight w:val="none"/>
        </w:rPr>
      </w:pPr>
      <w:r>
        <w:rPr>
          <w:color w:val="auto"/>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ind w:firstLine="1084"/>
        <w:rPr>
          <w:rFonts w:hint="eastAsia"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hint="eastAsia"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rPr>
          <w:rFonts w:hint="eastAsia"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hint="eastAsia"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rPr>
          <w:rFonts w:hint="eastAsia" w:ascii="宋体" w:hAnsi="宋体"/>
          <w:b/>
          <w:color w:val="auto"/>
          <w:sz w:val="36"/>
          <w:highlight w:val="none"/>
        </w:rPr>
      </w:pPr>
      <w:r>
        <w:rPr>
          <w:rFonts w:hint="eastAsia" w:ascii="宋体" w:hAnsi="宋体"/>
          <w:b/>
          <w:color w:val="auto"/>
          <w:sz w:val="36"/>
          <w:highlight w:val="none"/>
        </w:rPr>
        <w:t xml:space="preserve">投  标  人 ：</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投标主要文件目录</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hint="eastAsia"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hint="eastAsia"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hint="eastAsia"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开标一览表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五、产品配置及分项报价表</w:t>
      </w:r>
      <w:r/>
    </w:p>
    <w:p>
      <w:pPr>
        <w:ind w:firstLine="480"/>
        <w:spacing w:line="360" w:lineRule="auto"/>
        <w:rPr>
          <w:rFonts w:hint="eastAsia" w:ascii="宋体" w:hAnsi="宋体"/>
          <w:color w:val="auto"/>
          <w:sz w:val="24"/>
          <w:highlight w:val="none"/>
        </w:rPr>
      </w:pPr>
      <w:r>
        <w:rPr>
          <w:rFonts w:hint="eastAsia" w:ascii="宋体" w:hAnsi="宋体" w:cs="Courier New"/>
          <w:color w:val="auto"/>
          <w:sz w:val="24"/>
          <w:szCs w:val="24"/>
          <w:highlight w:val="none"/>
        </w:rPr>
        <w:t xml:space="preserve">六、</w:t>
      </w:r>
      <w:r>
        <w:rPr>
          <w:rFonts w:hint="eastAsia" w:ascii="宋体" w:hAnsi="宋体"/>
          <w:color w:val="auto"/>
          <w:sz w:val="24"/>
          <w:highlight w:val="none"/>
        </w:rPr>
        <w:t xml:space="preserve">商务条款响应及偏离表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七、技术参数响应及偏离表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八、主要标的信息</w:t>
      </w:r>
      <w:r/>
    </w:p>
    <w:p>
      <w:pPr>
        <w:ind w:firstLine="480"/>
        <w:spacing w:line="360" w:lineRule="auto"/>
        <w:rPr>
          <w:color w:val="auto"/>
          <w:sz w:val="36"/>
          <w:szCs w:val="36"/>
          <w:highlight w:val="none"/>
        </w:rPr>
      </w:pPr>
      <w:r>
        <w:rPr>
          <w:rFonts w:hint="eastAsia" w:ascii="宋体" w:hAnsi="宋体"/>
          <w:color w:val="auto"/>
          <w:sz w:val="24"/>
          <w:highlight w:val="none"/>
        </w:rPr>
        <w:t xml:space="preserve">九、其他（投标人认为有必要提供的声明和文件，如有自拟并自行添加）</w:t>
      </w:r>
      <w:r/>
    </w:p>
    <w:p>
      <w:pPr>
        <w:contextualSpacing/>
        <w:jc w:val="center"/>
        <w:rPr>
          <w:rFonts w:hint="eastAsia" w:ascii="宋体" w:hAnsi="宋体"/>
          <w:b/>
          <w:color w:val="auto"/>
          <w:sz w:val="72"/>
          <w:highlight w:val="none"/>
        </w:rPr>
      </w:pPr>
      <w:r>
        <w:rPr>
          <w:rFonts w:hint="eastAsia" w:ascii="宋体" w:hAnsi="宋体"/>
          <w:b/>
          <w:color w:val="auto"/>
          <w:sz w:val="72"/>
          <w:highlight w:val="none"/>
        </w:rPr>
      </w:r>
      <w:r/>
    </w:p>
    <w:p>
      <w:pPr>
        <w:contextualSpacing/>
        <w:jc w:val="center"/>
        <w:spacing w:line="600" w:lineRule="exact"/>
        <w:rPr>
          <w:rFonts w:hint="eastAsia" w:ascii="宋体" w:hAnsi="宋体"/>
          <w:b/>
          <w:color w:val="auto"/>
          <w:sz w:val="72"/>
          <w:highlight w:val="none"/>
        </w:rPr>
      </w:pPr>
      <w:r>
        <w:rPr>
          <w:rFonts w:hint="eastAsia" w:ascii="宋体" w:hAnsi="宋体"/>
          <w:b/>
          <w:color w:val="auto"/>
          <w:sz w:val="72"/>
          <w:highlight w:val="none"/>
        </w:rPr>
      </w:r>
      <w:r/>
    </w:p>
    <w:p>
      <w:pPr>
        <w:contextualSpacing/>
        <w:jc w:val="center"/>
        <w:spacing w:line="600" w:lineRule="exact"/>
        <w:rPr>
          <w:rFonts w:hint="eastAsia" w:ascii="宋体" w:hAnsi="宋体"/>
          <w:b/>
          <w:color w:val="auto"/>
          <w:sz w:val="72"/>
          <w:highlight w:val="none"/>
        </w:rPr>
      </w:pPr>
      <w:r>
        <w:rPr>
          <w:rFonts w:hint="eastAsia" w:ascii="宋体" w:hAnsi="宋体"/>
          <w:b/>
          <w:color w:val="auto"/>
          <w:sz w:val="72"/>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803"/>
        <w:rPr>
          <w:rFonts w:hint="eastAsia" w:asciiTheme="minorEastAsia" w:hAnsiTheme="minorEastAsia" w:eastAsiaTheme="minorEastAsia"/>
          <w:b w:val="0"/>
          <w:color w:val="auto"/>
          <w:sz w:val="32"/>
          <w:szCs w:val="32"/>
          <w:highlight w:val="none"/>
        </w:rPr>
      </w:pPr>
      <w:r>
        <w:rPr>
          <w:rFonts w:hint="eastAsia" w:ascii="宋体" w:hAnsi="宋体"/>
          <w:color w:val="auto"/>
          <w:sz w:val="32"/>
          <w:szCs w:val="32"/>
          <w:highlight w:val="none"/>
        </w:rPr>
        <w:br w:type="page" w:clear="all"/>
      </w:r>
      <w:r>
        <w:rPr>
          <w:rFonts w:hint="eastAsia" w:asciiTheme="minorEastAsia" w:hAnsiTheme="minorEastAsia" w:eastAsiaTheme="minorEastAsia"/>
          <w:color w:val="auto"/>
          <w:sz w:val="32"/>
          <w:highlight w:val="none"/>
        </w:rPr>
        <w:t xml:space="preserve">一、资格审查响应对照表</w:t>
      </w:r>
      <w:r/>
    </w:p>
    <w:tbl>
      <w:tblPr>
        <w:tblStyle w:val="812"/>
        <w:tblW w:w="90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21"/>
        <w:gridCol w:w="5427"/>
        <w:gridCol w:w="1770"/>
        <w:gridCol w:w="1166"/>
      </w:tblGrid>
      <w:tr>
        <w:trPr>
          <w:trHeight w:val="64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（填是或者否）</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spacing w:line="240" w:lineRule="atLeast"/>
              <w:rPr>
                <w:rFonts w:hint="eastAsia" w:ascii="宋体" w:hAnsi="宋体"/>
                <w:b/>
                <w:color w:val="auto"/>
                <w:szCs w:val="21"/>
                <w:highlight w:val="none"/>
              </w:rPr>
            </w:pPr>
            <w:r>
              <w:rPr>
                <w:rFonts w:hint="eastAsia" w:ascii="宋体" w:hAnsi="宋体"/>
                <w:b/>
                <w:color w:val="auto"/>
                <w:szCs w:val="21"/>
                <w:highlight w:val="none"/>
              </w:rPr>
              <w:t xml:space="preserve">投标文件中的</w:t>
            </w:r>
            <w:r/>
          </w:p>
          <w:p>
            <w:pPr>
              <w:jc w:val="center"/>
              <w:spacing w:line="240" w:lineRule="atLeast"/>
              <w:rPr>
                <w:rFonts w:ascii="幼圆" w:eastAsia="幼圆"/>
                <w:b/>
                <w:color w:val="auto"/>
                <w:szCs w:val="21"/>
                <w:highlight w:val="none"/>
              </w:rPr>
            </w:pPr>
            <w:r>
              <w:rPr>
                <w:rFonts w:hint="eastAsia" w:ascii="宋体" w:hAnsi="宋体"/>
                <w:b/>
                <w:color w:val="auto"/>
                <w:szCs w:val="21"/>
                <w:highlight w:val="none"/>
              </w:rPr>
              <w:t xml:space="preserve">页码位置</w:t>
            </w:r>
            <w:r/>
          </w:p>
        </w:tc>
      </w:tr>
      <w:tr>
        <w:trPr>
          <w:trHeight w:val="335"/>
        </w:trPr>
        <w:tc>
          <w:tcPr>
            <w:gridSpan w:val="4"/>
            <w:tcBorders>
              <w:top w:val="single" w:color="auto" w:sz="4" w:space="0"/>
              <w:left w:val="single" w:color="auto" w:sz="4" w:space="0"/>
              <w:bottom w:val="single" w:color="auto" w:sz="4" w:space="0"/>
              <w:right w:val="single" w:color="auto" w:sz="4" w:space="0"/>
            </w:tcBorders>
            <w:tcW w:w="7864" w:type="dxa"/>
            <w:vAlign w:val="center"/>
            <w:textDirection w:val="lrTb"/>
            <w:noWrap w:val="false"/>
          </w:tcPr>
          <w:p>
            <w:pPr>
              <w:rPr>
                <w:rFonts w:hint="eastAsia" w:ascii="宋体" w:hAnsi="宋体"/>
                <w:b/>
                <w:color w:val="auto"/>
                <w:szCs w:val="21"/>
                <w:highlight w:val="none"/>
              </w:rPr>
            </w:pPr>
            <w:r>
              <w:rPr>
                <w:rFonts w:hint="eastAsia" w:ascii="宋体" w:hAnsi="宋体"/>
                <w:b/>
                <w:color w:val="auto"/>
                <w:szCs w:val="21"/>
                <w:highlight w:val="none"/>
              </w:rPr>
              <w:t xml:space="preserve">通用资格条件</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hint="eastAsia" w:ascii="宋体" w:hAnsi="宋体"/>
                <w:b/>
                <w:color w:val="auto"/>
                <w:szCs w:val="21"/>
                <w:highlight w:val="none"/>
              </w:rPr>
            </w:pPr>
            <w:r>
              <w:rPr>
                <w:rFonts w:hint="eastAsia" w:ascii="宋体" w:hAnsi="宋体"/>
                <w:b/>
                <w:color w:val="auto"/>
                <w:szCs w:val="21"/>
                <w:highlight w:val="none"/>
              </w:rPr>
            </w:r>
            <w:r/>
          </w:p>
        </w:tc>
      </w:tr>
      <w:tr>
        <w:trPr>
          <w:trHeight w:val="761"/>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spacing w:line="360" w:lineRule="auto"/>
              <w:rPr>
                <w:rFonts w:hint="eastAsia" w:ascii="宋体" w:hAnsi="宋体"/>
                <w:iCs/>
                <w:color w:val="auto"/>
                <w:szCs w:val="21"/>
                <w:highlight w:val="none"/>
              </w:rPr>
            </w:pPr>
            <w:r>
              <w:rPr>
                <w:rFonts w:hint="eastAsia" w:ascii="宋体" w:hAnsi="宋体" w:cs="宋体"/>
                <w:iCs/>
                <w:color w:val="auto"/>
                <w:szCs w:val="21"/>
                <w:highlight w:val="none"/>
              </w:rPr>
              <w:t xml:space="preserve">法人或者其他组织的营业执照等证明文件，自然人的身份证明（身份证为正、反面）</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hint="eastAsia" w:ascii="宋体" w:hAnsi="宋体"/>
                <w:b/>
                <w:color w:val="auto"/>
                <w:szCs w:val="21"/>
                <w:highlight w:val="none"/>
              </w:rPr>
            </w:pPr>
            <w:r>
              <w:rPr>
                <w:rFonts w:hint="eastAsia"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hint="eastAsia" w:ascii="宋体" w:hAnsi="宋体"/>
                <w:b/>
                <w:color w:val="auto"/>
                <w:szCs w:val="21"/>
                <w:highlight w:val="none"/>
              </w:rPr>
            </w:pPr>
            <w:r>
              <w:rPr>
                <w:rFonts w:hint="eastAsia" w:ascii="宋体" w:hAnsi="宋体"/>
                <w:b/>
                <w:color w:val="auto"/>
                <w:szCs w:val="21"/>
                <w:highlight w:val="none"/>
              </w:rPr>
            </w:r>
            <w:r/>
          </w:p>
        </w:tc>
      </w:tr>
      <w:tr>
        <w:trPr>
          <w:trHeight w:val="761"/>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spacing w:line="360" w:lineRule="auto"/>
              <w:rPr>
                <w:rFonts w:hint="eastAsia" w:ascii="宋体" w:hAnsi="宋体" w:cs="宋体"/>
                <w:b/>
                <w:bCs/>
                <w:iCs/>
                <w:color w:val="auto"/>
                <w:szCs w:val="21"/>
                <w:highlight w:val="none"/>
              </w:rPr>
            </w:pPr>
            <w:r>
              <w:rPr>
                <w:rFonts w:hint="eastAsia" w:ascii="宋体" w:hAnsi="宋体" w:cs="宋体"/>
                <w:iCs/>
                <w:color w:val="auto"/>
                <w:szCs w:val="21"/>
                <w:highlight w:val="none"/>
              </w:rPr>
              <w:t xml:space="preserve">依法缴纳职工社会保障资金的证明材料</w:t>
            </w:r>
            <w:r>
              <w:rPr>
                <w:rFonts w:hint="eastAsia" w:ascii="宋体" w:hAnsi="宋体" w:cs="宋体"/>
                <w:b/>
                <w:bCs/>
                <w:iCs/>
                <w:color w:val="auto"/>
                <w:szCs w:val="21"/>
                <w:highlight w:val="none"/>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hint="eastAsia" w:ascii="宋体" w:hAnsi="宋体"/>
                <w:b/>
                <w:color w:val="auto"/>
                <w:szCs w:val="21"/>
                <w:highlight w:val="none"/>
              </w:rPr>
            </w:pPr>
            <w:r>
              <w:rPr>
                <w:rFonts w:hint="eastAsia"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hint="eastAsia" w:ascii="宋体" w:hAnsi="宋体"/>
                <w:b/>
                <w:color w:val="auto"/>
                <w:szCs w:val="21"/>
                <w:highlight w:val="none"/>
              </w:rPr>
            </w:pPr>
            <w:r>
              <w:rPr>
                <w:rFonts w:hint="eastAsia" w:ascii="宋体" w:hAnsi="宋体"/>
                <w:b/>
                <w:color w:val="auto"/>
                <w:szCs w:val="21"/>
                <w:highlight w:val="none"/>
              </w:rPr>
            </w:r>
            <w:r/>
          </w:p>
        </w:tc>
      </w:tr>
      <w:tr>
        <w:trPr>
          <w:trHeight w:val="761"/>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3</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spacing w:line="360" w:lineRule="auto"/>
              <w:rPr>
                <w:rFonts w:hint="eastAsia" w:ascii="宋体" w:hAnsi="宋体"/>
                <w:iCs/>
                <w:color w:val="auto"/>
                <w:szCs w:val="21"/>
                <w:highlight w:val="none"/>
              </w:rPr>
            </w:pPr>
            <w:r>
              <w:rPr>
                <w:rFonts w:hint="eastAsia" w:ascii="宋体" w:hAnsi="宋体" w:cs="宋体"/>
                <w:iCs/>
                <w:color w:val="auto"/>
                <w:szCs w:val="21"/>
                <w:highlight w:val="none"/>
              </w:rPr>
              <w:t xml:space="preserve">供应商依法纳税的缴款凭证</w:t>
            </w:r>
            <w:r>
              <w:rPr>
                <w:rFonts w:hint="eastAsia" w:ascii="宋体" w:hAnsi="宋体" w:cs="宋体"/>
                <w:b/>
                <w:bCs/>
                <w:iCs/>
                <w:color w:val="auto"/>
                <w:szCs w:val="21"/>
                <w:highlight w:val="none"/>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hint="eastAsia" w:ascii="宋体" w:hAnsi="宋体"/>
                <w:b/>
                <w:color w:val="auto"/>
                <w:szCs w:val="21"/>
                <w:highlight w:val="none"/>
              </w:rPr>
            </w:pPr>
            <w:r>
              <w:rPr>
                <w:rFonts w:hint="eastAsia"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hint="eastAsia" w:ascii="宋体" w:hAnsi="宋体"/>
                <w:b/>
                <w:color w:val="auto"/>
                <w:szCs w:val="21"/>
                <w:highlight w:val="none"/>
              </w:rPr>
            </w:pPr>
            <w:r>
              <w:rPr>
                <w:rFonts w:hint="eastAsia" w:ascii="宋体" w:hAnsi="宋体"/>
                <w:b/>
                <w:color w:val="auto"/>
                <w:szCs w:val="21"/>
                <w:highlight w:val="none"/>
              </w:rPr>
            </w:r>
            <w:r/>
          </w:p>
        </w:tc>
      </w:tr>
      <w:tr>
        <w:trPr>
          <w:trHeight w:val="761"/>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4</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spacing w:line="360" w:lineRule="auto"/>
              <w:rPr>
                <w:rFonts w:hint="eastAsia" w:ascii="宋体" w:hAnsi="宋体" w:cs="宋体"/>
                <w:b/>
                <w:bCs/>
                <w:iCs/>
                <w:color w:val="auto"/>
                <w:szCs w:val="21"/>
                <w:highlight w:val="none"/>
              </w:rPr>
            </w:pPr>
            <w:r>
              <w:rPr>
                <w:rFonts w:hint="eastAsia" w:ascii="宋体" w:hAnsi="宋体" w:cs="宋体"/>
                <w:iCs/>
                <w:color w:val="auto"/>
                <w:szCs w:val="21"/>
                <w:highlight w:val="none"/>
              </w:rPr>
              <w:t xml:space="preserve">上一年度的财务报告情况(成立不满一年无需提供)</w:t>
            </w:r>
            <w:r>
              <w:rPr>
                <w:rFonts w:hint="eastAsia" w:ascii="宋体" w:hAnsi="宋体" w:cs="宋体"/>
                <w:b/>
                <w:bCs/>
                <w:iCs/>
                <w:color w:val="auto"/>
                <w:szCs w:val="21"/>
                <w:highlight w:val="none"/>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hint="eastAsia" w:ascii="宋体" w:hAnsi="宋体"/>
                <w:b/>
                <w:color w:val="auto"/>
                <w:szCs w:val="21"/>
                <w:highlight w:val="none"/>
              </w:rPr>
            </w:pPr>
            <w:r>
              <w:rPr>
                <w:rFonts w:hint="eastAsia"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hint="eastAsia" w:ascii="宋体" w:hAnsi="宋体"/>
                <w:b/>
                <w:color w:val="auto"/>
                <w:szCs w:val="21"/>
                <w:highlight w:val="none"/>
              </w:rPr>
            </w:pPr>
            <w:r>
              <w:rPr>
                <w:rFonts w:hint="eastAsia" w:ascii="宋体" w:hAnsi="宋体"/>
                <w:b/>
                <w:color w:val="auto"/>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5</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具备履行合同所必需的设备和专业技术能力的证明材料</w:t>
            </w:r>
            <w:r>
              <w:rPr>
                <w:rFonts w:hint="eastAsia" w:ascii="宋体" w:hAnsi="宋体" w:cs="宋体"/>
                <w:b/>
                <w:bCs/>
                <w:iCs/>
                <w:color w:val="auto"/>
                <w:szCs w:val="21"/>
                <w:highlight w:val="none"/>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6</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参加本次政府采购活动前3年内在经营活动中没有重大违法记录的书面声明</w:t>
            </w:r>
            <w:r>
              <w:rPr>
                <w:rFonts w:hint="eastAsia" w:ascii="宋体" w:hAnsi="宋体" w:cs="宋体"/>
                <w:b/>
                <w:bCs/>
                <w:iCs/>
                <w:color w:val="auto"/>
                <w:szCs w:val="21"/>
                <w:highlight w:val="none"/>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41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7</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jc w:val="left"/>
              <w:spacing w:line="360" w:lineRule="auto"/>
              <w:rPr>
                <w:rFonts w:hint="eastAsia" w:ascii="宋体" w:hAnsi="宋体" w:cs="宋体"/>
                <w:b/>
                <w:bCs/>
                <w:iCs/>
                <w:color w:val="auto"/>
                <w:szCs w:val="21"/>
                <w:highlight w:val="none"/>
              </w:rPr>
            </w:pPr>
            <w:r>
              <w:rPr>
                <w:rFonts w:hint="eastAsia" w:ascii="宋体" w:hAnsi="宋体" w:cs="宋体"/>
                <w:iCs/>
                <w:color w:val="auto"/>
                <w:szCs w:val="21"/>
                <w:highlight w:val="none"/>
              </w:rPr>
              <w:t xml:space="preserve">未被“信用中国”网站（</w:t>
            </w:r>
            <w:r>
              <w:rPr>
                <w:rFonts w:hint="eastAsia" w:ascii="宋体" w:hAnsi="宋体" w:cs="宋体"/>
                <w:color w:val="auto"/>
                <w:highlight w:val="none"/>
              </w:rPr>
              <w:t xml:space="preserve">http://</w:t>
            </w:r>
            <w:r>
              <w:rPr>
                <w:rFonts w:hint="eastAsia" w:ascii="宋体" w:hAnsi="宋体" w:cs="宋体"/>
                <w:iCs/>
                <w:color w:val="auto"/>
                <w:szCs w:val="21"/>
                <w:highlight w:val="none"/>
              </w:rPr>
              <w:t xml:space="preserve">www.creditchina.gov.cn）、“中国政府采购网"(</w:t>
            </w:r>
            <w:r>
              <w:rPr>
                <w:rFonts w:hint="eastAsia" w:ascii="宋体" w:hAnsi="宋体" w:cs="宋体"/>
                <w:color w:val="auto"/>
                <w:highlight w:val="none"/>
              </w:rPr>
              <w:t xml:space="preserve">http://</w:t>
            </w:r>
            <w:r>
              <w:rPr>
                <w:rFonts w:hint="eastAsia" w:ascii="宋体" w:hAnsi="宋体" w:cs="宋体"/>
                <w:iCs/>
                <w:color w:val="auto"/>
                <w:szCs w:val="21"/>
                <w:highlight w:val="none"/>
              </w:rPr>
              <w:t xml:space="preserve">www.ccgp.gov.cn)列入失信被执行人、重大税收违法案件当事人名单、政府采购严重违法失信行为记录名单</w:t>
            </w:r>
            <w:r>
              <w:rPr>
                <w:rFonts w:hint="eastAsia" w:ascii="宋体" w:hAnsi="宋体" w:cs="宋体"/>
                <w:b/>
                <w:bCs/>
                <w:iCs/>
                <w:color w:val="auto"/>
                <w:szCs w:val="21"/>
                <w:highlight w:val="none"/>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9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8</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iCs/>
                <w:color w:val="auto"/>
                <w:szCs w:val="21"/>
                <w:highlight w:val="none"/>
              </w:rPr>
              <w:t xml:space="preserve">供应商信用承诺函</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90"/>
        </w:trPr>
        <w:tc>
          <w:tcPr>
            <w:gridSpan w:val="4"/>
            <w:tcBorders>
              <w:top w:val="single" w:color="auto" w:sz="4" w:space="0"/>
              <w:left w:val="single" w:color="auto" w:sz="4" w:space="0"/>
              <w:bottom w:val="single" w:color="auto" w:sz="4" w:space="0"/>
              <w:right w:val="single" w:color="auto" w:sz="4" w:space="0"/>
            </w:tcBorders>
            <w:tcW w:w="7864" w:type="dxa"/>
            <w:vAlign w:val="center"/>
            <w:textDirection w:val="lrTb"/>
            <w:noWrap w:val="false"/>
          </w:tcPr>
          <w:p>
            <w:pPr>
              <w:rPr>
                <w:rFonts w:hint="eastAsia"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hint="eastAsia" w:ascii="宋体" w:hAnsi="宋体" w:cs="宋体"/>
                <w:b/>
                <w:bCs/>
                <w:color w:val="auto"/>
                <w:szCs w:val="21"/>
                <w:highlight w:val="none"/>
              </w:rPr>
            </w:pPr>
            <w:r>
              <w:rPr>
                <w:rFonts w:hint="eastAsia" w:ascii="宋体" w:hAnsi="宋体" w:cs="宋体"/>
                <w:b/>
                <w:bCs/>
                <w:color w:val="auto"/>
                <w:szCs w:val="21"/>
                <w:highlight w:val="none"/>
              </w:rPr>
            </w:r>
            <w:r/>
          </w:p>
        </w:tc>
      </w:tr>
      <w:tr>
        <w:trPr>
          <w:trHeight w:val="431"/>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9</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rPr>
                <w:color w:val="auto"/>
                <w:highlight w:val="none"/>
              </w:rPr>
            </w:pPr>
            <w:r>
              <w:rPr>
                <w:rFonts w:hint="eastAsia"/>
                <w:i/>
                <w:iCs/>
                <w:color w:val="auto"/>
                <w:highlight w:val="none"/>
                <w:u w:val="single"/>
              </w:rPr>
              <w:t xml:space="preserve">无。</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400"/>
        </w:trPr>
        <w:tc>
          <w:tcPr>
            <w:gridSpan w:val="4"/>
            <w:tcBorders>
              <w:top w:val="single" w:color="auto" w:sz="4" w:space="0"/>
              <w:left w:val="single" w:color="auto" w:sz="4" w:space="0"/>
              <w:bottom w:val="single" w:color="auto" w:sz="4" w:space="0"/>
              <w:right w:val="single" w:color="auto" w:sz="4" w:space="0"/>
            </w:tcBorders>
            <w:tcW w:w="7864" w:type="dxa"/>
            <w:vAlign w:val="center"/>
            <w:textDirection w:val="lrTb"/>
            <w:noWrap w:val="false"/>
          </w:tcPr>
          <w:p>
            <w:pPr>
              <w:spacing w:line="360" w:lineRule="auto"/>
              <w:rPr>
                <w:rFonts w:hint="eastAsia" w:ascii="宋体" w:hAnsi="宋体"/>
                <w:color w:val="auto"/>
                <w:szCs w:val="21"/>
                <w:highlight w:val="none"/>
              </w:rPr>
            </w:pPr>
            <w:r>
              <w:rPr>
                <w:rFonts w:hint="eastAsia" w:ascii="宋体" w:hAnsi="宋体"/>
                <w:b/>
                <w:color w:val="auto"/>
                <w:szCs w:val="21"/>
                <w:highlight w:val="none"/>
              </w:rPr>
              <w:t xml:space="preserve">特定资格条件</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spacing w:line="360" w:lineRule="auto"/>
              <w:rPr>
                <w:rFonts w:hint="eastAsia" w:ascii="宋体" w:hAnsi="宋体"/>
                <w:b/>
                <w:color w:val="auto"/>
                <w:szCs w:val="21"/>
                <w:highlight w:val="none"/>
              </w:rPr>
            </w:pPr>
            <w:r>
              <w:rPr>
                <w:rFonts w:hint="eastAsia" w:ascii="宋体" w:hAnsi="宋体"/>
                <w:b/>
                <w:color w:val="auto"/>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10</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rPr>
                <w:rFonts w:hint="eastAsia" w:ascii="宋体" w:hAnsi="宋体"/>
                <w:iCs/>
                <w:color w:val="auto"/>
                <w:szCs w:val="21"/>
                <w:highlight w:val="none"/>
              </w:rPr>
            </w:pPr>
            <w:r>
              <w:rPr>
                <w:rFonts w:hint="eastAsia"/>
                <w:i/>
                <w:iCs/>
                <w:color w:val="auto"/>
                <w:highlight w:val="none"/>
                <w:u w:val="single"/>
              </w:rPr>
              <w:t xml:space="preserve">无。</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389"/>
        </w:trPr>
        <w:tc>
          <w:tcPr>
            <w:gridSpan w:val="4"/>
            <w:tcBorders>
              <w:top w:val="single" w:color="auto" w:sz="4" w:space="0"/>
              <w:left w:val="single" w:color="auto" w:sz="4" w:space="0"/>
              <w:bottom w:val="single" w:color="auto" w:sz="4" w:space="0"/>
              <w:right w:val="single" w:color="auto" w:sz="4" w:space="0"/>
            </w:tcBorders>
            <w:tcW w:w="7864" w:type="dxa"/>
            <w:vAlign w:val="center"/>
            <w:textDirection w:val="lrTb"/>
            <w:noWrap w:val="false"/>
          </w:tcPr>
          <w:p>
            <w:pPr>
              <w:rPr>
                <w:rFonts w:hint="eastAsia" w:ascii="宋体" w:hAnsi="宋体"/>
                <w:color w:val="auto"/>
                <w:szCs w:val="21"/>
                <w:highlight w:val="none"/>
              </w:rPr>
            </w:pPr>
            <w:r>
              <w:rPr>
                <w:rFonts w:hint="eastAsia" w:ascii="宋体" w:hAnsi="宋体"/>
                <w:b/>
                <w:color w:val="auto"/>
                <w:szCs w:val="21"/>
                <w:highlight w:val="none"/>
              </w:rPr>
              <w:t xml:space="preserve">其他资格条件</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389"/>
        </w:trPr>
        <w:tc>
          <w:tcPr>
            <w:gridSpan w:val="2"/>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5427" w:type="dxa"/>
            <w:vAlign w:val="center"/>
            <w:textDirection w:val="lrTb"/>
            <w:noWrap w:val="false"/>
          </w:tcPr>
          <w:p>
            <w:pPr>
              <w:jc w:val="left"/>
              <w:spacing w:line="0" w:lineRule="atLeast"/>
              <w:rPr>
                <w:rFonts w:hint="eastAsia" w:ascii="宋体" w:hAnsi="宋体"/>
                <w:iCs/>
                <w:color w:val="auto"/>
                <w:szCs w:val="21"/>
                <w:highlight w:val="none"/>
              </w:rPr>
            </w:pPr>
            <w:r>
              <w:rPr>
                <w:rFonts w:hint="eastAsia" w:ascii="宋体" w:hAnsi="宋体"/>
                <w:iCs/>
                <w:color w:val="auto"/>
                <w:szCs w:val="21"/>
                <w:highlight w:val="none"/>
              </w:rPr>
              <w:t xml:space="preserve">投标函</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hint="eastAsia" w:ascii="宋体" w:hAnsi="宋体"/>
                <w:b/>
                <w:color w:val="auto"/>
                <w:szCs w:val="21"/>
                <w:highlight w:val="none"/>
              </w:rPr>
            </w:pPr>
            <w:r>
              <w:rPr>
                <w:rFonts w:hint="eastAsia"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389"/>
        </w:trPr>
        <w:tc>
          <w:tcPr>
            <w:gridSpan w:val="2"/>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5427" w:type="dxa"/>
            <w:vAlign w:val="center"/>
            <w:textDirection w:val="lrTb"/>
            <w:noWrap w:val="false"/>
          </w:tcPr>
          <w:p>
            <w:pPr>
              <w:jc w:val="left"/>
              <w:spacing w:line="0" w:lineRule="atLeast"/>
              <w:rPr>
                <w:rFonts w:hint="eastAsia" w:ascii="宋体" w:hAnsi="宋体"/>
                <w:iCs/>
                <w:color w:val="auto"/>
                <w:szCs w:val="21"/>
                <w:highlight w:val="none"/>
              </w:rPr>
            </w:pPr>
            <w:r>
              <w:rPr>
                <w:rFonts w:hint="eastAsia" w:ascii="宋体" w:hAnsi="宋体"/>
                <w:iCs/>
                <w:color w:val="auto"/>
                <w:szCs w:val="21"/>
                <w:highlight w:val="none"/>
              </w:rPr>
              <w:t xml:space="preserve">法人授权书</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hint="eastAsia" w:ascii="宋体" w:hAnsi="宋体"/>
                <w:b/>
                <w:color w:val="auto"/>
                <w:szCs w:val="21"/>
                <w:highlight w:val="none"/>
              </w:rPr>
            </w:pPr>
            <w:r>
              <w:rPr>
                <w:rFonts w:hint="eastAsia"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bl>
    <w:p>
      <w:pPr>
        <w:ind w:firstLine="1476"/>
        <w:spacing w:before="156" w:after="156" w:line="360" w:lineRule="auto"/>
        <w:rPr>
          <w:rFonts w:hint="eastAsia" w:ascii="宋体" w:hAnsi="宋体"/>
          <w:b/>
          <w:bCs/>
          <w:color w:val="auto"/>
          <w:highlight w:val="none"/>
        </w:rPr>
      </w:pPr>
      <w:r>
        <w:rPr>
          <w:rFonts w:hint="eastAsia" w:ascii="宋体" w:hAnsi="宋体"/>
          <w:b/>
          <w:bCs/>
          <w:color w:val="auto"/>
          <w:highlight w:val="none"/>
        </w:rPr>
      </w:r>
      <w:r/>
    </w:p>
    <w:p>
      <w:pPr>
        <w:ind w:firstLine="1476"/>
        <w:spacing w:before="156" w:after="156"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500" w:lineRule="exact"/>
        <w:rPr>
          <w:rFonts w:hint="eastAsia" w:ascii="宋体" w:hAnsi="宋体"/>
          <w:b/>
          <w:color w:val="auto"/>
          <w:szCs w:val="21"/>
          <w:highlight w:val="none"/>
        </w:rPr>
      </w:pPr>
      <w:r>
        <w:rPr>
          <w:rFonts w:ascii="宋体" w:hAnsi="宋体"/>
          <w:b/>
          <w:color w:val="auto"/>
          <w:szCs w:val="21"/>
          <w:highlight w:val="none"/>
        </w:rPr>
        <w:t xml:space="preserve">基本资格条件承诺函</w:t>
      </w:r>
      <w:r/>
    </w:p>
    <w:p>
      <w:pPr>
        <w:spacing w:line="530" w:lineRule="exact"/>
        <w:tabs>
          <w:tab w:val="left" w:pos="6300" w:leader="none"/>
        </w:tabs>
        <w:rPr>
          <w:rFonts w:ascii="Times New Roman" w:hAnsi="Times New Roman"/>
          <w:color w:val="auto"/>
          <w:sz w:val="24"/>
          <w:highlight w:val="none"/>
        </w:rPr>
      </w:pPr>
      <w:r>
        <w:rPr>
          <w:rFonts w:ascii="Times New Roman" w:hAnsi="Times New Roman"/>
          <w:color w:val="auto"/>
          <w:sz w:val="24"/>
          <w:highlight w:val="none"/>
        </w:rPr>
      </w:r>
      <w:r/>
    </w:p>
    <w:p>
      <w:pPr>
        <w:ind w:firstLine="420"/>
        <w:spacing w:line="560" w:lineRule="exact"/>
        <w:rPr>
          <w:rFonts w:hint="eastAsia" w:ascii="宋体" w:hAnsi="宋体"/>
          <w:color w:val="auto"/>
          <w:szCs w:val="21"/>
          <w:highlight w:val="none"/>
        </w:rPr>
      </w:pPr>
      <w:r>
        <w:rPr>
          <w:rFonts w:ascii="宋体" w:hAnsi="宋体"/>
          <w:color w:val="auto"/>
          <w:szCs w:val="21"/>
          <w:highlight w:val="none"/>
        </w:rPr>
        <w:t xml:space="preserve">致 </w:t>
      </w:r>
      <w:r>
        <w:rPr>
          <w:rFonts w:ascii="宋体" w:hAnsi="宋体"/>
          <w:color w:val="auto"/>
          <w:szCs w:val="21"/>
          <w:highlight w:val="none"/>
          <w:u w:val="single"/>
        </w:rPr>
        <w:t xml:space="preserve">                  </w:t>
      </w:r>
      <w:r>
        <w:rPr>
          <w:rFonts w:ascii="宋体" w:hAnsi="宋体"/>
          <w:color w:val="auto"/>
          <w:szCs w:val="21"/>
          <w:highlight w:val="none"/>
        </w:rPr>
        <w:t xml:space="preserve">（采购代理机构名称）：</w:t>
      </w:r>
      <w:r/>
    </w:p>
    <w:p>
      <w:pPr>
        <w:ind w:firstLine="420"/>
        <w:spacing w:line="560" w:lineRule="exact"/>
        <w:rPr>
          <w:rFonts w:hint="eastAsia" w:ascii="宋体" w:hAnsi="宋体"/>
          <w:color w:val="auto"/>
          <w:szCs w:val="21"/>
          <w:highlight w:val="none"/>
        </w:rPr>
      </w:pPr>
      <w:r>
        <w:rPr>
          <w:rFonts w:hint="eastAsia" w:ascii="宋体" w:hAnsi="宋体"/>
          <w:color w:val="auto"/>
          <w:szCs w:val="21"/>
          <w:highlight w:val="none"/>
        </w:rPr>
        <w:t xml:space="preserve">我公司自愿参加</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（项目名称）政府采购活动，并</w:t>
      </w:r>
      <w:r>
        <w:rPr>
          <w:rFonts w:ascii="宋体" w:hAnsi="宋体"/>
          <w:color w:val="auto"/>
          <w:szCs w:val="21"/>
          <w:highlight w:val="none"/>
        </w:rPr>
        <w:t xml:space="preserve">郑重承诺：</w:t>
      </w:r>
      <w:r/>
    </w:p>
    <w:p>
      <w:pPr>
        <w:ind w:firstLine="420"/>
        <w:spacing w:line="560" w:lineRule="exact"/>
        <w:rPr>
          <w:rFonts w:hint="eastAsia" w:ascii="宋体" w:hAnsi="宋体"/>
          <w:color w:val="auto"/>
          <w:szCs w:val="21"/>
          <w:highlight w:val="none"/>
        </w:rPr>
      </w:pPr>
      <w:r>
        <w:rPr>
          <w:rFonts w:ascii="宋体" w:hAnsi="宋体"/>
          <w:color w:val="auto"/>
          <w:szCs w:val="21"/>
          <w:highlight w:val="none"/>
        </w:rPr>
        <w:t xml:space="preserve">1.我方具有良好的商业信誉和健全的财务会计制度，具有履行合同所必需的设备和专业技术能力，具</w:t>
      </w:r>
      <w:r>
        <w:rPr>
          <w:rFonts w:ascii="宋体" w:hAnsi="宋体"/>
          <w:color w:val="auto"/>
          <w:szCs w:val="21"/>
          <w:highlight w:val="none"/>
          <w:lang w:val="zh-CN"/>
        </w:rPr>
        <w:t xml:space="preserve">有依法缴纳税收和社会保障金的良好记录</w:t>
      </w:r>
      <w:r>
        <w:rPr>
          <w:rFonts w:ascii="宋体" w:hAnsi="宋体"/>
          <w:color w:val="auto"/>
          <w:szCs w:val="21"/>
          <w:highlight w:val="none"/>
        </w:rPr>
        <w:t xml:space="preserve">，参加本项目采购活动前三年内无重大违法活动记录。</w:t>
      </w:r>
      <w:r/>
    </w:p>
    <w:p>
      <w:pPr>
        <w:ind w:firstLine="420"/>
        <w:spacing w:line="560" w:lineRule="exact"/>
        <w:rPr>
          <w:rFonts w:hint="eastAsia" w:ascii="宋体" w:hAnsi="宋体"/>
          <w:color w:val="auto"/>
          <w:szCs w:val="21"/>
          <w:highlight w:val="none"/>
        </w:rPr>
      </w:pPr>
      <w:r>
        <w:rPr>
          <w:rFonts w:ascii="宋体" w:hAnsi="宋体"/>
          <w:color w:val="auto"/>
          <w:szCs w:val="21"/>
          <w:highlight w:val="none"/>
        </w:rPr>
        <w:t xml:space="preserve">2.我方未列入在信用中国网站（</w:t>
      </w:r>
      <w:r>
        <w:rPr>
          <w:rFonts w:hint="eastAsia" w:ascii="宋体" w:hAnsi="宋体"/>
          <w:color w:val="auto"/>
          <w:szCs w:val="21"/>
          <w:highlight w:val="none"/>
        </w:rPr>
        <w:t xml:space="preserve">http://</w:t>
      </w:r>
      <w:r>
        <w:rPr>
          <w:rFonts w:ascii="宋体" w:hAnsi="宋体"/>
          <w:color w:val="auto"/>
          <w:szCs w:val="21"/>
          <w:highlight w:val="none"/>
        </w:rPr>
        <w:t xml:space="preserve">www.creditchina.gov.cn）“失信被执行人”、“重大税收违法案件当事人名单”中，也未列入中国政府采购网（</w:t>
      </w:r>
      <w:r>
        <w:rPr>
          <w:rFonts w:hint="eastAsia" w:ascii="宋体" w:hAnsi="宋体"/>
          <w:color w:val="auto"/>
          <w:szCs w:val="21"/>
          <w:highlight w:val="none"/>
        </w:rPr>
        <w:t xml:space="preserve">http://</w:t>
      </w:r>
      <w:r>
        <w:rPr>
          <w:rFonts w:ascii="宋体" w:hAnsi="宋体"/>
          <w:color w:val="auto"/>
          <w:szCs w:val="21"/>
          <w:highlight w:val="none"/>
        </w:rPr>
        <w:t xml:space="preserve">www.ccgp.gov.cn）“政府采购严重违法失信行为记录名单”中。</w:t>
      </w:r>
      <w:r/>
    </w:p>
    <w:p>
      <w:pPr>
        <w:ind w:firstLine="420"/>
        <w:spacing w:line="560" w:lineRule="exact"/>
        <w:rPr>
          <w:rFonts w:hint="eastAsia" w:ascii="宋体" w:hAnsi="宋体"/>
          <w:color w:val="auto"/>
          <w:szCs w:val="21"/>
          <w:highlight w:val="none"/>
        </w:rPr>
      </w:pPr>
      <w:r>
        <w:rPr>
          <w:rFonts w:ascii="宋体" w:hAnsi="宋体"/>
          <w:color w:val="auto"/>
          <w:szCs w:val="21"/>
          <w:highlight w:val="none"/>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hint="eastAsia" w:ascii="宋体" w:hAnsi="宋体"/>
          <w:color w:val="auto"/>
          <w:szCs w:val="21"/>
          <w:highlight w:val="none"/>
        </w:rPr>
      </w:pPr>
      <w:r>
        <w:rPr>
          <w:rFonts w:ascii="宋体" w:hAnsi="宋体"/>
          <w:color w:val="auto"/>
          <w:szCs w:val="21"/>
          <w:highlight w:val="none"/>
        </w:rPr>
        <w:t xml:space="preserve">我方对以上承诺负全部法律责任。</w:t>
      </w:r>
      <w:r/>
    </w:p>
    <w:p>
      <w:pPr>
        <w:ind w:firstLine="420"/>
        <w:spacing w:line="560" w:lineRule="exact"/>
        <w:rPr>
          <w:rFonts w:hint="eastAsia" w:ascii="宋体" w:hAnsi="宋体"/>
          <w:color w:val="auto"/>
          <w:szCs w:val="21"/>
          <w:highlight w:val="none"/>
        </w:rPr>
      </w:pPr>
      <w:r>
        <w:rPr>
          <w:rFonts w:ascii="宋体" w:hAnsi="宋体"/>
          <w:color w:val="auto"/>
          <w:szCs w:val="21"/>
          <w:highlight w:val="none"/>
        </w:rPr>
        <w:t xml:space="preserve">特此承诺。</w:t>
      </w:r>
      <w:r/>
    </w:p>
    <w:p>
      <w:pPr>
        <w:ind w:firstLine="420"/>
        <w:spacing w:line="56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560" w:lineRule="exact"/>
        <w:rPr>
          <w:rFonts w:hint="eastAsia" w:ascii="宋体" w:hAnsi="宋体"/>
          <w:color w:val="auto"/>
          <w:szCs w:val="21"/>
          <w:highlight w:val="none"/>
        </w:rPr>
      </w:pPr>
      <w:r>
        <w:rPr>
          <w:rFonts w:hint="eastAsia" w:ascii="宋体" w:hAnsi="宋体"/>
          <w:color w:val="auto"/>
          <w:szCs w:val="21"/>
          <w:highlight w:val="none"/>
        </w:rPr>
        <w:t xml:space="preserve">     </w:t>
      </w:r>
      <w:r/>
    </w:p>
    <w:p>
      <w:pPr>
        <w:ind w:firstLine="1260"/>
        <w:jc w:val="center"/>
        <w:spacing w:line="560" w:lineRule="exact"/>
        <w:rPr>
          <w:rFonts w:hint="eastAsia" w:ascii="宋体" w:hAnsi="宋体"/>
          <w:color w:val="auto"/>
          <w:szCs w:val="21"/>
          <w:highlight w:val="none"/>
        </w:rPr>
      </w:pPr>
      <w:r>
        <w:rPr>
          <w:rFonts w:hint="eastAsia" w:ascii="宋体" w:hAnsi="宋体"/>
          <w:color w:val="auto"/>
          <w:szCs w:val="21"/>
          <w:highlight w:val="none"/>
        </w:rPr>
        <w:t xml:space="preserve">                      法定代表人（签章）：</w:t>
      </w:r>
      <w:r/>
    </w:p>
    <w:p>
      <w:pPr>
        <w:ind w:firstLine="420"/>
        <w:spacing w:line="560" w:lineRule="exact"/>
        <w:rPr>
          <w:rFonts w:hint="eastAsia" w:ascii="宋体" w:hAnsi="宋体"/>
          <w:color w:val="auto"/>
          <w:szCs w:val="21"/>
          <w:highlight w:val="none"/>
        </w:rPr>
      </w:pPr>
      <w:r>
        <w:rPr>
          <w:rFonts w:hint="eastAsia" w:ascii="宋体" w:hAnsi="宋体"/>
          <w:color w:val="auto"/>
          <w:szCs w:val="21"/>
          <w:highlight w:val="none"/>
        </w:rPr>
        <w:t xml:space="preserve">        </w:t>
      </w:r>
      <w:r/>
    </w:p>
    <w:p>
      <w:pPr>
        <w:ind w:firstLine="420"/>
        <w:jc w:val="left"/>
        <w:spacing w:line="560" w:lineRule="exact"/>
        <w:rPr>
          <w:rFonts w:hint="eastAsia" w:ascii="宋体" w:hAnsi="宋体"/>
          <w:color w:val="auto"/>
          <w:szCs w:val="21"/>
          <w:highlight w:val="none"/>
        </w:rPr>
      </w:pPr>
      <w:r>
        <w:rPr>
          <w:rFonts w:hint="eastAsia" w:ascii="宋体" w:hAnsi="宋体"/>
          <w:color w:val="auto"/>
          <w:szCs w:val="21"/>
          <w:highlight w:val="none"/>
        </w:rPr>
        <w:t xml:space="preserve">                                           供应商名称（签章）：</w:t>
      </w:r>
      <w:r/>
    </w:p>
    <w:p>
      <w:pPr>
        <w:ind w:firstLine="420"/>
        <w:spacing w:line="560" w:lineRule="exact"/>
        <w:rPr>
          <w:rFonts w:hint="eastAsia" w:ascii="宋体" w:hAnsi="宋体"/>
          <w:color w:val="auto"/>
          <w:szCs w:val="21"/>
          <w:highlight w:val="none"/>
        </w:rPr>
      </w:pPr>
      <w:r>
        <w:rPr>
          <w:rFonts w:hint="eastAsia" w:ascii="宋体" w:hAnsi="宋体"/>
          <w:color w:val="auto"/>
          <w:szCs w:val="21"/>
          <w:highlight w:val="none"/>
        </w:rPr>
      </w:r>
      <w:r/>
    </w:p>
    <w:p>
      <w:pPr>
        <w:ind w:firstLine="1470"/>
        <w:jc w:val="center"/>
        <w:spacing w:line="560" w:lineRule="exact"/>
        <w:rPr>
          <w:rFonts w:hint="eastAsia" w:ascii="宋体" w:hAnsi="宋体"/>
          <w:color w:val="auto"/>
          <w:szCs w:val="21"/>
          <w:highlight w:val="none"/>
        </w:rPr>
      </w:pPr>
      <w:r>
        <w:rPr>
          <w:rFonts w:hint="eastAsia" w:ascii="宋体" w:hAnsi="宋体"/>
          <w:color w:val="auto"/>
          <w:szCs w:val="21"/>
          <w:highlight w:val="none"/>
        </w:rPr>
        <w:t xml:space="preserve">                            </w:t>
      </w:r>
      <w:r>
        <w:rPr>
          <w:rFonts w:ascii="宋体" w:hAnsi="宋体"/>
          <w:color w:val="auto"/>
          <w:szCs w:val="21"/>
          <w:highlight w:val="none"/>
        </w:rPr>
        <w:t xml:space="preserve">年   月   日</w:t>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pStyle w:val="827"/>
        <w:rPr>
          <w:color w:val="auto"/>
          <w:highlight w:val="none"/>
        </w:rPr>
      </w:pPr>
      <w:r>
        <w:rPr>
          <w:color w:val="auto"/>
          <w:highlight w:val="none"/>
        </w:rPr>
      </w:r>
      <w:r/>
    </w:p>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供应商信用承诺书</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承诺主体名称：</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统一社会信用代码：</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项目政府采购活动郑重承诺如下:</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八、在“信用中国”和“中国政府采购网”网站中无严重失信记录；</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年     月      日</w:t>
      </w:r>
      <w:r/>
    </w:p>
    <w:p>
      <w:pPr>
        <w:rPr>
          <w:color w:val="auto"/>
          <w:highlight w:val="none"/>
        </w:rPr>
      </w:pPr>
      <w:r>
        <w:rPr>
          <w:color w:val="auto"/>
          <w:highlight w:val="none"/>
        </w:rPr>
      </w:r>
      <w:r/>
    </w:p>
    <w:p>
      <w:pPr>
        <w:jc w:val="center"/>
        <w:spacing w:before="312" w:after="312" w:line="360" w:lineRule="auto"/>
        <w:rPr>
          <w:b/>
          <w:bCs/>
          <w:color w:val="auto"/>
          <w:highlight w:val="none"/>
        </w:rPr>
      </w:pPr>
      <w:r>
        <w:rPr>
          <w:b/>
          <w:bCs/>
          <w:color w:val="auto"/>
          <w:highlight w:val="none"/>
        </w:rPr>
      </w:r>
      <w:r/>
    </w:p>
    <w:p>
      <w:pPr>
        <w:jc w:val="center"/>
        <w:spacing w:before="312" w:after="312" w:line="360" w:lineRule="auto"/>
        <w:rPr>
          <w:b/>
          <w:bCs/>
          <w:color w:val="auto"/>
          <w:highlight w:val="none"/>
        </w:rPr>
      </w:pPr>
      <w:r>
        <w:rPr>
          <w:b/>
          <w:bCs/>
          <w:color w:val="auto"/>
          <w:highlight w:val="none"/>
        </w:rPr>
      </w:r>
      <w:r/>
    </w:p>
    <w:p>
      <w:pPr>
        <w:jc w:val="center"/>
        <w:spacing w:before="312" w:after="312" w:line="360" w:lineRule="auto"/>
        <w:rPr>
          <w:b/>
          <w:bCs/>
          <w:color w:val="auto"/>
          <w:highlight w:val="none"/>
        </w:rPr>
      </w:pPr>
      <w:r>
        <w:rPr>
          <w:b/>
          <w:bCs/>
          <w:color w:val="auto"/>
          <w:highlight w:val="none"/>
        </w:rPr>
      </w:r>
      <w:r/>
    </w:p>
    <w:p>
      <w:pPr>
        <w:jc w:val="center"/>
        <w:spacing w:before="312" w:after="312" w:line="360" w:lineRule="auto"/>
        <w:rPr>
          <w:b/>
          <w:bCs/>
          <w:color w:val="auto"/>
          <w:highlight w:val="none"/>
        </w:rPr>
      </w:pPr>
      <w:r>
        <w:rPr>
          <w:rFonts w:hint="eastAsia"/>
          <w:b/>
          <w:bCs/>
          <w:color w:val="auto"/>
          <w:highlight w:val="none"/>
        </w:rPr>
        <w:t xml:space="preserve">中小企业声明函（货物）</w:t>
      </w:r>
      <w:r/>
    </w:p>
    <w:p>
      <w:pPr>
        <w:ind w:firstLine="420"/>
        <w:jc w:val="left"/>
        <w:spacing w:line="360" w:lineRule="auto"/>
        <w:rPr>
          <w:color w:val="auto"/>
          <w:highlight w:val="none"/>
        </w:rPr>
      </w:pPr>
      <w:r>
        <w:rPr>
          <w:rFonts w:hint="eastAsia"/>
          <w:color w:val="auto"/>
          <w:highlight w:val="none"/>
        </w:rPr>
        <w:t xml:space="preserve">本公司（联合体）郑重声明，根据《政府采购促进中小企业发展管理办法》（财库﹝</w:t>
      </w:r>
      <w:r>
        <w:rPr>
          <w:color w:val="auto"/>
          <w:highlight w:val="none"/>
        </w:rPr>
        <w:t xml:space="preserve">2020</w:t>
      </w:r>
      <w:r>
        <w:rPr>
          <w:rFonts w:hint="eastAsia"/>
          <w:color w:val="auto"/>
          <w:highlight w:val="none"/>
        </w:rPr>
        <w:t xml:space="preserve">﹞</w:t>
      </w:r>
      <w:r>
        <w:rPr>
          <w:color w:val="auto"/>
          <w:highlight w:val="none"/>
        </w:rPr>
        <w:t xml:space="preserve">46 </w:t>
      </w:r>
      <w:r>
        <w:rPr>
          <w:rFonts w:hint="eastAsia"/>
          <w:color w:val="auto"/>
          <w:highlight w:val="none"/>
        </w:rPr>
        <w:t xml:space="preserve">号）的规定，本公司（联合体）参加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（项目名称）</w:t>
      </w:r>
      <w:r>
        <w:rPr>
          <w:rFonts w:hint="eastAsia"/>
          <w:color w:val="auto"/>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color w:val="auto"/>
          <w:highlight w:val="none"/>
        </w:rPr>
      </w:pPr>
      <w:r>
        <w:rPr>
          <w:color w:val="auto"/>
          <w:highlight w:val="none"/>
        </w:rPr>
        <w:t xml:space="preserve">1. </w:t>
      </w:r>
      <w:r>
        <w:rPr>
          <w:rFonts w:hint="eastAsia"/>
          <w:color w:val="auto"/>
          <w:highlight w:val="none"/>
          <w:u w:val="single"/>
        </w:rPr>
        <w:t xml:space="preserve">（标的名称）</w:t>
      </w:r>
      <w:r>
        <w:rPr>
          <w:rFonts w:hint="eastAsia"/>
          <w:color w:val="auto"/>
          <w:highlight w:val="none"/>
        </w:rPr>
        <w:t xml:space="preserve">，属于</w:t>
      </w:r>
      <w:r>
        <w:rPr>
          <w:rFonts w:hint="eastAsia"/>
          <w:color w:val="auto"/>
          <w:highlight w:val="none"/>
          <w:u w:val="single"/>
        </w:rPr>
        <w:t xml:space="preserve">（采购文件中明确的所属行业）</w:t>
      </w:r>
      <w:r>
        <w:rPr>
          <w:rFonts w:hint="eastAsia"/>
          <w:color w:val="auto"/>
          <w:highlight w:val="none"/>
        </w:rPr>
        <w:t xml:space="preserve">；制造商为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w:t>
      </w:r>
      <w:r>
        <w:rPr>
          <w:color w:val="auto"/>
          <w:highlight w:val="none"/>
        </w:rPr>
        <w:fldChar w:fldCharType="begin"/>
      </w:r>
      <w:r>
        <w:rPr>
          <w:color w:val="auto"/>
          <w:highlight w:val="none"/>
        </w:rPr>
        <w:instrText xml:space="preserve"> HYPERLINK "file:///C:\\hp\\AppData\\Roaming\\WebOffice\\Down\\undefined.doc" \l "br1" \o "../../../../../hp/AppData/Roaming/WebOffice/Down/undefined.doc#br1" </w:instrText>
      </w:r>
      <w:r>
        <w:rPr>
          <w:color w:val="auto"/>
          <w:highlight w:val="none"/>
        </w:rPr>
        <w:fldChar w:fldCharType="separate"/>
      </w:r>
      <w:r>
        <w:rPr>
          <w:rStyle w:val="843"/>
          <w:rFonts w:hint="eastAsia" w:ascii="仿宋" w:eastAsia="Times New Roman"/>
          <w:color w:val="auto"/>
          <w:spacing w:val="-1"/>
          <w:highlight w:val="none"/>
          <w:vertAlign w:val="superscript"/>
        </w:rPr>
        <w:t xml:space="preserve">1</w:t>
      </w:r>
      <w:r>
        <w:rPr>
          <w:rStyle w:val="843"/>
          <w:rFonts w:hint="eastAsia" w:ascii="仿宋" w:eastAsia="Times New Roman"/>
          <w:color w:val="auto"/>
          <w:spacing w:val="-1"/>
          <w:highlight w:val="none"/>
          <w:vertAlign w:val="superscript"/>
        </w:rPr>
        <w:fldChar w:fldCharType="end"/>
      </w:r>
      <w:r>
        <w:rPr>
          <w:rFonts w:hint="eastAsia"/>
          <w:color w:val="auto"/>
          <w:highlight w:val="none"/>
        </w:rPr>
        <w:t xml:space="preserve">，属于</w:t>
      </w:r>
      <w:r>
        <w:rPr>
          <w:rFonts w:hint="eastAsia"/>
          <w:color w:val="auto"/>
          <w:highlight w:val="none"/>
          <w:u w:val="single"/>
        </w:rPr>
        <w:t xml:space="preserve">（中型企业、小型企业、微型企业）；</w:t>
      </w:r>
      <w:r/>
    </w:p>
    <w:p>
      <w:pPr>
        <w:ind w:firstLine="420"/>
        <w:jc w:val="left"/>
        <w:spacing w:line="360" w:lineRule="auto"/>
        <w:rPr>
          <w:color w:val="auto"/>
          <w:highlight w:val="none"/>
          <w:u w:val="single"/>
        </w:rPr>
      </w:pPr>
      <w:r>
        <w:rPr>
          <w:color w:val="auto"/>
          <w:highlight w:val="none"/>
        </w:rPr>
        <w:t xml:space="preserve">2. </w:t>
      </w:r>
      <w:r>
        <w:rPr>
          <w:rFonts w:hint="eastAsia"/>
          <w:color w:val="auto"/>
          <w:highlight w:val="none"/>
          <w:u w:val="single"/>
        </w:rPr>
        <w:t xml:space="preserve">（标的名称）</w:t>
      </w:r>
      <w:r>
        <w:rPr>
          <w:rFonts w:hint="eastAsia"/>
          <w:color w:val="auto"/>
          <w:highlight w:val="none"/>
        </w:rPr>
        <w:t xml:space="preserve">，属于</w:t>
      </w:r>
      <w:r>
        <w:rPr>
          <w:rFonts w:hint="eastAsia"/>
          <w:color w:val="auto"/>
          <w:highlight w:val="none"/>
          <w:u w:val="single"/>
        </w:rPr>
        <w:t xml:space="preserve">（采购文件中明确的所属行业）行业</w:t>
      </w:r>
      <w:r>
        <w:rPr>
          <w:rFonts w:hint="eastAsia"/>
          <w:color w:val="auto"/>
          <w:highlight w:val="none"/>
        </w:rPr>
        <w:t xml:space="preserve">；制造商为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ind w:firstLine="420"/>
        <w:jc w:val="left"/>
        <w:spacing w:line="360" w:lineRule="auto"/>
        <w:rPr>
          <w:color w:val="auto"/>
          <w:highlight w:val="none"/>
        </w:rPr>
      </w:pPr>
      <w:r>
        <w:rPr>
          <w:rFonts w:hint="eastAsia"/>
          <w:color w:val="auto"/>
          <w:highlight w:val="none"/>
        </w:rPr>
        <w:t xml:space="preserve">……</w:t>
      </w:r>
      <w:r/>
    </w:p>
    <w:p>
      <w:pPr>
        <w:ind w:firstLine="420"/>
        <w:jc w:val="left"/>
        <w:spacing w:line="360" w:lineRule="auto"/>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color w:val="auto"/>
          <w:highlight w:val="none"/>
        </w:rPr>
      </w:pPr>
      <w:r>
        <w:rPr>
          <w:rFonts w:hint="eastAsia"/>
          <w:color w:val="auto"/>
          <w:highlight w:val="none"/>
        </w:rPr>
        <w:t xml:space="preserve">本企业对上述声明内容的真实性负责。如有虚假，将依法承担相应责任。</w:t>
      </w:r>
      <w:r/>
    </w:p>
    <w:p>
      <w:pPr>
        <w:ind w:firstLine="420"/>
        <w:jc w:val="left"/>
        <w:spacing w:line="360" w:lineRule="auto"/>
        <w:rPr>
          <w:color w:val="auto"/>
          <w:highlight w:val="none"/>
        </w:rPr>
      </w:pPr>
      <w:r>
        <w:rPr>
          <w:color w:val="auto"/>
          <w:highlight w:val="none"/>
        </w:rPr>
      </w:r>
      <w:r/>
    </w:p>
    <w:p>
      <w:pPr>
        <w:jc w:val="left"/>
        <w:spacing w:line="360" w:lineRule="auto"/>
        <w:rPr>
          <w:color w:val="auto"/>
          <w:highlight w:val="none"/>
        </w:rPr>
      </w:pPr>
      <w:r>
        <w:rPr>
          <w:rFonts w:hint="eastAsia" w:ascii="宋体" w:hAnsi="宋体"/>
          <w:color w:val="auto"/>
          <w:highlight w:val="none"/>
        </w:rPr>
        <w:t xml:space="preserve">注：1、</w:t>
      </w:r>
      <w:r>
        <w:rPr>
          <w:rFonts w:hint="eastAsia"/>
          <w:color w:val="auto"/>
          <w:highlight w:val="none"/>
        </w:rPr>
        <w:t xml:space="preserve">从业人员（不仅指在职职工）、营业收入、资产总额填报上一年度数据，无上一年度数据的新成立企业可不填报。</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2、供应商如不提供此声明函，价格将不做相应扣除。</w:t>
      </w:r>
      <w:r/>
    </w:p>
    <w:p>
      <w:pPr>
        <w:spacing w:line="360" w:lineRule="auto"/>
        <w:rPr>
          <w:rFonts w:hint="eastAsia" w:ascii="宋体" w:hAnsi="宋体"/>
          <w:color w:val="auto"/>
          <w:highlight w:val="none"/>
        </w:rPr>
      </w:pPr>
      <w:r>
        <w:rPr>
          <w:rFonts w:hint="eastAsia" w:ascii="宋体" w:hAnsi="宋体"/>
          <w:color w:val="auto"/>
          <w:highlight w:val="none"/>
        </w:rPr>
        <w:t xml:space="preserve">    3、企业声明函请完整填写，中标后将公示。</w:t>
      </w:r>
      <w:r/>
    </w:p>
    <w:p>
      <w:pPr>
        <w:ind w:firstLine="420"/>
        <w:jc w:val="left"/>
        <w:spacing w:line="360" w:lineRule="auto"/>
        <w:rPr>
          <w:color w:val="auto"/>
          <w:highlight w:val="none"/>
        </w:rPr>
      </w:pPr>
      <w:r>
        <w:rPr>
          <w:rFonts w:hint="eastAsia"/>
          <w:color w:val="auto"/>
          <w:highlight w:val="none"/>
        </w:rPr>
        <w:t xml:space="preserve">4、</w:t>
      </w:r>
      <w:r>
        <w:rPr>
          <w:rFonts w:hint="eastAsia" w:ascii="宋体" w:hAnsi="宋体"/>
          <w:color w:val="auto"/>
          <w:highlight w:val="none"/>
        </w:rPr>
        <w:t xml:space="preserve">供应商</w:t>
      </w:r>
      <w:r>
        <w:rPr>
          <w:rFonts w:hint="eastAsia"/>
          <w:color w:val="auto"/>
          <w:highlight w:val="none"/>
        </w:rPr>
        <w:t xml:space="preserve">应当对其出具的《中小企业声明函》真实性负责，</w:t>
      </w:r>
      <w:r>
        <w:rPr>
          <w:rFonts w:hint="eastAsia" w:ascii="宋体" w:hAnsi="宋体"/>
          <w:color w:val="auto"/>
          <w:highlight w:val="none"/>
        </w:rPr>
        <w:t xml:space="preserve">供应商</w:t>
      </w:r>
      <w:r>
        <w:rPr>
          <w:rFonts w:hint="eastAsia"/>
          <w:color w:val="auto"/>
          <w:highlight w:val="none"/>
        </w:rPr>
        <w:t xml:space="preserve">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color w:val="auto"/>
          <w:highlight w:val="none"/>
        </w:rPr>
      </w:pPr>
      <w:r>
        <w:rPr>
          <w:rFonts w:hint="eastAsia"/>
          <w:color w:val="auto"/>
          <w:highlight w:val="none"/>
        </w:rPr>
        <w:t xml:space="preserve">5</w:t>
      </w:r>
      <w:r>
        <w:rPr>
          <w:color w:val="auto"/>
          <w:highlight w:val="none"/>
        </w:rPr>
        <w:t xml:space="preserve">、声明函应涵盖本项目(分包)所有货物，否则价格不作扣除。</w:t>
      </w:r>
      <w:r/>
    </w:p>
    <w:p>
      <w:pPr>
        <w:ind w:firstLine="420"/>
        <w:jc w:val="left"/>
        <w:spacing w:line="360" w:lineRule="auto"/>
        <w:rPr>
          <w:rFonts w:hint="eastAsia" w:ascii="宋体" w:hAnsi="宋体"/>
          <w:color w:val="auto"/>
          <w:szCs w:val="21"/>
          <w:highlight w:val="none"/>
        </w:rPr>
      </w:pPr>
      <w:r>
        <w:rPr>
          <w:rFonts w:hint="eastAsia"/>
          <w:color w:val="auto"/>
          <w:highlight w:val="none"/>
        </w:rPr>
        <w:t xml:space="preserve">6、</w:t>
      </w:r>
      <w:r>
        <w:rPr>
          <w:rFonts w:hint="eastAsia" w:ascii="宋体" w:hAnsi="宋体"/>
          <w:color w:val="auto"/>
          <w:szCs w:val="21"/>
          <w:highlight w:val="none"/>
        </w:rPr>
        <w:t xml:space="preserve">中小企业不得属于大企业的分支机构，不得存在控股股东为大企业的情形，不得存在与大企业的负责人为同一人的情形。</w:t>
      </w:r>
      <w:r/>
    </w:p>
    <w:p>
      <w:pPr>
        <w:ind w:firstLine="420"/>
        <w:spacing w:line="360" w:lineRule="auto"/>
        <w:rPr>
          <w:rFonts w:hint="eastAsia" w:ascii="宋体" w:hAnsi="宋体"/>
          <w:bCs/>
          <w:color w:val="auto"/>
          <w:szCs w:val="21"/>
          <w:highlight w:val="none"/>
          <w:shd w:val="clear" w:color="auto" w:fill="ffffff"/>
        </w:rPr>
      </w:pPr>
      <w:r>
        <w:rPr>
          <w:rFonts w:hint="eastAsia" w:ascii="宋体" w:hAnsi="宋体"/>
          <w:color w:val="auto"/>
          <w:szCs w:val="21"/>
          <w:highlight w:val="none"/>
        </w:rPr>
        <w:t xml:space="preserve">7、</w:t>
      </w:r>
      <w:r>
        <w:rPr>
          <w:rFonts w:hint="eastAsia" w:ascii="宋体" w:hAnsi="宋体" w:cs="Arial"/>
          <w:bCs/>
          <w:color w:val="auto"/>
          <w:szCs w:val="21"/>
          <w:highlight w:val="none"/>
          <w:shd w:val="clear" w:color="auto" w:fill="ffffff"/>
        </w:rPr>
        <w:t xml:space="preserve">《政府采购法》第七十七条第一款：</w:t>
      </w:r>
      <w:r>
        <w:rPr>
          <w:rFonts w:hint="eastAsia" w:ascii="宋体" w:hAnsi="宋体"/>
          <w:bCs/>
          <w:color w:val="auto"/>
          <w:szCs w:val="21"/>
          <w:highlight w:val="none"/>
          <w:shd w:val="clear" w:color="auto" w:fill="ffffff"/>
        </w:rPr>
        <w:t xml:space="preserve">提供虚假材料谋取中标、成交的</w:t>
      </w:r>
      <w:r>
        <w:rPr>
          <w:rFonts w:hint="eastAsia" w:ascii="宋体" w:hAnsi="宋体" w:cs="Arial"/>
          <w:bCs/>
          <w:color w:val="auto"/>
          <w:szCs w:val="21"/>
          <w:highlight w:val="none"/>
          <w:shd w:val="clear" w:color="auto" w:fill="ffffff"/>
        </w:rPr>
        <w:t xml:space="preserve">，</w:t>
      </w:r>
      <w:r>
        <w:rPr>
          <w:rFonts w:hint="eastAsia" w:ascii="宋体" w:hAnsi="宋体"/>
          <w:bCs/>
          <w:color w:val="auto"/>
          <w:szCs w:val="21"/>
          <w:highlight w:val="none"/>
          <w:shd w:val="clear" w:color="auto" w:fill="ffffff"/>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250"/>
        <w:spacing w:line="360" w:lineRule="auto"/>
        <w:rPr>
          <w:color w:val="auto"/>
          <w:highlight w:val="none"/>
        </w:rPr>
      </w:pPr>
      <w:r>
        <w:rPr>
          <w:rFonts w:hint="eastAsia"/>
          <w:color w:val="auto"/>
          <w:highlight w:val="none"/>
        </w:rPr>
        <w:t xml:space="preserve">企业名称（盖章）：</w:t>
      </w:r>
      <w:r/>
    </w:p>
    <w:p>
      <w:pPr>
        <w:ind w:firstLine="4620"/>
        <w:jc w:val="left"/>
        <w:spacing w:line="360" w:lineRule="auto"/>
        <w:rPr>
          <w:color w:val="auto"/>
          <w:highlight w:val="none"/>
        </w:rPr>
      </w:pPr>
      <w:r>
        <w:rPr>
          <w:rFonts w:hint="eastAsia"/>
          <w:color w:val="auto"/>
          <w:highlight w:val="none"/>
        </w:rPr>
        <w:t xml:space="preserve">      日期：</w:t>
      </w:r>
      <w:r/>
    </w:p>
    <w:p>
      <w:pPr>
        <w:ind w:firstLine="4620"/>
        <w:jc w:val="left"/>
        <w:spacing w:line="360" w:lineRule="auto"/>
        <w:rPr>
          <w:color w:val="auto"/>
          <w:highlight w:val="none"/>
        </w:rPr>
      </w:pPr>
      <w:r>
        <w:rPr>
          <w:color w:val="auto"/>
          <w:highlight w:val="none"/>
        </w:rPr>
      </w:r>
      <w:r/>
    </w:p>
    <w:p>
      <w:pPr>
        <w:pStyle w:val="803"/>
        <w:spacing w:before="300" w:after="300" w:line="360" w:lineRule="auto"/>
        <w:widowControl/>
        <w:rPr>
          <w:rFonts w:hint="eastAsia" w:ascii="宋体" w:hAnsi="宋体"/>
          <w:color w:val="auto"/>
          <w:sz w:val="21"/>
          <w:szCs w:val="21"/>
          <w:highlight w:val="none"/>
        </w:rPr>
      </w:pPr>
      <w:r>
        <w:rPr>
          <w:rFonts w:hint="eastAsia" w:ascii="宋体" w:hAnsi="宋体" w:cs="微软雅黑"/>
          <w:bCs w:val="0"/>
          <w:color w:val="auto"/>
          <w:sz w:val="21"/>
          <w:szCs w:val="21"/>
          <w:highlight w:val="none"/>
        </w:rPr>
        <w:t xml:space="preserve">中小微企业划型标准 </w:t>
      </w:r>
      <w:r/>
    </w:p>
    <w:p>
      <w:pPr>
        <w:pStyle w:val="835"/>
        <w:ind w:firstLine="420"/>
        <w:spacing w:before="300" w:after="452" w:line="360" w:lineRule="auto"/>
        <w:rPr>
          <w:color w:val="auto"/>
          <w:sz w:val="21"/>
          <w:szCs w:val="21"/>
          <w:highlight w:val="none"/>
        </w:rPr>
      </w:pPr>
      <w:r>
        <w:rPr>
          <w:rFonts w:hint="eastAsia" w:cs="仿宋"/>
          <w:color w:val="auto"/>
          <w:sz w:val="21"/>
          <w:szCs w:val="21"/>
          <w:highlight w:val="none"/>
        </w:rPr>
        <w:t xml:space="preserve">    </w:t>
      </w:r>
      <w:r>
        <w:rPr>
          <w:rStyle w:val="838"/>
          <w:rFonts w:hint="eastAsia" w:cs="仿宋"/>
          <w:color w:val="auto"/>
          <w:sz w:val="21"/>
          <w:szCs w:val="21"/>
          <w:highlight w:val="none"/>
        </w:rPr>
        <w:t xml:space="preserve">中小微企业划型标准如下：</w:t>
      </w:r>
      <w:r/>
    </w:p>
    <w:tbl>
      <w:tblPr>
        <w:tblStyle w:val="812"/>
        <w:tblW w:w="0" w:type="auto"/>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835"/>
              <w:spacing w:after="150" w:line="360" w:lineRule="auto"/>
              <w:rPr>
                <w:color w:val="auto"/>
                <w:sz w:val="21"/>
                <w:szCs w:val="21"/>
                <w:highlight w:val="none"/>
              </w:rPr>
            </w:pPr>
            <w:r>
              <w:rPr>
                <w:rStyle w:val="838"/>
                <w:rFonts w:hint="eastAsia"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5"/>
              <w:jc w:val="center"/>
              <w:spacing w:after="150" w:line="360" w:lineRule="auto"/>
              <w:rPr>
                <w:color w:val="auto"/>
                <w:sz w:val="21"/>
                <w:szCs w:val="21"/>
                <w:highlight w:val="none"/>
              </w:rPr>
            </w:pPr>
            <w:r>
              <w:rPr>
                <w:rStyle w:val="838"/>
                <w:rFonts w:hint="eastAsia"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35"/>
              <w:jc w:val="center"/>
              <w:spacing w:after="150" w:line="360" w:lineRule="auto"/>
              <w:rPr>
                <w:color w:val="auto"/>
                <w:sz w:val="21"/>
                <w:szCs w:val="21"/>
                <w:highlight w:val="none"/>
              </w:rPr>
            </w:pPr>
            <w:r>
              <w:rPr>
                <w:rStyle w:val="838"/>
                <w:rFonts w:hint="eastAsia"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35"/>
              <w:jc w:val="center"/>
              <w:spacing w:after="150" w:line="360" w:lineRule="auto"/>
              <w:rPr>
                <w:color w:val="auto"/>
                <w:sz w:val="21"/>
                <w:szCs w:val="21"/>
                <w:highlight w:val="none"/>
              </w:rPr>
            </w:pPr>
            <w:r>
              <w:rPr>
                <w:rStyle w:val="838"/>
                <w:rFonts w:hint="eastAsia"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835"/>
              <w:ind w:firstLine="420"/>
              <w:jc w:val="center"/>
              <w:spacing w:after="150" w:line="360" w:lineRule="auto"/>
              <w:rPr>
                <w:color w:val="auto"/>
                <w:sz w:val="21"/>
                <w:szCs w:val="21"/>
                <w:highlight w:val="none"/>
              </w:rPr>
            </w:pPr>
            <w:r>
              <w:rPr>
                <w:rStyle w:val="838"/>
                <w:rFonts w:hint="eastAsia"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35"/>
              <w:jc w:val="center"/>
              <w:spacing w:after="150" w:line="360" w:lineRule="auto"/>
              <w:rPr>
                <w:color w:val="auto"/>
                <w:sz w:val="21"/>
                <w:szCs w:val="21"/>
                <w:highlight w:val="none"/>
              </w:rPr>
            </w:pPr>
            <w:r>
              <w:rPr>
                <w:rStyle w:val="838"/>
                <w:rFonts w:hint="eastAsia"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35"/>
              <w:ind w:firstLine="420"/>
              <w:jc w:val="center"/>
              <w:spacing w:after="150" w:line="360" w:lineRule="auto"/>
              <w:rPr>
                <w:color w:val="auto"/>
                <w:sz w:val="21"/>
                <w:szCs w:val="21"/>
                <w:highlight w:val="none"/>
              </w:rPr>
            </w:pPr>
            <w:r>
              <w:rPr>
                <w:rStyle w:val="838"/>
                <w:rFonts w:hint="eastAsia" w:cs="仿宋"/>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35"/>
              <w:jc w:val="center"/>
              <w:spacing w:after="150" w:line="360" w:lineRule="auto"/>
              <w:rPr>
                <w:color w:val="auto"/>
                <w:sz w:val="21"/>
                <w:szCs w:val="21"/>
                <w:highlight w:val="none"/>
              </w:rPr>
            </w:pPr>
            <w:r>
              <w:rPr>
                <w:rStyle w:val="838"/>
                <w:rFonts w:hint="eastAsia"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35"/>
              <w:jc w:val="center"/>
              <w:spacing w:after="150" w:line="360" w:lineRule="auto"/>
              <w:rPr>
                <w:color w:val="auto"/>
                <w:sz w:val="21"/>
                <w:szCs w:val="21"/>
                <w:highlight w:val="none"/>
              </w:rPr>
            </w:pPr>
            <w:r>
              <w:rPr>
                <w:rStyle w:val="838"/>
                <w:rFonts w:hint="eastAsia"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35"/>
              <w:ind w:firstLine="420"/>
              <w:jc w:val="center"/>
              <w:spacing w:after="150" w:line="360" w:lineRule="auto"/>
              <w:rPr>
                <w:color w:val="auto"/>
                <w:sz w:val="21"/>
                <w:szCs w:val="21"/>
                <w:highlight w:val="none"/>
              </w:rPr>
            </w:pPr>
            <w:r>
              <w:rPr>
                <w:rStyle w:val="838"/>
                <w:rFonts w:hint="eastAsia"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35"/>
              <w:jc w:val="center"/>
              <w:spacing w:after="150" w:line="360" w:lineRule="auto"/>
              <w:rPr>
                <w:color w:val="auto"/>
                <w:sz w:val="21"/>
                <w:szCs w:val="21"/>
                <w:highlight w:val="none"/>
              </w:rPr>
            </w:pPr>
            <w:r>
              <w:rPr>
                <w:rStyle w:val="838"/>
                <w:rFonts w:hint="eastAsia"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35"/>
              <w:jc w:val="center"/>
              <w:spacing w:after="150" w:line="360" w:lineRule="auto"/>
              <w:rPr>
                <w:color w:val="auto"/>
                <w:sz w:val="21"/>
                <w:szCs w:val="21"/>
                <w:highlight w:val="none"/>
              </w:rPr>
            </w:pPr>
            <w:r>
              <w:rPr>
                <w:rStyle w:val="838"/>
                <w:rFonts w:hint="eastAsia"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35"/>
              <w:ind w:firstLine="420"/>
              <w:jc w:val="center"/>
              <w:spacing w:after="150" w:line="360" w:lineRule="auto"/>
              <w:rPr>
                <w:color w:val="auto"/>
                <w:sz w:val="21"/>
                <w:szCs w:val="21"/>
                <w:highlight w:val="none"/>
              </w:rPr>
            </w:pPr>
            <w:r>
              <w:rPr>
                <w:rStyle w:val="838"/>
                <w:rFonts w:hint="eastAsia"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35"/>
              <w:jc w:val="center"/>
              <w:spacing w:after="150" w:line="360" w:lineRule="auto"/>
              <w:rPr>
                <w:color w:val="auto"/>
                <w:sz w:val="21"/>
                <w:szCs w:val="21"/>
                <w:highlight w:val="none"/>
              </w:rPr>
            </w:pPr>
            <w:r>
              <w:rPr>
                <w:rStyle w:val="838"/>
                <w:rFonts w:hint="eastAsia"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35"/>
              <w:jc w:val="center"/>
              <w:spacing w:after="150" w:line="360" w:lineRule="auto"/>
              <w:rPr>
                <w:color w:val="auto"/>
                <w:sz w:val="21"/>
                <w:szCs w:val="21"/>
                <w:highlight w:val="none"/>
              </w:rPr>
            </w:pPr>
            <w:r>
              <w:rPr>
                <w:rStyle w:val="838"/>
                <w:rFonts w:hint="eastAsia"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35"/>
              <w:ind w:firstLine="420"/>
              <w:jc w:val="center"/>
              <w:spacing w:after="150" w:line="360" w:lineRule="auto"/>
              <w:rPr>
                <w:color w:val="auto"/>
                <w:sz w:val="21"/>
                <w:szCs w:val="21"/>
                <w:highlight w:val="none"/>
              </w:rPr>
            </w:pPr>
            <w:r>
              <w:rPr>
                <w:rStyle w:val="838"/>
                <w:rFonts w:hint="eastAsia"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35"/>
              <w:jc w:val="center"/>
              <w:spacing w:after="150" w:line="360" w:lineRule="auto"/>
              <w:rPr>
                <w:color w:val="auto"/>
                <w:sz w:val="21"/>
                <w:szCs w:val="21"/>
                <w:highlight w:val="none"/>
              </w:rPr>
            </w:pPr>
            <w:r>
              <w:rPr>
                <w:rStyle w:val="838"/>
                <w:rFonts w:hint="eastAsia"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35"/>
              <w:jc w:val="center"/>
              <w:spacing w:after="150" w:line="360" w:lineRule="auto"/>
              <w:rPr>
                <w:color w:val="auto"/>
                <w:sz w:val="21"/>
                <w:szCs w:val="21"/>
                <w:highlight w:val="none"/>
              </w:rPr>
            </w:pPr>
            <w:r>
              <w:rPr>
                <w:rStyle w:val="838"/>
                <w:rFonts w:hint="eastAsia"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35"/>
              <w:ind w:firstLine="420"/>
              <w:jc w:val="center"/>
              <w:spacing w:after="150" w:line="360" w:lineRule="auto"/>
              <w:rPr>
                <w:color w:val="auto"/>
                <w:sz w:val="21"/>
                <w:szCs w:val="21"/>
                <w:highlight w:val="none"/>
              </w:rPr>
            </w:pPr>
            <w:r>
              <w:rPr>
                <w:rStyle w:val="838"/>
                <w:rFonts w:hint="eastAsia"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35"/>
              <w:jc w:val="center"/>
              <w:spacing w:after="150" w:line="360" w:lineRule="auto"/>
              <w:rPr>
                <w:color w:val="auto"/>
                <w:sz w:val="21"/>
                <w:szCs w:val="21"/>
                <w:highlight w:val="none"/>
              </w:rPr>
            </w:pPr>
            <w:r>
              <w:rPr>
                <w:rStyle w:val="838"/>
                <w:rFonts w:hint="eastAsia"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35"/>
              <w:jc w:val="center"/>
              <w:spacing w:after="150" w:line="360" w:lineRule="auto"/>
              <w:rPr>
                <w:color w:val="auto"/>
                <w:sz w:val="21"/>
                <w:szCs w:val="21"/>
                <w:highlight w:val="none"/>
              </w:rPr>
            </w:pPr>
            <w:r>
              <w:rPr>
                <w:rStyle w:val="838"/>
                <w:rFonts w:hint="eastAsia"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35"/>
              <w:ind w:firstLine="420"/>
              <w:jc w:val="center"/>
              <w:spacing w:after="150" w:line="360" w:lineRule="auto"/>
              <w:rPr>
                <w:color w:val="auto"/>
                <w:sz w:val="21"/>
                <w:szCs w:val="21"/>
                <w:highlight w:val="none"/>
              </w:rPr>
            </w:pPr>
            <w:r>
              <w:rPr>
                <w:rStyle w:val="838"/>
                <w:rFonts w:hint="eastAsia"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35"/>
              <w:jc w:val="center"/>
              <w:spacing w:after="150" w:line="360" w:lineRule="auto"/>
              <w:rPr>
                <w:color w:val="auto"/>
                <w:sz w:val="21"/>
                <w:szCs w:val="21"/>
                <w:highlight w:val="none"/>
              </w:rPr>
            </w:pPr>
            <w:r>
              <w:rPr>
                <w:rStyle w:val="838"/>
                <w:rFonts w:hint="eastAsia"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35"/>
              <w:jc w:val="center"/>
              <w:spacing w:after="150" w:line="360" w:lineRule="auto"/>
              <w:rPr>
                <w:color w:val="auto"/>
                <w:sz w:val="21"/>
                <w:szCs w:val="21"/>
                <w:highlight w:val="none"/>
              </w:rPr>
            </w:pPr>
            <w:r>
              <w:rPr>
                <w:rStyle w:val="838"/>
                <w:rFonts w:hint="eastAsia"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35"/>
              <w:ind w:firstLine="420"/>
              <w:jc w:val="center"/>
              <w:spacing w:after="150" w:line="360" w:lineRule="auto"/>
              <w:rPr>
                <w:color w:val="auto"/>
                <w:sz w:val="21"/>
                <w:szCs w:val="21"/>
                <w:highlight w:val="none"/>
              </w:rPr>
            </w:pPr>
            <w:r>
              <w:rPr>
                <w:rStyle w:val="838"/>
                <w:rFonts w:hint="eastAsia"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35"/>
              <w:jc w:val="center"/>
              <w:spacing w:after="150" w:line="360" w:lineRule="auto"/>
              <w:rPr>
                <w:color w:val="auto"/>
                <w:sz w:val="21"/>
                <w:szCs w:val="21"/>
                <w:highlight w:val="none"/>
              </w:rPr>
            </w:pPr>
            <w:r>
              <w:rPr>
                <w:rStyle w:val="838"/>
                <w:rFonts w:hint="eastAsia"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35"/>
              <w:jc w:val="center"/>
              <w:spacing w:after="150" w:line="360" w:lineRule="auto"/>
              <w:rPr>
                <w:color w:val="auto"/>
                <w:sz w:val="21"/>
                <w:szCs w:val="21"/>
                <w:highlight w:val="none"/>
              </w:rPr>
            </w:pPr>
            <w:r>
              <w:rPr>
                <w:rStyle w:val="838"/>
                <w:rFonts w:hint="eastAsia"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35"/>
              <w:ind w:firstLine="420"/>
              <w:jc w:val="center"/>
              <w:spacing w:after="150" w:line="360" w:lineRule="auto"/>
              <w:rPr>
                <w:color w:val="auto"/>
                <w:sz w:val="21"/>
                <w:szCs w:val="21"/>
                <w:highlight w:val="none"/>
              </w:rPr>
            </w:pPr>
            <w:r>
              <w:rPr>
                <w:rStyle w:val="838"/>
                <w:rFonts w:hint="eastAsia"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35"/>
              <w:jc w:val="center"/>
              <w:spacing w:after="150" w:line="360" w:lineRule="auto"/>
              <w:rPr>
                <w:color w:val="auto"/>
                <w:sz w:val="21"/>
                <w:szCs w:val="21"/>
                <w:highlight w:val="none"/>
              </w:rPr>
            </w:pPr>
            <w:r>
              <w:rPr>
                <w:rStyle w:val="838"/>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35"/>
              <w:jc w:val="center"/>
              <w:spacing w:after="150" w:line="360" w:lineRule="auto"/>
              <w:rPr>
                <w:color w:val="auto"/>
                <w:sz w:val="21"/>
                <w:szCs w:val="21"/>
                <w:highlight w:val="none"/>
              </w:rPr>
            </w:pPr>
            <w:r>
              <w:rPr>
                <w:rStyle w:val="838"/>
                <w:rFonts w:hint="eastAsia"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35"/>
              <w:ind w:firstLine="420"/>
              <w:jc w:val="center"/>
              <w:spacing w:after="150" w:line="360" w:lineRule="auto"/>
              <w:rPr>
                <w:color w:val="auto"/>
                <w:sz w:val="21"/>
                <w:szCs w:val="21"/>
                <w:highlight w:val="none"/>
              </w:rPr>
            </w:pPr>
            <w:r>
              <w:rPr>
                <w:rStyle w:val="838"/>
                <w:rFonts w:hint="eastAsia"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35"/>
              <w:jc w:val="center"/>
              <w:spacing w:after="150" w:line="360" w:lineRule="auto"/>
              <w:rPr>
                <w:color w:val="auto"/>
                <w:sz w:val="21"/>
                <w:szCs w:val="21"/>
                <w:highlight w:val="none"/>
              </w:rPr>
            </w:pPr>
            <w:r>
              <w:rPr>
                <w:rStyle w:val="838"/>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35"/>
              <w:jc w:val="center"/>
              <w:spacing w:after="150" w:line="360" w:lineRule="auto"/>
              <w:rPr>
                <w:color w:val="auto"/>
                <w:sz w:val="21"/>
                <w:szCs w:val="21"/>
                <w:highlight w:val="none"/>
              </w:rPr>
            </w:pPr>
            <w:r>
              <w:rPr>
                <w:rStyle w:val="838"/>
                <w:rFonts w:hint="eastAsia"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35"/>
              <w:ind w:firstLine="420"/>
              <w:jc w:val="center"/>
              <w:spacing w:after="150" w:line="360" w:lineRule="auto"/>
              <w:rPr>
                <w:color w:val="auto"/>
                <w:sz w:val="21"/>
                <w:szCs w:val="21"/>
                <w:highlight w:val="none"/>
              </w:rPr>
            </w:pPr>
            <w:r>
              <w:rPr>
                <w:rStyle w:val="838"/>
                <w:rFonts w:hint="eastAsia"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35"/>
              <w:jc w:val="center"/>
              <w:spacing w:after="150" w:line="360" w:lineRule="auto"/>
              <w:rPr>
                <w:color w:val="auto"/>
                <w:sz w:val="21"/>
                <w:szCs w:val="21"/>
                <w:highlight w:val="none"/>
              </w:rPr>
            </w:pPr>
            <w:r>
              <w:rPr>
                <w:rStyle w:val="838"/>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35"/>
              <w:jc w:val="center"/>
              <w:spacing w:after="150" w:line="360" w:lineRule="auto"/>
              <w:rPr>
                <w:color w:val="auto"/>
                <w:sz w:val="21"/>
                <w:szCs w:val="21"/>
                <w:highlight w:val="none"/>
              </w:rPr>
            </w:pPr>
            <w:r>
              <w:rPr>
                <w:rStyle w:val="838"/>
                <w:rFonts w:hint="eastAsia"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35"/>
              <w:ind w:firstLine="420"/>
              <w:jc w:val="center"/>
              <w:spacing w:after="150" w:line="360" w:lineRule="auto"/>
              <w:rPr>
                <w:color w:val="auto"/>
                <w:sz w:val="21"/>
                <w:szCs w:val="21"/>
                <w:highlight w:val="none"/>
              </w:rPr>
            </w:pPr>
            <w:r>
              <w:rPr>
                <w:rStyle w:val="838"/>
                <w:rFonts w:hint="eastAsia"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35"/>
              <w:jc w:val="center"/>
              <w:spacing w:after="150" w:line="360" w:lineRule="auto"/>
              <w:rPr>
                <w:color w:val="auto"/>
                <w:sz w:val="21"/>
                <w:szCs w:val="21"/>
                <w:highlight w:val="none"/>
              </w:rPr>
            </w:pPr>
            <w:r>
              <w:rPr>
                <w:rStyle w:val="838"/>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35"/>
              <w:jc w:val="center"/>
              <w:spacing w:after="150" w:line="360" w:lineRule="auto"/>
              <w:rPr>
                <w:color w:val="auto"/>
                <w:sz w:val="21"/>
                <w:szCs w:val="21"/>
                <w:highlight w:val="none"/>
              </w:rPr>
            </w:pPr>
            <w:r>
              <w:rPr>
                <w:rStyle w:val="838"/>
                <w:rFonts w:hint="eastAsia"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35"/>
              <w:ind w:firstLine="420"/>
              <w:jc w:val="center"/>
              <w:spacing w:after="150" w:line="360" w:lineRule="auto"/>
              <w:rPr>
                <w:color w:val="auto"/>
                <w:sz w:val="21"/>
                <w:szCs w:val="21"/>
                <w:highlight w:val="none"/>
              </w:rPr>
            </w:pPr>
            <w:r>
              <w:rPr>
                <w:rStyle w:val="838"/>
                <w:rFonts w:hint="eastAsia"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35"/>
              <w:jc w:val="center"/>
              <w:spacing w:after="150" w:line="360" w:lineRule="auto"/>
              <w:rPr>
                <w:color w:val="auto"/>
                <w:sz w:val="21"/>
                <w:szCs w:val="21"/>
                <w:highlight w:val="none"/>
              </w:rPr>
            </w:pPr>
            <w:r>
              <w:rPr>
                <w:rStyle w:val="838"/>
                <w:rFonts w:hint="eastAsia"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35"/>
              <w:jc w:val="center"/>
              <w:spacing w:after="150" w:line="360" w:lineRule="auto"/>
              <w:rPr>
                <w:color w:val="auto"/>
                <w:sz w:val="21"/>
                <w:szCs w:val="21"/>
                <w:highlight w:val="none"/>
              </w:rPr>
            </w:pPr>
            <w:r>
              <w:rPr>
                <w:rStyle w:val="838"/>
                <w:rFonts w:hint="eastAsia"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35"/>
              <w:ind w:firstLine="420"/>
              <w:jc w:val="center"/>
              <w:spacing w:after="150" w:line="360" w:lineRule="auto"/>
              <w:rPr>
                <w:color w:val="auto"/>
                <w:sz w:val="21"/>
                <w:szCs w:val="21"/>
                <w:highlight w:val="none"/>
              </w:rPr>
            </w:pPr>
            <w:r>
              <w:rPr>
                <w:rStyle w:val="838"/>
                <w:rFonts w:hint="eastAsia"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35"/>
              <w:jc w:val="center"/>
              <w:spacing w:after="150" w:line="360" w:lineRule="auto"/>
              <w:rPr>
                <w:color w:val="auto"/>
                <w:sz w:val="21"/>
                <w:szCs w:val="21"/>
                <w:highlight w:val="none"/>
              </w:rPr>
            </w:pPr>
            <w:r>
              <w:rPr>
                <w:rStyle w:val="838"/>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35"/>
              <w:jc w:val="center"/>
              <w:spacing w:after="150" w:line="360" w:lineRule="auto"/>
              <w:rPr>
                <w:color w:val="auto"/>
                <w:sz w:val="21"/>
                <w:szCs w:val="21"/>
                <w:highlight w:val="none"/>
              </w:rPr>
            </w:pPr>
            <w:r>
              <w:rPr>
                <w:rStyle w:val="838"/>
                <w:rFonts w:hint="eastAsia"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35"/>
              <w:ind w:firstLine="420"/>
              <w:jc w:val="center"/>
              <w:spacing w:after="150" w:line="360" w:lineRule="auto"/>
              <w:rPr>
                <w:color w:val="auto"/>
                <w:sz w:val="21"/>
                <w:szCs w:val="21"/>
                <w:highlight w:val="none"/>
              </w:rPr>
            </w:pPr>
            <w:r>
              <w:rPr>
                <w:rStyle w:val="838"/>
                <w:rFonts w:hint="eastAsia"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35"/>
              <w:jc w:val="center"/>
              <w:spacing w:after="150" w:line="360" w:lineRule="auto"/>
              <w:rPr>
                <w:color w:val="auto"/>
                <w:sz w:val="21"/>
                <w:szCs w:val="21"/>
                <w:highlight w:val="none"/>
              </w:rPr>
            </w:pPr>
            <w:r>
              <w:rPr>
                <w:rStyle w:val="838"/>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35"/>
              <w:jc w:val="center"/>
              <w:spacing w:after="150" w:line="360" w:lineRule="auto"/>
              <w:rPr>
                <w:color w:val="auto"/>
                <w:sz w:val="21"/>
                <w:szCs w:val="21"/>
                <w:highlight w:val="none"/>
              </w:rPr>
            </w:pPr>
            <w:r>
              <w:rPr>
                <w:rStyle w:val="838"/>
                <w:rFonts w:hint="eastAsia"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835"/>
              <w:ind w:firstLine="420"/>
              <w:jc w:val="center"/>
              <w:spacing w:after="150" w:line="360" w:lineRule="auto"/>
              <w:rPr>
                <w:color w:val="auto"/>
                <w:sz w:val="21"/>
                <w:szCs w:val="21"/>
                <w:highlight w:val="none"/>
              </w:rPr>
            </w:pPr>
            <w:r>
              <w:rPr>
                <w:rStyle w:val="838"/>
                <w:rFonts w:hint="eastAsia"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35"/>
              <w:jc w:val="center"/>
              <w:spacing w:after="150" w:line="360" w:lineRule="auto"/>
              <w:rPr>
                <w:color w:val="auto"/>
                <w:sz w:val="21"/>
                <w:szCs w:val="21"/>
                <w:highlight w:val="none"/>
              </w:rPr>
            </w:pPr>
            <w:r>
              <w:rPr>
                <w:rStyle w:val="838"/>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35"/>
              <w:ind w:firstLine="420"/>
              <w:spacing w:after="150" w:line="360" w:lineRule="auto"/>
              <w:rPr>
                <w:color w:val="auto"/>
                <w:sz w:val="21"/>
                <w:szCs w:val="21"/>
                <w:highlight w:val="none"/>
              </w:rPr>
            </w:pPr>
            <w:r>
              <w:rPr>
                <w:rStyle w:val="838"/>
                <w:rFonts w:hint="eastAsia" w:cs="仿宋"/>
                <w:color w:val="auto"/>
                <w:sz w:val="21"/>
                <w:szCs w:val="21"/>
                <w:highlight w:val="none"/>
              </w:rPr>
              <w:t xml:space="preserve">X＜10</w:t>
            </w:r>
            <w:r/>
          </w:p>
        </w:tc>
      </w:tr>
    </w:tbl>
    <w:p>
      <w:pPr>
        <w:pStyle w:val="835"/>
        <w:ind w:firstLine="810"/>
        <w:spacing w:before="300" w:after="452" w:line="360" w:lineRule="auto"/>
        <w:rPr>
          <w:rFonts w:cs="仿宋"/>
          <w:b/>
          <w:color w:val="auto"/>
          <w:sz w:val="21"/>
          <w:szCs w:val="21"/>
          <w:highlight w:val="none"/>
        </w:rPr>
      </w:pPr>
      <w:r>
        <w:rPr>
          <w:rStyle w:val="838"/>
          <w:rFonts w:hint="eastAsia"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rPr>
          <w:color w:val="auto"/>
          <w:highlight w:val="none"/>
        </w:rPr>
      </w:pPr>
      <w:r>
        <w:rPr>
          <w:color w:val="auto"/>
          <w:highlight w:val="none"/>
        </w:rPr>
      </w:r>
      <w:r/>
    </w:p>
    <w:p>
      <w:pPr>
        <w:jc w:val="left"/>
        <w:widowControl/>
        <w:rPr>
          <w:rFonts w:hint="eastAsia" w:ascii="宋体" w:hAnsi="宋体" w:cs="Arial"/>
          <w:b/>
          <w:bCs/>
          <w:color w:val="auto"/>
          <w:highlight w:val="none"/>
        </w:rPr>
      </w:pPr>
      <w:r>
        <w:rPr>
          <w:rFonts w:ascii="宋体" w:hAnsi="宋体" w:cs="Arial"/>
          <w:b/>
          <w:bCs/>
          <w:color w:val="auto"/>
          <w:highlight w:val="none"/>
        </w:rPr>
        <w:br w:type="page" w:clear="all"/>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t xml:space="preserve">残疾人福利性单位声明函</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588" w:lineRule="exact"/>
        <w:rPr>
          <w:rFonts w:hint="eastAsia"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hint="eastAsia"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588" w:lineRule="exact"/>
        <w:rPr>
          <w:rFonts w:hint="eastAsia"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8"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588" w:lineRule="exact"/>
        <w:rPr>
          <w:rFonts w:hint="eastAsia"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588" w:lineRule="exact"/>
        <w:tabs>
          <w:tab w:val="left" w:pos="4860" w:leader="none"/>
        </w:tabs>
        <w:rPr>
          <w:rFonts w:hint="eastAsia"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spacing w:line="588" w:lineRule="exact"/>
        <w:tabs>
          <w:tab w:val="left" w:pos="4860" w:leader="none"/>
        </w:tabs>
        <w:rPr>
          <w:rFonts w:hint="eastAsia" w:ascii="宋体" w:hAnsi="宋体"/>
          <w:color w:val="auto"/>
          <w:szCs w:val="21"/>
          <w:highlight w:val="none"/>
        </w:rPr>
      </w:pPr>
      <w:r>
        <w:rPr>
          <w:rFonts w:hint="eastAsia" w:ascii="宋体" w:hAnsi="宋体"/>
          <w:color w:val="auto"/>
          <w:szCs w:val="21"/>
          <w:highlight w:val="none"/>
        </w:rPr>
        <w:t xml:space="preserve">                              日  期：</w:t>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pStyle w:val="1018"/>
        <w:rPr>
          <w:rFonts w:hint="eastAsia" w:hAnsi="宋体" w:cs="Arial"/>
          <w:b/>
          <w:bCs/>
          <w:color w:val="auto"/>
          <w:highlight w:val="none"/>
        </w:rPr>
      </w:pPr>
      <w:r>
        <w:rPr>
          <w:rFonts w:hint="eastAsia" w:hAnsi="宋体" w:cs="Arial"/>
          <w:b/>
          <w:bCs/>
          <w:color w:val="auto"/>
          <w:highlight w:val="none"/>
        </w:rPr>
      </w:r>
      <w:r/>
    </w:p>
    <w:p>
      <w:pPr>
        <w:pStyle w:val="1019"/>
        <w:rPr>
          <w:rFonts w:hint="eastAsia" w:hAnsi="宋体" w:cs="Arial"/>
          <w:b/>
          <w:bCs/>
          <w:color w:val="auto"/>
          <w:highlight w:val="none"/>
          <w:lang w:eastAsia="zh-CN"/>
        </w:rPr>
      </w:pPr>
      <w:r>
        <w:rPr>
          <w:rFonts w:hint="eastAsia" w:hAnsi="宋体" w:cs="Arial"/>
          <w:b/>
          <w:bCs/>
          <w:color w:val="auto"/>
          <w:highlight w:val="none"/>
          <w:lang w:eastAsia="zh-CN"/>
        </w:rPr>
      </w:r>
      <w:r/>
    </w:p>
    <w:p>
      <w:pPr>
        <w:rPr>
          <w:color w:val="auto"/>
          <w:highlight w:val="none"/>
        </w:rPr>
      </w:pPr>
      <w:r>
        <w:rPr>
          <w:color w:val="auto"/>
          <w:highlight w:val="none"/>
        </w:rPr>
      </w:r>
      <w:r/>
    </w:p>
    <w:p>
      <w:pPr>
        <w:pStyle w:val="1022"/>
        <w:rPr>
          <w:rFonts w:hint="eastAsia" w:hAnsi="宋体" w:cs="Arial"/>
          <w:b/>
          <w:bCs/>
          <w:color w:val="auto"/>
          <w:highlight w:val="none"/>
        </w:rPr>
      </w:pPr>
      <w:r>
        <w:rPr>
          <w:rFonts w:hint="eastAsia" w:hAnsi="宋体" w:cs="Arial"/>
          <w:b/>
          <w:bCs/>
          <w:color w:val="auto"/>
          <w:highlight w:val="none"/>
        </w:rPr>
      </w:r>
      <w:r/>
    </w:p>
    <w:p>
      <w:pPr>
        <w:pStyle w:val="804"/>
        <w:rPr>
          <w:rFonts w:hint="eastAsia"/>
        </w:rPr>
      </w:pPr>
      <w:r>
        <w:rPr>
          <w:rFonts w:hint="eastAsia"/>
        </w:rPr>
      </w:r>
      <w:r/>
    </w:p>
    <w:p>
      <w:pPr>
        <w:rPr>
          <w:color w:val="auto"/>
          <w:highlight w:val="none"/>
        </w:rPr>
      </w:pPr>
      <w:r>
        <w:rPr>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center"/>
        <w:spacing w:line="360" w:lineRule="auto"/>
        <w:rPr>
          <w:rFonts w:hint="eastAsia" w:ascii="宋体" w:hAnsi="宋体" w:cs="宋体"/>
          <w:sz w:val="24"/>
          <w:szCs w:val="24"/>
        </w:rPr>
      </w:pPr>
      <w:r>
        <w:rPr>
          <w:rFonts w:ascii="宋体" w:hAnsi="宋体" w:cs="宋体"/>
          <w:b/>
          <w:sz w:val="24"/>
          <w:szCs w:val="24"/>
        </w:rPr>
        <w:t xml:space="preserve">关于符合本国产品标准的声明函</w:t>
      </w:r>
      <w:r/>
    </w:p>
    <w:p>
      <w:pPr>
        <w:ind w:firstLine="420"/>
        <w:jc w:val="left"/>
        <w:spacing w:line="360" w:lineRule="auto"/>
        <w:widowControl/>
        <w:rPr>
          <w:rFonts w:hint="eastAsia" w:ascii="宋体" w:hAnsi="宋体" w:cs="宋体"/>
          <w:sz w:val="24"/>
          <w:szCs w:val="24"/>
        </w:rPr>
      </w:pPr>
      <w:r>
        <w:rPr>
          <w:rFonts w:hint="eastAsia" w:ascii="宋体" w:hAnsi="宋体" w:cs="宋体"/>
          <w:sz w:val="24"/>
          <w:szCs w:val="24"/>
        </w:rPr>
      </w:r>
      <w:r/>
    </w:p>
    <w:p>
      <w:pPr>
        <w:ind w:firstLine="420"/>
        <w:jc w:val="left"/>
        <w:spacing w:line="360" w:lineRule="auto"/>
        <w:widowControl/>
        <w:rPr>
          <w:rFonts w:hint="eastAsia" w:ascii="宋体" w:hAnsi="宋体" w:cs="宋体"/>
          <w:sz w:val="24"/>
          <w:szCs w:val="24"/>
        </w:rPr>
      </w:pPr>
      <w:r>
        <w:rPr>
          <w:rFonts w:ascii="宋体" w:hAnsi="宋体" w:cs="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hint="eastAsia" w:ascii="宋体" w:hAnsi="宋体" w:cs="宋体"/>
          <w:sz w:val="24"/>
          <w:szCs w:val="24"/>
        </w:rP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left</wp:align>
                </wp:positionH>
                <wp:positionV relativeFrom="paragraph">
                  <wp:posOffset>654050</wp:posOffset>
                </wp:positionV>
                <wp:extent cx="565785" cy="130810"/>
                <wp:effectExtent l="1270" t="4445" r="4445" b="17145"/>
                <wp:wrapNone/>
                <wp:docPr id="4" name="直接箭头连接符 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0528;o:allowoverlap:true;o:allowincell:true;mso-position-horizontal-relative:margin;mso-position-horizontal:left;mso-position-vertical-relative:text;margin-top:51.5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3141345</wp:posOffset>
                </wp:positionH>
                <wp:positionV relativeFrom="paragraph">
                  <wp:posOffset>688975</wp:posOffset>
                </wp:positionV>
                <wp:extent cx="816610" cy="147320"/>
                <wp:effectExtent l="635" t="4445" r="1905" b="19685"/>
                <wp:wrapNone/>
                <wp:docPr id="5"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7.3pt;mso-position-horizontal:absolute;mso-position-vertical-relative:text;margin-top:54.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1957705</wp:posOffset>
                </wp:positionH>
                <wp:positionV relativeFrom="paragraph">
                  <wp:posOffset>687070</wp:posOffset>
                </wp:positionV>
                <wp:extent cx="876300" cy="120015"/>
                <wp:effectExtent l="635" t="4445" r="18415" b="8890"/>
                <wp:wrapNone/>
                <wp:docPr id="6" name="直接箭头连接符 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154.2pt;mso-position-horizontal:absolute;mso-position-vertical-relative:text;margin-top:54.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4995545</wp:posOffset>
                </wp:positionH>
                <wp:positionV relativeFrom="paragraph">
                  <wp:posOffset>417830</wp:posOffset>
                </wp:positionV>
                <wp:extent cx="196215" cy="97790"/>
                <wp:effectExtent l="1905" t="4445" r="11430" b="12065"/>
                <wp:wrapNone/>
                <wp:docPr id="7" name="直接箭头连接符 1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393.3pt;mso-position-horizontal:absolute;mso-position-vertical-relative:text;margin-top:32.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418465</wp:posOffset>
                </wp:positionV>
                <wp:extent cx="816610" cy="103505"/>
                <wp:effectExtent l="635" t="4445" r="1905" b="6350"/>
                <wp:wrapNone/>
                <wp:docPr id="8"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302.7pt;mso-position-horizontal:absolute;mso-position-vertical-relative:text;margin-top:32.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2766060</wp:posOffset>
                </wp:positionH>
                <wp:positionV relativeFrom="paragraph">
                  <wp:posOffset>422275</wp:posOffset>
                </wp:positionV>
                <wp:extent cx="816610" cy="76200"/>
                <wp:effectExtent l="635" t="4445" r="1905" b="14604"/>
                <wp:wrapNone/>
                <wp:docPr id="9" name="直接箭头连接符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59264;o:allowoverlap:true;o:allowincell:true;mso-position-horizontal-relative:text;margin-left:217.8pt;mso-position-horizontal:absolute;mso-position-vertical-relative:text;margin-top:33.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-8890</wp:posOffset>
                </wp:positionH>
                <wp:positionV relativeFrom="paragraph">
                  <wp:posOffset>424180</wp:posOffset>
                </wp:positionV>
                <wp:extent cx="364490" cy="97790"/>
                <wp:effectExtent l="1270" t="4445" r="15240" b="12065"/>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7456;o:allowoverlap:true;o:allowincell:true;mso-position-horizontal-relative:text;margin-left:-0.7pt;mso-position-horizontal:absolute;mso-position-vertical-relative:text;margin-top:33.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4633595</wp:posOffset>
                </wp:positionH>
                <wp:positionV relativeFrom="paragraph">
                  <wp:posOffset>118745</wp:posOffset>
                </wp:positionV>
                <wp:extent cx="577215" cy="92075"/>
                <wp:effectExtent l="635" t="4445" r="12700" b="17780"/>
                <wp:wrapNone/>
                <wp:docPr id="11"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6432;o:allowoverlap:true;o:allowincell:true;mso-position-horizontal-relative:text;margin-left:364.8pt;mso-position-horizontal:absolute;mso-position-vertical-relative:text;margin-top:9.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ascii="宋体" w:hAnsi="宋体" w:cs="宋体"/>
          <w:sz w:val="24"/>
          <w:szCs w:val="24"/>
          <w:shd w:val="clear" w:color="auto" w:fill="ffffff"/>
        </w:rPr>
        <w:t xml:space="preserve">1.</w:t>
      </w:r>
      <w:r>
        <w:rPr>
          <w:rFonts w:ascii="宋体" w:hAnsi="宋体" w:cs="宋体"/>
          <w:i/>
          <w:sz w:val="24"/>
          <w:szCs w:val="24"/>
          <w:u w:val="single"/>
          <w:shd w:val="clear" w:color="auto" w:fill="ffffff"/>
        </w:rPr>
        <w:t xml:space="preserve">（产品名称1）</w:t>
      </w:r>
      <w:r>
        <w:rPr>
          <w:rFonts w:ascii="宋体" w:hAnsi="宋体" w:cs="宋体"/>
          <w:i/>
          <w:sz w:val="24"/>
          <w:szCs w:val="24"/>
          <w:shd w:val="clear" w:color="auto" w:fill="ffffff"/>
          <w:vertAlign w:val="superscript"/>
        </w:rPr>
        <w:t xml:space="preserve">1</w:t>
      </w:r>
      <w:r>
        <w:rPr>
          <w:rFonts w:ascii="宋体" w:hAnsi="宋体" w:cs="宋体"/>
          <w:sz w:val="24"/>
          <w:szCs w:val="24"/>
          <w:shd w:val="clear" w:color="auto" w:fill="ffffff"/>
        </w:rPr>
        <w:t xml:space="preserve">，生产厂为</w:t>
      </w:r>
      <w:r>
        <w:rPr>
          <w:rFonts w:ascii="宋体" w:hAnsi="宋体" w:cs="宋体"/>
          <w:i/>
          <w:sz w:val="24"/>
          <w:szCs w:val="24"/>
          <w:u w:val="single"/>
          <w:shd w:val="clear" w:color="auto" w:fill="ffffff"/>
        </w:rPr>
        <w:t xml:space="preserve">（厂名）</w:t>
      </w:r>
      <w:r>
        <w:rPr>
          <w:rFonts w:ascii="宋体" w:hAnsi="宋体" w:cs="宋体"/>
          <w:i/>
          <w:sz w:val="24"/>
          <w:szCs w:val="24"/>
          <w:shd w:val="clear" w:color="auto" w:fill="ffffff"/>
          <w:vertAlign w:val="superscript"/>
        </w:rPr>
        <w:t xml:space="preserve">2</w:t>
      </w:r>
      <w:r>
        <w:rPr>
          <w:rFonts w:ascii="宋体" w:hAnsi="宋体" w:cs="宋体"/>
          <w:sz w:val="24"/>
          <w:szCs w:val="24"/>
          <w:shd w:val="clear" w:color="auto" w:fill="ffffff"/>
        </w:rPr>
        <w:t xml:space="preserve">，厂址为</w:t>
      </w:r>
      <w:r>
        <w:rPr>
          <w:rFonts w:ascii="宋体" w:hAnsi="宋体" w:cs="宋体"/>
          <w:i/>
          <w:sz w:val="24"/>
          <w:szCs w:val="24"/>
          <w:u w:val="single"/>
          <w:shd w:val="clear" w:color="auto" w:fill="ffffff"/>
        </w:rPr>
        <w:t xml:space="preserve">（生产厂址）</w:t>
      </w:r>
      <w:r>
        <w:rPr>
          <w:rFonts w:ascii="宋体" w:hAnsi="宋体" w:cs="宋体"/>
          <w:sz w:val="24"/>
          <w:szCs w:val="24"/>
          <w:shd w:val="clear" w:color="auto" w:fill="ffffff"/>
        </w:rPr>
        <w:t xml:space="preserve">。</w:t>
      </w:r>
      <w:r>
        <w:rPr>
          <w:rFonts w:ascii="宋体" w:hAnsi="宋体" w:cs="宋体"/>
          <w:sz w:val="24"/>
          <w:szCs w:val="24"/>
          <w:u w:val="single"/>
          <w:shd w:val="clear" w:color="auto" w:fill="ffffff"/>
        </w:rPr>
        <w:t xml:space="preserve"> </w:t>
      </w:r>
      <w:r>
        <w:rPr>
          <w:rFonts w:ascii="宋体" w:hAnsi="宋体" w:cs="宋体"/>
          <w:i/>
          <w:sz w:val="24"/>
          <w:szCs w:val="24"/>
          <w:u w:val="single"/>
          <w:shd w:val="clear" w:color="auto" w:fill="ffffff"/>
        </w:rPr>
        <w:t xml:space="preserve">（产品名称1） </w:t>
      </w:r>
      <w:r>
        <w:rPr>
          <w:rFonts w:ascii="宋体" w:hAnsi="宋体" w:cs="宋体"/>
          <w:sz w:val="24"/>
          <w:szCs w:val="24"/>
          <w:shd w:val="clear" w:color="auto" w:fill="ffffff"/>
        </w:rPr>
        <w:t xml:space="preserve">的中国境内生产的组件成本占比≥</w:t>
      </w:r>
      <w:r>
        <w:rPr>
          <w:rFonts w:ascii="宋体" w:hAnsi="宋体" w:cs="宋体"/>
          <w:i/>
          <w:sz w:val="24"/>
          <w:szCs w:val="24"/>
          <w:u w:val="single"/>
          <w:shd w:val="clear" w:color="auto" w:fill="ffffff"/>
        </w:rPr>
        <w:t xml:space="preserve">（规定比例）</w:t>
      </w:r>
      <w:r>
        <w:rPr>
          <w:rFonts w:ascii="宋体" w:hAnsi="宋体" w:cs="宋体"/>
          <w:i/>
          <w:sz w:val="24"/>
          <w:szCs w:val="24"/>
          <w:shd w:val="clear" w:color="auto" w:fill="ffffff"/>
          <w:vertAlign w:val="superscript"/>
        </w:rPr>
        <w:t xml:space="preserve">3</w:t>
      </w:r>
      <w:r>
        <w:rPr>
          <w:rFonts w:ascii="宋体" w:hAnsi="宋体" w:cs="宋体"/>
          <w:sz w:val="24"/>
          <w:szCs w:val="24"/>
          <w:shd w:val="clear" w:color="auto" w:fill="ffffff"/>
        </w:rPr>
        <w:t xml:space="preserve">。</w:t>
      </w:r>
      <w:r>
        <w:rPr>
          <w:rFonts w:ascii="宋体" w:hAnsi="宋体" w:cs="宋体"/>
          <w:i/>
          <w:sz w:val="24"/>
          <w:szCs w:val="24"/>
          <w:u w:val="single"/>
          <w:shd w:val="clear" w:color="auto" w:fill="ffffff"/>
        </w:rPr>
        <w:t xml:space="preserve">（产品名称1）</w:t>
      </w:r>
      <w:r>
        <w:rPr>
          <w:rFonts w:ascii="宋体" w:hAnsi="宋体" w:cs="宋体"/>
          <w:sz w:val="24"/>
          <w:szCs w:val="24"/>
          <w:shd w:val="clear" w:color="auto" w:fill="ffffff"/>
        </w:rPr>
        <w:t xml:space="preserve">的</w:t>
      </w:r>
      <w:r>
        <w:rPr>
          <w:rFonts w:ascii="宋体" w:hAnsi="宋体" w:cs="宋体"/>
          <w:i/>
          <w:sz w:val="24"/>
          <w:szCs w:val="24"/>
          <w:u w:val="single"/>
          <w:shd w:val="clear" w:color="auto" w:fill="ffffff"/>
        </w:rPr>
        <w:t xml:space="preserve">（关键组件）</w:t>
      </w:r>
      <w:r>
        <w:rPr>
          <w:rFonts w:ascii="宋体" w:hAnsi="宋体" w:cs="宋体"/>
          <w:i/>
          <w:sz w:val="24"/>
          <w:szCs w:val="24"/>
          <w:shd w:val="clear" w:color="auto" w:fill="ffffff"/>
          <w:vertAlign w:val="superscript"/>
        </w:rPr>
        <w:t xml:space="preserve">4</w:t>
      </w:r>
      <w:r>
        <w:rPr>
          <w:rFonts w:ascii="宋体" w:hAnsi="宋体" w:cs="宋体"/>
          <w:sz w:val="24"/>
          <w:szCs w:val="24"/>
          <w:shd w:val="clear" w:color="auto" w:fill="ffffff"/>
        </w:rPr>
        <w:t xml:space="preserve">在中国境内生产。</w:t>
      </w:r>
      <w:r>
        <w:rPr>
          <w:rFonts w:ascii="宋体" w:hAnsi="宋体" w:cs="宋体"/>
          <w:i/>
          <w:sz w:val="24"/>
          <w:szCs w:val="24"/>
          <w:u w:val="single"/>
          <w:shd w:val="clear" w:color="auto" w:fill="ffffff"/>
        </w:rPr>
        <w:t xml:space="preserve">（产品名称1）</w:t>
      </w:r>
      <w:r>
        <w:rPr>
          <w:rFonts w:ascii="宋体" w:hAnsi="宋体" w:cs="宋体"/>
          <w:sz w:val="24"/>
          <w:szCs w:val="24"/>
          <w:shd w:val="clear" w:color="auto" w:fill="ffffff"/>
        </w:rPr>
        <w:t xml:space="preserve">的</w:t>
      </w:r>
      <w:r>
        <w:rPr>
          <w:rFonts w:ascii="宋体" w:hAnsi="宋体" w:cs="宋体"/>
          <w:i/>
          <w:sz w:val="24"/>
          <w:szCs w:val="24"/>
          <w:u w:val="single"/>
          <w:shd w:val="clear" w:color="auto" w:fill="ffffff"/>
        </w:rPr>
        <w:t xml:space="preserve">（关键工序）</w:t>
      </w:r>
      <w:r>
        <w:rPr>
          <w:rFonts w:ascii="宋体" w:hAnsi="宋体" w:cs="宋体"/>
          <w:i/>
          <w:sz w:val="24"/>
          <w:szCs w:val="24"/>
          <w:shd w:val="clear" w:color="auto" w:fill="ffffff"/>
          <w:vertAlign w:val="superscript"/>
        </w:rPr>
        <w:t xml:space="preserve">5</w:t>
      </w:r>
      <w:r>
        <w:rPr>
          <w:rFonts w:ascii="宋体" w:hAnsi="宋体" w:cs="宋体"/>
          <w:sz w:val="24"/>
          <w:szCs w:val="24"/>
          <w:shd w:val="clear" w:color="auto" w:fill="ffffff"/>
        </w:rPr>
        <w:t xml:space="preserve">在中国境内完成。</w:t>
      </w:r>
      <w:r/>
    </w:p>
    <w:p>
      <w:pPr>
        <w:ind w:firstLine="420"/>
        <w:jc w:val="left"/>
        <w:spacing w:before="30" w:after="30" w:line="360" w:lineRule="auto"/>
        <w:widowControl/>
        <w:rPr>
          <w:rFonts w:hint="eastAsia" w:ascii="宋体" w:hAnsi="宋体" w:cs="宋体"/>
          <w:sz w:val="24"/>
          <w:szCs w:val="24"/>
        </w:rP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-25400</wp:posOffset>
                </wp:positionH>
                <wp:positionV relativeFrom="paragraph">
                  <wp:posOffset>676910</wp:posOffset>
                </wp:positionV>
                <wp:extent cx="424815" cy="112395"/>
                <wp:effectExtent l="1270" t="4445" r="12065" b="16510"/>
                <wp:wrapNone/>
                <wp:docPr id="12" name="直接箭头连接符 12"/>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2.0pt;mso-position-horizontal:absolute;mso-position-vertical-relative:text;margin-top:53.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-38100</wp:posOffset>
                </wp:positionH>
                <wp:positionV relativeFrom="paragraph">
                  <wp:posOffset>364490</wp:posOffset>
                </wp:positionV>
                <wp:extent cx="234315" cy="86995"/>
                <wp:effectExtent l="1905" t="4445" r="11430" b="22860"/>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3.0pt;mso-position-horizontal:absolute;mso-position-vertical-relative:text;margin-top:28.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4806315</wp:posOffset>
                </wp:positionH>
                <wp:positionV relativeFrom="paragraph">
                  <wp:posOffset>373380</wp:posOffset>
                </wp:positionV>
                <wp:extent cx="462280" cy="147320"/>
                <wp:effectExtent l="1270" t="4445" r="12700" b="19685"/>
                <wp:wrapNone/>
                <wp:docPr id="14" name="直接箭头连接符 14"/>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3600;o:allowoverlap:true;o:allowincell:true;mso-position-horizontal-relative:text;margin-left:378.4pt;mso-position-horizontal:absolute;mso-position-vertical-relative:text;margin-top:29.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3622040</wp:posOffset>
                </wp:positionH>
                <wp:positionV relativeFrom="paragraph">
                  <wp:posOffset>385445</wp:posOffset>
                </wp:positionV>
                <wp:extent cx="849630" cy="120015"/>
                <wp:effectExtent l="635" t="4445" r="6985" b="8890"/>
                <wp:wrapNone/>
                <wp:docPr id="15"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3360;o:allowoverlap:true;o:allowincell:true;mso-position-horizontal-relative:text;margin-left:285.2pt;mso-position-horizontal:absolute;mso-position-vertical-relative:text;margin-top:30.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2926715</wp:posOffset>
                </wp:positionH>
                <wp:positionV relativeFrom="paragraph">
                  <wp:posOffset>689610</wp:posOffset>
                </wp:positionV>
                <wp:extent cx="821690" cy="102870"/>
                <wp:effectExtent l="635" t="4445" r="15875" b="6985"/>
                <wp:wrapNone/>
                <wp:docPr id="16" name="直接箭头连接符 17"/>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230.4pt;mso-position-horizontal:absolute;mso-position-vertical-relative:text;margin-top:54.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2560955</wp:posOffset>
                </wp:positionH>
                <wp:positionV relativeFrom="paragraph">
                  <wp:posOffset>392430</wp:posOffset>
                </wp:positionV>
                <wp:extent cx="843915" cy="125730"/>
                <wp:effectExtent l="635" t="4445" r="12700" b="22225"/>
                <wp:wrapNone/>
                <wp:docPr id="17"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01.6pt;mso-position-horizontal:absolute;mso-position-vertical-relative:text;margin-top:30.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1727835</wp:posOffset>
                </wp:positionH>
                <wp:positionV relativeFrom="paragraph">
                  <wp:posOffset>711835</wp:posOffset>
                </wp:positionV>
                <wp:extent cx="908685" cy="140970"/>
                <wp:effectExtent l="635" t="4445" r="5080" b="6985"/>
                <wp:wrapNone/>
                <wp:docPr id="18" name="直接箭头连接符 16"/>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4384;o:allowoverlap:true;o:allowincell:true;mso-position-horizontal-relative:text;margin-left:136.0pt;mso-position-horizontal:absolute;mso-position-vertical-relative:text;margin-top:56.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4469765</wp:posOffset>
                </wp:positionH>
                <wp:positionV relativeFrom="paragraph">
                  <wp:posOffset>110490</wp:posOffset>
                </wp:positionV>
                <wp:extent cx="718185" cy="97790"/>
                <wp:effectExtent l="635" t="4445" r="5080" b="12065"/>
                <wp:wrapNone/>
                <wp:docPr id="19" name="直接箭头连接符 1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71552;o:allowoverlap:true;o:allowincell:true;mso-position-horizontal-relative:text;margin-left:351.9pt;mso-position-horizontal:absolute;mso-position-vertical-relative:text;margin-top:8.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ascii="宋体" w:hAnsi="宋体" w:cs="宋体"/>
          <w:sz w:val="24"/>
          <w:szCs w:val="24"/>
          <w:shd w:val="clear" w:color="auto" w:fill="ffffff"/>
        </w:rPr>
        <w:t xml:space="preserve">2.</w:t>
      </w:r>
      <w:r>
        <w:rPr>
          <w:rFonts w:ascii="宋体" w:hAnsi="宋体" w:cs="宋体"/>
          <w:i/>
          <w:sz w:val="24"/>
          <w:szCs w:val="24"/>
          <w:u w:val="single"/>
          <w:shd w:val="clear" w:color="auto" w:fill="ffffff"/>
        </w:rPr>
        <w:t xml:space="preserve">（产品名称2）</w:t>
      </w:r>
      <w:r>
        <w:rPr>
          <w:rFonts w:ascii="宋体" w:hAnsi="宋体" w:cs="宋体"/>
          <w:sz w:val="24"/>
          <w:szCs w:val="24"/>
          <w:shd w:val="clear" w:color="auto" w:fill="ffffff"/>
        </w:rPr>
        <w:t xml:space="preserve">，生产厂为</w:t>
      </w:r>
      <w:r>
        <w:rPr>
          <w:rFonts w:ascii="宋体" w:hAnsi="宋体" w:cs="宋体"/>
          <w:i/>
          <w:sz w:val="24"/>
          <w:szCs w:val="24"/>
          <w:u w:val="single"/>
          <w:shd w:val="clear" w:color="auto" w:fill="ffffff"/>
        </w:rPr>
        <w:t xml:space="preserve">（厂名）</w:t>
      </w:r>
      <w:r>
        <w:rPr>
          <w:rFonts w:ascii="宋体" w:hAnsi="宋体" w:cs="宋体"/>
          <w:sz w:val="24"/>
          <w:szCs w:val="24"/>
          <w:shd w:val="clear" w:color="auto" w:fill="ffffff"/>
        </w:rPr>
        <w:t xml:space="preserve">，厂址为</w:t>
      </w:r>
      <w:r>
        <w:rPr>
          <w:rFonts w:ascii="宋体" w:hAnsi="宋体" w:cs="宋体"/>
          <w:i/>
          <w:sz w:val="24"/>
          <w:szCs w:val="24"/>
          <w:u w:val="single"/>
          <w:shd w:val="clear" w:color="auto" w:fill="ffffff"/>
        </w:rPr>
        <w:t xml:space="preserve">（生产厂址）</w:t>
      </w:r>
      <w:r>
        <w:rPr>
          <w:rFonts w:ascii="宋体" w:hAnsi="宋体" w:cs="宋体"/>
          <w:sz w:val="24"/>
          <w:szCs w:val="24"/>
          <w:shd w:val="clear" w:color="auto" w:fill="ffffff"/>
        </w:rPr>
        <w:t xml:space="preserve">。</w:t>
      </w:r>
      <w:r>
        <w:rPr>
          <w:rFonts w:ascii="宋体" w:hAnsi="宋体" w:cs="宋体"/>
          <w:i/>
          <w:sz w:val="24"/>
          <w:szCs w:val="24"/>
          <w:u w:val="single"/>
          <w:shd w:val="clear" w:color="auto" w:fill="ffffff"/>
        </w:rPr>
        <w:t xml:space="preserve">（产品名称2）</w:t>
      </w:r>
      <w:r>
        <w:rPr>
          <w:rFonts w:ascii="宋体" w:hAnsi="宋体" w:cs="宋体"/>
          <w:sz w:val="24"/>
          <w:szCs w:val="24"/>
          <w:shd w:val="clear" w:color="auto" w:fill="ffffff"/>
        </w:rPr>
        <w:t xml:space="preserve">的中国境内生产的组件成本占比≥</w:t>
      </w:r>
      <w:r>
        <w:rPr>
          <w:rFonts w:ascii="宋体" w:hAnsi="宋体" w:cs="宋体"/>
          <w:i/>
          <w:sz w:val="24"/>
          <w:szCs w:val="24"/>
          <w:u w:val="single"/>
          <w:shd w:val="clear" w:color="auto" w:fill="ffffff"/>
        </w:rPr>
        <w:t xml:space="preserve">（规定比例）</w:t>
      </w:r>
      <w:r>
        <w:rPr>
          <w:rFonts w:ascii="宋体" w:hAnsi="宋体" w:cs="宋体"/>
          <w:sz w:val="24"/>
          <w:szCs w:val="24"/>
          <w:shd w:val="clear" w:color="auto" w:fill="ffffff"/>
        </w:rPr>
        <w:t xml:space="preserve">。</w:t>
      </w:r>
      <w:r>
        <w:rPr>
          <w:rFonts w:ascii="宋体" w:hAnsi="宋体" w:cs="宋体"/>
          <w:i/>
          <w:sz w:val="24"/>
          <w:szCs w:val="24"/>
          <w:u w:val="single"/>
          <w:shd w:val="clear" w:color="auto" w:fill="ffffff"/>
        </w:rPr>
        <w:t xml:space="preserve">（产品名称2）</w:t>
      </w:r>
      <w:r>
        <w:rPr>
          <w:rFonts w:ascii="宋体" w:hAnsi="宋体" w:cs="宋体"/>
          <w:sz w:val="24"/>
          <w:szCs w:val="24"/>
          <w:shd w:val="clear" w:color="auto" w:fill="ffffff"/>
        </w:rPr>
        <w:t xml:space="preserve">的</w:t>
      </w:r>
      <w:r>
        <w:rPr>
          <w:rFonts w:ascii="宋体" w:hAnsi="宋体" w:cs="宋体"/>
          <w:i/>
          <w:sz w:val="24"/>
          <w:szCs w:val="24"/>
          <w:u w:val="single"/>
          <w:shd w:val="clear" w:color="auto" w:fill="ffffff"/>
        </w:rPr>
        <w:t xml:space="preserve">（关键组件）</w:t>
      </w:r>
      <w:r>
        <w:rPr>
          <w:rFonts w:ascii="宋体" w:hAnsi="宋体" w:cs="宋体"/>
          <w:sz w:val="24"/>
          <w:szCs w:val="24"/>
          <w:shd w:val="clear" w:color="auto" w:fill="ffffff"/>
        </w:rPr>
        <w:t xml:space="preserve">在中国境内生产。</w:t>
      </w:r>
      <w:r>
        <w:rPr>
          <w:rFonts w:ascii="宋体" w:hAnsi="宋体" w:cs="宋体"/>
          <w:i/>
          <w:sz w:val="24"/>
          <w:szCs w:val="24"/>
          <w:u w:val="single"/>
          <w:shd w:val="clear" w:color="auto" w:fill="ffffff"/>
        </w:rPr>
        <w:t xml:space="preserve">（产品名称1）</w:t>
      </w:r>
      <w:r>
        <w:rPr>
          <w:rFonts w:ascii="宋体" w:hAnsi="宋体" w:cs="宋体"/>
          <w:sz w:val="24"/>
          <w:szCs w:val="24"/>
          <w:shd w:val="clear" w:color="auto" w:fill="ffffff"/>
        </w:rPr>
        <w:t xml:space="preserve">的</w:t>
      </w:r>
      <w:r>
        <w:rPr>
          <w:rFonts w:ascii="宋体" w:hAnsi="宋体" w:cs="宋体"/>
          <w:i/>
          <w:sz w:val="24"/>
          <w:szCs w:val="24"/>
          <w:u w:val="single"/>
          <w:shd w:val="clear" w:color="auto" w:fill="ffffff"/>
        </w:rPr>
        <w:t xml:space="preserve">（关键工序）</w:t>
      </w:r>
      <w:r>
        <w:rPr>
          <w:rFonts w:ascii="宋体" w:hAnsi="宋体" w:cs="宋体"/>
          <w:sz w:val="24"/>
          <w:szCs w:val="24"/>
          <w:shd w:val="clear" w:color="auto" w:fill="ffffff"/>
        </w:rPr>
        <w:t xml:space="preserve">在中国境内完成。</w:t>
      </w:r>
      <w:r/>
    </w:p>
    <w:p>
      <w:pPr>
        <w:ind w:firstLine="420"/>
        <w:jc w:val="left"/>
        <w:spacing w:before="30" w:after="30" w:line="360" w:lineRule="auto"/>
        <w:widowControl/>
        <w:rPr>
          <w:rFonts w:hint="eastAsia" w:ascii="宋体" w:hAnsi="宋体" w:cs="宋体"/>
          <w:sz w:val="24"/>
          <w:szCs w:val="24"/>
        </w:rPr>
      </w:pPr>
      <w:r>
        <w:rPr>
          <w:rFonts w:ascii="宋体" w:hAnsi="宋体" w:cs="宋体"/>
          <w:sz w:val="24"/>
          <w:szCs w:val="24"/>
          <w:shd w:val="clear" w:color="auto" w:fill="ffffff"/>
        </w:rPr>
        <w:t xml:space="preserve">……</w:t>
      </w:r>
      <w:r/>
    </w:p>
    <w:p>
      <w:pPr>
        <w:ind w:firstLine="420"/>
        <w:jc w:val="left"/>
        <w:spacing w:before="30" w:after="30" w:line="360" w:lineRule="auto"/>
        <w:widowControl/>
        <w:rPr>
          <w:rFonts w:hint="eastAsia" w:ascii="宋体" w:hAnsi="宋体" w:cs="宋体"/>
          <w:sz w:val="24"/>
          <w:szCs w:val="24"/>
        </w:rPr>
      </w:pPr>
      <w:r>
        <w:rPr>
          <w:rFonts w:ascii="宋体" w:hAnsi="宋体" w:cs="宋体"/>
          <w:sz w:val="24"/>
          <w:szCs w:val="24"/>
          <w:shd w:val="clear" w:color="auto" w:fill="ffffff"/>
        </w:rPr>
        <w:t xml:space="preserve">本公司（单位）对上述声明内容的真实性负责。如有虚假，愿承担相应法律责任。</w:t>
      </w:r>
      <w:r/>
    </w:p>
    <w:p>
      <w:pPr>
        <w:jc w:val="left"/>
        <w:spacing w:before="30" w:after="30" w:line="360" w:lineRule="auto"/>
        <w:widowControl/>
        <w:rPr>
          <w:rFonts w:hint="eastAsia" w:ascii="宋体" w:hAnsi="宋体" w:cs="宋体"/>
          <w:sz w:val="24"/>
          <w:szCs w:val="24"/>
        </w:rPr>
      </w:pPr>
      <w:r>
        <w:rPr>
          <w:rFonts w:hint="eastAsia" w:ascii="宋体" w:hAnsi="宋体" w:cs="宋体"/>
          <w:sz w:val="24"/>
          <w:szCs w:val="24"/>
        </w:rPr>
      </w:r>
      <w:r/>
    </w:p>
    <w:p>
      <w:pPr>
        <w:ind w:right="480" w:firstLine="3720"/>
        <w:jc w:val="left"/>
        <w:spacing w:before="30" w:after="30" w:line="360" w:lineRule="auto"/>
        <w:widowControl/>
        <w:rPr>
          <w:rFonts w:hint="eastAsia" w:ascii="宋体" w:hAnsi="宋体" w:cs="宋体"/>
          <w:sz w:val="24"/>
          <w:szCs w:val="24"/>
        </w:rPr>
      </w:pPr>
      <w:r>
        <w:rPr>
          <w:rFonts w:ascii="宋体" w:hAnsi="宋体" w:cs="宋体"/>
          <w:sz w:val="24"/>
          <w:szCs w:val="24"/>
          <w:shd w:val="clear" w:color="auto" w:fill="ffffff"/>
        </w:rPr>
        <w:t xml:space="preserve">公司（单位）名称（盖章）：　     </w:t>
      </w:r>
      <w:r/>
    </w:p>
    <w:p>
      <w:pPr>
        <w:jc w:val="center"/>
        <w:spacing w:before="30" w:after="30" w:line="360" w:lineRule="auto"/>
        <w:widowControl/>
        <w:rPr>
          <w:rFonts w:hint="eastAsia" w:ascii="宋体" w:hAnsi="宋体" w:cs="宋体"/>
          <w:sz w:val="24"/>
          <w:szCs w:val="24"/>
        </w:rPr>
      </w:pPr>
      <w:r>
        <w:rPr>
          <w:rFonts w:ascii="宋体" w:hAnsi="宋体" w:cs="宋体"/>
          <w:sz w:val="24"/>
          <w:szCs w:val="24"/>
          <w:shd w:val="clear" w:color="auto" w:fill="ffffff"/>
        </w:rPr>
        <w:t xml:space="preserve">                            日期：　   年　  月　  日         </w:t>
      </w:r>
      <w:r/>
    </w:p>
    <w:p>
      <w:pPr>
        <w:jc w:val="left"/>
        <w:spacing w:before="30" w:after="30" w:line="360" w:lineRule="auto"/>
        <w:widowControl/>
        <w:rPr>
          <w:rFonts w:hint="eastAsia" w:ascii="宋体" w:hAnsi="宋体" w:cs="宋体"/>
          <w:sz w:val="24"/>
          <w:szCs w:val="24"/>
        </w:rPr>
      </w:pPr>
      <w:r>
        <w:rPr>
          <w:rFonts w:ascii="宋体" w:hAnsi="宋体" w:cs="宋体"/>
          <w:sz w:val="24"/>
          <w:szCs w:val="24"/>
          <w:shd w:val="clear" w:color="auto" w:fill="ffffff"/>
        </w:rPr>
        <w:t xml:space="preserve">1.产品如有型号，请在“产品名称”栏一并填写。</w:t>
      </w:r>
      <w:r/>
    </w:p>
    <w:p>
      <w:pPr>
        <w:jc w:val="left"/>
        <w:spacing w:before="30" w:after="30" w:line="360" w:lineRule="auto"/>
        <w:widowControl/>
        <w:rPr>
          <w:rFonts w:hint="eastAsia" w:ascii="宋体" w:hAnsi="宋体" w:cs="宋体"/>
          <w:sz w:val="24"/>
          <w:szCs w:val="24"/>
        </w:rPr>
      </w:pPr>
      <w:r>
        <w:rPr>
          <w:rFonts w:ascii="宋体" w:hAnsi="宋体" w:cs="宋体"/>
          <w:sz w:val="24"/>
          <w:szCs w:val="24"/>
          <w:shd w:val="clear" w:color="auto" w:fill="ffffff"/>
        </w:rPr>
        <w:t xml:space="preserve">2.生产厂名与厂址应与生产厂营业执照载明的相关信息保持一致。</w:t>
      </w:r>
      <w:r/>
    </w:p>
    <w:p>
      <w:pPr>
        <w:jc w:val="left"/>
        <w:spacing w:before="30" w:after="30" w:line="360" w:lineRule="auto"/>
        <w:widowControl/>
        <w:rPr>
          <w:rFonts w:hint="eastAsia" w:ascii="宋体" w:hAnsi="宋体" w:cs="宋体"/>
          <w:sz w:val="24"/>
          <w:szCs w:val="24"/>
        </w:rPr>
      </w:pPr>
      <w:r>
        <w:rPr>
          <w:rFonts w:ascii="宋体" w:hAnsi="宋体" w:cs="宋体"/>
          <w:sz w:val="24"/>
          <w:szCs w:val="24"/>
          <w:shd w:val="clear" w:color="auto" w:fill="ffffff"/>
        </w:rPr>
        <w:t xml:space="preserve">3.该产品的中国境内生产的组件成本占比相关要求实施前，“规定比例”栏可不填，下同。</w:t>
      </w:r>
      <w:r/>
    </w:p>
    <w:p>
      <w:pPr>
        <w:jc w:val="left"/>
        <w:spacing w:before="30" w:after="30" w:line="360" w:lineRule="auto"/>
        <w:widowControl/>
        <w:rPr>
          <w:rFonts w:hint="eastAsia" w:ascii="宋体" w:hAnsi="宋体" w:cs="宋体"/>
          <w:sz w:val="24"/>
          <w:szCs w:val="24"/>
        </w:rPr>
      </w:pPr>
      <w:r>
        <w:rPr>
          <w:rFonts w:ascii="宋体" w:hAnsi="宋体" w:cs="宋体"/>
          <w:sz w:val="24"/>
          <w:szCs w:val="24"/>
          <w:shd w:val="clear" w:color="auto" w:fill="ffffff"/>
        </w:rPr>
        <w:t xml:space="preserve">4.该产品的关键组件要求实施前，“关键组件”栏可不填，下同。</w:t>
      </w:r>
      <w:r/>
    </w:p>
    <w:p>
      <w:pPr>
        <w:jc w:val="left"/>
        <w:spacing w:before="30" w:after="30" w:line="360" w:lineRule="auto"/>
        <w:shd w:val="clear" w:color="ffffff" w:themeColor="background1" w:fill="ffffff" w:themeFill="background1"/>
        <w:widowControl/>
        <w:rPr>
          <w:rFonts w:hint="eastAsia" w:ascii="宋体" w:hAnsi="宋体" w:cs="宋体"/>
          <w:sz w:val="24"/>
          <w:szCs w:val="24"/>
          <w:shd w:val="clear" w:color="auto" w:fill="ffffff"/>
        </w:rPr>
      </w:pPr>
      <w:r>
        <w:rPr>
          <w:rFonts w:ascii="宋体" w:hAnsi="宋体" w:cs="宋体"/>
          <w:sz w:val="24"/>
          <w:szCs w:val="24"/>
          <w:shd w:val="clear" w:color="auto" w:fill="ffffff"/>
        </w:rPr>
        <w:t xml:space="preserve">5.</w:t>
      </w:r>
      <w:r>
        <w:rPr>
          <w:rFonts w:ascii="宋体" w:hAnsi="宋体" w:cs="宋体"/>
          <w:sz w:val="24"/>
          <w:szCs w:val="24"/>
          <w:shd w:val="clear" w:color="auto" w:fill="ffffff"/>
        </w:rPr>
        <w:t xml:space="preserve">该产品的关键工序要求实施前</w:t>
      </w:r>
      <w:r>
        <w:rPr>
          <w:rFonts w:ascii="宋体" w:hAnsi="宋体" w:cs="宋体"/>
          <w:sz w:val="24"/>
          <w:szCs w:val="24"/>
          <w:shd w:val="clear" w:color="auto" w:fill="ffffff"/>
        </w:rPr>
        <w:t xml:space="preserve">，“关键工序”栏可不填，下同。</w:t>
      </w:r>
      <w:r/>
    </w:p>
    <w:p>
      <w:pPr>
        <w:pStyle w:val="827"/>
        <w:shd w:val="clear" w:color="ffffff" w:themeColor="background1" w:fill="ffffff" w:themeFill="background1"/>
        <w:rPr>
          <w:rFonts w:ascii="宋体" w:hAnsi="宋体" w:cs="宋体"/>
          <w:sz w:val="24"/>
          <w:szCs w:val="24"/>
          <w:shd w:val="clear" w:color="auto" w:fill="ffffff"/>
        </w:rPr>
      </w:pPr>
      <w:r>
        <w:rPr>
          <w:rFonts w:ascii="宋体" w:hAnsi="宋体" w:cs="宋体"/>
          <w:sz w:val="24"/>
          <w:szCs w:val="24"/>
          <w:shd w:val="clear" w:color="auto" w:fill="ffffff"/>
        </w:rPr>
        <w:t xml:space="preserve">6.用斜线划除的地方无需填写。</w:t>
      </w:r>
      <w:r/>
    </w:p>
    <w:p>
      <w:pPr>
        <w:jc w:val="left"/>
        <w:spacing w:before="30" w:after="30" w:line="360" w:lineRule="auto"/>
        <w:shd w:val="clear" w:color="ffffff" w:themeColor="background1" w:fill="ffffff" w:themeFill="background1"/>
        <w:widowControl/>
        <w:rPr>
          <w:rFonts w:ascii="宋体" w:hAnsi="宋体" w:cs="宋体"/>
          <w:sz w:val="24"/>
          <w:szCs w:val="24"/>
          <w14:ligatures w14:val="none"/>
        </w:rPr>
      </w:pPr>
      <w:r>
        <w:rPr>
          <w:rFonts w:ascii="宋体" w:hAnsi="宋体" w:cs="宋体"/>
          <w:sz w:val="24"/>
          <w:szCs w:val="24"/>
          <w:shd w:val="clear" w:color="auto" w:fill="ffffff"/>
        </w:rPr>
        <w:t xml:space="preserve">7.供应商如不提供此声明函，价格将不做相应扣除</w:t>
      </w:r>
      <w:r>
        <w:rPr>
          <w:rFonts w:ascii="宋体" w:hAnsi="宋体" w:cs="宋体"/>
          <w:sz w:val="24"/>
          <w:szCs w:val="24"/>
          <w:shd w:val="clear" w:color="auto" w:fill="ffffff"/>
        </w:rPr>
      </w:r>
      <w:r>
        <w:rPr>
          <w:rFonts w:ascii="宋体" w:hAnsi="宋体" w:cs="宋体"/>
          <w:sz w:val="24"/>
          <w:szCs w:val="24"/>
          <w:shd w:val="clear" w:color="auto" w:fill="ffffff"/>
        </w:rPr>
        <w:t xml:space="preserve">。</w:t>
      </w:r>
      <w:r>
        <w:rPr>
          <w:rFonts w:ascii="宋体" w:hAnsi="宋体" w:cs="宋体"/>
          <w:sz w:val="24"/>
          <w:szCs w:val="24"/>
          <w:shd w:val="clear" w:color="auto" w:fill="ffffff"/>
        </w:rPr>
      </w:r>
    </w:p>
    <w:p>
      <w:pPr>
        <w:jc w:val="left"/>
        <w:spacing w:before="30" w:after="30" w:line="360" w:lineRule="auto"/>
        <w:shd w:val="clear" w:color="ffffff" w:themeColor="background1" w:fill="ffffff" w:themeFill="background1"/>
        <w:widowControl/>
      </w:pPr>
      <w:r>
        <w:rPr>
          <w:rFonts w:ascii="宋体" w:hAnsi="宋体" w:cs="宋体"/>
          <w:sz w:val="24"/>
          <w:szCs w:val="24"/>
          <w:shd w:val="clear" w:color="auto" w:fill="ffffff"/>
        </w:rPr>
        <w:t xml:space="preserve">8.声明函中标后将公示</w:t>
      </w:r>
      <w:r>
        <w:rPr>
          <w:rFonts w:ascii="宋体" w:hAnsi="宋体" w:cs="宋体"/>
          <w:sz w:val="24"/>
          <w:szCs w:val="24"/>
          <w:shd w:val="clear" w:color="auto" w:fill="ffffff"/>
        </w:rPr>
        <w:t xml:space="preserve">，</w:t>
      </w:r>
      <w:r>
        <w:rPr>
          <w:rFonts w:ascii="宋体" w:hAnsi="宋体" w:cs="宋体"/>
          <w:sz w:val="24"/>
          <w:szCs w:val="24"/>
          <w:shd w:val="clear" w:color="auto" w:fill="ffffff"/>
        </w:rPr>
        <w:t xml:space="preserve">供应商提供虚假《声明函》谋取中标、成交的，依照《中华人民共和国政府采购法》等法律法规规定追究相应责任。</w:t>
      </w:r>
      <w:r>
        <w:rPr>
          <w:rFonts w:ascii="宋体" w:hAnsi="宋体" w:cs="宋体"/>
          <w:sz w:val="24"/>
          <w:szCs w:val="24"/>
          <w:shd w:val="clear" w:color="auto" w:fill="ffffff"/>
        </w:rPr>
      </w:r>
      <w:r/>
    </w:p>
    <w:p>
      <w:r/>
      <w:r/>
    </w:p>
    <w:p>
      <w:pPr>
        <w:jc w:val="center"/>
        <w:rPr>
          <w:rFonts w:hint="eastAsia" w:ascii="宋体" w:hAnsi="宋体"/>
          <w:b/>
          <w:bCs/>
          <w:color w:val="auto"/>
          <w:szCs w:val="21"/>
          <w:highlight w:val="none"/>
        </w:rPr>
      </w:pPr>
      <w:r>
        <w:rPr>
          <w:rFonts w:hint="eastAsia" w:ascii="宋体" w:hAnsi="宋体"/>
          <w:b/>
          <w:bCs/>
          <w:color w:val="auto"/>
          <w:szCs w:val="21"/>
          <w:highlight w:val="none"/>
        </w:rPr>
        <w:t xml:space="preserve">投标函</w:t>
      </w:r>
      <w:r/>
    </w:p>
    <w:p>
      <w:pPr>
        <w:pStyle w:val="1023"/>
        <w:ind w:firstLine="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致：扬州星光建设咨询有限公司</w:t>
      </w:r>
      <w:r/>
    </w:p>
    <w:p>
      <w:pPr>
        <w:pStyle w:val="1023"/>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根据贵方的________________ 号招标文件，正式授权下述签字人_________________(姓名)代表我方______________（投标人的名称），全权处理本次项目投标的有关事宜。</w:t>
      </w:r>
      <w:r/>
    </w:p>
    <w:p>
      <w:pPr>
        <w:pStyle w:val="1023"/>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据此函，__________签字人兹宣布同意如下：</w:t>
      </w:r>
      <w:r/>
    </w:p>
    <w:p>
      <w:pPr>
        <w:pStyle w:val="1023"/>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1023"/>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1023"/>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1023"/>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1023"/>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023"/>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1023"/>
        <w:ind w:left="425" w:firstLine="105"/>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1023"/>
        <w:ind w:firstLine="478"/>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地 址：</w:t>
      </w:r>
      <w:r/>
    </w:p>
    <w:p>
      <w:pPr>
        <w:pStyle w:val="1023"/>
        <w:ind w:firstLine="478"/>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邮 编：</w:t>
      </w:r>
      <w:r/>
    </w:p>
    <w:p>
      <w:pPr>
        <w:pStyle w:val="1023"/>
        <w:ind w:firstLine="478"/>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电 话： </w:t>
      </w:r>
      <w:r/>
    </w:p>
    <w:p>
      <w:pPr>
        <w:pStyle w:val="1023"/>
        <w:ind w:firstLine="478"/>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传 真： </w:t>
      </w:r>
      <w:r/>
    </w:p>
    <w:p>
      <w:pPr>
        <w:pStyle w:val="1023"/>
        <w:ind w:firstLine="478"/>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1023"/>
        <w:ind w:firstLine="478"/>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账 户： </w:t>
      </w:r>
      <w:r/>
    </w:p>
    <w:p>
      <w:pPr>
        <w:pStyle w:val="1023"/>
        <w:ind w:firstLine="478"/>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行 号：</w:t>
      </w:r>
      <w:r/>
    </w:p>
    <w:p>
      <w:pPr>
        <w:pStyle w:val="1023"/>
        <w:ind w:firstLine="478"/>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法定代表人或授权代表（签字）： </w:t>
      </w:r>
      <w:r/>
    </w:p>
    <w:p>
      <w:pPr>
        <w:pStyle w:val="1023"/>
        <w:ind w:firstLine="478"/>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投标人名称（公章）： </w:t>
      </w:r>
      <w:r/>
    </w:p>
    <w:p>
      <w:pPr>
        <w:pStyle w:val="1023"/>
        <w:ind w:firstLine="478"/>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pStyle w:val="1023"/>
        <w:ind w:firstLine="478"/>
        <w:spacing w:before="0" w:after="0"/>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br w:type="page" w:clear="all"/>
      </w:r>
      <w:r/>
    </w:p>
    <w:p>
      <w:pPr>
        <w:pStyle w:val="1024"/>
        <w:ind w:firstLine="422"/>
        <w:jc w:val="center"/>
        <w:spacing w:after="312"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法人授权书</w:t>
      </w:r>
      <w:r/>
    </w:p>
    <w:p>
      <w:pPr>
        <w:pStyle w:val="1024"/>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本授权书声明：________________（投标人名称）授权________________（被授权人的姓名）为我方就</w:t>
      </w:r>
      <w:r>
        <w:rPr>
          <w:rFonts w:hint="eastAsia" w:ascii="宋体" w:hAnsi="宋体"/>
          <w:color w:val="auto"/>
          <w:sz w:val="21"/>
          <w:szCs w:val="21"/>
          <w:highlight w:val="none"/>
          <w:u w:val="single"/>
        </w:rPr>
        <w:t xml:space="preserve">（项目编号）</w:t>
      </w:r>
      <w:r>
        <w:rPr>
          <w:rFonts w:hint="eastAsia" w:ascii="宋体" w:hAnsi="宋体"/>
          <w:color w:val="auto"/>
          <w:sz w:val="21"/>
          <w:szCs w:val="21"/>
          <w:highlight w:val="none"/>
        </w:rPr>
        <w:t xml:space="preserve">号</w:t>
      </w:r>
      <w:r>
        <w:rPr>
          <w:rFonts w:hint="eastAsia" w:ascii="宋体" w:hAnsi="宋体"/>
          <w:color w:val="auto"/>
          <w:sz w:val="21"/>
          <w:szCs w:val="21"/>
          <w:highlight w:val="none"/>
          <w:u w:val="single"/>
        </w:rPr>
        <w:t xml:space="preserve">（项目名称）</w:t>
      </w:r>
      <w:r>
        <w:rPr>
          <w:rFonts w:hint="eastAsia" w:ascii="宋体" w:hAnsi="宋体"/>
          <w:color w:val="auto"/>
          <w:sz w:val="21"/>
          <w:szCs w:val="21"/>
          <w:highlight w:val="none"/>
        </w:rPr>
        <w:t xml:space="preserve">项目采购活动的合法代理人，以本公司名义全权处理一切与该项目采购有关的事务。</w:t>
      </w:r>
      <w:r/>
    </w:p>
    <w:p>
      <w:pPr>
        <w:pStyle w:val="1024"/>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本授权书于______年____月____日起生效，特此声明。</w:t>
      </w:r>
      <w:r/>
    </w:p>
    <w:p>
      <w:pPr>
        <w:pStyle w:val="1024"/>
        <w:ind w:firstLine="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    </w:t>
      </w:r>
      <w:r/>
    </w:p>
    <w:p>
      <w:pPr>
        <w:pStyle w:val="1024"/>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被授权人姓名：_____________________</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___</w:t>
      </w:r>
      <w:r/>
    </w:p>
    <w:p>
      <w:pPr>
        <w:pStyle w:val="1024"/>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1024"/>
        <w:ind w:firstLine="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    单 位 名 称：__________________________________</w:t>
      </w:r>
      <w:r/>
    </w:p>
    <w:p>
      <w:pPr>
        <w:pStyle w:val="1024"/>
        <w:ind w:firstLine="420"/>
        <w:spacing w:line="360" w:lineRule="auto"/>
        <w:rPr>
          <w:color w:val="auto"/>
          <w:sz w:val="21"/>
          <w:szCs w:val="21"/>
          <w:highlight w:val="none"/>
          <w:u w:val="single"/>
        </w:rPr>
      </w:pPr>
      <w:r>
        <w:rPr>
          <w:rFonts w:hint="eastAsia"/>
          <w:color w:val="auto"/>
          <w:sz w:val="21"/>
          <w:szCs w:val="21"/>
          <w:highlight w:val="none"/>
        </w:rPr>
        <w:t xml:space="preserve">单 位 地 址：</w:t>
      </w:r>
      <w:r>
        <w:rPr>
          <w:color w:val="auto"/>
          <w:sz w:val="21"/>
          <w:szCs w:val="21"/>
          <w:highlight w:val="none"/>
          <w:u w:val="single"/>
        </w:rPr>
        <w:t xml:space="preserve">                                  </w:t>
      </w:r>
      <w:r/>
    </w:p>
    <w:p>
      <w:pPr>
        <w:pStyle w:val="1024"/>
        <w:ind w:firstLine="420"/>
        <w:spacing w:line="360" w:lineRule="auto"/>
        <w:rPr>
          <w:color w:val="auto"/>
          <w:sz w:val="21"/>
          <w:szCs w:val="21"/>
          <w:highlight w:val="none"/>
        </w:rPr>
      </w:pPr>
      <w:r>
        <w:rPr>
          <w:rFonts w:hint="eastAsia"/>
          <w:color w:val="auto"/>
          <w:sz w:val="21"/>
          <w:szCs w:val="21"/>
          <w:highlight w:val="none"/>
        </w:rPr>
        <w:t xml:space="preserve">日       期：</w:t>
      </w:r>
      <w:r>
        <w:rPr>
          <w:color w:val="auto"/>
          <w:sz w:val="21"/>
          <w:szCs w:val="21"/>
          <w:highlight w:val="none"/>
          <w:u w:val="single"/>
        </w:rPr>
        <w:t xml:space="preserve">                                  </w:t>
      </w:r>
      <w:r>
        <w:rPr>
          <w:color w:val="auto"/>
          <w:sz w:val="21"/>
          <w:szCs w:val="21"/>
          <w:highlight w:val="none"/>
        </w:rPr>
        <w:t xml:space="preserve"> </w:t>
      </w:r>
      <w:r/>
    </w:p>
    <w:p>
      <w:pPr>
        <w:spacing w:line="460" w:lineRule="exact"/>
        <w:rPr>
          <w:rFonts w:hint="eastAsia" w:ascii="宋体" w:hAnsi="宋体"/>
          <w:bCs/>
          <w:color w:val="auto"/>
          <w:highlight w:val="none"/>
        </w:rPr>
      </w:pPr>
      <w:r>
        <w:rPr>
          <w:rFonts w:hint="eastAsia" w:ascii="宋体" w:hAnsi="宋体"/>
          <w:bCs/>
          <w:color w:val="auto"/>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20"/>
        <w:spacing w:line="460" w:lineRule="exact"/>
        <w:rPr>
          <w:rFonts w:hint="eastAsia" w:ascii="宋体" w:hAnsi="宋体"/>
          <w:bCs/>
          <w:color w:val="auto"/>
          <w:highlight w:val="none"/>
        </w:rPr>
      </w:pPr>
      <w:r>
        <w:rPr>
          <w:rFonts w:hint="eastAsia" w:ascii="宋体" w:hAnsi="宋体"/>
          <w:bCs/>
          <w:color w:val="auto"/>
          <w:highlight w:val="none"/>
        </w:rPr>
        <w:t xml:space="preserve">被授权人身份证复印件</w:t>
      </w:r>
      <w:r/>
    </w:p>
    <w:p>
      <w:pPr>
        <w:jc w:val="left"/>
        <w:widowControl/>
        <w:rPr>
          <w:rFonts w:hint="eastAsia" w:ascii="宋体" w:hAnsi="宋体"/>
          <w:bCs/>
          <w:color w:val="auto"/>
          <w:highlight w:val="none"/>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color w:val="auto"/>
          <w:highlight w:val="none"/>
        </w:rPr>
      </w:r>
      <w:r/>
    </w:p>
    <w:p>
      <w:pPr>
        <w:pStyle w:val="803"/>
        <w:rPr>
          <w:rFonts w:hint="eastAsia" w:asciiTheme="minorEastAsia" w:hAnsiTheme="minorEastAsia" w:eastAsiaTheme="minorEastAsia"/>
          <w:color w:val="auto"/>
          <w:sz w:val="32"/>
          <w:highlight w:val="none"/>
        </w:rPr>
      </w:pPr>
      <w:r/>
      <w:bookmarkStart w:id="59" w:name="_Hlt26955054"/>
      <w:r/>
      <w:bookmarkEnd w:id="59"/>
      <w:r>
        <w:rPr>
          <w:rFonts w:hint="eastAsia" w:asciiTheme="minorEastAsia" w:hAnsiTheme="minorEastAsia" w:eastAsiaTheme="minorEastAsia"/>
          <w:color w:val="auto"/>
          <w:sz w:val="32"/>
          <w:highlight w:val="none"/>
        </w:rPr>
        <w:t xml:space="preserve">二、符合性审查响应对照表</w:t>
      </w:r>
      <w:r/>
    </w:p>
    <w:p>
      <w:pPr>
        <w:rPr>
          <w:rFonts w:hint="eastAsia" w:ascii="宋体" w:hAnsi="宋体"/>
          <w:b/>
          <w:color w:val="auto"/>
          <w:sz w:val="32"/>
          <w:szCs w:val="32"/>
          <w:highlight w:val="none"/>
        </w:rPr>
      </w:pPr>
      <w:r>
        <w:rPr>
          <w:rFonts w:hint="eastAsia" w:ascii="宋体" w:hAnsi="宋体"/>
          <w:b/>
          <w:color w:val="auto"/>
          <w:sz w:val="32"/>
          <w:szCs w:val="32"/>
          <w:highlight w:val="none"/>
        </w:rPr>
      </w:r>
      <w:r/>
    </w:p>
    <w:tbl>
      <w:tblPr>
        <w:tblStyle w:val="812"/>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680"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rPr>
                <w:rFonts w:hint="eastAsia" w:ascii="宋体" w:hAnsi="宋体"/>
                <w:b/>
                <w:color w:val="auto"/>
                <w:szCs w:val="21"/>
                <w:highlight w:val="none"/>
              </w:rPr>
            </w:pPr>
            <w:r>
              <w:rPr>
                <w:rFonts w:hint="eastAsia" w:ascii="宋体" w:hAnsi="宋体"/>
                <w:color w:val="auto"/>
                <w:szCs w:val="21"/>
                <w:highlight w:val="none"/>
              </w:rPr>
              <w:t xml:space="preserve">1</w:t>
            </w:r>
            <w:r/>
          </w:p>
        </w:tc>
        <w:tc>
          <w:tcPr>
            <w:tcW w:w="5447" w:type="dxa"/>
            <w:vAlign w:val="center"/>
            <w:textDirection w:val="lrTb"/>
            <w:noWrap w:val="false"/>
          </w:tcPr>
          <w:p>
            <w:pPr>
              <w:spacing w:line="0" w:lineRule="atLeast"/>
              <w:rPr>
                <w:rFonts w:hint="eastAsia"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rPr>
                <w:rFonts w:hint="eastAsia" w:ascii="宋体" w:hAnsi="宋体"/>
                <w:b/>
                <w:color w:val="auto"/>
                <w:szCs w:val="21"/>
                <w:highlight w:val="none"/>
              </w:rPr>
            </w:pPr>
            <w:r>
              <w:rPr>
                <w:rFonts w:hint="eastAsia" w:ascii="宋体" w:hAnsi="宋体"/>
                <w:b/>
                <w:color w:val="auto"/>
                <w:szCs w:val="21"/>
                <w:highlight w:val="none"/>
              </w:rPr>
            </w:r>
            <w:r/>
          </w:p>
        </w:tc>
        <w:tc>
          <w:tcPr>
            <w:tcW w:w="1308" w:type="dxa"/>
            <w:vAlign w:val="center"/>
            <w:textDirection w:val="lrTb"/>
            <w:noWrap w:val="false"/>
          </w:tcPr>
          <w:p>
            <w:pPr>
              <w:rPr>
                <w:rFonts w:hint="eastAsia" w:ascii="宋体" w:hAnsi="宋体"/>
                <w:b/>
                <w:color w:val="auto"/>
                <w:szCs w:val="21"/>
                <w:highlight w:val="none"/>
              </w:rPr>
            </w:pPr>
            <w:r>
              <w:rPr>
                <w:rFonts w:hint="eastAsia" w:ascii="宋体" w:hAnsi="宋体"/>
                <w:b/>
                <w:color w:val="auto"/>
                <w:szCs w:val="21"/>
                <w:highlight w:val="none"/>
              </w:rPr>
            </w:r>
            <w:r/>
          </w:p>
        </w:tc>
      </w:tr>
      <w:tr>
        <w:trPr>
          <w:trHeight w:val="585"/>
        </w:trPr>
        <w:tc>
          <w:tcPr>
            <w:tcW w:w="64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0" w:lineRule="atLeast"/>
              <w:rPr>
                <w:rFonts w:hint="eastAsia" w:ascii="宋体" w:hAnsi="宋体"/>
                <w:iCs/>
                <w:color w:val="auto"/>
                <w:szCs w:val="21"/>
                <w:highlight w:val="none"/>
              </w:rPr>
            </w:pPr>
            <w:r>
              <w:rPr>
                <w:rFonts w:hint="eastAsia" w:ascii="宋体" w:hAnsi="宋体"/>
                <w:iCs/>
                <w:color w:val="auto"/>
                <w:szCs w:val="21"/>
                <w:highlight w:val="none"/>
              </w:rPr>
            </w:r>
            <w:r/>
          </w:p>
        </w:tc>
        <w:tc>
          <w:tcPr>
            <w:tcW w:w="1680"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30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585"/>
        </w:trPr>
        <w:tc>
          <w:tcPr>
            <w:tcW w:w="64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0" w:lineRule="atLeast"/>
              <w:rPr>
                <w:rFonts w:hint="eastAsia" w:ascii="宋体" w:hAnsi="宋体"/>
                <w:iCs/>
                <w:color w:val="auto"/>
                <w:szCs w:val="21"/>
                <w:highlight w:val="none"/>
              </w:rPr>
            </w:pPr>
            <w:r>
              <w:rPr>
                <w:rFonts w:hint="eastAsia" w:ascii="宋体" w:hAnsi="宋体"/>
                <w:iCs/>
                <w:color w:val="auto"/>
                <w:szCs w:val="21"/>
                <w:highlight w:val="none"/>
              </w:rPr>
            </w:r>
            <w:r/>
          </w:p>
        </w:tc>
        <w:tc>
          <w:tcPr>
            <w:tcW w:w="1680"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30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417"/>
        </w:trPr>
        <w:tc>
          <w:tcPr>
            <w:tcW w:w="64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spacing w:line="0" w:lineRule="atLeast"/>
              <w:rPr>
                <w:rFonts w:hint="eastAsia" w:ascii="宋体" w:hAnsi="宋体"/>
                <w:iCs/>
                <w:color w:val="auto"/>
                <w:szCs w:val="21"/>
                <w:highlight w:val="none"/>
              </w:rPr>
            </w:pPr>
            <w:r>
              <w:rPr>
                <w:rFonts w:hint="eastAsia" w:ascii="宋体" w:hAnsi="宋体"/>
                <w:iCs/>
                <w:color w:val="auto"/>
                <w:szCs w:val="21"/>
                <w:highlight w:val="none"/>
              </w:rPr>
            </w:r>
            <w:r/>
          </w:p>
        </w:tc>
        <w:tc>
          <w:tcPr>
            <w:tcW w:w="1680"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30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0" w:lineRule="atLeast"/>
              <w:rPr>
                <w:rFonts w:hint="eastAsia"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30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bl>
    <w:p>
      <w:pPr>
        <w:spacing w:line="600" w:lineRule="exact"/>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注：符合性审查需要提供的相关证明文件在制作标书时随此表一起上传。</w:t>
      </w:r>
      <w:r/>
    </w:p>
    <w:p>
      <w:pPr>
        <w:contextualSpacing/>
        <w:jc w:val="left"/>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left"/>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left"/>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left"/>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left"/>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left"/>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left"/>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left"/>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803"/>
        <w:rPr>
          <w:rFonts w:hint="eastAsia" w:asciiTheme="minorEastAsia" w:hAnsiTheme="minorEastAsia" w:eastAsiaTheme="minorEastAsia"/>
          <w:color w:val="auto"/>
          <w:sz w:val="32"/>
          <w:highlight w:val="none"/>
        </w:rPr>
      </w:pPr>
      <w:r>
        <w:rPr>
          <w:rFonts w:hint="eastAsia" w:asciiTheme="minorEastAsia" w:hAnsiTheme="minorEastAsia" w:eastAsiaTheme="minorEastAsia"/>
          <w:color w:val="auto"/>
          <w:sz w:val="32"/>
          <w:highlight w:val="none"/>
        </w:rPr>
        <w:t xml:space="preserve">三、非实质性响应对照表</w:t>
      </w:r>
      <w:r/>
    </w:p>
    <w:p>
      <w:pPr>
        <w:rPr>
          <w:rFonts w:hint="eastAsia" w:ascii="宋体" w:hAnsi="宋体"/>
          <w:b/>
          <w:color w:val="auto"/>
          <w:sz w:val="32"/>
          <w:szCs w:val="32"/>
          <w:highlight w:val="none"/>
        </w:rPr>
      </w:pPr>
      <w:r>
        <w:rPr>
          <w:rFonts w:hint="eastAsia" w:ascii="宋体" w:hAnsi="宋体"/>
          <w:b/>
          <w:color w:val="auto"/>
          <w:sz w:val="32"/>
          <w:szCs w:val="32"/>
          <w:highlight w:val="none"/>
        </w:rPr>
      </w:r>
      <w:r/>
    </w:p>
    <w:tbl>
      <w:tblPr>
        <w:tblStyle w:val="812"/>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680"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5447" w:type="dxa"/>
            <w:vAlign w:val="center"/>
            <w:textDirection w:val="lrTb"/>
            <w:noWrap w:val="false"/>
          </w:tcPr>
          <w:p>
            <w:pPr>
              <w:jc w:val="center"/>
              <w:spacing w:line="0" w:lineRule="atLeast"/>
              <w:rPr>
                <w:rFonts w:hint="eastAsia" w:ascii="宋体" w:hAnsi="宋体"/>
                <w:iCs/>
                <w:color w:val="auto"/>
                <w:szCs w:val="21"/>
                <w:highlight w:val="none"/>
              </w:rPr>
            </w:pPr>
            <w:r>
              <w:rPr>
                <w:rFonts w:hint="eastAsia" w:ascii="宋体" w:hAnsi="宋体"/>
                <w:iCs/>
                <w:color w:val="auto"/>
                <w:szCs w:val="21"/>
                <w:highlight w:val="none"/>
              </w:rPr>
              <w:t xml:space="preserve">中小企业声明函</w:t>
            </w:r>
            <w:r/>
          </w:p>
        </w:tc>
        <w:tc>
          <w:tcPr>
            <w:tcW w:w="1680" w:type="dxa"/>
            <w:vAlign w:val="center"/>
            <w:textDirection w:val="lrTb"/>
            <w:noWrap w:val="false"/>
          </w:tcPr>
          <w:p>
            <w:pPr>
              <w:rPr>
                <w:rFonts w:hint="eastAsia" w:ascii="宋体" w:hAnsi="宋体"/>
                <w:b/>
                <w:color w:val="auto"/>
                <w:szCs w:val="21"/>
                <w:highlight w:val="none"/>
              </w:rPr>
            </w:pPr>
            <w:r>
              <w:rPr>
                <w:rFonts w:hint="eastAsia" w:ascii="宋体" w:hAnsi="宋体"/>
                <w:b/>
                <w:color w:val="auto"/>
                <w:szCs w:val="21"/>
                <w:highlight w:val="none"/>
              </w:rPr>
            </w:r>
            <w:r/>
          </w:p>
        </w:tc>
        <w:tc>
          <w:tcPr>
            <w:tcW w:w="1308" w:type="dxa"/>
            <w:vAlign w:val="center"/>
            <w:textDirection w:val="lrTb"/>
            <w:noWrap w:val="false"/>
          </w:tcPr>
          <w:p>
            <w:pPr>
              <w:rPr>
                <w:rFonts w:hint="eastAsia" w:ascii="宋体" w:hAnsi="宋体"/>
                <w:b/>
                <w:color w:val="auto"/>
                <w:szCs w:val="21"/>
                <w:highlight w:val="none"/>
              </w:rPr>
            </w:pPr>
            <w:r>
              <w:rPr>
                <w:rFonts w:hint="eastAsia" w:ascii="宋体" w:hAnsi="宋体"/>
                <w:b/>
                <w:color w:val="auto"/>
                <w:szCs w:val="21"/>
                <w:highlight w:val="none"/>
              </w:rPr>
            </w:r>
            <w:r/>
          </w:p>
        </w:tc>
      </w:tr>
      <w:tr>
        <w:trPr>
          <w:trHeight w:val="585"/>
        </w:trPr>
        <w:tc>
          <w:tcPr>
            <w:tcW w:w="64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jc w:val="center"/>
              <w:spacing w:line="0" w:lineRule="atLeast"/>
              <w:rPr>
                <w:rFonts w:hint="eastAsia" w:ascii="宋体" w:hAnsi="宋体"/>
                <w:iCs/>
                <w:color w:val="auto"/>
                <w:szCs w:val="21"/>
                <w:highlight w:val="none"/>
              </w:rPr>
            </w:pPr>
            <w:r>
              <w:rPr>
                <w:rFonts w:hint="eastAsia" w:ascii="宋体" w:hAnsi="宋体"/>
                <w:color w:val="auto"/>
                <w:highlight w:val="none"/>
              </w:rPr>
              <w:t xml:space="preserve">残疾人福利性单位声明函</w:t>
            </w:r>
            <w:r/>
          </w:p>
        </w:tc>
        <w:tc>
          <w:tcPr>
            <w:tcW w:w="1680"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30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jc w:val="center"/>
              <w:spacing w:line="0" w:lineRule="atLeast"/>
              <w:rPr>
                <w:rFonts w:hint="eastAsia" w:ascii="宋体" w:hAnsi="宋体"/>
                <w:iCs/>
                <w:color w:val="auto"/>
                <w:szCs w:val="21"/>
                <w:highlight w:val="none"/>
              </w:rPr>
            </w:pPr>
            <w:r>
              <w:rPr>
                <w:rFonts w:hint="eastAsia" w:ascii="宋体" w:hAnsi="宋体"/>
                <w:iCs/>
                <w:color w:val="auto"/>
                <w:szCs w:val="21"/>
                <w:highlight w:val="none"/>
              </w:rPr>
              <w:t xml:space="preserve">关于符合本国产品标准的声明函</w:t>
            </w:r>
            <w:r/>
          </w:p>
        </w:tc>
        <w:tc>
          <w:tcPr>
            <w:tcW w:w="1680"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30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5447" w:type="dxa"/>
            <w:vAlign w:val="center"/>
            <w:textDirection w:val="lrTb"/>
            <w:noWrap w:val="false"/>
          </w:tcPr>
          <w:p>
            <w:pPr>
              <w:jc w:val="center"/>
              <w:spacing w:line="0" w:lineRule="atLeast"/>
              <w:rPr>
                <w:rFonts w:hint="default" w:ascii="宋体" w:hAnsi="宋体" w:eastAsia="宋体"/>
                <w:iCs/>
                <w:color w:val="auto"/>
                <w:szCs w:val="21"/>
                <w:highlight w:val="none"/>
                <w:lang w:val="en-US" w:eastAsia="zh-CN"/>
              </w:rPr>
            </w:pPr>
            <w:r>
              <w:rPr>
                <w:rFonts w:hint="eastAsia" w:ascii="宋体" w:hAnsi="宋体"/>
                <w:iCs/>
                <w:color w:val="auto"/>
                <w:szCs w:val="21"/>
                <w:highlight w:val="none"/>
                <w:lang w:val="en-US" w:eastAsia="zh-CN"/>
              </w:rPr>
              <w:t xml:space="preserve">...</w:t>
            </w:r>
            <w:r/>
          </w:p>
        </w:tc>
        <w:tc>
          <w:tcPr>
            <w:tcW w:w="1680"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30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bl>
    <w:p>
      <w:pPr>
        <w:jc w:val="center"/>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803"/>
        <w:rPr>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四、开标一览表</w:t>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项目编号：</w:t>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分包号(如有)：</w:t>
      </w:r>
      <w:r/>
    </w:p>
    <w:p>
      <w:pPr>
        <w:ind w:firstLine="480"/>
        <w:rPr>
          <w:rFonts w:hint="eastAsia" w:ascii="宋体" w:hAnsi="宋体"/>
          <w:color w:val="auto"/>
          <w:szCs w:val="21"/>
          <w:highlight w:val="none"/>
        </w:rPr>
      </w:pPr>
      <w:r>
        <w:rPr>
          <w:rFonts w:hint="eastAsia" w:ascii="宋体" w:hAnsi="宋体"/>
          <w:color w:val="auto"/>
          <w:szCs w:val="21"/>
          <w:highlight w:val="none"/>
        </w:rPr>
      </w:r>
      <w:r/>
    </w:p>
    <w:tbl>
      <w:tblPr>
        <w:tblStyle w:val="81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pStyle w:val="817"/>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投标货物及服务名称</w:t>
            </w:r>
            <w:r/>
          </w:p>
        </w:tc>
        <w:tc>
          <w:tcPr>
            <w:tcBorders>
              <w:top w:val="single" w:color="auto" w:sz="4" w:space="0"/>
              <w:left w:val="single" w:color="auto" w:sz="4" w:space="0"/>
              <w:bottom w:val="single" w:color="auto" w:sz="4" w:space="0"/>
              <w:right w:val="single" w:color="auto" w:sz="4" w:space="0"/>
            </w:tcBorders>
            <w:tcW w:w="640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highlight w:val="none"/>
              </w:rPr>
              <w:t xml:space="preserve">投标报价</w:t>
            </w:r>
            <w:r/>
          </w:p>
        </w:tc>
      </w:tr>
      <w:tr>
        <w:trPr>
          <w:cantSplit/>
          <w:trHeight w:val="1697"/>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pStyle w:val="817"/>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405" w:type="dxa"/>
            <w:vAlign w:val="center"/>
            <w:textDirection w:val="lrTb"/>
            <w:noWrap w:val="false"/>
          </w:tcPr>
          <w:p>
            <w:pPr>
              <w:pStyle w:val="1023"/>
              <w:ind w:firstLine="0"/>
              <w:spacing w:before="0" w:after="0" w:line="500" w:lineRule="exact"/>
              <w:rPr>
                <w:rFonts w:hint="eastAsia" w:ascii="宋体" w:hAnsi="宋体"/>
                <w:color w:val="auto"/>
                <w:sz w:val="21"/>
                <w:szCs w:val="21"/>
                <w:highlight w:val="none"/>
              </w:rPr>
            </w:pPr>
            <w:r>
              <w:rPr>
                <w:rFonts w:hint="eastAsia" w:ascii="宋体" w:hAnsi="宋体" w:cs="宋体"/>
                <w:color w:val="auto"/>
                <w:sz w:val="21"/>
                <w:szCs w:val="21"/>
                <w:highlight w:val="none"/>
              </w:rPr>
              <w:t xml:space="preserve">小写：（人民币：元）</w:t>
            </w:r>
            <w:r/>
          </w:p>
        </w:tc>
      </w:tr>
    </w:tbl>
    <w:p>
      <w:pPr>
        <w:rPr>
          <w:rFonts w:hint="eastAsia" w:ascii="宋体" w:hAnsi="宋体"/>
          <w:color w:val="auto"/>
          <w:szCs w:val="21"/>
          <w:highlight w:val="none"/>
        </w:rPr>
      </w:pPr>
      <w:r>
        <w:rPr>
          <w:rFonts w:hint="eastAsia" w:ascii="宋体" w:hAnsi="宋体"/>
          <w:color w:val="auto"/>
          <w:szCs w:val="21"/>
          <w:highlight w:val="none"/>
        </w:rPr>
      </w:r>
      <w:r/>
    </w:p>
    <w:p>
      <w:pPr>
        <w:ind w:firstLine="480"/>
        <w:rPr>
          <w:rFonts w:hint="eastAsia" w:ascii="宋体" w:hAnsi="宋体"/>
          <w:color w:val="auto"/>
          <w:szCs w:val="21"/>
          <w:highlight w:val="none"/>
        </w:rPr>
      </w:pPr>
      <w:r>
        <w:rPr>
          <w:rFonts w:hint="eastAsia" w:ascii="宋体" w:hAnsi="宋体"/>
          <w:color w:val="auto"/>
          <w:szCs w:val="21"/>
          <w:highlight w:val="none"/>
        </w:rPr>
        <w:t xml:space="preserve">日期：   年  月  日</w:t>
      </w:r>
      <w:r/>
    </w:p>
    <w:p>
      <w:pPr>
        <w:ind w:firstLine="480"/>
        <w:rPr>
          <w:rFonts w:hint="eastAsia" w:ascii="宋体" w:hAnsi="宋体"/>
          <w:color w:val="auto"/>
          <w:szCs w:val="21"/>
          <w:highlight w:val="none"/>
        </w:rPr>
      </w:pPr>
      <w:r>
        <w:rPr>
          <w:rFonts w:hint="eastAsia" w:ascii="宋体" w:hAnsi="宋体"/>
          <w:color w:val="auto"/>
          <w:szCs w:val="21"/>
          <w:highlight w:val="none"/>
        </w:rPr>
      </w:r>
      <w:r/>
    </w:p>
    <w:p>
      <w:pPr>
        <w:ind w:firstLine="480"/>
        <w:rPr>
          <w:rFonts w:hint="eastAsia" w:ascii="宋体" w:hAnsi="宋体"/>
          <w:color w:val="auto"/>
          <w:szCs w:val="21"/>
          <w:highlight w:val="none"/>
        </w:rPr>
      </w:pPr>
      <w:r>
        <w:rPr>
          <w:rFonts w:hint="eastAsia" w:ascii="宋体" w:hAnsi="宋体"/>
          <w:color w:val="auto"/>
          <w:szCs w:val="21"/>
          <w:highlight w:val="none"/>
        </w:rPr>
      </w:r>
      <w:r/>
    </w:p>
    <w:p>
      <w:pPr>
        <w:ind w:firstLine="480"/>
        <w:rPr>
          <w:rFonts w:hint="eastAsia" w:ascii="宋体" w:hAnsi="宋体"/>
          <w:color w:val="auto"/>
          <w:szCs w:val="21"/>
          <w:highlight w:val="none"/>
        </w:rPr>
      </w:pPr>
      <w:r>
        <w:rPr>
          <w:rFonts w:hint="eastAsia" w:ascii="宋体" w:hAnsi="宋体"/>
          <w:color w:val="auto"/>
          <w:szCs w:val="21"/>
          <w:highlight w:val="none"/>
        </w:rPr>
      </w:r>
      <w:r/>
    </w:p>
    <w:p>
      <w:pPr>
        <w:ind w:firstLine="480"/>
        <w:rPr>
          <w:rFonts w:hint="eastAsia" w:ascii="宋体" w:hAnsi="宋体"/>
          <w:color w:val="auto"/>
          <w:szCs w:val="21"/>
          <w:highlight w:val="none"/>
        </w:rPr>
      </w:pPr>
      <w:r>
        <w:rPr>
          <w:rFonts w:hint="eastAsia" w:ascii="宋体" w:hAnsi="宋体"/>
          <w:color w:val="auto"/>
          <w:szCs w:val="21"/>
          <w:highlight w:val="none"/>
        </w:rPr>
      </w:r>
      <w:r/>
    </w:p>
    <w:p>
      <w:pPr>
        <w:ind w:firstLine="480"/>
        <w:rPr>
          <w:rFonts w:hint="eastAsia" w:ascii="宋体" w:hAnsi="宋体"/>
          <w:color w:val="auto"/>
          <w:szCs w:val="21"/>
          <w:highlight w:val="none"/>
        </w:rPr>
      </w:pPr>
      <w:r>
        <w:rPr>
          <w:rFonts w:hint="eastAsia" w:ascii="宋体" w:hAnsi="宋体"/>
          <w:color w:val="auto"/>
          <w:szCs w:val="21"/>
          <w:highlight w:val="none"/>
        </w:rPr>
      </w:r>
      <w:r/>
    </w:p>
    <w:p>
      <w:pPr>
        <w:ind w:firstLine="480"/>
        <w:rPr>
          <w:rFonts w:hint="eastAsia" w:ascii="宋体" w:hAnsi="宋体"/>
          <w:color w:val="auto"/>
          <w:szCs w:val="21"/>
          <w:highlight w:val="none"/>
        </w:rPr>
      </w:pPr>
      <w:r>
        <w:rPr>
          <w:rFonts w:hint="eastAsia" w:ascii="宋体" w:hAnsi="宋体"/>
          <w:color w:val="auto"/>
          <w:szCs w:val="21"/>
          <w:highlight w:val="none"/>
        </w:rPr>
      </w:r>
      <w:r/>
    </w:p>
    <w:p>
      <w:pPr>
        <w:ind w:firstLine="480"/>
        <w:rPr>
          <w:rFonts w:hint="eastAsia" w:ascii="宋体" w:hAnsi="宋体"/>
          <w:color w:val="auto"/>
          <w:szCs w:val="21"/>
          <w:highlight w:val="none"/>
        </w:rPr>
      </w:pPr>
      <w:r>
        <w:rPr>
          <w:rFonts w:hint="eastAsia" w:ascii="宋体" w:hAnsi="宋体"/>
          <w:color w:val="auto"/>
          <w:szCs w:val="21"/>
          <w:highlight w:val="none"/>
        </w:rPr>
      </w:r>
      <w:r/>
    </w:p>
    <w:p>
      <w:pPr>
        <w:ind w:firstLine="480"/>
        <w:rPr>
          <w:rFonts w:hint="eastAsia" w:ascii="宋体" w:hAnsi="宋体"/>
          <w:color w:val="auto"/>
          <w:szCs w:val="21"/>
          <w:highlight w:val="none"/>
        </w:rPr>
      </w:pPr>
      <w:r>
        <w:rPr>
          <w:rFonts w:hint="eastAsia" w:ascii="宋体" w:hAnsi="宋体"/>
          <w:color w:val="auto"/>
          <w:szCs w:val="21"/>
          <w:highlight w:val="none"/>
        </w:rPr>
      </w:r>
      <w:r/>
    </w:p>
    <w:p>
      <w:pPr>
        <w:ind w:firstLine="480"/>
        <w:rPr>
          <w:rFonts w:hint="eastAsia" w:ascii="宋体" w:hAnsi="宋体"/>
          <w:color w:val="auto"/>
          <w:szCs w:val="21"/>
          <w:highlight w:val="none"/>
        </w:rPr>
      </w:pPr>
      <w:r>
        <w:rPr>
          <w:rFonts w:hint="eastAsia" w:ascii="宋体" w:hAnsi="宋体"/>
          <w:color w:val="auto"/>
          <w:szCs w:val="21"/>
          <w:highlight w:val="none"/>
        </w:rPr>
      </w:r>
      <w:r/>
    </w:p>
    <w:p>
      <w:pPr>
        <w:ind w:firstLine="480"/>
        <w:rPr>
          <w:rFonts w:hint="eastAsia" w:ascii="宋体" w:hAnsi="宋体"/>
          <w:color w:val="auto"/>
          <w:szCs w:val="21"/>
          <w:highlight w:val="none"/>
        </w:rPr>
      </w:pPr>
      <w:r>
        <w:rPr>
          <w:rFonts w:hint="eastAsia" w:ascii="宋体" w:hAnsi="宋体"/>
          <w:color w:val="auto"/>
          <w:szCs w:val="21"/>
          <w:highlight w:val="none"/>
        </w:rPr>
      </w:r>
      <w:r/>
    </w:p>
    <w:p>
      <w:pPr>
        <w:ind w:firstLine="480"/>
        <w:rPr>
          <w:rFonts w:hint="eastAsia" w:ascii="宋体" w:hAnsi="宋体"/>
          <w:color w:val="auto"/>
          <w:szCs w:val="21"/>
          <w:highlight w:val="none"/>
        </w:rPr>
      </w:pPr>
      <w:r>
        <w:rPr>
          <w:rFonts w:hint="eastAsia" w:ascii="宋体" w:hAnsi="宋体"/>
          <w:color w:val="auto"/>
          <w:szCs w:val="21"/>
          <w:highlight w:val="none"/>
        </w:rPr>
      </w:r>
      <w:r/>
    </w:p>
    <w:p>
      <w:pPr>
        <w:ind w:firstLine="480"/>
        <w:rPr>
          <w:rFonts w:hint="eastAsia" w:ascii="宋体" w:hAnsi="宋体"/>
          <w:color w:val="auto"/>
          <w:szCs w:val="21"/>
          <w:highlight w:val="none"/>
        </w:rPr>
      </w:pPr>
      <w:r>
        <w:rPr>
          <w:rFonts w:hint="eastAsia" w:ascii="宋体" w:hAnsi="宋体"/>
          <w:color w:val="auto"/>
          <w:szCs w:val="21"/>
          <w:highlight w:val="none"/>
        </w:rPr>
      </w:r>
      <w:r/>
    </w:p>
    <w:p>
      <w:pPr>
        <w:ind w:firstLine="480"/>
        <w:rPr>
          <w:rFonts w:hint="eastAsia" w:ascii="宋体" w:hAnsi="宋体"/>
          <w:color w:val="auto"/>
          <w:szCs w:val="21"/>
          <w:highlight w:val="none"/>
        </w:rPr>
      </w:pPr>
      <w:r>
        <w:rPr>
          <w:rFonts w:hint="eastAsia" w:ascii="宋体" w:hAnsi="宋体"/>
          <w:color w:val="auto"/>
          <w:szCs w:val="21"/>
          <w:highlight w:val="none"/>
        </w:rPr>
      </w:r>
      <w:r/>
    </w:p>
    <w:p>
      <w:pPr>
        <w:ind w:firstLine="480"/>
        <w:rPr>
          <w:rFonts w:hint="eastAsia" w:ascii="宋体" w:hAnsi="宋体"/>
          <w:color w:val="auto"/>
          <w:szCs w:val="21"/>
          <w:highlight w:val="none"/>
        </w:rPr>
      </w:pPr>
      <w:r>
        <w:rPr>
          <w:rFonts w:hint="eastAsia" w:ascii="宋体" w:hAnsi="宋体"/>
          <w:color w:val="auto"/>
          <w:szCs w:val="21"/>
          <w:highlight w:val="none"/>
        </w:rPr>
      </w:r>
      <w:r/>
    </w:p>
    <w:p>
      <w:pPr>
        <w:ind w:firstLine="480"/>
        <w:rPr>
          <w:rFonts w:hint="eastAsia" w:ascii="宋体" w:hAnsi="宋体"/>
          <w:color w:val="auto"/>
          <w:szCs w:val="21"/>
          <w:highlight w:val="none"/>
        </w:rPr>
      </w:pPr>
      <w:r>
        <w:rPr>
          <w:rFonts w:hint="eastAsia" w:ascii="宋体" w:hAnsi="宋体"/>
          <w:color w:val="auto"/>
          <w:szCs w:val="21"/>
          <w:highlight w:val="none"/>
        </w:rPr>
      </w:r>
      <w:r/>
    </w:p>
    <w:p>
      <w:pPr>
        <w:ind w:firstLine="480"/>
        <w:rPr>
          <w:rFonts w:hint="eastAsia" w:ascii="宋体" w:hAnsi="宋体"/>
          <w:color w:val="auto"/>
          <w:szCs w:val="21"/>
          <w:highlight w:val="none"/>
        </w:rPr>
      </w:pPr>
      <w:r>
        <w:rPr>
          <w:rFonts w:hint="eastAsia" w:ascii="宋体" w:hAnsi="宋体"/>
          <w:color w:val="auto"/>
          <w:szCs w:val="21"/>
          <w:highlight w:val="none"/>
        </w:rPr>
      </w:r>
      <w:r/>
    </w:p>
    <w:p>
      <w:pPr>
        <w:ind w:firstLine="480"/>
        <w:rPr>
          <w:rFonts w:hint="eastAsia" w:ascii="宋体" w:hAnsi="宋体"/>
          <w:color w:val="auto"/>
          <w:szCs w:val="21"/>
          <w:highlight w:val="none"/>
        </w:rPr>
      </w:pPr>
      <w:r>
        <w:rPr>
          <w:rFonts w:hint="eastAsia" w:ascii="宋体" w:hAnsi="宋体"/>
          <w:color w:val="auto"/>
          <w:szCs w:val="21"/>
          <w:highlight w:val="none"/>
        </w:rPr>
      </w:r>
      <w:r/>
    </w:p>
    <w:p>
      <w:pPr>
        <w:ind w:firstLine="480"/>
        <w:rPr>
          <w:rFonts w:hint="eastAsia" w:ascii="宋体" w:hAnsi="宋体"/>
          <w:color w:val="auto"/>
          <w:szCs w:val="21"/>
          <w:highlight w:val="none"/>
        </w:rPr>
      </w:pPr>
      <w:r>
        <w:rPr>
          <w:rFonts w:hint="eastAsia" w:ascii="宋体" w:hAnsi="宋体"/>
          <w:color w:val="auto"/>
          <w:szCs w:val="21"/>
          <w:highlight w:val="none"/>
        </w:rPr>
      </w:r>
      <w:r/>
    </w:p>
    <w:p>
      <w:pPr>
        <w:ind w:firstLine="480"/>
        <w:rPr>
          <w:rFonts w:hint="eastAsia" w:ascii="宋体" w:hAnsi="宋体"/>
          <w:color w:val="auto"/>
          <w:szCs w:val="21"/>
          <w:highlight w:val="none"/>
        </w:rPr>
      </w:pPr>
      <w:r>
        <w:rPr>
          <w:rFonts w:hint="eastAsia" w:ascii="宋体" w:hAnsi="宋体"/>
          <w:color w:val="auto"/>
          <w:szCs w:val="21"/>
          <w:highlight w:val="none"/>
        </w:rPr>
      </w:r>
      <w:r/>
    </w:p>
    <w:p>
      <w:pPr>
        <w:ind w:firstLine="480"/>
        <w:rPr>
          <w:rFonts w:hint="eastAsia" w:ascii="宋体" w:hAnsi="宋体"/>
          <w:color w:val="auto"/>
          <w:szCs w:val="21"/>
          <w:highlight w:val="none"/>
        </w:rPr>
      </w:pPr>
      <w:r>
        <w:rPr>
          <w:rFonts w:hint="eastAsia" w:ascii="宋体" w:hAnsi="宋体"/>
          <w:color w:val="auto"/>
          <w:szCs w:val="21"/>
          <w:highlight w:val="none"/>
        </w:rPr>
      </w:r>
      <w:r/>
    </w:p>
    <w:p>
      <w:pPr>
        <w:pStyle w:val="804"/>
        <w:rPr>
          <w:rFonts w:hint="eastAsia"/>
        </w:rPr>
      </w:pPr>
      <w:r>
        <w:rPr>
          <w:rFonts w:hint="eastAsia"/>
        </w:rPr>
      </w:r>
      <w:r/>
    </w:p>
    <w:p>
      <w:pPr>
        <w:ind w:firstLine="480"/>
        <w:rPr>
          <w:rFonts w:hint="eastAsia" w:ascii="宋体" w:hAnsi="宋体"/>
          <w:color w:val="auto"/>
          <w:highlight w:val="none"/>
        </w:rPr>
      </w:pPr>
      <w:r>
        <w:rPr>
          <w:rFonts w:hint="eastAsia" w:ascii="宋体" w:hAnsi="宋体"/>
          <w:color w:val="auto"/>
          <w:szCs w:val="21"/>
          <w:highlight w:val="none"/>
        </w:rPr>
      </w:r>
      <w:r>
        <w:rPr>
          <w:rFonts w:hint="eastAsia" w:ascii="宋体" w:hAnsi="宋体"/>
          <w:color w:val="auto"/>
          <w:szCs w:val="21"/>
          <w:highlight w:val="none"/>
        </w:rPr>
      </w:r>
    </w:p>
    <w:p>
      <w:pPr>
        <w:ind w:firstLine="480"/>
        <w:rPr>
          <w:rFonts w:hint="eastAsia" w:ascii="宋体" w:hAnsi="宋体"/>
          <w:color w:val="auto"/>
          <w:highlight w:val="none"/>
        </w:rPr>
      </w:pPr>
      <w:r>
        <w:rPr>
          <w:rFonts w:hint="eastAsia" w:ascii="宋体" w:hAnsi="宋体"/>
          <w:color w:val="auto"/>
          <w:highlight w:val="none"/>
        </w:rPr>
      </w:r>
      <w:r>
        <w:rPr>
          <w:rFonts w:hint="eastAsia" w:ascii="宋体" w:hAnsi="宋体"/>
          <w:color w:val="auto"/>
          <w:highlight w:val="none"/>
        </w:rPr>
      </w:r>
    </w:p>
    <w:p>
      <w:pPr>
        <w:ind w:firstLine="480"/>
        <w:rPr>
          <w:rFonts w:hint="eastAsia" w:ascii="宋体" w:hAnsi="宋体"/>
          <w:color w:val="auto"/>
          <w:highlight w:val="none"/>
        </w:rPr>
      </w:pPr>
      <w:r>
        <w:rPr>
          <w:rFonts w:hint="eastAsia" w:ascii="宋体" w:hAnsi="宋体"/>
          <w:color w:val="auto"/>
          <w:szCs w:val="21"/>
          <w:highlight w:val="none"/>
        </w:rPr>
      </w:r>
      <w:r/>
    </w:p>
    <w:p>
      <w:pPr>
        <w:ind w:firstLine="480"/>
        <w:rPr>
          <w:rFonts w:hint="eastAsia" w:ascii="宋体" w:hAnsi="宋体"/>
          <w:color w:val="auto"/>
          <w:szCs w:val="21"/>
          <w:highlight w:val="none"/>
        </w:rPr>
      </w:pPr>
      <w:r>
        <w:rPr>
          <w:rFonts w:hint="eastAsia" w:ascii="宋体" w:hAnsi="宋体"/>
          <w:color w:val="auto"/>
          <w:szCs w:val="21"/>
          <w:highlight w:val="none"/>
        </w:rPr>
      </w:r>
      <w:r/>
    </w:p>
    <w:p>
      <w:pPr>
        <w:pStyle w:val="803"/>
        <w:numPr>
          <w:ilvl w:val="0"/>
          <w:numId w:val="7"/>
        </w:numPr>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产品配置及分项报价表</w:t>
      </w:r>
      <w:r/>
    </w:p>
    <w:tbl>
      <w:tblPr>
        <w:tblStyle w:val="812"/>
        <w:tblW w:w="85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93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9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tcW w:w="1106" w:type="dxa"/>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5</w:t>
            </w:r>
            <w:r/>
          </w:p>
        </w:tc>
        <w:tc>
          <w:tcPr>
            <w:tcW w:w="138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6</w:t>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7</w:t>
            </w:r>
            <w:r/>
          </w:p>
        </w:tc>
        <w:tc>
          <w:tcPr>
            <w:tcW w:w="100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8</w:t>
            </w:r>
            <w:r/>
          </w:p>
        </w:tc>
        <w:tc>
          <w:tcPr>
            <w:tcW w:w="96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产品</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名称</w:t>
            </w:r>
            <w:r/>
          </w:p>
        </w:tc>
        <w:tc>
          <w:tcPr>
            <w:tcW w:w="93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规格</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型号</w:t>
            </w:r>
            <w:r/>
          </w:p>
        </w:tc>
        <w:tc>
          <w:tcPr>
            <w:tcW w:w="9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制造商名称</w:t>
            </w:r>
            <w:r/>
          </w:p>
        </w:tc>
        <w:tc>
          <w:tcPr>
            <w:tcW w:w="110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产地</w:t>
            </w:r>
            <w:r/>
          </w:p>
        </w:tc>
        <w:tc>
          <w:tcPr>
            <w:tcW w:w="138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交付期</w:t>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c>
          <w:tcPr>
            <w:tcW w:w="100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分项</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单价</w:t>
            </w:r>
            <w:r/>
          </w:p>
        </w:tc>
        <w:tc>
          <w:tcPr>
            <w:tcW w:w="96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分项</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3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106" w:type="dxa"/>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85" w:type="dxa"/>
            <w:vAlign w:val="center"/>
            <w:textDirection w:val="lrTb"/>
            <w:noWrap w:val="false"/>
          </w:tcPr>
          <w:p>
            <w:pPr>
              <w:jc w:val="center"/>
              <w:spacing w:line="0" w:lineRule="atLeast"/>
              <w:rPr>
                <w:rFonts w:hint="eastAsia" w:ascii="宋体" w:hAnsi="宋体"/>
                <w:color w:val="auto"/>
                <w:sz w:val="24"/>
                <w:szCs w:val="24"/>
                <w:highlight w:val="none"/>
                <w:u w:val="single"/>
              </w:rPr>
            </w:pPr>
            <w:r>
              <w:rPr>
                <w:rFonts w:hint="eastAsia" w:ascii="宋体" w:hAnsi="宋体"/>
                <w:color w:val="auto"/>
                <w:sz w:val="24"/>
                <w:szCs w:val="24"/>
                <w:highlight w:val="none"/>
              </w:rPr>
              <w:t xml:space="preserve">合同签订后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00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6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724"/>
        </w:trPr>
        <w:tc>
          <w:tcPr>
            <w:tcW w:w="50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3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106" w:type="dxa"/>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8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00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6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0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3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106" w:type="dxa"/>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8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00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6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580"/>
        </w:trPr>
        <w:tc>
          <w:tcPr>
            <w:tcW w:w="500" w:type="dxa"/>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93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106" w:type="dxa"/>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8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00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6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580"/>
        </w:trPr>
        <w:tc>
          <w:tcPr>
            <w:tcW w:w="50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gridSpan w:val="8"/>
            <w:tcW w:w="803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投标总报价（人民币：元）</w:t>
            </w:r>
            <w:r/>
          </w:p>
        </w:tc>
      </w:tr>
    </w:tbl>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p>
    <w:p>
      <w:pPr>
        <w:spacing w:line="400" w:lineRule="exact"/>
        <w:rPr>
          <w:rFonts w:hint="eastAsia" w:ascii="宋体" w:hAnsi="宋体"/>
          <w:color w:val="auto"/>
          <w:sz w:val="24"/>
          <w:szCs w:val="21"/>
          <w:highlight w:val="none"/>
        </w:rPr>
      </w:pPr>
      <w:r>
        <w:rPr>
          <w:rFonts w:hint="eastAsia" w:ascii="宋体" w:hAnsi="宋体"/>
          <w:color w:val="auto"/>
          <w:sz w:val="24"/>
          <w:szCs w:val="24"/>
          <w:highlight w:val="none"/>
        </w:rPr>
        <w:t xml:space="preserve">1.投标报价</w:t>
      </w:r>
      <w:r>
        <w:rPr>
          <w:rFonts w:hint="eastAsia" w:ascii="宋体" w:hAnsi="宋体"/>
          <w:color w:val="auto"/>
          <w:sz w:val="24"/>
          <w:szCs w:val="21"/>
          <w:highlight w:val="none"/>
        </w:rPr>
        <w:t xml:space="preserve">采用总承包方式，“投标总报价”应包括所投货物（包含与货物相关的服务）费用、安装调试费、测试验收费、培训费、运行维护费用、税金、国际（如果</w:t>
      </w:r>
      <w:r>
        <w:rPr>
          <w:rFonts w:ascii="宋体" w:hAnsi="宋体"/>
          <w:color w:val="auto"/>
          <w:sz w:val="24"/>
          <w:szCs w:val="21"/>
          <w:highlight w:val="none"/>
        </w:rPr>
        <w:t xml:space="preserve">有</w:t>
      </w:r>
      <w:r>
        <w:rPr>
          <w:rFonts w:hint="eastAsia" w:ascii="宋体" w:hAnsi="宋体"/>
          <w:color w:val="auto"/>
          <w:sz w:val="24"/>
          <w:szCs w:val="21"/>
          <w:highlight w:val="none"/>
        </w:rPr>
        <w:t xml:space="preserve">）国内运输保险、报关清关（如果</w:t>
      </w:r>
      <w:r>
        <w:rPr>
          <w:rFonts w:ascii="宋体" w:hAnsi="宋体"/>
          <w:color w:val="auto"/>
          <w:sz w:val="24"/>
          <w:szCs w:val="21"/>
          <w:highlight w:val="none"/>
        </w:rPr>
        <w:t xml:space="preserve">有</w:t>
      </w:r>
      <w:r>
        <w:rPr>
          <w:rFonts w:hint="eastAsia" w:ascii="宋体" w:hAnsi="宋体"/>
          <w:color w:val="auto"/>
          <w:sz w:val="24"/>
          <w:szCs w:val="21"/>
          <w:highlight w:val="none"/>
        </w:rPr>
        <w:t xml:space="preserve">）、开证（如果</w:t>
      </w:r>
      <w:r>
        <w:rPr>
          <w:rFonts w:ascii="宋体" w:hAnsi="宋体"/>
          <w:color w:val="auto"/>
          <w:sz w:val="24"/>
          <w:szCs w:val="21"/>
          <w:highlight w:val="none"/>
        </w:rPr>
        <w:t xml:space="preserve">有</w:t>
      </w:r>
      <w:r>
        <w:rPr>
          <w:rFonts w:hint="eastAsia" w:ascii="宋体" w:hAnsi="宋体"/>
          <w:color w:val="auto"/>
          <w:sz w:val="24"/>
          <w:szCs w:val="21"/>
          <w:highlight w:val="none"/>
        </w:rPr>
        <w:t xml:space="preserve">）、办理全套免税手续费用（如果</w:t>
      </w:r>
      <w:r>
        <w:rPr>
          <w:rFonts w:ascii="宋体" w:hAnsi="宋体"/>
          <w:color w:val="auto"/>
          <w:sz w:val="24"/>
          <w:szCs w:val="21"/>
          <w:highlight w:val="none"/>
        </w:rPr>
        <w:t xml:space="preserve">有</w:t>
      </w:r>
      <w:r>
        <w:rPr>
          <w:rFonts w:hint="eastAsia" w:ascii="宋体" w:hAnsi="宋体"/>
          <w:color w:val="auto"/>
          <w:sz w:val="24"/>
          <w:szCs w:val="21"/>
          <w:highlight w:val="none"/>
        </w:rPr>
        <w:t xml:space="preserve">）及其他有关的为完成本项目发生的所有费用，招标文件中另有规定的除外。</w:t>
      </w:r>
      <w:r/>
    </w:p>
    <w:p>
      <w:pPr>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hint="eastAsia"/>
          <w:color w:val="auto"/>
          <w:szCs w:val="21"/>
          <w:highlight w:val="none"/>
        </w:rPr>
        <w:t xml:space="preserve">“</w:t>
      </w:r>
      <w:r>
        <w:rPr>
          <w:rFonts w:hint="eastAsia" w:ascii="宋体" w:hAnsi="宋体"/>
          <w:color w:val="auto"/>
          <w:sz w:val="24"/>
          <w:szCs w:val="21"/>
          <w:highlight w:val="none"/>
        </w:rPr>
        <w:t xml:space="preserve">投标分项报价表</w:t>
      </w:r>
      <w:r>
        <w:rPr>
          <w:rFonts w:hint="eastAsia"/>
          <w:color w:val="auto"/>
          <w:szCs w:val="21"/>
          <w:highlight w:val="none"/>
        </w:rPr>
        <w:t xml:space="preserve">”</w:t>
      </w:r>
      <w:r>
        <w:rPr>
          <w:rFonts w:hint="eastAsia" w:ascii="宋体" w:hAnsi="宋体"/>
          <w:color w:val="auto"/>
          <w:sz w:val="24"/>
          <w:szCs w:val="21"/>
          <w:highlight w:val="none"/>
        </w:rPr>
        <w:t xml:space="preserve">中“投标总报价”数额应当与“开标一览表”中“投标总报价”数额一致。</w:t>
      </w:r>
      <w:r/>
    </w:p>
    <w:p>
      <w:pPr>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3.投标人需认真填写本报价表，尤其注意规格型号的准确填写。</w:t>
      </w:r>
      <w:r/>
    </w:p>
    <w:p>
      <w:pPr>
        <w:rPr>
          <w:color w:val="auto"/>
          <w:highlight w:val="none"/>
        </w:rPr>
      </w:pPr>
      <w:r>
        <w:rPr>
          <w:color w:val="auto"/>
          <w:highlight w:val="none"/>
        </w:rPr>
      </w:r>
      <w:r/>
    </w:p>
    <w:p>
      <w:pPr>
        <w:pStyle w:val="803"/>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r>
      <w:r/>
    </w:p>
    <w:p>
      <w:pPr>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r>
      <w:r/>
    </w:p>
    <w:p>
      <w:pPr>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r>
      <w:r/>
    </w:p>
    <w:p>
      <w:pPr>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r>
      <w:r/>
    </w:p>
    <w:p>
      <w:pPr>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r>
      <w:r/>
    </w:p>
    <w:p>
      <w:pPr>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r>
      <w:r/>
    </w:p>
    <w:p>
      <w:pPr>
        <w:pStyle w:val="818"/>
        <w:numPr>
          <w:ilvl w:val="0"/>
          <w:numId w:val="0"/>
        </w:numPr>
        <w:ind w:left="780" w:hanging="360"/>
        <w:rPr>
          <w:rFonts w:hint="eastAsia" w:ascii="宋体" w:hAnsi="宋体"/>
          <w:color w:val="auto"/>
          <w:sz w:val="24"/>
          <w:szCs w:val="24"/>
          <w:highlight w:val="none"/>
        </w:rPr>
      </w:pPr>
      <w:r>
        <w:rPr>
          <w:rFonts w:hint="eastAsia" w:ascii="宋体" w:hAnsi="宋体"/>
          <w:color w:val="auto"/>
          <w:sz w:val="24"/>
          <w:szCs w:val="24"/>
          <w:highlight w:val="none"/>
        </w:rPr>
      </w:r>
      <w:r/>
    </w:p>
    <w:p>
      <w:pPr>
        <w:pStyle w:val="818"/>
        <w:numPr>
          <w:ilvl w:val="0"/>
          <w:numId w:val="0"/>
        </w:numPr>
        <w:ind w:left="780" w:hanging="360"/>
        <w:rPr>
          <w:rFonts w:hint="eastAsia" w:ascii="宋体" w:hAnsi="宋体"/>
          <w:color w:val="auto"/>
          <w:sz w:val="24"/>
          <w:szCs w:val="24"/>
          <w:highlight w:val="none"/>
        </w:rPr>
      </w:pPr>
      <w:r>
        <w:rPr>
          <w:rFonts w:hint="eastAsia" w:ascii="宋体" w:hAnsi="宋体"/>
          <w:color w:val="auto"/>
          <w:sz w:val="24"/>
          <w:szCs w:val="24"/>
          <w:highlight w:val="none"/>
        </w:rPr>
      </w:r>
      <w:r/>
    </w:p>
    <w:p>
      <w:pPr>
        <w:pStyle w:val="818"/>
        <w:numPr>
          <w:ilvl w:val="0"/>
          <w:numId w:val="0"/>
        </w:numPr>
        <w:ind w:left="780" w:hanging="360"/>
        <w:rPr>
          <w:rFonts w:hint="eastAsia" w:ascii="宋体" w:hAnsi="宋体"/>
          <w:color w:val="auto"/>
          <w:sz w:val="24"/>
          <w:szCs w:val="24"/>
          <w:highlight w:val="none"/>
        </w:rPr>
      </w:pPr>
      <w:r>
        <w:rPr>
          <w:rFonts w:hint="eastAsia" w:ascii="宋体" w:hAnsi="宋体"/>
          <w:color w:val="auto"/>
          <w:sz w:val="24"/>
          <w:szCs w:val="24"/>
          <w:highlight w:val="none"/>
        </w:rPr>
      </w:r>
      <w:r/>
    </w:p>
    <w:p>
      <w:pPr>
        <w:pStyle w:val="818"/>
        <w:numPr>
          <w:ilvl w:val="0"/>
          <w:numId w:val="0"/>
        </w:numPr>
        <w:ind w:left="780" w:hanging="360"/>
        <w:rPr>
          <w:rFonts w:hint="eastAsia" w:ascii="宋体" w:hAnsi="宋体"/>
          <w:color w:val="auto"/>
          <w:sz w:val="24"/>
          <w:szCs w:val="24"/>
          <w:highlight w:val="none"/>
        </w:rPr>
      </w:pPr>
      <w:r>
        <w:rPr>
          <w:rFonts w:hint="eastAsia" w:ascii="宋体" w:hAnsi="宋体"/>
          <w:color w:val="auto"/>
          <w:sz w:val="24"/>
          <w:szCs w:val="24"/>
          <w:highlight w:val="none"/>
        </w:rPr>
      </w:r>
      <w:r/>
    </w:p>
    <w:p>
      <w:pPr>
        <w:pStyle w:val="818"/>
        <w:numPr>
          <w:ilvl w:val="0"/>
          <w:numId w:val="0"/>
        </w:numPr>
        <w:ind w:left="780" w:hanging="360"/>
        <w:rPr>
          <w:rFonts w:hint="eastAsia" w:ascii="宋体" w:hAnsi="宋体"/>
          <w:color w:val="auto"/>
          <w:sz w:val="24"/>
          <w:szCs w:val="24"/>
          <w:highlight w:val="none"/>
        </w:rPr>
      </w:pPr>
      <w:r>
        <w:rPr>
          <w:rFonts w:hint="eastAsia" w:ascii="宋体" w:hAnsi="宋体"/>
          <w:color w:val="auto"/>
          <w:sz w:val="24"/>
          <w:szCs w:val="24"/>
          <w:highlight w:val="none"/>
        </w:rPr>
      </w:r>
      <w:r/>
    </w:p>
    <w:p>
      <w:pPr>
        <w:pStyle w:val="803"/>
        <w:rPr>
          <w:rFonts w:hint="eastAsia" w:ascii="宋体" w:hAnsi="宋体"/>
          <w:color w:val="auto"/>
          <w:szCs w:val="32"/>
          <w:highlight w:val="none"/>
        </w:rPr>
      </w:pPr>
      <w:r>
        <w:rPr>
          <w:rFonts w:hint="eastAsia" w:asciiTheme="minorEastAsia" w:hAnsiTheme="minorEastAsia" w:eastAsiaTheme="minorEastAsia" w:cstheme="minorEastAsia"/>
          <w:color w:val="auto"/>
          <w:sz w:val="30"/>
          <w:szCs w:val="30"/>
          <w:highlight w:val="none"/>
          <w:lang w:val="en-US" w:eastAsia="zh-CN"/>
        </w:rPr>
        <w:t xml:space="preserve">六</w:t>
      </w:r>
      <w:r>
        <w:rPr>
          <w:rFonts w:hint="eastAsia" w:asciiTheme="minorEastAsia" w:hAnsiTheme="minorEastAsia" w:eastAsiaTheme="minorEastAsia" w:cstheme="minorEastAsia"/>
          <w:color w:val="auto"/>
          <w:sz w:val="30"/>
          <w:szCs w:val="30"/>
          <w:highlight w:val="none"/>
        </w:rPr>
        <w:t xml:space="preserve">、商务条款响应表</w:t>
      </w:r>
      <w:r/>
    </w:p>
    <w:tbl>
      <w:tblPr>
        <w:tblStyle w:val="812"/>
        <w:tblW w:w="8959"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hint="eastAsia"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hint="eastAsia" w:ascii="仿宋_GB2312" w:hAnsi="宋体" w:eastAsia="仿宋_GB2312"/>
                <w:color w:val="auto"/>
                <w:szCs w:val="21"/>
                <w:highlight w:val="none"/>
              </w:rPr>
            </w:pPr>
            <w:r>
              <w:rPr>
                <w:rFonts w:hint="eastAsia" w:ascii="仿宋_GB2312" w:hAnsi="宋体"/>
                <w:color w:val="auto"/>
                <w:szCs w:val="21"/>
                <w:highlight w:val="none"/>
              </w:rPr>
              <w:t xml:space="preserve">采购文件要求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hint="eastAsia"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line="360" w:lineRule="auto"/>
              <w:rPr>
                <w:rFonts w:hint="eastAsia" w:ascii="仿宋_GB2312" w:hAnsi="宋体" w:eastAsia="仿宋_GB2312"/>
                <w:color w:val="auto"/>
                <w:szCs w:val="21"/>
                <w:highlight w:val="none"/>
              </w:rPr>
            </w:pPr>
            <w:r>
              <w:rPr>
                <w:rFonts w:hint="eastAsia" w:ascii="仿宋_GB2312" w:hAnsi="宋体"/>
                <w:color w:val="auto"/>
                <w:szCs w:val="21"/>
                <w:highlight w:val="none"/>
              </w:rPr>
              <w:t xml:space="preserve">供应商的承诺或说明</w:t>
            </w:r>
            <w:r/>
          </w:p>
        </w:tc>
      </w:tr>
      <w:tr>
        <w:trPr>
          <w:trHeight w:val="704"/>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color w:val="auto"/>
                <w:szCs w:val="21"/>
                <w:highlight w:val="none"/>
              </w:rPr>
            </w:pPr>
            <w:r>
              <w:rPr>
                <w:rFonts w:hint="eastAsia" w:ascii="仿宋_GB2312"/>
                <w:color w:val="auto"/>
                <w:szCs w:val="21"/>
                <w:highlight w:val="none"/>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line="360" w:lineRule="auto"/>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r>
      <w:tr>
        <w:trP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hint="eastAsia" w:ascii="仿宋_GB2312" w:hAnsi="宋体"/>
                <w:color w:val="auto"/>
                <w:szCs w:val="21"/>
                <w:highlight w:val="none"/>
              </w:rPr>
            </w:pPr>
            <w:r>
              <w:rPr>
                <w:rFonts w:hint="eastAsia" w:ascii="仿宋_GB2312"/>
                <w:color w:val="auto"/>
                <w:szCs w:val="21"/>
                <w:highlight w:val="none"/>
              </w:rPr>
              <w:t xml:space="preserve">供货期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line="360" w:lineRule="auto"/>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r>
      <w:tr>
        <w:trPr>
          <w:trHeight w:val="5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line="360" w:lineRule="auto"/>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color w:val="auto"/>
                <w:szCs w:val="21"/>
                <w:highlight w:val="none"/>
              </w:rPr>
            </w:pPr>
            <w:r>
              <w:rPr>
                <w:rFonts w:ascii="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hint="eastAsia" w:ascii="仿宋_GB2312" w:hAnsi="宋体"/>
                <w:color w:val="auto"/>
                <w:szCs w:val="21"/>
                <w:highlight w:val="none"/>
              </w:rPr>
            </w:pPr>
            <w:r>
              <w:rPr>
                <w:rFonts w:hint="eastAsia"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line="360" w:lineRule="auto"/>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hint="eastAsia" w:ascii="仿宋_GB2312" w:hAnsi="宋体"/>
                <w:color w:val="auto"/>
                <w:szCs w:val="21"/>
                <w:highlight w:val="none"/>
              </w:rPr>
            </w:pPr>
            <w:r>
              <w:rPr>
                <w:rFonts w:hint="eastAsia"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line="360" w:lineRule="auto"/>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line="360" w:lineRule="auto"/>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r>
    </w:tbl>
    <w:p>
      <w:pPr>
        <w:spacing w:line="360" w:lineRule="auto"/>
        <w:rPr>
          <w:rFonts w:hint="eastAsia" w:ascii="宋体" w:hAnsi="宋体"/>
          <w:color w:val="auto"/>
          <w:sz w:val="24"/>
          <w:highlight w:val="none"/>
        </w:rPr>
      </w:pPr>
      <w:r>
        <w:rPr>
          <w:rFonts w:hint="eastAsia" w:ascii="宋体" w:hAnsi="宋体"/>
          <w:color w:val="auto"/>
          <w:sz w:val="24"/>
          <w:highlight w:val="none"/>
        </w:rPr>
      </w:r>
      <w:r/>
    </w:p>
    <w:p>
      <w:pPr>
        <w:pStyle w:val="803"/>
        <w:rPr>
          <w:rFonts w:hint="eastAsia" w:ascii="宋体" w:hAnsi="宋体"/>
          <w:color w:val="auto"/>
          <w:szCs w:val="32"/>
          <w:highlight w:val="none"/>
        </w:rPr>
      </w:pPr>
      <w:r>
        <w:rPr>
          <w:rFonts w:hint="eastAsia" w:asciiTheme="minorEastAsia" w:hAnsiTheme="minorEastAsia" w:eastAsiaTheme="minorEastAsia" w:cstheme="minorEastAsia"/>
          <w:color w:val="auto"/>
          <w:sz w:val="30"/>
          <w:szCs w:val="30"/>
          <w:highlight w:val="none"/>
          <w:lang w:val="en-US" w:eastAsia="zh-CN"/>
        </w:rPr>
        <w:t xml:space="preserve">七</w:t>
      </w:r>
      <w:r>
        <w:rPr>
          <w:rFonts w:hint="eastAsia" w:asciiTheme="minorEastAsia" w:hAnsiTheme="minorEastAsia" w:eastAsiaTheme="minorEastAsia" w:cstheme="minorEastAsia"/>
          <w:color w:val="auto"/>
          <w:sz w:val="30"/>
          <w:szCs w:val="30"/>
          <w:highlight w:val="none"/>
        </w:rPr>
        <w:t xml:space="preserve">、技术参数响应</w:t>
      </w:r>
      <w:r>
        <w:rPr>
          <w:rFonts w:hint="eastAsia" w:asciiTheme="minorEastAsia" w:hAnsiTheme="minorEastAsia" w:eastAsiaTheme="minorEastAsia" w:cstheme="minorEastAsia"/>
          <w:color w:val="auto"/>
          <w:sz w:val="30"/>
          <w:szCs w:val="30"/>
          <w:highlight w:val="none"/>
          <w:lang w:val="en-US" w:eastAsia="zh-CN"/>
        </w:rPr>
        <w:t xml:space="preserve">偏离</w:t>
      </w:r>
      <w:r>
        <w:rPr>
          <w:rFonts w:hint="eastAsia" w:asciiTheme="minorEastAsia" w:hAnsiTheme="minorEastAsia" w:eastAsiaTheme="minorEastAsia" w:cstheme="minorEastAsia"/>
          <w:color w:val="auto"/>
          <w:sz w:val="30"/>
          <w:szCs w:val="30"/>
          <w:highlight w:val="none"/>
        </w:rPr>
        <w:t xml:space="preserve">表</w:t>
      </w:r>
      <w:r/>
    </w:p>
    <w:tbl>
      <w:tblPr>
        <w:tblStyle w:val="812"/>
        <w:tblW w:w="88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534"/>
        <w:gridCol w:w="1262"/>
        <w:gridCol w:w="1188"/>
      </w:tblGrid>
      <w:tr>
        <w:trPr>
          <w:cantSplit/>
          <w:trHeight w:val="666"/>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before="156" w:line="360" w:lineRule="auto"/>
              <w:rPr>
                <w:rFonts w:hint="eastAsia" w:ascii="仿宋_GB2312" w:hAnsi="宋体"/>
                <w:color w:val="auto"/>
                <w:szCs w:val="21"/>
                <w:highlight w:val="none"/>
              </w:rPr>
            </w:pPr>
            <w:r>
              <w:rPr>
                <w:rFonts w:hint="eastAsia" w:ascii="仿宋_GB2312" w:hAnsi="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852" w:type="dxa"/>
            <w:vAlign w:val="center"/>
            <w:textDirection w:val="lrTb"/>
            <w:noWrap w:val="false"/>
          </w:tcPr>
          <w:p>
            <w:pPr>
              <w:jc w:val="center"/>
              <w:spacing w:before="156" w:line="360" w:lineRule="auto"/>
              <w:rPr>
                <w:rFonts w:hint="eastAsia" w:ascii="仿宋_GB2312" w:hAnsi="宋体"/>
                <w:color w:val="auto"/>
                <w:szCs w:val="21"/>
                <w:highlight w:val="none"/>
              </w:rPr>
            </w:pPr>
            <w:r>
              <w:rPr>
                <w:rFonts w:hint="eastAsia" w:ascii="仿宋_GB2312" w:hAnsi="宋体"/>
                <w:color w:val="auto"/>
                <w:szCs w:val="21"/>
                <w:highlight w:val="none"/>
              </w:rPr>
              <w:t xml:space="preserve">采购要求</w:t>
            </w:r>
            <w:r/>
          </w:p>
        </w:tc>
        <w:tc>
          <w:tcPr>
            <w:tcBorders>
              <w:top w:val="single" w:color="auto" w:sz="4" w:space="0"/>
              <w:left w:val="single" w:color="auto" w:sz="4" w:space="0"/>
              <w:bottom w:val="single" w:color="auto" w:sz="4" w:space="0"/>
              <w:right w:val="single" w:color="auto" w:sz="4" w:space="0"/>
            </w:tcBorders>
            <w:tcW w:w="2534" w:type="dxa"/>
            <w:vAlign w:val="center"/>
            <w:textDirection w:val="lrTb"/>
            <w:noWrap w:val="false"/>
          </w:tcPr>
          <w:p>
            <w:pPr>
              <w:jc w:val="center"/>
              <w:spacing w:before="156" w:line="360" w:lineRule="auto"/>
              <w:rPr>
                <w:rFonts w:hint="eastAsia" w:ascii="仿宋_GB2312" w:hAnsi="宋体"/>
                <w:color w:val="auto"/>
                <w:szCs w:val="21"/>
                <w:highlight w:val="none"/>
              </w:rPr>
            </w:pPr>
            <w:r>
              <w:rPr>
                <w:rFonts w:hint="eastAsia" w:ascii="仿宋_GB2312" w:hAnsi="宋体"/>
                <w:color w:val="auto"/>
                <w:szCs w:val="21"/>
                <w:highlight w:val="none"/>
              </w:rPr>
              <w:t xml:space="preserve">投标响应</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before="156" w:line="360" w:lineRule="auto"/>
              <w:rPr>
                <w:rFonts w:hint="default" w:ascii="仿宋_GB2312" w:hAnsi="宋体" w:eastAsia="宋体"/>
                <w:color w:val="auto"/>
                <w:szCs w:val="21"/>
                <w:highlight w:val="none"/>
                <w:lang w:val="en-US" w:eastAsia="zh-CN"/>
              </w:rPr>
            </w:pPr>
            <w:r>
              <w:rPr>
                <w:rFonts w:hint="eastAsia" w:ascii="仿宋_GB2312" w:hAnsi="宋体"/>
                <w:color w:val="auto"/>
                <w:szCs w:val="21"/>
                <w:highlight w:val="none"/>
                <w:lang w:val="en-US" w:eastAsia="zh-CN"/>
              </w:rPr>
              <w:t xml:space="preserve">是否偏离</w:t>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spacing w:before="156" w:line="360" w:lineRule="auto"/>
              <w:rPr>
                <w:rFonts w:hint="eastAsia" w:ascii="仿宋_GB2312" w:hAnsi="宋体"/>
                <w:color w:val="auto"/>
                <w:szCs w:val="21"/>
                <w:highlight w:val="none"/>
              </w:rPr>
            </w:pPr>
            <w:r>
              <w:rPr>
                <w:rFonts w:hint="eastAsia" w:ascii="仿宋_GB2312" w:hAnsi="宋体"/>
                <w:color w:val="auto"/>
                <w:szCs w:val="21"/>
                <w:highlight w:val="none"/>
              </w:rPr>
              <w:t xml:space="preserve">证明材料</w:t>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34"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2"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88"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34"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2"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88"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34"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2"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88"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34"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2"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88"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34"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2"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88"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34"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2"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88"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34"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2"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88"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34"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2"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88"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bl>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spacing w:before="312" w:line="360" w:lineRule="auto"/>
        <w:rPr>
          <w:rFonts w:hint="eastAsia" w:ascii="宋体" w:hAnsi="宋体"/>
          <w:b/>
          <w:bCs/>
          <w:color w:val="auto"/>
          <w:highlight w:val="none"/>
        </w:rPr>
      </w:pPr>
      <w:r>
        <w:rPr>
          <w:rStyle w:val="1046"/>
          <w:rFonts w:hint="eastAsia" w:asciiTheme="minorEastAsia" w:hAnsiTheme="minorEastAsia" w:eastAsiaTheme="minorEastAsia" w:cstheme="minorEastAsia"/>
          <w:color w:val="auto"/>
          <w:sz w:val="24"/>
          <w:szCs w:val="24"/>
          <w:highlight w:val="none"/>
        </w:rPr>
        <w:t xml:space="preserve">主要标的信息（中标后将公示）</w:t>
      </w:r>
      <w:r/>
    </w:p>
    <w:p>
      <w:pPr>
        <w:spacing w:after="312" w:line="360" w:lineRule="auto"/>
        <w:rPr>
          <w:rFonts w:hint="eastAsia" w:ascii="宋体" w:hAnsi="宋体"/>
          <w:b/>
          <w:color w:val="auto"/>
          <w:highlight w:val="none"/>
        </w:rPr>
      </w:pPr>
      <w:r>
        <w:rPr>
          <w:rFonts w:hint="eastAsia" w:ascii="宋体" w:hAnsi="宋体"/>
          <w:color w:val="auto"/>
          <w:highlight w:val="none"/>
        </w:rPr>
        <w:t xml:space="preserve">投标人全称：</w:t>
      </w:r>
      <w:r/>
    </w:p>
    <w:tbl>
      <w:tblPr>
        <w:tblStyle w:val="812"/>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rHeight w:val="462"/>
        </w:trPr>
        <w:tc>
          <w:tcPr>
            <w:tcW w:w="390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货物类</w:t>
            </w:r>
            <w:r/>
          </w:p>
        </w:tc>
        <w:tc>
          <w:tcPr>
            <w:tcW w:w="3780"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3901"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单价：</w:t>
            </w:r>
            <w:r/>
          </w:p>
        </w:tc>
        <w:tc>
          <w:tcPr>
            <w:tcW w:w="3780"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服务标准：</w:t>
            </w:r>
            <w:r/>
          </w:p>
        </w:tc>
      </w:tr>
    </w:tbl>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sectPr>
      <w:headerReference w:type="default" r:id="rId12"/>
      <w:footerReference w:type="default" r:id="rId16"/>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TSong">
    <w:panose1 w:val="02010600040101010101"/>
  </w:font>
  <w:font w:name="Symbol">
    <w:panose1 w:val="05050102010706020507"/>
  </w:font>
  <w:font w:name="Wingdings">
    <w:panose1 w:val="05000000000000000000"/>
  </w:font>
  <w:font w:name="Courier New">
    <w:panose1 w:val="02070309020205020404"/>
  </w:font>
  <w:font w:name="Consolas">
    <w:panose1 w:val="020B0609020204030204"/>
  </w:font>
  <w:font w:name="楷体_GB2312">
    <w:panose1 w:val="02010609060101010101"/>
  </w:font>
  <w:font w:name="仿宋_GB2312">
    <w:panose1 w:val="02010609060101010101"/>
  </w:font>
  <w:font w:name="黑体">
    <w:panose1 w:val="02010609060101010101"/>
  </w:font>
  <w:font w:name="幼圆">
    <w:panose1 w:val="020105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5"/>
                          </w:pPr>
                          <w:r>
                            <w:fldChar w:fldCharType="begin"/>
                          </w:r>
                          <w:r>
                            <w:instrText xml:space="preserve"> PAGE  \* MERGEFORMAT </w:instrText>
                          </w:r>
                          <w:r>
                            <w:fldChar w:fldCharType="separate"/>
                          </w:r>
                          <w:r>
                            <w:t xml:space="preserve">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5"/>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25"/>
                            <w:jc w:val="center"/>
                          </w:pPr>
                          <w:r>
                            <w:fldChar w:fldCharType="begin"/>
                          </w:r>
                          <w:r>
                            <w:instrText xml:space="preserve">PAGE   \* MERGEFORMAT</w:instrText>
                          </w:r>
                          <w:r>
                            <w:fldChar w:fldCharType="separate"/>
                          </w:r>
                          <w:r>
                            <w:rPr>
                              <w:lang w:val="zh-CN"/>
                            </w:rPr>
                            <w:t xml:space="preserve">50</w:t>
                          </w:r>
                          <w:r>
                            <w:rPr>
                              <w:lang w:val="zh-CN"/>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5"/>
                      <w:jc w:val="center"/>
                    </w:pPr>
                    <w:r>
                      <w:fldChar w:fldCharType="begin"/>
                    </w:r>
                    <w:r>
                      <w:instrText xml:space="preserve">PAGE   \* MERGEFORMAT</w:instrText>
                    </w:r>
                    <w:r>
                      <w:fldChar w:fldCharType="separate"/>
                    </w:r>
                    <w:r>
                      <w:rPr>
                        <w:lang w:val="zh-CN"/>
                      </w:rPr>
                      <w:t xml:space="preserve">50</w:t>
                    </w:r>
                    <w:r>
                      <w:rPr>
                        <w:lang w:val="zh-CN"/>
                      </w:rPr>
                      <w:fldChar w:fldCharType="end"/>
                    </w:r>
                    <w:r/>
                  </w:p>
                </w:txbxContent>
              </v:textbox>
            </v:shape>
          </w:pict>
        </mc:Fallback>
      </mc:AlternateContent>
    </w:r>
    <w:r/>
  </w:p>
  <w:p>
    <w:pPr>
      <w:pStyle w:val="82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both"/>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818"/>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7"/>
      <w:numFmt w:val="decimal"/>
      <w:isLgl w:val="false"/>
      <w:suff w:val="nothing"/>
      <w:lvlText w:val="%1、"/>
      <w:lvlJc w:val="left"/>
      <w:pPr/>
      <w:rPr>
        <w:rFonts w:ascii="STSong" w:hAnsi="STSong" w:eastAsia="STSong" w:cs="STSong"/>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1"/>
  </w:num>
  <w:num w:numId="4">
    <w:abstractNumId w:val="2"/>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81">
    <w:name w:val="Plain Table 1"/>
    <w:basedOn w:val="8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2"/>
    <w:basedOn w:val="8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3"/>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name w:val="Plain Table 4"/>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name w:val="Plain Table 5"/>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6">
    <w:name w:val="Grid Table 1 Light"/>
    <w:basedOn w:val="8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7">
    <w:name w:val="Grid Table 2"/>
    <w:basedOn w:val="8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8">
    <w:name w:val="Grid Table 3"/>
    <w:basedOn w:val="8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4"/>
    <w:basedOn w:val="8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name w:val="Grid Table 5 Dark"/>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6 Colorful"/>
    <w:basedOn w:val="8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7 Colorful"/>
    <w:basedOn w:val="8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3">
    <w:name w:val="List Table 1 Light"/>
    <w:basedOn w:val="8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2"/>
    <w:basedOn w:val="8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5">
    <w:name w:val="List Table 3"/>
    <w:basedOn w:val="8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4"/>
    <w:basedOn w:val="8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5 Dark"/>
    <w:basedOn w:val="8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6 Colorful"/>
    <w:basedOn w:val="8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9">
    <w:name w:val="List Table 7 Colorful"/>
    <w:basedOn w:val="8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00">
    <w:name w:val="TOC Heading"/>
    <w:uiPriority w:val="39"/>
    <w:unhideWhenUsed/>
  </w:style>
  <w:style w:type="paragraph" w:styleId="801" w:default="1">
    <w:name w:val="Normal"/>
    <w:next w:val="804"/>
    <w:uiPriority w:val="0"/>
    <w:qFormat/>
    <w:pPr>
      <w:jc w:val="both"/>
      <w:widowControl w:val="off"/>
    </w:pPr>
    <w:rPr>
      <w:rFonts w:ascii="Calibri" w:hAnsi="Calibri" w:eastAsia="宋体" w:cs="Times New Roman"/>
      <w:sz w:val="21"/>
      <w:szCs w:val="22"/>
      <w:lang w:val="en-US" w:eastAsia="zh-CN" w:bidi="ar-SA"/>
    </w:rPr>
  </w:style>
  <w:style w:type="paragraph" w:styleId="802">
    <w:name w:val="Heading 1"/>
    <w:basedOn w:val="801"/>
    <w:next w:val="801"/>
    <w:link w:val="869"/>
    <w:uiPriority w:val="9"/>
    <w:qFormat/>
    <w:pPr>
      <w:keepLines/>
      <w:keepNext/>
      <w:spacing w:before="340" w:after="330" w:line="578" w:lineRule="auto"/>
      <w:outlineLvl w:val="0"/>
    </w:pPr>
    <w:rPr>
      <w:b/>
      <w:bCs/>
      <w:sz w:val="44"/>
      <w:szCs w:val="44"/>
    </w:rPr>
  </w:style>
  <w:style w:type="paragraph" w:styleId="803">
    <w:name w:val="Heading 2"/>
    <w:basedOn w:val="801"/>
    <w:next w:val="801"/>
    <w:link w:val="104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04">
    <w:name w:val="Heading 3"/>
    <w:basedOn w:val="801"/>
    <w:next w:val="801"/>
    <w:link w:val="871"/>
    <w:uiPriority w:val="0"/>
    <w:qFormat/>
    <w:pPr>
      <w:keepLines/>
      <w:keepNext/>
      <w:spacing w:before="260" w:after="260" w:line="416" w:lineRule="auto"/>
      <w:outlineLvl w:val="2"/>
    </w:pPr>
    <w:rPr>
      <w:b/>
      <w:bCs/>
      <w:sz w:val="32"/>
      <w:szCs w:val="32"/>
    </w:rPr>
  </w:style>
  <w:style w:type="paragraph" w:styleId="805">
    <w:name w:val="Heading 4"/>
    <w:basedOn w:val="801"/>
    <w:next w:val="801"/>
    <w:link w:val="872"/>
    <w:uiPriority w:val="9"/>
    <w:unhideWhenUsed/>
    <w:qFormat/>
    <w:pPr>
      <w:keepLines/>
      <w:keepNext/>
      <w:spacing w:before="320" w:after="200"/>
      <w:outlineLvl w:val="3"/>
    </w:pPr>
    <w:rPr>
      <w:rFonts w:ascii="Arial" w:hAnsi="Arial" w:eastAsia="Arial" w:cs="Arial"/>
      <w:b/>
      <w:bCs/>
      <w:sz w:val="26"/>
      <w:szCs w:val="26"/>
    </w:rPr>
  </w:style>
  <w:style w:type="paragraph" w:styleId="806">
    <w:name w:val="Heading 5"/>
    <w:basedOn w:val="801"/>
    <w:next w:val="801"/>
    <w:link w:val="873"/>
    <w:uiPriority w:val="9"/>
    <w:unhideWhenUsed/>
    <w:qFormat/>
    <w:pPr>
      <w:keepLines/>
      <w:keepNext/>
      <w:spacing w:before="320" w:after="200"/>
      <w:outlineLvl w:val="4"/>
    </w:pPr>
    <w:rPr>
      <w:rFonts w:ascii="Arial" w:hAnsi="Arial" w:eastAsia="Arial" w:cs="Arial"/>
      <w:b/>
      <w:bCs/>
      <w:sz w:val="24"/>
      <w:szCs w:val="24"/>
    </w:rPr>
  </w:style>
  <w:style w:type="paragraph" w:styleId="807">
    <w:name w:val="Heading 6"/>
    <w:basedOn w:val="801"/>
    <w:next w:val="801"/>
    <w:link w:val="874"/>
    <w:uiPriority w:val="9"/>
    <w:unhideWhenUsed/>
    <w:qFormat/>
    <w:pPr>
      <w:keepLines/>
      <w:keepNext/>
      <w:spacing w:before="320" w:after="200"/>
      <w:outlineLvl w:val="5"/>
    </w:pPr>
    <w:rPr>
      <w:rFonts w:ascii="Arial" w:hAnsi="Arial" w:eastAsia="Arial" w:cs="Arial"/>
      <w:b/>
      <w:bCs/>
      <w:sz w:val="22"/>
    </w:rPr>
  </w:style>
  <w:style w:type="paragraph" w:styleId="808">
    <w:name w:val="Heading 7"/>
    <w:basedOn w:val="801"/>
    <w:next w:val="801"/>
    <w:link w:val="875"/>
    <w:uiPriority w:val="9"/>
    <w:unhideWhenUsed/>
    <w:qFormat/>
    <w:pPr>
      <w:keepLines/>
      <w:keepNext/>
      <w:spacing w:before="320" w:after="200"/>
      <w:outlineLvl w:val="6"/>
    </w:pPr>
    <w:rPr>
      <w:rFonts w:ascii="Arial" w:hAnsi="Arial" w:eastAsia="Arial" w:cs="Arial"/>
      <w:b/>
      <w:bCs/>
      <w:i/>
      <w:iCs/>
      <w:sz w:val="22"/>
    </w:rPr>
  </w:style>
  <w:style w:type="paragraph" w:styleId="809">
    <w:name w:val="Heading 8"/>
    <w:basedOn w:val="801"/>
    <w:next w:val="801"/>
    <w:link w:val="876"/>
    <w:uiPriority w:val="9"/>
    <w:unhideWhenUsed/>
    <w:qFormat/>
    <w:pPr>
      <w:keepLines/>
      <w:keepNext/>
      <w:spacing w:before="320" w:after="200"/>
      <w:outlineLvl w:val="7"/>
    </w:pPr>
    <w:rPr>
      <w:rFonts w:ascii="Arial" w:hAnsi="Arial" w:eastAsia="Arial" w:cs="Arial"/>
      <w:i/>
      <w:iCs/>
      <w:sz w:val="22"/>
    </w:rPr>
  </w:style>
  <w:style w:type="paragraph" w:styleId="810">
    <w:name w:val="Heading 9"/>
    <w:basedOn w:val="801"/>
    <w:next w:val="801"/>
    <w:link w:val="877"/>
    <w:uiPriority w:val="9"/>
    <w:unhideWhenUsed/>
    <w:qFormat/>
    <w:pPr>
      <w:keepLines/>
      <w:keepNext/>
      <w:spacing w:before="320" w:after="200"/>
      <w:outlineLvl w:val="8"/>
    </w:pPr>
    <w:rPr>
      <w:rFonts w:ascii="Arial" w:hAnsi="Arial" w:eastAsia="Arial" w:cs="Arial"/>
      <w:i/>
      <w:iCs/>
      <w:szCs w:val="21"/>
    </w:rPr>
  </w:style>
  <w:style w:type="character" w:styleId="811" w:default="1">
    <w:name w:val="Default Paragraph Font"/>
    <w:uiPriority w:val="1"/>
    <w:semiHidden/>
    <w:unhideWhenUsed/>
    <w:qFormat/>
  </w:style>
  <w:style w:type="table" w:styleId="812" w:default="1">
    <w:name w:val="Normal Table"/>
    <w:uiPriority w:val="99"/>
    <w:semiHidden/>
    <w:unhideWhenUsed/>
    <w:qFormat/>
    <w:tblPr>
      <w:tblCellMar>
        <w:left w:w="108" w:type="dxa"/>
        <w:top w:w="0" w:type="dxa"/>
        <w:right w:w="108" w:type="dxa"/>
        <w:bottom w:w="0" w:type="dxa"/>
      </w:tblCellMar>
    </w:tblPr>
  </w:style>
  <w:style w:type="paragraph" w:styleId="813">
    <w:name w:val="toc 7"/>
    <w:basedOn w:val="801"/>
    <w:next w:val="801"/>
    <w:uiPriority w:val="39"/>
    <w:unhideWhenUsed/>
    <w:qFormat/>
    <w:pPr>
      <w:ind w:left="1701"/>
      <w:spacing w:after="57"/>
    </w:pPr>
  </w:style>
  <w:style w:type="paragraph" w:styleId="814">
    <w:name w:val="Normal Indent"/>
    <w:basedOn w:val="801"/>
    <w:uiPriority w:val="0"/>
    <w:unhideWhenUsed/>
    <w:qFormat/>
    <w:pPr>
      <w:ind w:firstLine="420"/>
    </w:pPr>
  </w:style>
  <w:style w:type="paragraph" w:styleId="815">
    <w:name w:val="Caption"/>
    <w:basedOn w:val="801"/>
    <w:next w:val="801"/>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16">
    <w:name w:val="annotation text"/>
    <w:basedOn w:val="801"/>
    <w:uiPriority w:val="0"/>
    <w:qFormat/>
    <w:pPr>
      <w:jc w:val="left"/>
    </w:pPr>
  </w:style>
  <w:style w:type="paragraph" w:styleId="817">
    <w:name w:val="Body Text"/>
    <w:basedOn w:val="801"/>
    <w:uiPriority w:val="0"/>
    <w:qFormat/>
    <w:rPr>
      <w:rFonts w:ascii="楷体_GB2312" w:hAnsi="Arial" w:eastAsia="楷体_GB2312"/>
      <w:sz w:val="28"/>
      <w:szCs w:val="28"/>
    </w:rPr>
  </w:style>
  <w:style w:type="paragraph" w:styleId="818">
    <w:name w:val="List Bullet 2"/>
    <w:basedOn w:val="801"/>
    <w:uiPriority w:val="99"/>
    <w:semiHidden/>
    <w:unhideWhenUsed/>
    <w:qFormat/>
    <w:pPr>
      <w:numPr>
        <w:ilvl w:val="0"/>
        <w:numId w:val="1"/>
      </w:numPr>
    </w:pPr>
  </w:style>
  <w:style w:type="paragraph" w:styleId="819">
    <w:name w:val="toc 5"/>
    <w:basedOn w:val="801"/>
    <w:next w:val="801"/>
    <w:uiPriority w:val="39"/>
    <w:unhideWhenUsed/>
    <w:qFormat/>
    <w:pPr>
      <w:ind w:left="1134"/>
      <w:spacing w:after="57"/>
    </w:pPr>
  </w:style>
  <w:style w:type="paragraph" w:styleId="820">
    <w:name w:val="toc 3"/>
    <w:basedOn w:val="801"/>
    <w:next w:val="801"/>
    <w:uiPriority w:val="39"/>
    <w:unhideWhenUsed/>
    <w:qFormat/>
    <w:pPr>
      <w:ind w:left="567"/>
      <w:spacing w:after="57"/>
    </w:pPr>
  </w:style>
  <w:style w:type="paragraph" w:styleId="821">
    <w:name w:val="Plain Text"/>
    <w:basedOn w:val="801"/>
    <w:uiPriority w:val="99"/>
    <w:qFormat/>
    <w:rPr>
      <w:rFonts w:ascii="宋体" w:hAnsi="Courier New"/>
      <w:sz w:val="20"/>
      <w:szCs w:val="21"/>
    </w:rPr>
  </w:style>
  <w:style w:type="paragraph" w:styleId="822">
    <w:name w:val="toc 8"/>
    <w:basedOn w:val="801"/>
    <w:next w:val="801"/>
    <w:uiPriority w:val="39"/>
    <w:unhideWhenUsed/>
    <w:qFormat/>
    <w:pPr>
      <w:ind w:left="1984"/>
      <w:spacing w:after="57"/>
    </w:pPr>
  </w:style>
  <w:style w:type="paragraph" w:styleId="823">
    <w:name w:val="endnote text"/>
    <w:basedOn w:val="801"/>
    <w:link w:val="1015"/>
    <w:uiPriority w:val="99"/>
    <w:semiHidden/>
    <w:unhideWhenUsed/>
    <w:qFormat/>
    <w:rPr>
      <w:sz w:val="20"/>
    </w:rPr>
  </w:style>
  <w:style w:type="paragraph" w:styleId="824">
    <w:name w:val="Balloon Text"/>
    <w:basedOn w:val="801"/>
    <w:link w:val="1025"/>
    <w:uiPriority w:val="0"/>
    <w:qFormat/>
    <w:rPr>
      <w:sz w:val="18"/>
      <w:szCs w:val="18"/>
    </w:rPr>
  </w:style>
  <w:style w:type="paragraph" w:styleId="825">
    <w:name w:val="Footer"/>
    <w:basedOn w:val="801"/>
    <w:link w:val="888"/>
    <w:uiPriority w:val="99"/>
    <w:unhideWhenUsed/>
    <w:qFormat/>
    <w:pPr>
      <w:jc w:val="left"/>
      <w:tabs>
        <w:tab w:val="center" w:pos="4153" w:leader="none"/>
        <w:tab w:val="right" w:pos="8306" w:leader="none"/>
      </w:tabs>
    </w:pPr>
    <w:rPr>
      <w:sz w:val="18"/>
      <w:szCs w:val="18"/>
    </w:rPr>
  </w:style>
  <w:style w:type="paragraph" w:styleId="826">
    <w:name w:val="Header"/>
    <w:basedOn w:val="801"/>
    <w:link w:val="88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27">
    <w:name w:val="toc 1"/>
    <w:basedOn w:val="801"/>
    <w:next w:val="801"/>
    <w:uiPriority w:val="39"/>
    <w:unhideWhenUsed/>
    <w:qFormat/>
  </w:style>
  <w:style w:type="paragraph" w:styleId="828">
    <w:name w:val="toc 4"/>
    <w:basedOn w:val="801"/>
    <w:next w:val="801"/>
    <w:uiPriority w:val="39"/>
    <w:unhideWhenUsed/>
    <w:qFormat/>
    <w:pPr>
      <w:ind w:left="850"/>
      <w:spacing w:after="57"/>
    </w:pPr>
  </w:style>
  <w:style w:type="paragraph" w:styleId="829">
    <w:name w:val="Subtitle"/>
    <w:basedOn w:val="801"/>
    <w:next w:val="801"/>
    <w:link w:val="881"/>
    <w:uiPriority w:val="11"/>
    <w:qFormat/>
    <w:pPr>
      <w:spacing w:before="200" w:after="200"/>
    </w:pPr>
    <w:rPr>
      <w:sz w:val="24"/>
      <w:szCs w:val="24"/>
    </w:rPr>
  </w:style>
  <w:style w:type="paragraph" w:styleId="830">
    <w:name w:val="footnote text"/>
    <w:basedOn w:val="801"/>
    <w:link w:val="1014"/>
    <w:uiPriority w:val="99"/>
    <w:semiHidden/>
    <w:unhideWhenUsed/>
    <w:qFormat/>
    <w:pPr>
      <w:spacing w:after="40"/>
    </w:pPr>
    <w:rPr>
      <w:sz w:val="18"/>
    </w:rPr>
  </w:style>
  <w:style w:type="paragraph" w:styleId="831">
    <w:name w:val="toc 6"/>
    <w:basedOn w:val="801"/>
    <w:next w:val="801"/>
    <w:uiPriority w:val="39"/>
    <w:unhideWhenUsed/>
    <w:qFormat/>
    <w:pPr>
      <w:ind w:left="1417"/>
      <w:spacing w:after="57"/>
    </w:pPr>
  </w:style>
  <w:style w:type="paragraph" w:styleId="832">
    <w:name w:val="table of figures"/>
    <w:basedOn w:val="801"/>
    <w:next w:val="801"/>
    <w:uiPriority w:val="99"/>
    <w:unhideWhenUsed/>
    <w:qFormat/>
  </w:style>
  <w:style w:type="paragraph" w:styleId="833">
    <w:name w:val="toc 2"/>
    <w:basedOn w:val="801"/>
    <w:next w:val="801"/>
    <w:uiPriority w:val="39"/>
    <w:unhideWhenUsed/>
    <w:qFormat/>
    <w:pPr>
      <w:ind w:left="283"/>
      <w:spacing w:after="57"/>
    </w:pPr>
  </w:style>
  <w:style w:type="paragraph" w:styleId="834">
    <w:name w:val="toc 9"/>
    <w:basedOn w:val="801"/>
    <w:next w:val="801"/>
    <w:uiPriority w:val="39"/>
    <w:unhideWhenUsed/>
    <w:qFormat/>
    <w:pPr>
      <w:ind w:left="2268"/>
      <w:spacing w:after="57"/>
    </w:pPr>
  </w:style>
  <w:style w:type="paragraph" w:styleId="835">
    <w:name w:val="Normal (Web)"/>
    <w:basedOn w:val="801"/>
    <w:uiPriority w:val="0"/>
    <w:qFormat/>
    <w:rPr>
      <w:rFonts w:ascii="Times New Roman" w:hAnsi="Times New Roman"/>
      <w:sz w:val="24"/>
    </w:rPr>
  </w:style>
  <w:style w:type="paragraph" w:styleId="836">
    <w:name w:val="Title"/>
    <w:basedOn w:val="801"/>
    <w:next w:val="801"/>
    <w:link w:val="880"/>
    <w:uiPriority w:val="10"/>
    <w:qFormat/>
    <w:pPr>
      <w:contextualSpacing/>
      <w:spacing w:before="300" w:after="200"/>
    </w:pPr>
    <w:rPr>
      <w:sz w:val="48"/>
      <w:szCs w:val="48"/>
    </w:rPr>
  </w:style>
  <w:style w:type="table" w:styleId="837">
    <w:name w:val="Table Grid"/>
    <w:basedOn w:val="81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8">
    <w:name w:val="Strong"/>
    <w:basedOn w:val="811"/>
    <w:uiPriority w:val="0"/>
    <w:qFormat/>
    <w:rPr>
      <w:b/>
      <w:bCs/>
    </w:rPr>
  </w:style>
  <w:style w:type="character" w:styleId="839">
    <w:name w:val="endnote reference"/>
    <w:basedOn w:val="811"/>
    <w:uiPriority w:val="99"/>
    <w:semiHidden/>
    <w:unhideWhenUsed/>
    <w:qFormat/>
    <w:rPr>
      <w:vertAlign w:val="superscript"/>
    </w:rPr>
  </w:style>
  <w:style w:type="character" w:styleId="840">
    <w:name w:val="page number"/>
    <w:uiPriority w:val="0"/>
    <w:qFormat/>
  </w:style>
  <w:style w:type="character" w:styleId="841">
    <w:name w:val="FollowedHyperlink"/>
    <w:basedOn w:val="811"/>
    <w:uiPriority w:val="99"/>
    <w:semiHidden/>
    <w:unhideWhenUsed/>
    <w:qFormat/>
    <w:rPr>
      <w:color w:val="333333"/>
      <w:u w:val="none"/>
    </w:rPr>
  </w:style>
  <w:style w:type="character" w:styleId="842">
    <w:name w:val="Emphasis"/>
    <w:basedOn w:val="811"/>
    <w:uiPriority w:val="20"/>
    <w:qFormat/>
    <w:rPr>
      <w:i/>
    </w:rPr>
  </w:style>
  <w:style w:type="character" w:styleId="843">
    <w:name w:val="Hyperlink"/>
    <w:basedOn w:val="811"/>
    <w:uiPriority w:val="0"/>
    <w:qFormat/>
    <w:rPr>
      <w:color w:val="0000ff"/>
      <w:u w:val="single"/>
    </w:rPr>
  </w:style>
  <w:style w:type="character" w:styleId="844">
    <w:name w:val="HTML Code"/>
    <w:basedOn w:val="811"/>
    <w:uiPriority w:val="99"/>
    <w:semiHidden/>
    <w:unhideWhenUsed/>
    <w:qFormat/>
    <w:rPr>
      <w:rFonts w:ascii="Consolas" w:hAnsi="Consolas" w:eastAsia="Consolas" w:cs="Consolas"/>
      <w:color w:val="e83e8c"/>
      <w:sz w:val="21"/>
      <w:szCs w:val="21"/>
    </w:rPr>
  </w:style>
  <w:style w:type="character" w:styleId="845">
    <w:name w:val="annotation reference"/>
    <w:basedOn w:val="811"/>
    <w:uiPriority w:val="0"/>
    <w:qFormat/>
    <w:rPr>
      <w:sz w:val="21"/>
      <w:szCs w:val="21"/>
    </w:rPr>
  </w:style>
  <w:style w:type="character" w:styleId="846">
    <w:name w:val="footnote reference"/>
    <w:basedOn w:val="811"/>
    <w:uiPriority w:val="99"/>
    <w:unhideWhenUsed/>
    <w:qFormat/>
    <w:rPr>
      <w:vertAlign w:val="superscript"/>
    </w:rPr>
  </w:style>
  <w:style w:type="character" w:styleId="847">
    <w:name w:val="HTML Keyboard"/>
    <w:basedOn w:val="811"/>
    <w:uiPriority w:val="99"/>
    <w:semiHidden/>
    <w:unhideWhenUsed/>
    <w:qFormat/>
    <w:rPr>
      <w:rFonts w:hint="default" w:ascii="Consolas" w:hAnsi="Consolas" w:eastAsia="Consolas" w:cs="Consolas"/>
      <w:color w:val="ffffff"/>
      <w:sz w:val="21"/>
      <w:szCs w:val="21"/>
      <w:shd w:val="clear" w:color="auto" w:fill="212529"/>
    </w:rPr>
  </w:style>
  <w:style w:type="character" w:styleId="848">
    <w:name w:val="HTML Sample"/>
    <w:basedOn w:val="811"/>
    <w:uiPriority w:val="99"/>
    <w:semiHidden/>
    <w:unhideWhenUsed/>
    <w:qFormat/>
    <w:rPr>
      <w:rFonts w:hint="default" w:ascii="Consolas" w:hAnsi="Consolas" w:eastAsia="Consolas" w:cs="Consolas"/>
      <w:sz w:val="21"/>
      <w:szCs w:val="21"/>
    </w:rPr>
  </w:style>
  <w:style w:type="character" w:styleId="849" w:customStyle="1">
    <w:name w:val="Heading 1 Char"/>
    <w:basedOn w:val="811"/>
    <w:uiPriority w:val="9"/>
    <w:qFormat/>
    <w:rPr>
      <w:rFonts w:ascii="Arial" w:hAnsi="Arial" w:eastAsia="Arial" w:cs="Arial"/>
      <w:sz w:val="40"/>
      <w:szCs w:val="40"/>
    </w:rPr>
  </w:style>
  <w:style w:type="character" w:styleId="850" w:customStyle="1">
    <w:name w:val="Heading 2 Char"/>
    <w:basedOn w:val="811"/>
    <w:uiPriority w:val="9"/>
    <w:qFormat/>
    <w:rPr>
      <w:rFonts w:ascii="Arial" w:hAnsi="Arial" w:eastAsia="Arial" w:cs="Arial"/>
      <w:sz w:val="34"/>
    </w:rPr>
  </w:style>
  <w:style w:type="character" w:styleId="851" w:customStyle="1">
    <w:name w:val="Heading 3 Char"/>
    <w:basedOn w:val="811"/>
    <w:uiPriority w:val="9"/>
    <w:qFormat/>
    <w:rPr>
      <w:rFonts w:ascii="Arial" w:hAnsi="Arial" w:eastAsia="Arial" w:cs="Arial"/>
      <w:sz w:val="30"/>
      <w:szCs w:val="30"/>
    </w:rPr>
  </w:style>
  <w:style w:type="character" w:styleId="852" w:customStyle="1">
    <w:name w:val="Heading 4 Char"/>
    <w:basedOn w:val="811"/>
    <w:uiPriority w:val="9"/>
    <w:qFormat/>
    <w:rPr>
      <w:rFonts w:ascii="Arial" w:hAnsi="Arial" w:eastAsia="Arial" w:cs="Arial"/>
      <w:b/>
      <w:bCs/>
      <w:sz w:val="26"/>
      <w:szCs w:val="26"/>
    </w:rPr>
  </w:style>
  <w:style w:type="character" w:styleId="853" w:customStyle="1">
    <w:name w:val="Heading 5 Char"/>
    <w:basedOn w:val="811"/>
    <w:uiPriority w:val="9"/>
    <w:qFormat/>
    <w:rPr>
      <w:rFonts w:ascii="Arial" w:hAnsi="Arial" w:eastAsia="Arial" w:cs="Arial"/>
      <w:b/>
      <w:bCs/>
      <w:sz w:val="24"/>
      <w:szCs w:val="24"/>
    </w:rPr>
  </w:style>
  <w:style w:type="character" w:styleId="854" w:customStyle="1">
    <w:name w:val="Heading 6 Char"/>
    <w:basedOn w:val="811"/>
    <w:uiPriority w:val="9"/>
    <w:qFormat/>
    <w:rPr>
      <w:rFonts w:ascii="Arial" w:hAnsi="Arial" w:eastAsia="Arial" w:cs="Arial"/>
      <w:b/>
      <w:bCs/>
      <w:sz w:val="22"/>
      <w:szCs w:val="22"/>
    </w:rPr>
  </w:style>
  <w:style w:type="character" w:styleId="855" w:customStyle="1">
    <w:name w:val="Heading 7 Char"/>
    <w:basedOn w:val="811"/>
    <w:uiPriority w:val="9"/>
    <w:qFormat/>
    <w:rPr>
      <w:rFonts w:ascii="Arial" w:hAnsi="Arial" w:eastAsia="Arial" w:cs="Arial"/>
      <w:b/>
      <w:bCs/>
      <w:i/>
      <w:iCs/>
      <w:sz w:val="22"/>
      <w:szCs w:val="22"/>
    </w:rPr>
  </w:style>
  <w:style w:type="character" w:styleId="856" w:customStyle="1">
    <w:name w:val="Heading 8 Char"/>
    <w:basedOn w:val="811"/>
    <w:uiPriority w:val="9"/>
    <w:qFormat/>
    <w:rPr>
      <w:rFonts w:ascii="Arial" w:hAnsi="Arial" w:eastAsia="Arial" w:cs="Arial"/>
      <w:i/>
      <w:iCs/>
      <w:sz w:val="22"/>
      <w:szCs w:val="22"/>
    </w:rPr>
  </w:style>
  <w:style w:type="character" w:styleId="857" w:customStyle="1">
    <w:name w:val="Heading 9 Char"/>
    <w:basedOn w:val="811"/>
    <w:uiPriority w:val="9"/>
    <w:qFormat/>
    <w:rPr>
      <w:rFonts w:ascii="Arial" w:hAnsi="Arial" w:eastAsia="Arial" w:cs="Arial"/>
      <w:i/>
      <w:iCs/>
      <w:sz w:val="21"/>
      <w:szCs w:val="21"/>
    </w:rPr>
  </w:style>
  <w:style w:type="character" w:styleId="858" w:customStyle="1">
    <w:name w:val="Title Char"/>
    <w:basedOn w:val="811"/>
    <w:uiPriority w:val="10"/>
    <w:qFormat/>
    <w:rPr>
      <w:sz w:val="48"/>
      <w:szCs w:val="48"/>
    </w:rPr>
  </w:style>
  <w:style w:type="character" w:styleId="859" w:customStyle="1">
    <w:name w:val="Subtitle Char"/>
    <w:basedOn w:val="811"/>
    <w:uiPriority w:val="11"/>
    <w:qFormat/>
    <w:rPr>
      <w:sz w:val="24"/>
      <w:szCs w:val="24"/>
    </w:rPr>
  </w:style>
  <w:style w:type="character" w:styleId="860" w:customStyle="1">
    <w:name w:val="Quote Char"/>
    <w:uiPriority w:val="29"/>
    <w:qFormat/>
    <w:rPr>
      <w:i/>
    </w:rPr>
  </w:style>
  <w:style w:type="character" w:styleId="861" w:customStyle="1">
    <w:name w:val="Intense Quote Char"/>
    <w:uiPriority w:val="30"/>
    <w:qFormat/>
    <w:rPr>
      <w:i/>
    </w:rPr>
  </w:style>
  <w:style w:type="character" w:styleId="862" w:customStyle="1">
    <w:name w:val="Header Char"/>
    <w:basedOn w:val="811"/>
    <w:uiPriority w:val="99"/>
    <w:qFormat/>
  </w:style>
  <w:style w:type="character" w:styleId="863" w:customStyle="1">
    <w:name w:val="Caption Char"/>
    <w:uiPriority w:val="99"/>
    <w:qFormat/>
  </w:style>
  <w:style w:type="character" w:styleId="864" w:customStyle="1">
    <w:name w:val="Footnote Text Char"/>
    <w:uiPriority w:val="99"/>
    <w:qFormat/>
    <w:rPr>
      <w:sz w:val="18"/>
    </w:rPr>
  </w:style>
  <w:style w:type="character" w:styleId="865" w:customStyle="1">
    <w:name w:val="Endnote Text Char"/>
    <w:uiPriority w:val="99"/>
    <w:qFormat/>
    <w:rPr>
      <w:sz w:val="20"/>
    </w:rPr>
  </w:style>
  <w:style w:type="paragraph" w:styleId="866" w:customStyle="1">
    <w:name w:val="正文首行缩进 21"/>
    <w:basedOn w:val="867"/>
    <w:next w:val="801"/>
    <w:uiPriority w:val="99"/>
    <w:unhideWhenUsed/>
    <w:qFormat/>
    <w:pPr>
      <w:ind w:firstLine="420"/>
      <w:jc w:val="left"/>
      <w:widowControl/>
    </w:pPr>
    <w:rPr>
      <w:rFonts w:ascii="宋体" w:hAnsi="Courier New" w:cs="宋体"/>
      <w:spacing w:val="-4"/>
      <w:szCs w:val="21"/>
    </w:rPr>
  </w:style>
  <w:style w:type="paragraph" w:styleId="867" w:customStyle="1">
    <w:name w:val="正文文本缩进1"/>
    <w:basedOn w:val="801"/>
    <w:uiPriority w:val="99"/>
    <w:unhideWhenUsed/>
    <w:qFormat/>
    <w:pPr>
      <w:ind w:left="420"/>
      <w:spacing w:after="120"/>
    </w:pPr>
  </w:style>
  <w:style w:type="paragraph" w:styleId="868" w:customStyle="1">
    <w:name w:val="正文（缩进）"/>
    <w:basedOn w:val="801"/>
    <w:uiPriority w:val="0"/>
    <w:qFormat/>
    <w:pPr>
      <w:ind w:firstLine="480"/>
      <w:spacing w:before="156" w:after="156"/>
    </w:pPr>
  </w:style>
  <w:style w:type="character" w:styleId="869" w:customStyle="1">
    <w:name w:val="标题 1 字符"/>
    <w:basedOn w:val="811"/>
    <w:link w:val="802"/>
    <w:uiPriority w:val="9"/>
    <w:qFormat/>
    <w:rPr>
      <w:rFonts w:ascii="Arial" w:hAnsi="Arial" w:eastAsia="Arial" w:cs="Arial"/>
      <w:sz w:val="40"/>
      <w:szCs w:val="40"/>
    </w:rPr>
  </w:style>
  <w:style w:type="character" w:styleId="870" w:customStyle="1">
    <w:name w:val="标题 2 Char"/>
    <w:basedOn w:val="811"/>
    <w:uiPriority w:val="9"/>
    <w:qFormat/>
    <w:rPr>
      <w:rFonts w:ascii="Arial" w:hAnsi="Arial" w:eastAsia="Arial" w:cs="Arial"/>
      <w:sz w:val="34"/>
    </w:rPr>
  </w:style>
  <w:style w:type="character" w:styleId="871" w:customStyle="1">
    <w:name w:val="标题 3 字符"/>
    <w:basedOn w:val="811"/>
    <w:link w:val="804"/>
    <w:uiPriority w:val="9"/>
    <w:qFormat/>
    <w:rPr>
      <w:rFonts w:ascii="Arial" w:hAnsi="Arial" w:eastAsia="Arial" w:cs="Arial"/>
      <w:sz w:val="30"/>
      <w:szCs w:val="30"/>
    </w:rPr>
  </w:style>
  <w:style w:type="character" w:styleId="872" w:customStyle="1">
    <w:name w:val="标题 4 字符"/>
    <w:basedOn w:val="811"/>
    <w:link w:val="805"/>
    <w:uiPriority w:val="9"/>
    <w:qFormat/>
    <w:rPr>
      <w:rFonts w:ascii="Arial" w:hAnsi="Arial" w:eastAsia="Arial" w:cs="Arial"/>
      <w:b/>
      <w:bCs/>
      <w:sz w:val="26"/>
      <w:szCs w:val="26"/>
    </w:rPr>
  </w:style>
  <w:style w:type="character" w:styleId="873" w:customStyle="1">
    <w:name w:val="标题 5 字符"/>
    <w:basedOn w:val="811"/>
    <w:link w:val="806"/>
    <w:uiPriority w:val="9"/>
    <w:qFormat/>
    <w:rPr>
      <w:rFonts w:ascii="Arial" w:hAnsi="Arial" w:eastAsia="Arial" w:cs="Arial"/>
      <w:b/>
      <w:bCs/>
      <w:sz w:val="24"/>
      <w:szCs w:val="24"/>
    </w:rPr>
  </w:style>
  <w:style w:type="character" w:styleId="874" w:customStyle="1">
    <w:name w:val="标题 6 字符"/>
    <w:basedOn w:val="811"/>
    <w:link w:val="807"/>
    <w:uiPriority w:val="9"/>
    <w:qFormat/>
    <w:rPr>
      <w:rFonts w:ascii="Arial" w:hAnsi="Arial" w:eastAsia="Arial" w:cs="Arial"/>
      <w:b/>
      <w:bCs/>
      <w:sz w:val="22"/>
      <w:szCs w:val="22"/>
    </w:rPr>
  </w:style>
  <w:style w:type="character" w:styleId="875" w:customStyle="1">
    <w:name w:val="标题 7 字符"/>
    <w:basedOn w:val="811"/>
    <w:link w:val="808"/>
    <w:uiPriority w:val="9"/>
    <w:qFormat/>
    <w:rPr>
      <w:rFonts w:ascii="Arial" w:hAnsi="Arial" w:eastAsia="Arial" w:cs="Arial"/>
      <w:b/>
      <w:bCs/>
      <w:i/>
      <w:iCs/>
      <w:sz w:val="22"/>
      <w:szCs w:val="22"/>
    </w:rPr>
  </w:style>
  <w:style w:type="character" w:styleId="876" w:customStyle="1">
    <w:name w:val="标题 8 字符"/>
    <w:basedOn w:val="811"/>
    <w:link w:val="809"/>
    <w:uiPriority w:val="9"/>
    <w:qFormat/>
    <w:rPr>
      <w:rFonts w:ascii="Arial" w:hAnsi="Arial" w:eastAsia="Arial" w:cs="Arial"/>
      <w:i/>
      <w:iCs/>
      <w:sz w:val="22"/>
      <w:szCs w:val="22"/>
    </w:rPr>
  </w:style>
  <w:style w:type="character" w:styleId="877" w:customStyle="1">
    <w:name w:val="标题 9 字符"/>
    <w:basedOn w:val="811"/>
    <w:link w:val="810"/>
    <w:uiPriority w:val="9"/>
    <w:qFormat/>
    <w:rPr>
      <w:rFonts w:ascii="Arial" w:hAnsi="Arial" w:eastAsia="Arial" w:cs="Arial"/>
      <w:i/>
      <w:iCs/>
      <w:sz w:val="21"/>
      <w:szCs w:val="21"/>
    </w:rPr>
  </w:style>
  <w:style w:type="paragraph" w:styleId="878">
    <w:name w:val="List Paragraph"/>
    <w:basedOn w:val="801"/>
    <w:uiPriority w:val="34"/>
    <w:qFormat/>
    <w:pPr>
      <w:contextualSpacing/>
      <w:ind w:left="720"/>
    </w:pPr>
  </w:style>
  <w:style w:type="paragraph" w:styleId="879">
    <w:name w:val="No Spacing"/>
    <w:uiPriority w:val="1"/>
    <w:qFormat/>
    <w:rPr>
      <w:rFonts w:ascii="Times New Roman" w:hAnsi="Times New Roman" w:eastAsia="宋体" w:cs="Times New Roman"/>
      <w:lang w:val="en-US" w:eastAsia="zh-CN" w:bidi="ar-SA"/>
    </w:rPr>
  </w:style>
  <w:style w:type="character" w:styleId="880" w:customStyle="1">
    <w:name w:val="标题 字符"/>
    <w:basedOn w:val="811"/>
    <w:link w:val="836"/>
    <w:uiPriority w:val="10"/>
    <w:qFormat/>
    <w:rPr>
      <w:sz w:val="48"/>
      <w:szCs w:val="48"/>
    </w:rPr>
  </w:style>
  <w:style w:type="character" w:styleId="881" w:customStyle="1">
    <w:name w:val="副标题 字符"/>
    <w:basedOn w:val="811"/>
    <w:link w:val="829"/>
    <w:uiPriority w:val="11"/>
    <w:qFormat/>
    <w:rPr>
      <w:sz w:val="24"/>
      <w:szCs w:val="24"/>
    </w:rPr>
  </w:style>
  <w:style w:type="paragraph" w:styleId="882">
    <w:name w:val="Quote"/>
    <w:basedOn w:val="801"/>
    <w:next w:val="801"/>
    <w:link w:val="883"/>
    <w:uiPriority w:val="29"/>
    <w:qFormat/>
    <w:pPr>
      <w:ind w:left="720" w:right="720"/>
    </w:pPr>
    <w:rPr>
      <w:i/>
    </w:rPr>
  </w:style>
  <w:style w:type="character" w:styleId="883" w:customStyle="1">
    <w:name w:val="引用 字符"/>
    <w:link w:val="882"/>
    <w:uiPriority w:val="29"/>
    <w:qFormat/>
    <w:rPr>
      <w:i/>
    </w:rPr>
  </w:style>
  <w:style w:type="paragraph" w:styleId="884">
    <w:name w:val="Intense Quote"/>
    <w:basedOn w:val="801"/>
    <w:next w:val="801"/>
    <w:link w:val="8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5" w:customStyle="1">
    <w:name w:val="明显引用 字符"/>
    <w:link w:val="884"/>
    <w:uiPriority w:val="30"/>
    <w:qFormat/>
    <w:rPr>
      <w:i/>
    </w:rPr>
  </w:style>
  <w:style w:type="character" w:styleId="886" w:customStyle="1">
    <w:name w:val="页眉 字符"/>
    <w:basedOn w:val="811"/>
    <w:link w:val="826"/>
    <w:uiPriority w:val="99"/>
    <w:qFormat/>
  </w:style>
  <w:style w:type="character" w:styleId="887" w:customStyle="1">
    <w:name w:val="Footer Char"/>
    <w:basedOn w:val="811"/>
    <w:uiPriority w:val="99"/>
    <w:qFormat/>
  </w:style>
  <w:style w:type="character" w:styleId="888" w:customStyle="1">
    <w:name w:val="页脚 字符"/>
    <w:link w:val="825"/>
    <w:uiPriority w:val="99"/>
    <w:qFormat/>
  </w:style>
  <w:style w:type="table" w:styleId="889" w:customStyle="1">
    <w:name w:val="Table Grid Light"/>
    <w:basedOn w:val="81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90" w:customStyle="1">
    <w:name w:val="无格式表格 11"/>
    <w:basedOn w:val="81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1" w:customStyle="1">
    <w:name w:val="无格式表格 21"/>
    <w:basedOn w:val="81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2" w:customStyle="1">
    <w:name w:val="无格式表格 31"/>
    <w:basedOn w:val="81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3" w:customStyle="1">
    <w:name w:val="无格式表格 41"/>
    <w:basedOn w:val="81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4" w:customStyle="1">
    <w:name w:val="无格式表格 51"/>
    <w:basedOn w:val="81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5" w:customStyle="1">
    <w:name w:val="网格表 1 浅色1"/>
    <w:basedOn w:val="81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1"/>
    <w:basedOn w:val="81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2"/>
    <w:basedOn w:val="81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3"/>
    <w:basedOn w:val="81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4"/>
    <w:basedOn w:val="81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5"/>
    <w:basedOn w:val="81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6"/>
    <w:basedOn w:val="81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02" w:customStyle="1">
    <w:name w:val="网格表 21"/>
    <w:basedOn w:val="81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3" w:customStyle="1">
    <w:name w:val="Grid Table 2 - Accent 1"/>
    <w:basedOn w:val="81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04" w:customStyle="1">
    <w:name w:val="Grid Table 2 - Accent 2"/>
    <w:basedOn w:val="81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05" w:customStyle="1">
    <w:name w:val="Grid Table 2 - Accent 3"/>
    <w:basedOn w:val="81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06" w:customStyle="1">
    <w:name w:val="Grid Table 2 - Accent 4"/>
    <w:basedOn w:val="81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07" w:customStyle="1">
    <w:name w:val="Grid Table 2 - Accent 5"/>
    <w:basedOn w:val="81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08" w:customStyle="1">
    <w:name w:val="Grid Table 2 - Accent 6"/>
    <w:basedOn w:val="81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09" w:customStyle="1">
    <w:name w:val="网格表 31"/>
    <w:basedOn w:val="81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1"/>
    <w:basedOn w:val="81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2"/>
    <w:basedOn w:val="81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3"/>
    <w:basedOn w:val="81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4"/>
    <w:basedOn w:val="81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5"/>
    <w:basedOn w:val="81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6"/>
    <w:basedOn w:val="81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网格表 41"/>
    <w:basedOn w:val="81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7" w:customStyle="1">
    <w:name w:val="Grid Table 4 - Accent 1"/>
    <w:basedOn w:val="812"/>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18" w:customStyle="1">
    <w:name w:val="Grid Table 4 - Accent 2"/>
    <w:basedOn w:val="81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19" w:customStyle="1">
    <w:name w:val="Grid Table 4 - Accent 3"/>
    <w:basedOn w:val="81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20" w:customStyle="1">
    <w:name w:val="Grid Table 4 - Accent 4"/>
    <w:basedOn w:val="812"/>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21" w:customStyle="1">
    <w:name w:val="Grid Table 4 - Accent 5"/>
    <w:basedOn w:val="812"/>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22" w:customStyle="1">
    <w:name w:val="Grid Table 4 - Accent 6"/>
    <w:basedOn w:val="81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23" w:customStyle="1">
    <w:name w:val="网格表 5 深色1"/>
    <w:basedOn w:val="8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4" w:customStyle="1">
    <w:name w:val="Grid Table 5 Dark- Accent 1"/>
    <w:basedOn w:val="8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25" w:customStyle="1">
    <w:name w:val="Grid Table 5 Dark - Accent 2"/>
    <w:basedOn w:val="8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26" w:customStyle="1">
    <w:name w:val="Grid Table 5 Dark - Accent 3"/>
    <w:basedOn w:val="8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27" w:customStyle="1">
    <w:name w:val="Grid Table 5 Dark- Accent 4"/>
    <w:basedOn w:val="8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28" w:customStyle="1">
    <w:name w:val="Grid Table 5 Dark - Accent 5"/>
    <w:basedOn w:val="8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29" w:customStyle="1">
    <w:name w:val="Grid Table 5 Dark - Accent 6"/>
    <w:basedOn w:val="8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30" w:customStyle="1">
    <w:name w:val="网格表 6 彩色1"/>
    <w:basedOn w:val="81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1" w:customStyle="1">
    <w:name w:val="Grid Table 6 Colorful - Accent 1"/>
    <w:basedOn w:val="812"/>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32" w:customStyle="1">
    <w:name w:val="Grid Table 6 Colorful - Accent 2"/>
    <w:basedOn w:val="81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33" w:customStyle="1">
    <w:name w:val="Grid Table 6 Colorful - Accent 3"/>
    <w:basedOn w:val="81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34" w:customStyle="1">
    <w:name w:val="Grid Table 6 Colorful - Accent 4"/>
    <w:basedOn w:val="81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35" w:customStyle="1">
    <w:name w:val="Grid Table 6 Colorful - Accent 5"/>
    <w:basedOn w:val="812"/>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6" w:customStyle="1">
    <w:name w:val="Grid Table 6 Colorful - Accent 6"/>
    <w:basedOn w:val="81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7" w:customStyle="1">
    <w:name w:val="网格表 7 彩色1"/>
    <w:basedOn w:val="81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8" w:customStyle="1">
    <w:name w:val="Grid Table 7 Colorful - Accent 1"/>
    <w:basedOn w:val="812"/>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39" w:customStyle="1">
    <w:name w:val="Grid Table 7 Colorful - Accent 2"/>
    <w:basedOn w:val="81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0" w:customStyle="1">
    <w:name w:val="Grid Table 7 Colorful - Accent 3"/>
    <w:basedOn w:val="81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41" w:customStyle="1">
    <w:name w:val="Grid Table 7 Colorful - Accent 4"/>
    <w:basedOn w:val="812"/>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2" w:customStyle="1">
    <w:name w:val="Grid Table 7 Colorful - Accent 5"/>
    <w:basedOn w:val="812"/>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43" w:customStyle="1">
    <w:name w:val="Grid Table 7 Colorful - Accent 6"/>
    <w:basedOn w:val="81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4" w:customStyle="1">
    <w:name w:val="清单表 1 浅色1"/>
    <w:basedOn w:val="81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5" w:customStyle="1">
    <w:name w:val="List Table 1 Light - Accent 1"/>
    <w:basedOn w:val="812"/>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46" w:customStyle="1">
    <w:name w:val="List Table 1 Light - Accent 2"/>
    <w:basedOn w:val="812"/>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47" w:customStyle="1">
    <w:name w:val="List Table 1 Light - Accent 3"/>
    <w:basedOn w:val="812"/>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48" w:customStyle="1">
    <w:name w:val="List Table 1 Light - Accent 4"/>
    <w:basedOn w:val="812"/>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49" w:customStyle="1">
    <w:name w:val="List Table 1 Light - Accent 5"/>
    <w:basedOn w:val="812"/>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50" w:customStyle="1">
    <w:name w:val="List Table 1 Light - Accent 6"/>
    <w:basedOn w:val="812"/>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51" w:customStyle="1">
    <w:name w:val="清单表 21"/>
    <w:basedOn w:val="81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2" w:customStyle="1">
    <w:name w:val="List Table 2 - Accent 1"/>
    <w:basedOn w:val="812"/>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53" w:customStyle="1">
    <w:name w:val="List Table 2 - Accent 2"/>
    <w:basedOn w:val="81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4" w:customStyle="1">
    <w:name w:val="List Table 2 - Accent 3"/>
    <w:basedOn w:val="81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5" w:customStyle="1">
    <w:name w:val="List Table 2 - Accent 4"/>
    <w:basedOn w:val="812"/>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56" w:customStyle="1">
    <w:name w:val="List Table 2 - Accent 5"/>
    <w:basedOn w:val="812"/>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57" w:customStyle="1">
    <w:name w:val="List Table 2 - Accent 6"/>
    <w:basedOn w:val="81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58" w:customStyle="1">
    <w:name w:val="清单表 31"/>
    <w:basedOn w:val="81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9" w:customStyle="1">
    <w:name w:val="List Table 3 - Accent 1"/>
    <w:basedOn w:val="812"/>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0" w:customStyle="1">
    <w:name w:val="List Table 3 - Accent 2"/>
    <w:basedOn w:val="81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61" w:customStyle="1">
    <w:name w:val="List Table 3 - Accent 3"/>
    <w:basedOn w:val="81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62" w:customStyle="1">
    <w:name w:val="List Table 3 - Accent 4"/>
    <w:basedOn w:val="81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63" w:customStyle="1">
    <w:name w:val="List Table 3 - Accent 5"/>
    <w:basedOn w:val="812"/>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64" w:customStyle="1">
    <w:name w:val="List Table 3 - Accent 6"/>
    <w:basedOn w:val="81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5" w:customStyle="1">
    <w:name w:val="清单表 41"/>
    <w:basedOn w:val="81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6" w:customStyle="1">
    <w:name w:val="List Table 4 - Accent 1"/>
    <w:basedOn w:val="812"/>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7" w:customStyle="1">
    <w:name w:val="List Table 4 - Accent 2"/>
    <w:basedOn w:val="81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68" w:customStyle="1">
    <w:name w:val="List Table 4 - Accent 3"/>
    <w:basedOn w:val="81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69" w:customStyle="1">
    <w:name w:val="List Table 4 - Accent 4"/>
    <w:basedOn w:val="812"/>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70" w:customStyle="1">
    <w:name w:val="List Table 4 - Accent 5"/>
    <w:basedOn w:val="812"/>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71" w:customStyle="1">
    <w:name w:val="List Table 4 - Accent 6"/>
    <w:basedOn w:val="81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72" w:customStyle="1">
    <w:name w:val="清单表 5 深色1"/>
    <w:basedOn w:val="81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1"/>
    <w:basedOn w:val="812"/>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2"/>
    <w:basedOn w:val="81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3"/>
    <w:basedOn w:val="81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4"/>
    <w:basedOn w:val="812"/>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5"/>
    <w:basedOn w:val="812"/>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6"/>
    <w:basedOn w:val="812"/>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清单表 6 彩色1"/>
    <w:basedOn w:val="81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0" w:customStyle="1">
    <w:name w:val="List Table 6 Colorful - Accent 1"/>
    <w:basedOn w:val="812"/>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81" w:customStyle="1">
    <w:name w:val="List Table 6 Colorful - Accent 2"/>
    <w:basedOn w:val="812"/>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82" w:customStyle="1">
    <w:name w:val="List Table 6 Colorful - Accent 3"/>
    <w:basedOn w:val="812"/>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83" w:customStyle="1">
    <w:name w:val="List Table 6 Colorful - Accent 4"/>
    <w:basedOn w:val="812"/>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84" w:customStyle="1">
    <w:name w:val="List Table 6 Colorful - Accent 5"/>
    <w:basedOn w:val="812"/>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85" w:customStyle="1">
    <w:name w:val="List Table 6 Colorful - Accent 6"/>
    <w:basedOn w:val="812"/>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86" w:customStyle="1">
    <w:name w:val="清单表 7 彩色1"/>
    <w:basedOn w:val="81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7" w:customStyle="1">
    <w:name w:val="List Table 7 Colorful - Accent 1"/>
    <w:basedOn w:val="812"/>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88" w:customStyle="1">
    <w:name w:val="List Table 7 Colorful - Accent 2"/>
    <w:basedOn w:val="812"/>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9" w:customStyle="1">
    <w:name w:val="List Table 7 Colorful - Accent 3"/>
    <w:basedOn w:val="812"/>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90" w:customStyle="1">
    <w:name w:val="List Table 7 Colorful - Accent 4"/>
    <w:basedOn w:val="812"/>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1" w:customStyle="1">
    <w:name w:val="List Table 7 Colorful - Accent 5"/>
    <w:basedOn w:val="812"/>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92" w:customStyle="1">
    <w:name w:val="List Table 7 Colorful - Accent 6"/>
    <w:basedOn w:val="812"/>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93" w:customStyle="1">
    <w:name w:val="Lined - Accent"/>
    <w:basedOn w:val="8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4" w:customStyle="1">
    <w:name w:val="Lined - Accent 1"/>
    <w:basedOn w:val="8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5" w:customStyle="1">
    <w:name w:val="Lined - Accent 2"/>
    <w:basedOn w:val="8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6" w:customStyle="1">
    <w:name w:val="Lined - Accent 3"/>
    <w:basedOn w:val="8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7" w:customStyle="1">
    <w:name w:val="Lined - Accent 4"/>
    <w:basedOn w:val="8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8" w:customStyle="1">
    <w:name w:val="Lined - Accent 5"/>
    <w:basedOn w:val="8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9" w:customStyle="1">
    <w:name w:val="Lined - Accent 6"/>
    <w:basedOn w:val="8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0" w:customStyle="1">
    <w:name w:val="Bordered &amp; Lined - Accent"/>
    <w:basedOn w:val="81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1" w:customStyle="1">
    <w:name w:val="Bordered &amp; Lined - Accent 1"/>
    <w:basedOn w:val="812"/>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02" w:customStyle="1">
    <w:name w:val="Bordered &amp; Lined - Accent 2"/>
    <w:basedOn w:val="81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3" w:customStyle="1">
    <w:name w:val="Bordered &amp; Lined - Accent 3"/>
    <w:basedOn w:val="81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4" w:customStyle="1">
    <w:name w:val="Bordered &amp; Lined - Accent 4"/>
    <w:basedOn w:val="812"/>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5" w:customStyle="1">
    <w:name w:val="Bordered &amp; Lined - Accent 5"/>
    <w:basedOn w:val="812"/>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6" w:customStyle="1">
    <w:name w:val="Bordered &amp; Lined - Accent 6"/>
    <w:basedOn w:val="812"/>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7" w:customStyle="1">
    <w:name w:val="Bordered"/>
    <w:basedOn w:val="81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8" w:customStyle="1">
    <w:name w:val="Bordered - Accent 1"/>
    <w:basedOn w:val="81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09" w:customStyle="1">
    <w:name w:val="Bordered - Accent 2"/>
    <w:basedOn w:val="81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10" w:customStyle="1">
    <w:name w:val="Bordered - Accent 3"/>
    <w:basedOn w:val="81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11" w:customStyle="1">
    <w:name w:val="Bordered - Accent 4"/>
    <w:basedOn w:val="81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12" w:customStyle="1">
    <w:name w:val="Bordered - Accent 5"/>
    <w:basedOn w:val="81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13" w:customStyle="1">
    <w:name w:val="Bordered - Accent 6"/>
    <w:basedOn w:val="81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14" w:customStyle="1">
    <w:name w:val="脚注文本 字符"/>
    <w:link w:val="830"/>
    <w:uiPriority w:val="99"/>
    <w:qFormat/>
    <w:rPr>
      <w:sz w:val="18"/>
    </w:rPr>
  </w:style>
  <w:style w:type="character" w:styleId="1015" w:customStyle="1">
    <w:name w:val="尾注文本 字符"/>
    <w:link w:val="823"/>
    <w:uiPriority w:val="99"/>
    <w:qFormat/>
    <w:rPr>
      <w:sz w:val="20"/>
    </w:rPr>
  </w:style>
  <w:style w:type="paragraph" w:styleId="1016" w:customStyle="1">
    <w:name w:val="TOC 标题1"/>
    <w:uiPriority w:val="39"/>
    <w:unhideWhenUsed/>
    <w:qFormat/>
    <w:rPr>
      <w:rFonts w:ascii="Times New Roman" w:hAnsi="Times New Roman" w:eastAsia="宋体" w:cs="Times New Roman"/>
      <w:lang w:val="en-US" w:eastAsia="zh-CN" w:bidi="ar-SA"/>
    </w:rPr>
  </w:style>
  <w:style w:type="paragraph" w:styleId="1017" w:customStyle="1">
    <w:name w:val="首行缩进"/>
    <w:basedOn w:val="801"/>
    <w:uiPriority w:val="0"/>
    <w:qFormat/>
    <w:pPr>
      <w:ind w:firstLine="420"/>
      <w:spacing w:line="360" w:lineRule="auto"/>
    </w:pPr>
  </w:style>
  <w:style w:type="paragraph" w:styleId="1018" w:customStyle="1">
    <w:name w:val="正文1"/>
    <w:basedOn w:val="801"/>
    <w:next w:val="1019"/>
    <w:uiPriority w:val="0"/>
    <w:qFormat/>
    <w:pPr>
      <w:jc w:val="left"/>
      <w:spacing w:line="360" w:lineRule="atLeast"/>
    </w:pPr>
    <w:rPr>
      <w:rFonts w:ascii="宋体" w:hAnsiTheme="minorHAnsi" w:eastAsiaTheme="minorEastAsia" w:cstheme="minorBidi"/>
      <w:sz w:val="24"/>
      <w:szCs w:val="20"/>
    </w:rPr>
  </w:style>
  <w:style w:type="paragraph" w:styleId="1019" w:customStyle="1">
    <w:name w:val="正文文本1"/>
    <w:basedOn w:val="1018"/>
    <w:next w:val="1020"/>
    <w:uiPriority w:val="0"/>
    <w:qFormat/>
    <w:pPr>
      <w:spacing w:after="120"/>
    </w:pPr>
    <w:rPr>
      <w:lang w:eastAsia="en-US"/>
    </w:rPr>
  </w:style>
  <w:style w:type="paragraph" w:styleId="1020" w:customStyle="1">
    <w:name w:val="一级条标题"/>
    <w:basedOn w:val="1021"/>
    <w:next w:val="102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21" w:customStyle="1">
    <w:name w:val="章标题"/>
    <w:next w:val="801"/>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22" w:customStyle="1">
    <w:name w:val="段"/>
    <w:basedOn w:val="1018"/>
    <w:next w:val="801"/>
    <w:uiPriority w:val="0"/>
    <w:qFormat/>
    <w:pPr>
      <w:ind w:firstLine="200"/>
      <w:widowControl/>
    </w:pPr>
    <w:rPr>
      <w:sz w:val="20"/>
    </w:rPr>
  </w:style>
  <w:style w:type="paragraph" w:styleId="1023" w:customStyle="1">
    <w:name w:val="普通正文"/>
    <w:basedOn w:val="801"/>
    <w:uiPriority w:val="0"/>
    <w:qFormat/>
    <w:pPr>
      <w:ind w:firstLine="480"/>
      <w:jc w:val="left"/>
      <w:spacing w:before="120" w:after="120" w:line="360" w:lineRule="auto"/>
    </w:pPr>
    <w:rPr>
      <w:rFonts w:ascii="Arial" w:hAnsi="Arial"/>
      <w:sz w:val="24"/>
      <w:szCs w:val="24"/>
    </w:rPr>
  </w:style>
  <w:style w:type="paragraph" w:styleId="1024" w:customStyle="1">
    <w:name w:val="Char"/>
    <w:basedOn w:val="801"/>
    <w:uiPriority w:val="0"/>
    <w:qFormat/>
    <w:pPr>
      <w:ind w:firstLine="200"/>
      <w:tabs>
        <w:tab w:val="left" w:pos="360" w:leader="none"/>
      </w:tabs>
    </w:pPr>
    <w:rPr>
      <w:rFonts w:ascii="Times New Roman" w:hAnsi="Times New Roman"/>
      <w:sz w:val="28"/>
      <w:szCs w:val="30"/>
    </w:rPr>
  </w:style>
  <w:style w:type="character" w:styleId="1025" w:customStyle="1">
    <w:name w:val="批注框文本 字符"/>
    <w:basedOn w:val="811"/>
    <w:link w:val="824"/>
    <w:uiPriority w:val="0"/>
    <w:qFormat/>
    <w:rPr>
      <w:sz w:val="18"/>
      <w:szCs w:val="18"/>
    </w:rPr>
  </w:style>
  <w:style w:type="character" w:styleId="1026" w:customStyle="1">
    <w:name w:val="font11"/>
    <w:uiPriority w:val="0"/>
    <w:qFormat/>
    <w:rPr>
      <w:rFonts w:hint="eastAsia" w:ascii="宋体" w:hAnsi="宋体" w:eastAsia="宋体" w:cs="宋体"/>
      <w:color w:val="000000"/>
      <w:sz w:val="21"/>
      <w:szCs w:val="21"/>
    </w:rPr>
  </w:style>
  <w:style w:type="paragraph" w:styleId="1027" w:customStyle="1">
    <w:name w:val="纯文本1"/>
    <w:basedOn w:val="801"/>
    <w:uiPriority w:val="0"/>
    <w:qFormat/>
    <w:rPr>
      <w:rFonts w:ascii="宋体" w:hAnsi="Courier New" w:cs="Courier New"/>
    </w:rPr>
  </w:style>
  <w:style w:type="character" w:styleId="1028" w:customStyle="1">
    <w:name w:val="hover7"/>
    <w:basedOn w:val="811"/>
    <w:uiPriority w:val="0"/>
    <w:qFormat/>
    <w:rPr>
      <w:color w:val="427fda"/>
    </w:rPr>
  </w:style>
  <w:style w:type="character" w:styleId="1029" w:customStyle="1">
    <w:name w:val="hover8"/>
    <w:basedOn w:val="811"/>
    <w:uiPriority w:val="0"/>
    <w:qFormat/>
    <w:rPr>
      <w:color w:val="5fb878"/>
    </w:rPr>
  </w:style>
  <w:style w:type="character" w:styleId="1030" w:customStyle="1">
    <w:name w:val="hover9"/>
    <w:basedOn w:val="811"/>
    <w:uiPriority w:val="0"/>
    <w:qFormat/>
    <w:rPr>
      <w:color w:val="5fb878"/>
    </w:rPr>
  </w:style>
  <w:style w:type="character" w:styleId="1031" w:customStyle="1">
    <w:name w:val="hover10"/>
    <w:basedOn w:val="811"/>
    <w:uiPriority w:val="0"/>
    <w:qFormat/>
    <w:rPr>
      <w:color w:val="ffffff"/>
    </w:rPr>
  </w:style>
  <w:style w:type="character" w:styleId="1032" w:customStyle="1">
    <w:name w:val="first-child"/>
    <w:basedOn w:val="811"/>
    <w:uiPriority w:val="0"/>
    <w:qFormat/>
  </w:style>
  <w:style w:type="character" w:styleId="1033" w:customStyle="1">
    <w:name w:val="layui-this2"/>
    <w:basedOn w:val="811"/>
    <w:uiPriority w:val="0"/>
    <w:qFormat/>
    <w:rPr>
      <w:shd w:val="clear" w:color="auto" w:fill="ffffff"/>
    </w:rPr>
  </w:style>
  <w:style w:type="character" w:styleId="1034" w:customStyle="1">
    <w:name w:val="layui-this"/>
    <w:basedOn w:val="811"/>
    <w:uiPriority w:val="0"/>
    <w:qFormat/>
    <w:rPr>
      <w:shd w:val="clear" w:color="auto" w:fill="ffffff"/>
    </w:rPr>
  </w:style>
  <w:style w:type="paragraph" w:styleId="1035" w:customStyle="1">
    <w:name w:val="正文缩进1"/>
    <w:basedOn w:val="801"/>
    <w:uiPriority w:val="99"/>
    <w:qFormat/>
    <w:pPr>
      <w:ind w:firstLine="420"/>
    </w:pPr>
    <w:rPr>
      <w:rFonts w:cs="Calibri"/>
      <w:szCs w:val="21"/>
    </w:rPr>
  </w:style>
  <w:style w:type="paragraph" w:styleId="1036" w:customStyle="1">
    <w:name w:val="正文_0"/>
    <w:uiPriority w:val="0"/>
    <w:qFormat/>
    <w:rPr>
      <w:rFonts w:ascii="Times New Roman" w:hAnsi="Times New Roman" w:eastAsia="宋体" w:cs="Times New Roman"/>
      <w:lang w:val="en-US" w:eastAsia="zh-CN" w:bidi="ar-SA"/>
    </w:rPr>
  </w:style>
  <w:style w:type="paragraph" w:styleId="1037" w:customStyle="1">
    <w:name w:val="正文_0_1"/>
    <w:uiPriority w:val="99"/>
    <w:qFormat/>
    <w:rPr>
      <w:rFonts w:ascii="Times New Roman" w:hAnsi="Times New Roman" w:eastAsia="宋体" w:cs="Times New Roman"/>
      <w:lang w:val="en-US" w:eastAsia="zh-CN" w:bidi="ar-SA"/>
    </w:rPr>
  </w:style>
  <w:style w:type="paragraph" w:styleId="1038" w:customStyle="1">
    <w:name w:val="Table Text"/>
    <w:basedOn w:val="801"/>
    <w:uiPriority w:val="0"/>
    <w:semiHidden/>
    <w:qFormat/>
    <w:rPr>
      <w:rFonts w:ascii="宋体" w:hAnsi="宋体" w:cs="宋体"/>
      <w:sz w:val="20"/>
      <w:szCs w:val="20"/>
    </w:rPr>
  </w:style>
  <w:style w:type="table" w:styleId="1039" w:customStyle="1">
    <w:name w:val="Table Normal"/>
    <w:uiPriority w:val="0"/>
    <w:semiHidden/>
    <w:unhideWhenUsed/>
    <w:qFormat/>
    <w:rPr>
      <w:rFonts w:ascii="Arial" w:hAnsi="Arial" w:cs="Arial"/>
      <w:color w:val="000000"/>
      <w:szCs w:val="21"/>
      <w:lang w:eastAsia="en-US"/>
    </w:rPr>
    <w:tblPr>
      <w:tblCellMar>
        <w:left w:w="0" w:type="dxa"/>
        <w:top w:w="0" w:type="dxa"/>
        <w:right w:w="0" w:type="dxa"/>
        <w:bottom w:w="0" w:type="dxa"/>
      </w:tblCellMar>
    </w:tblPr>
  </w:style>
  <w:style w:type="character" w:styleId="1040" w:customStyle="1">
    <w:name w:val="font61"/>
    <w:basedOn w:val="811"/>
    <w:uiPriority w:val="0"/>
    <w:qFormat/>
    <w:rPr>
      <w:rFonts w:hint="default" w:ascii="Times New Roman" w:hAnsi="Times New Roman" w:cs="Times New Roman"/>
      <w:color w:val="000000"/>
      <w:sz w:val="20"/>
      <w:szCs w:val="20"/>
      <w:u w:val="none"/>
    </w:rPr>
  </w:style>
  <w:style w:type="character" w:styleId="1041" w:customStyle="1">
    <w:name w:val="font21"/>
    <w:basedOn w:val="811"/>
    <w:uiPriority w:val="0"/>
    <w:qFormat/>
    <w:rPr>
      <w:rFonts w:hint="eastAsia" w:ascii="宋体" w:hAnsi="宋体" w:eastAsia="宋体" w:cs="宋体"/>
      <w:color w:val="000000"/>
      <w:sz w:val="20"/>
      <w:szCs w:val="20"/>
      <w:u w:val="none"/>
    </w:rPr>
  </w:style>
  <w:style w:type="character" w:styleId="1042" w:customStyle="1">
    <w:name w:val="font71"/>
    <w:basedOn w:val="811"/>
    <w:uiPriority w:val="0"/>
    <w:qFormat/>
    <w:rPr>
      <w:rFonts w:hint="eastAsia" w:ascii="宋体" w:hAnsi="宋体" w:eastAsia="宋体" w:cs="宋体"/>
      <w:color w:val="000000"/>
      <w:sz w:val="20"/>
      <w:szCs w:val="20"/>
      <w:u w:val="none"/>
    </w:rPr>
  </w:style>
  <w:style w:type="character" w:styleId="1043" w:customStyle="1">
    <w:name w:val="font81"/>
    <w:basedOn w:val="811"/>
    <w:uiPriority w:val="0"/>
    <w:qFormat/>
    <w:rPr>
      <w:rFonts w:hint="eastAsia" w:ascii="宋体" w:hAnsi="宋体" w:eastAsia="宋体" w:cs="宋体"/>
      <w:color w:val="ff0000"/>
      <w:sz w:val="20"/>
      <w:szCs w:val="20"/>
      <w:u w:val="none"/>
    </w:rPr>
  </w:style>
  <w:style w:type="character" w:styleId="1044" w:customStyle="1">
    <w:name w:val="font41"/>
    <w:basedOn w:val="811"/>
    <w:uiPriority w:val="0"/>
    <w:qFormat/>
    <w:rPr>
      <w:rFonts w:hint="default" w:ascii="Times New Roman" w:hAnsi="Times New Roman" w:cs="Times New Roman"/>
      <w:color w:val="000000"/>
      <w:sz w:val="20"/>
      <w:szCs w:val="20"/>
      <w:u w:val="none"/>
    </w:rPr>
  </w:style>
  <w:style w:type="character" w:styleId="1045" w:customStyle="1">
    <w:name w:val="font31"/>
    <w:basedOn w:val="811"/>
    <w:uiPriority w:val="0"/>
    <w:qFormat/>
    <w:rPr>
      <w:rFonts w:hint="eastAsia" w:ascii="宋体" w:hAnsi="宋体" w:eastAsia="宋体" w:cs="宋体"/>
      <w:color w:val="000000"/>
      <w:sz w:val="20"/>
      <w:szCs w:val="20"/>
      <w:u w:val="none"/>
    </w:rPr>
  </w:style>
  <w:style w:type="character" w:styleId="1046" w:customStyle="1">
    <w:name w:val="标题 2 字符"/>
    <w:link w:val="803"/>
    <w:uiPriority w:val="9"/>
    <w:qFormat/>
    <w:rPr>
      <w:rFonts w:ascii="Arial" w:hAnsi="Arial" w:eastAsia="幼圆" w:cs="Arial"/>
      <w:b/>
      <w:bCs/>
      <w:sz w:val="44"/>
      <w:szCs w:val="44"/>
    </w:rPr>
  </w:style>
  <w:style w:type="numbering" w:styleId="10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1.png"/><Relationship Id="rId19"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张女士</cp:lastModifiedBy>
  <cp:revision>7</cp:revision>
  <dcterms:created xsi:type="dcterms:W3CDTF">2026-08-31T07:17:00Z</dcterms:created>
  <dcterms:modified xsi:type="dcterms:W3CDTF">2026-09-07T05:46:23Z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D48EA3C76ADC4542B3BAA393E674726A_13</vt:lpwstr>
  </property>
  <property fmtid="{D5CDD505-2E9C-101B-9397-08002B2CF9AE}" pid="4" name="KSOTemplateDocerSaveRecord">
    <vt:lpwstr>eyJoZGlkIjoiZmNmY2RkN2Q4M2M3ZjVhZDllNmY4NmY2NzMwM2QyNzkiLCJ1c2VySWQiOiIxMjg3MTQ3NjUwIn0=</vt:lpwstr>
  </property>
</Properties>
</file>