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 </w:t>
      </w:r>
      <w:r/>
    </w:p>
    <w:p>
      <w:pPr>
        <w:ind w:firstLine="300"/>
        <w:spacing w:line="360" w:lineRule="auto"/>
        <w:rPr>
          <w:rFonts w:ascii="宋体" w:hAnsi="宋体" w:cs="宋体"/>
          <w:color w:val="auto"/>
          <w:sz w:val="60"/>
          <w:szCs w:val="60"/>
          <w:highlight w:val="none"/>
        </w:rPr>
      </w:pPr>
      <w:r>
        <w:rPr>
          <w:rFonts w:ascii="宋体" w:hAnsi="宋体" w:cs="宋体"/>
          <w:color w:val="auto"/>
          <w:sz w:val="60"/>
          <w:szCs w:val="60"/>
          <w:highlight w:val="none"/>
        </w:rPr>
      </w:r>
      <w:r/>
    </w:p>
    <w:p>
      <w:pPr>
        <w:jc w:val="center"/>
        <w:spacing w:line="480" w:lineRule="auto"/>
        <w:rPr>
          <w:rFonts w:ascii="宋体" w:hAnsi="宋体" w:cs="宋体"/>
          <w:b/>
          <w:bCs/>
          <w:color w:val="auto"/>
          <w:sz w:val="60"/>
          <w:szCs w:val="60"/>
          <w:highlight w:val="none"/>
        </w:rPr>
      </w:pPr>
      <w:r>
        <w:rPr>
          <w:rFonts w:ascii="宋体" w:hAnsi="宋体" w:cs="宋体"/>
          <w:b/>
          <w:bCs/>
          <w:color w:val="auto"/>
          <w:sz w:val="60"/>
          <w:szCs w:val="60"/>
          <w:highlight w:val="none"/>
        </w:rPr>
      </w:r>
      <w:r/>
    </w:p>
    <w:p>
      <w:pPr>
        <w:jc w:val="center"/>
        <w:spacing w:line="360" w:lineRule="auto"/>
        <w:rPr>
          <w:b/>
          <w:bCs/>
          <w:color w:val="auto"/>
          <w:sz w:val="60"/>
          <w:szCs w:val="60"/>
          <w:highlight w:val="none"/>
        </w:rPr>
      </w:pPr>
      <w:r>
        <w:rPr>
          <w:b/>
          <w:bCs/>
          <w:color w:val="auto"/>
          <w:sz w:val="60"/>
          <w:szCs w:val="60"/>
          <w:highlight w:val="none"/>
        </w:rPr>
        <w:t xml:space="preserve">常州市政府采购项目</w:t>
      </w:r>
      <w:r/>
    </w:p>
    <w:p>
      <w:pPr>
        <w:jc w:val="center"/>
        <w:spacing w:line="480" w:lineRule="auto"/>
        <w:rPr>
          <w:rFonts w:ascii="宋体" w:hAnsi="宋体" w:cs="宋体"/>
          <w:b/>
          <w:bCs/>
          <w:color w:val="auto"/>
          <w:sz w:val="60"/>
          <w:szCs w:val="60"/>
          <w:highlight w:val="none"/>
        </w:rPr>
      </w:pPr>
      <w:r>
        <w:rPr>
          <w:rFonts w:hint="eastAsia" w:ascii="宋体" w:hAnsi="宋体" w:cs="宋体"/>
          <w:b/>
          <w:bCs/>
          <w:color w:val="auto"/>
          <w:sz w:val="60"/>
          <w:szCs w:val="60"/>
          <w:highlight w:val="none"/>
        </w:rPr>
        <w:t xml:space="preserve">竞争性磋商文件</w:t>
      </w:r>
      <w:r/>
    </w:p>
    <w:p>
      <w:pPr>
        <w:jc w:val="center"/>
        <w:spacing w:line="360" w:lineRule="auto"/>
        <w:rPr>
          <w:rFonts w:ascii="宋体" w:hAnsi="宋体" w:cs="宋体"/>
          <w:b/>
          <w:bCs/>
          <w:color w:val="auto"/>
          <w:sz w:val="60"/>
          <w:szCs w:val="60"/>
          <w:highlight w:val="none"/>
        </w:rPr>
      </w:pPr>
      <w:r>
        <w:rPr>
          <w:rFonts w:ascii="宋体" w:hAnsi="宋体" w:cs="宋体"/>
          <w:b/>
          <w:bCs/>
          <w:color w:val="auto"/>
          <w:sz w:val="60"/>
          <w:szCs w:val="60"/>
          <w:highlight w:val="none"/>
        </w:rPr>
      </w:r>
      <w:r/>
    </w:p>
    <w:p>
      <w:pPr>
        <w:ind w:left="1800" w:hanging="1800"/>
        <w:jc w:val="left"/>
        <w:spacing w:line="360" w:lineRule="auto"/>
        <w:tabs>
          <w:tab w:val="left" w:pos="3240" w:leader="none"/>
          <w:tab w:val="left" w:pos="3420" w:leader="none"/>
        </w:tabs>
        <w:rPr>
          <w:rFonts w:ascii="宋体" w:hAnsi="宋体" w:cs="宋体"/>
          <w:bCs/>
          <w:color w:val="auto"/>
          <w:sz w:val="36"/>
          <w:szCs w:val="36"/>
          <w:highlight w:val="none"/>
        </w:rPr>
      </w:pPr>
      <w:r>
        <w:rPr>
          <w:rFonts w:hint="eastAsia" w:ascii="宋体" w:hAnsi="宋体" w:cs="宋体"/>
          <w:bCs/>
          <w:color w:val="auto"/>
          <w:sz w:val="36"/>
          <w:szCs w:val="36"/>
          <w:highlight w:val="none"/>
        </w:rPr>
        <w:t xml:space="preserve">项目名称：江苏省常州技师学院网络安全实训工作站项目</w:t>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rPr>
        <w:t xml:space="preserve">项目编号/包号：</w:t>
      </w:r>
      <w:r>
        <w:rPr>
          <w:rFonts w:hint="eastAsia" w:ascii="宋体" w:hAnsi="宋体" w:cs="宋体"/>
          <w:bCs/>
          <w:color w:val="auto"/>
          <w:sz w:val="36"/>
          <w:szCs w:val="36"/>
          <w:highlight w:val="none"/>
          <w:lang w:eastAsia="zh-CN"/>
        </w:rPr>
        <w:t xml:space="preserve">JSZC-320400-CZRB-C2026-0023</w:t>
      </w:r>
      <w:r/>
    </w:p>
    <w:p>
      <w:pPr>
        <w:jc w:val="left"/>
        <w:spacing w:line="360" w:lineRule="auto"/>
        <w:tabs>
          <w:tab w:val="left" w:pos="3240" w:leader="none"/>
          <w:tab w:val="left" w:pos="3420" w:leader="none"/>
        </w:tabs>
        <w:rPr>
          <w:bCs/>
          <w:color w:val="auto"/>
          <w:sz w:val="36"/>
          <w:szCs w:val="36"/>
          <w:highlight w:val="none"/>
        </w:rPr>
      </w:pPr>
      <w:r>
        <w:rPr>
          <w:rFonts w:hint="eastAsia" w:ascii="宋体" w:hAnsi="宋体" w:cs="宋体"/>
          <w:bCs/>
          <w:color w:val="auto"/>
          <w:sz w:val="36"/>
          <w:szCs w:val="36"/>
          <w:highlight w:val="none"/>
        </w:rPr>
        <w:t xml:space="preserve">采 购 人：江苏省常州技师学院</w:t>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rPr>
        <w:t xml:space="preserve">采购代理机构：</w:t>
      </w:r>
      <w:r>
        <w:rPr>
          <w:rFonts w:hint="eastAsia" w:ascii="宋体" w:hAnsi="宋体" w:cs="宋体"/>
          <w:bCs/>
          <w:color w:val="auto"/>
          <w:sz w:val="36"/>
          <w:szCs w:val="36"/>
          <w:highlight w:val="none"/>
          <w:lang w:eastAsia="zh-CN"/>
        </w:rPr>
        <w:t xml:space="preserve">常州润邦招标代理有限公司</w:t>
      </w:r>
      <w:r/>
    </w:p>
    <w:p>
      <w:pPr>
        <w:jc w:val="left"/>
        <w:spacing w:line="480" w:lineRule="auto"/>
        <w:tabs>
          <w:tab w:val="left" w:pos="3240" w:leader="none"/>
          <w:tab w:val="left" w:pos="3420" w:leader="none"/>
        </w:tabs>
        <w:rPr>
          <w:rFonts w:ascii="宋体" w:hAnsi="宋体" w:cs="宋体"/>
          <w:bCs/>
          <w:color w:val="auto"/>
          <w:sz w:val="36"/>
          <w:szCs w:val="36"/>
          <w:highlight w:val="none"/>
        </w:rPr>
      </w:pPr>
      <w:r>
        <w:rPr>
          <w:rFonts w:ascii="宋体" w:hAnsi="宋体" w:cs="宋体"/>
          <w:bCs/>
          <w:color w:val="auto"/>
          <w:sz w:val="36"/>
          <w:szCs w:val="36"/>
          <w:highlight w:val="none"/>
        </w:rPr>
      </w:r>
      <w:r/>
    </w:p>
    <w:p>
      <w:pPr>
        <w:jc w:val="left"/>
        <w:widowControl/>
        <w:rPr>
          <w:rFonts w:ascii="宋体" w:hAnsi="宋体" w:cs="宋体"/>
          <w:color w:val="auto"/>
          <w:sz w:val="24"/>
          <w:highlight w:val="none"/>
        </w:rPr>
        <w:sectPr>
          <w:headerReference w:type="default" r:id="rId9"/>
          <w:headerReference w:type="first" r:id="rId10"/>
          <w:footerReference w:type="default" r:id="rId14"/>
          <w:footerReference w:type="even" r:id="rId15"/>
          <w:footerReference w:type="first" r:id="rId16"/>
          <w:footnotePr/>
          <w:endnotePr/>
          <w:type w:val="nextColumn"/>
          <w:pgSz w:w="11905" w:h="16838" w:orient="portrait"/>
          <w:pgMar w:top="1440" w:right="1800" w:bottom="1440" w:left="1800" w:header="851" w:footer="850" w:gutter="0"/>
          <w:pgNumType w:start="1"/>
          <w:cols w:num="1" w:sep="0" w:space="0" w:equalWidth="1"/>
          <w:docGrid w:linePitch="360"/>
        </w:sectPr>
      </w:pPr>
      <w:r>
        <w:rPr>
          <w:rFonts w:ascii="宋体" w:hAnsi="宋体" w:cs="宋体"/>
          <w:color w:val="auto"/>
          <w:sz w:val="24"/>
          <w:highlight w:val="none"/>
        </w:rPr>
      </w:r>
      <w:r/>
    </w:p>
    <w:p>
      <w:pPr>
        <w:jc w:val="center"/>
        <w:spacing w:line="360" w:lineRule="auto"/>
        <w:rPr>
          <w:rFonts w:ascii="宋体" w:hAnsi="宋体" w:cs="宋体"/>
          <w:b/>
          <w:color w:val="auto"/>
          <w:sz w:val="44"/>
          <w:szCs w:val="44"/>
          <w:highlight w:val="none"/>
        </w:rPr>
        <w:outlineLvl w:val="0"/>
      </w:pPr>
      <w:r/>
      <w:bookmarkStart w:id="0" w:name="_Toc4128"/>
      <w:r/>
      <w:bookmarkStart w:id="1" w:name="_Toc1211"/>
      <w:r/>
      <w:bookmarkStart w:id="2" w:name="_Toc104818924"/>
      <w:r/>
      <w:bookmarkStart w:id="3" w:name="_Toc21205"/>
      <w:r>
        <w:rPr>
          <w:rFonts w:hint="eastAsia" w:ascii="宋体" w:hAnsi="宋体" w:cs="宋体"/>
          <w:b/>
          <w:color w:val="auto"/>
          <w:sz w:val="44"/>
          <w:szCs w:val="44"/>
          <w:highlight w:val="none"/>
        </w:rPr>
        <w:t xml:space="preserve">目  录</w:t>
      </w:r>
      <w:bookmarkEnd w:id="0"/>
      <w:r/>
      <w:bookmarkEnd w:id="1"/>
      <w:r/>
      <w:bookmarkEnd w:id="2"/>
      <w:r/>
      <w:bookmarkEnd w:id="3"/>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pStyle w:val="1303"/>
        <w:spacing w:line="360" w:lineRule="auto"/>
        <w:tabs>
          <w:tab w:val="clear" w:pos="1050" w:leader="none"/>
          <w:tab w:val="right" w:pos="8305" w:leader="dot"/>
          <w:tab w:val="clear" w:pos="8937" w:leader="none"/>
        </w:tabs>
        <w:rPr>
          <w:color w:val="auto"/>
          <w:sz w:val="32"/>
          <w:szCs w:val="32"/>
          <w:highlight w:val="none"/>
        </w:rPr>
      </w:pPr>
      <w:r>
        <w:rPr>
          <w:rFonts w:hint="eastAsia" w:cs="宋体"/>
          <w:b w:val="0"/>
          <w:color w:val="auto"/>
          <w:sz w:val="32"/>
          <w:szCs w:val="32"/>
          <w:highlight w:val="none"/>
        </w:rPr>
        <w:fldChar w:fldCharType="begin"/>
      </w:r>
      <w:r>
        <w:rPr>
          <w:rFonts w:hint="eastAsia" w:cs="宋体"/>
          <w:b w:val="0"/>
          <w:color w:val="auto"/>
          <w:sz w:val="32"/>
          <w:szCs w:val="32"/>
          <w:highlight w:val="none"/>
        </w:rPr>
        <w:instrText xml:space="preserve"> TOC \o "1-1" \h \z \u </w:instrText>
      </w:r>
      <w:r>
        <w:rPr>
          <w:rFonts w:hint="eastAsia" w:cs="宋体"/>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"_Toc20454" </w:instrText>
      </w:r>
      <w:r>
        <w:rPr>
          <w:color w:val="auto"/>
          <w:highlight w:val="none"/>
        </w:rPr>
        <w:fldChar w:fldCharType="separate"/>
      </w:r>
      <w:r>
        <w:rPr>
          <w:rFonts w:hint="eastAsia" w:cs="宋体"/>
          <w:color w:val="auto"/>
          <w:sz w:val="32"/>
          <w:szCs w:val="32"/>
          <w:highlight w:val="none"/>
        </w:rPr>
        <w:t xml:space="preserve">第一章   采购邀请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_Toc20454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color w:val="auto"/>
          <w:sz w:val="32"/>
          <w:szCs w:val="32"/>
          <w:highlight w:val="none"/>
        </w:rPr>
        <w:fldChar w:fldCharType="end"/>
      </w:r>
      <w:r/>
    </w:p>
    <w:p>
      <w:pPr>
        <w:pStyle w:val="1303"/>
        <w:spacing w:line="360" w:lineRule="auto"/>
        <w:tabs>
          <w:tab w:val="clear" w:pos="1050" w:leader="none"/>
          <w:tab w:val="right" w:pos="8305" w:leader="dot"/>
          <w:tab w:val="clear" w:pos="8937" w:leader="none"/>
        </w:tabs>
        <w:rPr>
          <w:color w:val="auto"/>
          <w:sz w:val="32"/>
          <w:szCs w:val="32"/>
          <w:highlight w:val="none"/>
        </w:rPr>
      </w:pPr>
      <w:r>
        <w:rPr>
          <w:color w:val="auto"/>
          <w:highlight w:val="none"/>
        </w:rPr>
        <w:fldChar w:fldCharType="begin"/>
      </w:r>
      <w:r>
        <w:rPr>
          <w:color w:val="auto"/>
          <w:highlight w:val="none"/>
        </w:rPr>
        <w:instrText xml:space="preserve"> HYPERLINK \l "_Toc32074" </w:instrText>
      </w:r>
      <w:r>
        <w:rPr>
          <w:color w:val="auto"/>
          <w:highlight w:val="none"/>
        </w:rPr>
        <w:fldChar w:fldCharType="separate"/>
      </w:r>
      <w:r>
        <w:rPr>
          <w:rFonts w:hint="eastAsia" w:cs="宋体"/>
          <w:color w:val="auto"/>
          <w:sz w:val="32"/>
          <w:szCs w:val="32"/>
          <w:highlight w:val="none"/>
        </w:rPr>
        <w:t xml:space="preserve">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_Toc32074 \h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color w:val="auto"/>
          <w:sz w:val="32"/>
          <w:szCs w:val="32"/>
          <w:highlight w:val="none"/>
        </w:rPr>
        <w:fldChar w:fldCharType="end"/>
      </w:r>
      <w:r/>
    </w:p>
    <w:p>
      <w:pPr>
        <w:pStyle w:val="1303"/>
        <w:spacing w:line="360" w:lineRule="auto"/>
        <w:tabs>
          <w:tab w:val="clear" w:pos="1050" w:leader="none"/>
          <w:tab w:val="right" w:pos="8305" w:leader="dot"/>
          <w:tab w:val="clear" w:pos="8937" w:leader="none"/>
        </w:tabs>
        <w:rPr>
          <w:color w:val="auto"/>
          <w:sz w:val="32"/>
          <w:szCs w:val="32"/>
          <w:highlight w:val="none"/>
        </w:rPr>
      </w:pPr>
      <w:r>
        <w:rPr>
          <w:color w:val="auto"/>
          <w:highlight w:val="none"/>
        </w:rPr>
        <w:fldChar w:fldCharType="begin"/>
      </w:r>
      <w:r>
        <w:rPr>
          <w:color w:val="auto"/>
          <w:highlight w:val="none"/>
        </w:rPr>
        <w:instrText xml:space="preserve"> HYPERLINK \l "_Toc21766" </w:instrText>
      </w:r>
      <w:r>
        <w:rPr>
          <w:color w:val="auto"/>
          <w:highlight w:val="none"/>
        </w:rPr>
        <w:fldChar w:fldCharType="separate"/>
      </w:r>
      <w:r>
        <w:rPr>
          <w:rFonts w:hint="eastAsia" w:cs="宋体"/>
          <w:color w:val="auto"/>
          <w:sz w:val="32"/>
          <w:szCs w:val="32"/>
          <w:highlight w:val="none"/>
        </w:rPr>
        <w:t xml:space="preserve">第三章   评审程序、评审方法和评审标准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_Toc21766 \h </w:instrText>
      </w:r>
      <w:r>
        <w:rPr>
          <w:color w:val="auto"/>
          <w:sz w:val="32"/>
          <w:szCs w:val="32"/>
          <w:highlight w:val="none"/>
        </w:rPr>
        <w:fldChar w:fldCharType="separate"/>
      </w:r>
      <w:r>
        <w:rPr>
          <w:color w:val="auto"/>
          <w:sz w:val="32"/>
          <w:szCs w:val="32"/>
          <w:highlight w:val="none"/>
        </w:rPr>
        <w:t xml:space="preserve">18</w:t>
      </w:r>
      <w:r>
        <w:rPr>
          <w:color w:val="auto"/>
          <w:sz w:val="32"/>
          <w:szCs w:val="32"/>
          <w:highlight w:val="none"/>
        </w:rPr>
        <w:fldChar w:fldCharType="end"/>
      </w:r>
      <w:r>
        <w:rPr>
          <w:color w:val="auto"/>
          <w:sz w:val="32"/>
          <w:szCs w:val="32"/>
          <w:highlight w:val="none"/>
        </w:rPr>
        <w:fldChar w:fldCharType="end"/>
      </w:r>
      <w:r/>
    </w:p>
    <w:p>
      <w:pPr>
        <w:pStyle w:val="1303"/>
        <w:spacing w:line="360" w:lineRule="auto"/>
        <w:tabs>
          <w:tab w:val="clear" w:pos="1050" w:leader="none"/>
          <w:tab w:val="right" w:pos="8305" w:leader="dot"/>
          <w:tab w:val="clear" w:pos="8937" w:leader="none"/>
        </w:tabs>
        <w:rPr>
          <w:color w:val="auto"/>
          <w:sz w:val="32"/>
          <w:szCs w:val="32"/>
          <w:highlight w:val="none"/>
        </w:rPr>
      </w:pPr>
      <w:r>
        <w:rPr>
          <w:color w:val="auto"/>
          <w:highlight w:val="none"/>
        </w:rPr>
        <w:fldChar w:fldCharType="begin"/>
      </w:r>
      <w:r>
        <w:rPr>
          <w:color w:val="auto"/>
          <w:highlight w:val="none"/>
        </w:rPr>
        <w:instrText xml:space="preserve"> HYPERLINK \l "_Toc1289" </w:instrText>
      </w:r>
      <w:r>
        <w:rPr>
          <w:color w:val="auto"/>
          <w:highlight w:val="none"/>
        </w:rPr>
        <w:fldChar w:fldCharType="separate"/>
      </w:r>
      <w:r>
        <w:rPr>
          <w:rFonts w:hint="eastAsia" w:cs="宋体"/>
          <w:color w:val="auto"/>
          <w:sz w:val="32"/>
          <w:szCs w:val="32"/>
          <w:highlight w:val="none"/>
        </w:rPr>
        <w:t xml:space="preserve">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_Toc1289 \h </w:instrText>
      </w:r>
      <w:r>
        <w:rPr>
          <w:color w:val="auto"/>
          <w:sz w:val="32"/>
          <w:szCs w:val="32"/>
          <w:highlight w:val="none"/>
        </w:rPr>
        <w:fldChar w:fldCharType="separate"/>
      </w:r>
      <w:r>
        <w:rPr>
          <w:color w:val="auto"/>
          <w:sz w:val="32"/>
          <w:szCs w:val="32"/>
          <w:highlight w:val="none"/>
        </w:rPr>
        <w:t xml:space="preserve">29</w:t>
      </w:r>
      <w:r>
        <w:rPr>
          <w:color w:val="auto"/>
          <w:sz w:val="32"/>
          <w:szCs w:val="32"/>
          <w:highlight w:val="none"/>
        </w:rPr>
        <w:fldChar w:fldCharType="end"/>
      </w:r>
      <w:r>
        <w:rPr>
          <w:color w:val="auto"/>
          <w:sz w:val="32"/>
          <w:szCs w:val="32"/>
          <w:highlight w:val="none"/>
        </w:rPr>
        <w:fldChar w:fldCharType="end"/>
      </w:r>
      <w:r/>
    </w:p>
    <w:p>
      <w:pPr>
        <w:pStyle w:val="1303"/>
        <w:spacing w:line="360" w:lineRule="auto"/>
        <w:tabs>
          <w:tab w:val="clear" w:pos="1050" w:leader="none"/>
          <w:tab w:val="right" w:pos="8305" w:leader="dot"/>
          <w:tab w:val="clear" w:pos="8937" w:leader="none"/>
        </w:tabs>
        <w:rPr>
          <w:color w:val="auto"/>
          <w:sz w:val="32"/>
          <w:szCs w:val="32"/>
          <w:highlight w:val="none"/>
        </w:rPr>
      </w:pPr>
      <w:r>
        <w:rPr>
          <w:color w:val="auto"/>
          <w:highlight w:val="none"/>
        </w:rPr>
        <w:fldChar w:fldCharType="begin"/>
      </w:r>
      <w:r>
        <w:rPr>
          <w:color w:val="auto"/>
          <w:highlight w:val="none"/>
        </w:rPr>
        <w:instrText xml:space="preserve"> HYPERLINK \l "_Toc2704" </w:instrText>
      </w:r>
      <w:r>
        <w:rPr>
          <w:color w:val="auto"/>
          <w:highlight w:val="none"/>
        </w:rPr>
        <w:fldChar w:fldCharType="separate"/>
      </w:r>
      <w:r>
        <w:rPr>
          <w:rFonts w:hint="eastAsia" w:cs="宋体"/>
          <w:color w:val="auto"/>
          <w:sz w:val="32"/>
          <w:szCs w:val="32"/>
          <w:highlight w:val="none"/>
        </w:rPr>
        <w:t xml:space="preserve">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_Toc2704 \h </w:instrText>
      </w:r>
      <w:r>
        <w:rPr>
          <w:color w:val="auto"/>
          <w:sz w:val="32"/>
          <w:szCs w:val="32"/>
          <w:highlight w:val="none"/>
        </w:rPr>
        <w:fldChar w:fldCharType="separate"/>
      </w:r>
      <w:r>
        <w:rPr>
          <w:color w:val="auto"/>
          <w:sz w:val="32"/>
          <w:szCs w:val="32"/>
          <w:highlight w:val="none"/>
        </w:rPr>
        <w:t xml:space="preserve">36</w:t>
      </w:r>
      <w:r>
        <w:rPr>
          <w:color w:val="auto"/>
          <w:sz w:val="32"/>
          <w:szCs w:val="32"/>
          <w:highlight w:val="none"/>
        </w:rPr>
        <w:fldChar w:fldCharType="end"/>
      </w:r>
      <w:r>
        <w:rPr>
          <w:color w:val="auto"/>
          <w:sz w:val="32"/>
          <w:szCs w:val="32"/>
          <w:highlight w:val="none"/>
        </w:rPr>
        <w:fldChar w:fldCharType="end"/>
      </w:r>
      <w:r/>
    </w:p>
    <w:p>
      <w:pPr>
        <w:pStyle w:val="1303"/>
        <w:spacing w:line="360" w:lineRule="auto"/>
        <w:tabs>
          <w:tab w:val="clear" w:pos="1050" w:leader="none"/>
          <w:tab w:val="right" w:pos="8305" w:leader="dot"/>
          <w:tab w:val="clear" w:pos="8937" w:leader="none"/>
        </w:tabs>
        <w:rPr>
          <w:color w:val="auto"/>
          <w:sz w:val="32"/>
          <w:szCs w:val="32"/>
          <w:highlight w:val="none"/>
        </w:rPr>
      </w:pPr>
      <w:r>
        <w:rPr>
          <w:color w:val="auto"/>
          <w:highlight w:val="none"/>
        </w:rPr>
        <w:fldChar w:fldCharType="begin"/>
      </w:r>
      <w:r>
        <w:rPr>
          <w:color w:val="auto"/>
          <w:highlight w:val="none"/>
        </w:rPr>
        <w:instrText xml:space="preserve"> HYPERLINK \l "_Toc15291" </w:instrText>
      </w:r>
      <w:r>
        <w:rPr>
          <w:color w:val="auto"/>
          <w:highlight w:val="none"/>
        </w:rPr>
        <w:fldChar w:fldCharType="separate"/>
      </w:r>
      <w:r>
        <w:rPr>
          <w:rFonts w:hint="eastAsia" w:cs="宋体"/>
          <w:color w:val="auto"/>
          <w:sz w:val="32"/>
          <w:szCs w:val="32"/>
          <w:highlight w:val="none"/>
        </w:rPr>
        <w:t xml:space="preserve">第六章   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_Toc15291 \h </w:instrText>
      </w:r>
      <w:r>
        <w:rPr>
          <w:color w:val="auto"/>
          <w:sz w:val="32"/>
          <w:szCs w:val="32"/>
          <w:highlight w:val="none"/>
        </w:rPr>
        <w:fldChar w:fldCharType="separate"/>
      </w:r>
      <w:r>
        <w:rPr>
          <w:color w:val="auto"/>
          <w:sz w:val="32"/>
          <w:szCs w:val="32"/>
          <w:highlight w:val="none"/>
        </w:rPr>
        <w:t xml:space="preserve">40</w:t>
      </w:r>
      <w:r>
        <w:rPr>
          <w:color w:val="auto"/>
          <w:sz w:val="32"/>
          <w:szCs w:val="32"/>
          <w:highlight w:val="none"/>
        </w:rPr>
        <w:fldChar w:fldCharType="end"/>
      </w:r>
      <w:r>
        <w:rPr>
          <w:color w:val="auto"/>
          <w:sz w:val="32"/>
          <w:szCs w:val="32"/>
          <w:highlight w:val="none"/>
        </w:rPr>
        <w:fldChar w:fldCharType="end"/>
      </w:r>
      <w:r/>
    </w:p>
    <w:p>
      <w:pPr>
        <w:pStyle w:val="1303"/>
        <w:spacing w:line="360" w:lineRule="auto"/>
        <w:rPr>
          <w:rFonts w:cs="宋体"/>
          <w:b w:val="0"/>
          <w:color w:val="auto"/>
          <w:highlight w:val="none"/>
        </w:rPr>
      </w:pPr>
      <w:r>
        <w:rPr>
          <w:rFonts w:hint="eastAsia" w:cs="宋体"/>
          <w:color w:val="auto"/>
          <w:sz w:val="32"/>
          <w:szCs w:val="32"/>
          <w:highlight w:val="none"/>
        </w:rPr>
        <w:fldChar w:fldCharType="end"/>
      </w:r>
      <w:r/>
    </w:p>
    <w:p>
      <w:pPr>
        <w:pStyle w:val="1303"/>
        <w:spacing w:line="360" w:lineRule="auto"/>
        <w:rPr>
          <w:rFonts w:cs="宋体"/>
          <w:b w:val="0"/>
          <w:color w:val="auto"/>
          <w:sz w:val="36"/>
          <w:szCs w:val="36"/>
          <w:highlight w:val="none"/>
        </w:rPr>
      </w:pPr>
      <w:r>
        <w:rPr>
          <w:rFonts w:cs="宋体"/>
          <w:b w:val="0"/>
          <w:color w:val="auto"/>
          <w:sz w:val="36"/>
          <w:szCs w:val="36"/>
          <w:highlight w:val="none"/>
        </w:rPr>
      </w:r>
      <w:r/>
    </w:p>
    <w:p>
      <w:pPr>
        <w:jc w:val="center"/>
        <w:spacing w:line="360" w:lineRule="auto"/>
        <w:rPr>
          <w:rFonts w:ascii="宋体" w:hAnsi="宋体" w:cs="宋体"/>
          <w:b/>
          <w:color w:val="auto"/>
          <w:sz w:val="36"/>
          <w:szCs w:val="36"/>
          <w:highlight w:val="none"/>
        </w:rPr>
        <w:sectPr>
          <w:headerReference w:type="first" r:id="rId11"/>
          <w:footerReference w:type="default" r:id="rId17"/>
          <w:footerReference w:type="first" r:id="rId18"/>
          <w:footnotePr/>
          <w:endnotePr/>
          <w:type w:val="nextPage"/>
          <w:pgSz w:w="11905" w:h="16838" w:orient="portrait"/>
          <w:pgMar w:top="1440" w:right="1800" w:bottom="1440" w:left="1800" w:header="851" w:footer="850" w:gutter="0"/>
          <w:pgNumType w:start="1"/>
          <w:cols w:num="1" w:sep="0" w:space="0" w:equalWidth="1"/>
          <w:docGrid w:linePitch="360"/>
          <w:titlePg/>
        </w:sectPr>
        <w:outlineLvl w:val="0"/>
      </w:pPr>
      <w:r>
        <w:rPr>
          <w:rFonts w:ascii="宋体" w:hAnsi="宋体" w:cs="宋体"/>
          <w:b/>
          <w:color w:val="auto"/>
          <w:sz w:val="36"/>
          <w:szCs w:val="36"/>
          <w:highlight w:val="none"/>
        </w:rPr>
      </w:r>
      <w:r/>
    </w:p>
    <w:p>
      <w:pPr>
        <w:jc w:val="center"/>
        <w:spacing w:line="360" w:lineRule="auto"/>
        <w:rPr>
          <w:rFonts w:ascii="宋体" w:hAnsi="宋体" w:cs="宋体"/>
          <w:b/>
          <w:color w:val="auto"/>
          <w:sz w:val="36"/>
          <w:szCs w:val="36"/>
          <w:highlight w:val="none"/>
        </w:rPr>
        <w:outlineLvl w:val="0"/>
      </w:pPr>
      <w:r/>
      <w:bookmarkStart w:id="4" w:name="_Toc20454"/>
      <w:r>
        <w:rPr>
          <w:rFonts w:hint="eastAsia" w:ascii="宋体" w:hAnsi="宋体" w:cs="宋体"/>
          <w:b/>
          <w:color w:val="auto"/>
          <w:sz w:val="36"/>
          <w:szCs w:val="36"/>
          <w:highlight w:val="none"/>
        </w:rPr>
        <w:t xml:space="preserve">第一章   采购邀请</w:t>
      </w:r>
      <w:bookmarkEnd w:id="4"/>
      <w:r/>
      <w:bookmarkStart w:id="5" w:name="_Toc28359079"/>
      <w:r/>
      <w:bookmarkStart w:id="6" w:name="_Toc35393790"/>
      <w:r/>
      <w:bookmarkStart w:id="7" w:name="_Toc28359002"/>
      <w:r/>
      <w:bookmarkStart w:id="8" w:name="_Toc35393621"/>
      <w:r/>
      <w:bookmarkStart w:id="9" w:name="_Hlk24379207"/>
      <w:r/>
      <w:r/>
    </w:p>
    <w:p>
      <w:pPr>
        <w:pStyle w:val="1271"/>
        <w:ind w:firstLine="482"/>
        <w:jc w:val="left"/>
        <w:spacing w:before="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bookmarkEnd w:id="5"/>
      <w:r/>
      <w:bookmarkEnd w:id="6"/>
      <w:r/>
      <w:bookmarkEnd w:id="7"/>
      <w:r/>
      <w:bookmarkEnd w:id="8"/>
      <w:r/>
      <w:r/>
    </w:p>
    <w:p>
      <w:pPr>
        <w:ind w:firstLine="480"/>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1.项目编号/包号：</w:t>
      </w:r>
      <w:r>
        <w:rPr>
          <w:rFonts w:hint="eastAsia" w:ascii="宋体" w:hAnsi="宋体" w:cs="宋体"/>
          <w:color w:val="auto"/>
          <w:sz w:val="24"/>
          <w:highlight w:val="none"/>
          <w:lang w:eastAsia="zh-CN"/>
        </w:rPr>
        <w:t xml:space="preserve">JSZC-320400-CZRB-C2026-0023</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2.项目名称：江苏省常州技师学院网络安全实训工作站项目</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3.采购方式：竞争性磋商</w:t>
      </w:r>
      <w:bookmarkEnd w:id="9"/>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4.项目预算金额：人民币250万元；项目最高限价：人民币250万元</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5.采购需求：本项目拟采购一套集人工智能应用开发、云安全实践与网络安全实训于一体的人才培养服务，构建“在线实训环境、课程资源、项目场景、师资赋能、考核评价、运营管理”一体化教学体系。供应商须提供统一的AI应用开发与在线实训环境，配套六个由易到难的项目化实训场景及完整课程资源，支持学生开展知识库、工作流、智能体、日志分析和安全检测等实践。通过教师培训、学生试点、成果答辩和运营移交，形成可持续开课、可实操训练、可量化评价、可迭代发展的人工智能与网络安全人才培养能力。</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6.合同履行期限：合同签订后180日内完成</w:t>
      </w:r>
      <w:bookmarkStart w:id="10" w:name="_Hlk238205835"/>
      <w:r>
        <w:rPr>
          <w:rFonts w:hint="eastAsia" w:ascii="宋体" w:hAnsi="宋体" w:cs="宋体"/>
          <w:color w:val="auto"/>
          <w:sz w:val="24"/>
          <w:highlight w:val="none"/>
        </w:rPr>
        <w:t xml:space="preserve">在线实训环境交付</w:t>
      </w:r>
      <w:bookmarkEnd w:id="10"/>
      <w:r>
        <w:rPr>
          <w:rFonts w:hint="eastAsia" w:ascii="宋体" w:hAnsi="宋体" w:cs="宋体"/>
          <w:color w:val="auto"/>
          <w:sz w:val="24"/>
          <w:highlight w:val="none"/>
        </w:rPr>
        <w:t xml:space="preserve">、课程交付、师资培训、学生试点、成果答辩与运营移交等全部内容。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7.本项目是否接受联合体：否。</w:t>
      </w:r>
      <w:r/>
    </w:p>
    <w:p>
      <w:pPr>
        <w:pStyle w:val="1271"/>
        <w:ind w:firstLine="482"/>
        <w:jc w:val="left"/>
        <w:spacing w:before="0" w:line="400" w:lineRule="exact"/>
        <w:rPr>
          <w:rFonts w:ascii="宋体" w:hAnsi="宋体" w:eastAsia="宋体" w:cs="宋体"/>
          <w:color w:val="auto"/>
          <w:sz w:val="24"/>
          <w:szCs w:val="24"/>
          <w:highlight w:val="none"/>
        </w:rPr>
      </w:pPr>
      <w:r/>
      <w:bookmarkStart w:id="11" w:name="_Toc35393622"/>
      <w:r/>
      <w:bookmarkStart w:id="12" w:name="_Toc35393791"/>
      <w:r/>
      <w:bookmarkStart w:id="13" w:name="_Toc28359080"/>
      <w:r/>
      <w:bookmarkStart w:id="14" w:name="_Toc28359003"/>
      <w:r>
        <w:rPr>
          <w:rFonts w:hint="eastAsia" w:ascii="宋体" w:hAnsi="宋体" w:eastAsia="宋体" w:cs="宋体"/>
          <w:color w:val="auto"/>
          <w:sz w:val="24"/>
          <w:szCs w:val="24"/>
          <w:highlight w:val="none"/>
        </w:rPr>
        <w:t xml:space="preserve">二、申请人的资格要求（须同时满足）</w:t>
      </w:r>
      <w:bookmarkEnd w:id="11"/>
      <w:r/>
      <w:bookmarkEnd w:id="12"/>
      <w:r/>
      <w:bookmarkEnd w:id="13"/>
      <w:r/>
      <w:bookmarkEnd w:id="14"/>
      <w:r/>
      <w:r/>
    </w:p>
    <w:p>
      <w:pPr>
        <w:ind w:firstLine="480"/>
        <w:spacing w:line="400" w:lineRule="exact"/>
        <w:rPr>
          <w:rFonts w:ascii="宋体" w:hAnsi="宋体" w:cs="宋体"/>
          <w:color w:val="auto"/>
          <w:sz w:val="24"/>
          <w:highlight w:val="none"/>
        </w:rPr>
      </w:pPr>
      <w:r/>
      <w:bookmarkStart w:id="15" w:name="_Toc28359081"/>
      <w:r/>
      <w:bookmarkStart w:id="16" w:name="_Toc28359004"/>
      <w:r>
        <w:rPr>
          <w:rFonts w:hint="eastAsia" w:ascii="宋体" w:hAnsi="宋体" w:cs="宋体"/>
          <w:color w:val="auto"/>
          <w:sz w:val="24"/>
          <w:highlight w:val="none"/>
        </w:rPr>
        <w:t xml:space="preserve">1.满足《中华人民共和国政府采购法》第二十二条规定以及下列情形：</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2"/>
        <w:spacing w:line="400" w:lineRule="exact"/>
        <w:rPr>
          <w:rFonts w:ascii="宋体" w:hAnsi="宋体" w:cs="宋体"/>
          <w:b/>
          <w:bCs/>
          <w:color w:val="auto"/>
          <w:sz w:val="24"/>
          <w:highlight w:val="none"/>
        </w:rPr>
      </w:pPr>
      <w:r>
        <w:rPr>
          <w:rStyle w:val="1319"/>
          <w:rFonts w:hint="eastAsia" w:ascii="宋体" w:hAnsi="宋体" w:cs="宋体"/>
          <w:color w:val="auto"/>
          <w:sz w:val="24"/>
          <w:highlight w:val="none"/>
        </w:rPr>
        <w:t xml:space="preserve">本项目专门面向中小企业采购。</w:t>
      </w:r>
      <w:r>
        <w:rPr>
          <w:rFonts w:hint="eastAsia" w:ascii="宋体" w:hAnsi="宋体" w:cs="宋体"/>
          <w:b/>
          <w:bCs/>
          <w:color w:val="auto"/>
          <w:sz w:val="24"/>
          <w:highlight w:val="none"/>
        </w:rPr>
        <w:t xml:space="preserve">即：提供的服务全部由符合政策要求的中小企业承接。说明：中小企业包含中型、小型、微型企业，残疾人福利性单位和监狱企业视同小微企业。</w:t>
      </w:r>
      <w:r/>
    </w:p>
    <w:p>
      <w:pPr>
        <w:ind w:firstLine="480"/>
        <w:spacing w:line="400" w:lineRule="exact"/>
        <w:rPr>
          <w:rFonts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400" w:lineRule="exact"/>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3.1本项目是否接受分支机构参与响应：否；</w:t>
      </w:r>
      <w:r/>
    </w:p>
    <w:p>
      <w:pPr>
        <w:ind w:firstLine="480"/>
        <w:spacing w:line="400" w:lineRule="exact"/>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本项目是否属于政府购买服务：否；</w:t>
      </w:r>
      <w:r/>
    </w:p>
    <w:p>
      <w:pPr>
        <w:ind w:firstLine="480"/>
        <w:spacing w:line="400" w:lineRule="exact"/>
        <w:tabs>
          <w:tab w:val="left" w:pos="900" w:leader="none"/>
          <w:tab w:val="left" w:pos="1134" w:leader="none"/>
          <w:tab w:val="left" w:pos="1589" w:leader="none"/>
          <w:tab w:val="left" w:pos="5521" w:leader="none"/>
        </w:tabs>
        <w:rPr>
          <w:rFonts w:ascii="宋体" w:hAnsi="宋体" w:cs="宋体"/>
          <w:color w:val="auto"/>
          <w:sz w:val="24"/>
          <w:highlight w:val="none"/>
          <w:u w:val="single"/>
        </w:rPr>
      </w:pPr>
      <w:r>
        <w:rPr>
          <w:rFonts w:hint="eastAsia" w:ascii="宋体" w:hAnsi="宋体" w:cs="宋体"/>
          <w:color w:val="auto"/>
          <w:sz w:val="24"/>
          <w:highlight w:val="none"/>
        </w:rPr>
        <w:t xml:space="preserve">3.3其他特定资格要求：无。</w:t>
      </w:r>
      <w:bookmarkEnd w:id="15"/>
      <w:r/>
      <w:bookmarkEnd w:id="16"/>
      <w:r/>
      <w:r/>
    </w:p>
    <w:p>
      <w:pPr>
        <w:pStyle w:val="1271"/>
        <w:ind w:firstLine="482"/>
        <w:jc w:val="left"/>
        <w:spacing w:before="0" w:line="400" w:lineRule="exact"/>
        <w:widowControl/>
        <w:rPr>
          <w:rFonts w:ascii="宋体" w:hAnsi="宋体" w:eastAsia="宋体" w:cs="宋体"/>
          <w:color w:val="auto"/>
          <w:sz w:val="24"/>
          <w:szCs w:val="24"/>
          <w:highlight w:val="none"/>
        </w:rPr>
      </w:pPr>
      <w:r/>
      <w:bookmarkStart w:id="17" w:name="_Toc35393623"/>
      <w:r/>
      <w:bookmarkStart w:id="18" w:name="_Toc35393792"/>
      <w:r>
        <w:rPr>
          <w:rFonts w:hint="eastAsia" w:ascii="宋体" w:hAnsi="宋体" w:eastAsia="宋体" w:cs="宋体"/>
          <w:color w:val="auto"/>
          <w:sz w:val="24"/>
          <w:szCs w:val="24"/>
          <w:highlight w:val="none"/>
        </w:rPr>
        <w:t xml:space="preserve">三、获取采购文件</w:t>
      </w:r>
      <w:bookmarkEnd w:id="17"/>
      <w:r/>
      <w:bookmarkEnd w:id="18"/>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lang w:bidi="ar"/>
        </w:rPr>
        <w:t xml:space="preserve">1.时间：</w:t>
      </w:r>
      <w:r>
        <w:rPr>
          <w:rFonts w:hint="eastAsia" w:ascii="宋体" w:hAnsi="宋体" w:cs="宋体"/>
          <w:color w:val="auto"/>
          <w:sz w:val="24"/>
          <w:highlight w:val="none"/>
        </w:rPr>
        <w:t xml:space="preserve">自磋商文件公告发布之日起5个工作日</w:t>
      </w:r>
      <w:r/>
    </w:p>
    <w:p>
      <w:pPr>
        <w:ind w:firstLine="480"/>
        <w:spacing w:line="400" w:lineRule="exact"/>
        <w:rPr>
          <w:rFonts w:ascii="宋体" w:hAnsi="宋体" w:cs="宋体"/>
          <w:color w:val="auto"/>
          <w:sz w:val="24"/>
          <w:highlight w:val="none"/>
        </w:rPr>
      </w:pPr>
      <w:r/>
      <w:bookmarkStart w:id="19" w:name="_Toc35393624"/>
      <w:r/>
      <w:bookmarkStart w:id="20" w:name="_Toc28359005"/>
      <w:r/>
      <w:bookmarkStart w:id="21" w:name="_Toc28359082"/>
      <w:r/>
      <w:bookmarkStart w:id="22" w:name="_Toc35393793"/>
      <w:r>
        <w:rPr>
          <w:rFonts w:hint="eastAsia" w:ascii="宋体" w:hAnsi="宋体" w:cs="宋体"/>
          <w:color w:val="auto"/>
          <w:sz w:val="24"/>
          <w:highlight w:val="none"/>
          <w:lang w:bidi="ar"/>
        </w:rPr>
        <w:t xml:space="preserve">2.地点：“苏采云”政府采购一体化平台</w:t>
      </w:r>
      <w:r/>
    </w:p>
    <w:p>
      <w:pPr>
        <w:ind w:firstLine="480"/>
        <w:jc w:val="left"/>
        <w:spacing w:line="400" w:lineRule="exac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3.方式：在“苏采云”政府采购一体化平台自行下载采购文件</w:t>
      </w:r>
      <w:r/>
    </w:p>
    <w:p>
      <w:pPr>
        <w:ind w:firstLine="48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lang w:bidi="ar"/>
        </w:rPr>
        <w:t xml:space="preserve">4.售价：0元。</w:t>
      </w:r>
      <w:r/>
    </w:p>
    <w:p>
      <w:pPr>
        <w:pStyle w:val="1271"/>
        <w:ind w:firstLine="482"/>
        <w:jc w:val="left"/>
        <w:spacing w:before="0" w:line="4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End w:id="19"/>
      <w:r/>
      <w:bookmarkEnd w:id="20"/>
      <w:r/>
      <w:bookmarkEnd w:id="21"/>
      <w:r/>
      <w:bookmarkEnd w:id="22"/>
      <w:r>
        <w:rPr>
          <w:rFonts w:hint="eastAsia" w:ascii="宋体" w:hAnsi="宋体" w:eastAsia="宋体" w:cs="宋体"/>
          <w:color w:val="auto"/>
          <w:sz w:val="24"/>
          <w:szCs w:val="24"/>
          <w:highlight w:val="none"/>
        </w:rPr>
        <w:t xml:space="preserve">响应文件提交</w:t>
      </w:r>
      <w:r/>
    </w:p>
    <w:p>
      <w:pPr>
        <w:ind w:firstLine="480"/>
        <w:spacing w:line="400" w:lineRule="exact"/>
        <w:rPr>
          <w:rFonts w:ascii="宋体" w:hAnsi="宋体" w:cs="宋体"/>
          <w:bCs/>
          <w:color w:val="auto"/>
          <w:sz w:val="24"/>
          <w:highlight w:val="none"/>
          <w:u w:val="single"/>
        </w:rPr>
      </w:pPr>
      <w:r>
        <w:rPr>
          <w:rFonts w:hint="eastAsia" w:ascii="宋体" w:hAnsi="宋体" w:cs="宋体"/>
          <w:color w:val="auto"/>
          <w:sz w:val="24"/>
          <w:highlight w:val="none"/>
          <w:lang w:bidi="ar"/>
        </w:rPr>
        <w:t xml:space="preserve">截止时间：</w:t>
      </w:r>
      <w:r>
        <w:rPr>
          <w:rFonts w:hint="eastAsia" w:ascii="宋体" w:hAnsi="宋体" w:cs="宋体"/>
          <w:color w:val="auto"/>
          <w:sz w:val="24"/>
          <w:highlight w:val="none"/>
          <w:u w:val="single"/>
        </w:rPr>
        <w:t xml:space="preserve">2026年</w:t>
      </w:r>
      <w:r>
        <w:rPr>
          <w:rFonts w:hint="eastAsia" w:ascii="宋体" w:hAnsi="宋体" w:cs="宋体"/>
          <w:color w:val="auto"/>
          <w:sz w:val="24"/>
          <w:highlight w:val="none"/>
          <w:u w:val="single"/>
          <w:lang w:eastAsia="zh-CN"/>
        </w:rPr>
        <w:t xml:space="preserve">9月11日</w:t>
      </w:r>
      <w:r>
        <w:rPr>
          <w:rFonts w:hint="eastAsia" w:ascii="宋体" w:hAnsi="宋体" w:cs="宋体"/>
          <w:color w:val="auto"/>
          <w:sz w:val="24"/>
          <w:highlight w:val="none"/>
          <w:u w:val="single"/>
        </w:rPr>
        <w:t xml:space="preserve">14点</w:t>
      </w:r>
      <w:r>
        <w:rPr>
          <w:rFonts w:hint="eastAsia" w:ascii="宋体" w:hAnsi="宋体" w:cs="宋体"/>
          <w:color w:val="auto"/>
          <w:sz w:val="24"/>
          <w:highlight w:val="none"/>
          <w:u w:val="single"/>
          <w:lang w:val="en-US" w:eastAsia="zh-CN"/>
        </w:rPr>
        <w:t xml:space="preserve">00</w:t>
      </w:r>
      <w:r>
        <w:rPr>
          <w:rFonts w:hint="eastAsia" w:ascii="宋体" w:hAnsi="宋体" w:cs="宋体"/>
          <w:color w:val="auto"/>
          <w:sz w:val="24"/>
          <w:highlight w:val="none"/>
          <w:u w:val="single"/>
        </w:rPr>
        <w:t xml:space="preserve">分</w:t>
      </w:r>
      <w:r>
        <w:rPr>
          <w:rFonts w:hint="eastAsia" w:ascii="宋体" w:hAnsi="宋体" w:cs="宋体"/>
          <w:bCs/>
          <w:color w:val="auto"/>
          <w:sz w:val="24"/>
          <w:highlight w:val="none"/>
          <w:u w:val="single"/>
          <w:lang w:bidi="ar"/>
        </w:rPr>
        <w:t xml:space="preserve">（北京时间）</w:t>
      </w:r>
      <w:r>
        <w:rPr>
          <w:rFonts w:hint="eastAsia" w:ascii="宋体" w:hAnsi="宋体" w:cs="宋体"/>
          <w:iCs/>
          <w:color w:val="auto"/>
          <w:sz w:val="24"/>
          <w:highlight w:val="none"/>
          <w:lang w:bidi="ar"/>
        </w:rPr>
        <w:t xml:space="preserve">。</w:t>
      </w:r>
      <w:r/>
    </w:p>
    <w:p>
      <w:pPr>
        <w:ind w:firstLine="480"/>
        <w:spacing w:line="400" w:lineRule="exact"/>
        <w:rPr>
          <w:rFonts w:ascii="宋体" w:hAnsi="宋体" w:cs="宋体"/>
          <w:color w:val="auto"/>
          <w:sz w:val="24"/>
          <w:highlight w:val="none"/>
          <w:lang w:val="zh-TW" w:bidi="ar"/>
        </w:rPr>
      </w:pPr>
      <w:r>
        <w:rPr>
          <w:rFonts w:hint="eastAsia" w:ascii="宋体" w:hAnsi="宋体" w:cs="宋体"/>
          <w:color w:val="auto"/>
          <w:sz w:val="24"/>
          <w:highlight w:val="none"/>
          <w:lang w:bidi="ar"/>
        </w:rPr>
        <w:t xml:space="preserve">地点：</w:t>
      </w:r>
      <w:r>
        <w:rPr>
          <w:rFonts w:hint="eastAsia" w:ascii="宋体" w:hAnsi="宋体" w:cs="宋体"/>
          <w:color w:val="auto"/>
          <w:sz w:val="24"/>
          <w:highlight w:val="none"/>
          <w:u w:val="single"/>
        </w:rPr>
        <w:t xml:space="preserve">“苏采云”政府采购一体化平台</w:t>
      </w:r>
      <w:r/>
    </w:p>
    <w:p>
      <w:pPr>
        <w:pStyle w:val="1271"/>
        <w:ind w:firstLine="482"/>
        <w:jc w:val="left"/>
        <w:spacing w:before="0"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五、开启</w:t>
      </w:r>
      <w:r/>
    </w:p>
    <w:p>
      <w:pPr>
        <w:ind w:firstLine="480"/>
        <w:spacing w:line="400" w:lineRule="exact"/>
        <w:rPr>
          <w:rFonts w:ascii="宋体" w:hAnsi="宋体" w:cs="宋体"/>
          <w:bCs/>
          <w:color w:val="auto"/>
          <w:sz w:val="24"/>
          <w:highlight w:val="none"/>
          <w:u w:val="single"/>
        </w:rPr>
      </w:pPr>
      <w:r>
        <w:rPr>
          <w:rFonts w:hint="eastAsia" w:ascii="宋体" w:hAnsi="宋体" w:cs="宋体"/>
          <w:color w:val="auto"/>
          <w:sz w:val="24"/>
          <w:highlight w:val="none"/>
          <w:lang w:bidi="ar"/>
        </w:rPr>
        <w:t xml:space="preserve">时间：</w:t>
      </w:r>
      <w:r>
        <w:rPr>
          <w:rFonts w:hint="eastAsia" w:ascii="宋体" w:hAnsi="宋体" w:cs="宋体"/>
          <w:color w:val="auto"/>
          <w:sz w:val="24"/>
          <w:highlight w:val="none"/>
          <w:u w:val="single"/>
        </w:rPr>
        <w:t xml:space="preserve">2026年</w:t>
      </w:r>
      <w:r>
        <w:rPr>
          <w:rFonts w:hint="eastAsia" w:ascii="宋体" w:hAnsi="宋体" w:cs="宋体"/>
          <w:color w:val="auto"/>
          <w:sz w:val="24"/>
          <w:highlight w:val="none"/>
          <w:u w:val="single"/>
          <w:lang w:eastAsia="zh-CN"/>
        </w:rPr>
        <w:t xml:space="preserve">9月11日</w:t>
      </w:r>
      <w:r>
        <w:rPr>
          <w:rFonts w:hint="eastAsia" w:ascii="宋体" w:hAnsi="宋体" w:cs="宋体"/>
          <w:color w:val="auto"/>
          <w:sz w:val="24"/>
          <w:highlight w:val="none"/>
          <w:u w:val="single"/>
        </w:rPr>
        <w:t xml:space="preserve">14点</w:t>
      </w:r>
      <w:r>
        <w:rPr>
          <w:rFonts w:hint="eastAsia" w:ascii="宋体" w:hAnsi="宋体" w:cs="宋体"/>
          <w:color w:val="auto"/>
          <w:sz w:val="24"/>
          <w:highlight w:val="none"/>
          <w:u w:val="single"/>
          <w:lang w:val="en-US" w:eastAsia="zh-CN"/>
        </w:rPr>
        <w:t xml:space="preserve">00</w:t>
      </w:r>
      <w:r>
        <w:rPr>
          <w:rFonts w:hint="eastAsia" w:ascii="宋体" w:hAnsi="宋体" w:cs="宋体"/>
          <w:color w:val="auto"/>
          <w:sz w:val="24"/>
          <w:highlight w:val="none"/>
          <w:u w:val="single"/>
        </w:rPr>
        <w:t xml:space="preserve">分</w:t>
      </w:r>
      <w:r>
        <w:rPr>
          <w:rFonts w:hint="eastAsia" w:ascii="宋体" w:hAnsi="宋体" w:cs="宋体"/>
          <w:bCs/>
          <w:color w:val="auto"/>
          <w:sz w:val="24"/>
          <w:highlight w:val="none"/>
          <w:u w:val="single"/>
          <w:lang w:bidi="ar"/>
        </w:rPr>
        <w:t xml:space="preserve">（北京时间）</w:t>
      </w:r>
      <w:r>
        <w:rPr>
          <w:rFonts w:hint="eastAsia" w:ascii="宋体" w:hAnsi="宋体" w:cs="宋体"/>
          <w:iCs/>
          <w:color w:val="auto"/>
          <w:sz w:val="24"/>
          <w:highlight w:val="none"/>
          <w:lang w:bidi="ar"/>
        </w:rPr>
        <w:t xml:space="preserve">。</w:t>
      </w:r>
      <w:r/>
    </w:p>
    <w:p>
      <w:pPr>
        <w:ind w:firstLine="480"/>
        <w:spacing w:line="400" w:lineRule="exact"/>
        <w:rPr>
          <w:rFonts w:ascii="宋体" w:hAnsi="宋体" w:cs="宋体"/>
          <w:color w:val="auto"/>
          <w:sz w:val="24"/>
          <w:highlight w:val="none"/>
          <w:lang w:val="zh-TW" w:bidi="ar"/>
        </w:rPr>
      </w:pPr>
      <w:r>
        <w:rPr>
          <w:rFonts w:hint="eastAsia" w:ascii="宋体" w:hAnsi="宋体" w:cs="宋体"/>
          <w:color w:val="auto"/>
          <w:sz w:val="24"/>
          <w:highlight w:val="none"/>
          <w:lang w:bidi="ar"/>
        </w:rPr>
        <w:t xml:space="preserve">地点：</w:t>
      </w:r>
      <w:r>
        <w:rPr>
          <w:rFonts w:hint="eastAsia" w:ascii="宋体" w:hAnsi="宋体" w:cs="宋体"/>
          <w:color w:val="auto"/>
          <w:sz w:val="24"/>
          <w:highlight w:val="none"/>
          <w:u w:val="single"/>
        </w:rPr>
        <w:t xml:space="preserve">“苏采云”政府采购一体化平台</w:t>
      </w:r>
      <w:r/>
    </w:p>
    <w:p>
      <w:pPr>
        <w:pStyle w:val="1271"/>
        <w:ind w:firstLine="482"/>
        <w:jc w:val="left"/>
        <w:spacing w:before="0" w:line="400" w:lineRule="exact"/>
        <w:rPr>
          <w:rFonts w:ascii="宋体" w:hAnsi="宋体" w:eastAsia="宋体" w:cs="宋体"/>
          <w:color w:val="auto"/>
          <w:sz w:val="24"/>
          <w:szCs w:val="24"/>
          <w:highlight w:val="none"/>
        </w:rPr>
      </w:pPr>
      <w:r/>
      <w:bookmarkStart w:id="23" w:name="_Toc35393794"/>
      <w:r/>
      <w:bookmarkStart w:id="24" w:name="_Toc28359007"/>
      <w:r/>
      <w:bookmarkStart w:id="25" w:name="_Toc35393625"/>
      <w:r/>
      <w:bookmarkStart w:id="26" w:name="_Toc28359084"/>
      <w:r>
        <w:rPr>
          <w:rFonts w:hint="eastAsia" w:ascii="宋体" w:hAnsi="宋体" w:eastAsia="宋体" w:cs="宋体"/>
          <w:color w:val="auto"/>
          <w:sz w:val="24"/>
          <w:szCs w:val="24"/>
          <w:highlight w:val="none"/>
        </w:rPr>
        <w:t xml:space="preserve">六、公告期限</w:t>
      </w:r>
      <w:bookmarkEnd w:id="23"/>
      <w:r/>
      <w:bookmarkEnd w:id="24"/>
      <w:r/>
      <w:bookmarkEnd w:id="25"/>
      <w:r/>
      <w:bookmarkEnd w:id="26"/>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pStyle w:val="1271"/>
        <w:ind w:firstLine="482"/>
        <w:jc w:val="left"/>
        <w:spacing w:before="0" w:line="400" w:lineRule="exact"/>
        <w:rPr>
          <w:rFonts w:ascii="宋体" w:hAnsi="宋体" w:eastAsia="宋体" w:cs="宋体"/>
          <w:color w:val="auto"/>
          <w:sz w:val="24"/>
          <w:szCs w:val="24"/>
          <w:highlight w:val="none"/>
        </w:rPr>
      </w:pPr>
      <w:r/>
      <w:bookmarkStart w:id="27" w:name="_Toc35393795"/>
      <w:r/>
      <w:bookmarkStart w:id="28" w:name="_Toc35393626"/>
      <w:r>
        <w:rPr>
          <w:rFonts w:hint="eastAsia" w:ascii="宋体" w:hAnsi="宋体" w:eastAsia="宋体" w:cs="宋体"/>
          <w:color w:val="auto"/>
          <w:sz w:val="24"/>
          <w:szCs w:val="24"/>
          <w:highlight w:val="none"/>
        </w:rPr>
        <w:t xml:space="preserve">七、其他补充事宜</w:t>
      </w:r>
      <w:bookmarkEnd w:id="27"/>
      <w:r/>
      <w:bookmarkEnd w:id="28"/>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1.本项目需要落实的政府采购政策：</w:t>
      </w:r>
      <w:r>
        <w:rPr>
          <w:rFonts w:hint="eastAsia" w:ascii="宋体" w:hAnsi="宋体" w:cs="宋体"/>
          <w:color w:val="auto"/>
          <w:sz w:val="24"/>
          <w:highlight w:val="none"/>
          <w:lang w:bidi="ar"/>
        </w:rPr>
        <w:t xml:space="preserve">__/__。</w:t>
      </w:r>
      <w:r/>
    </w:p>
    <w:p>
      <w:pPr>
        <w:ind w:firstLine="480"/>
        <w:spacing w:line="400" w:lineRule="exact"/>
        <w:rPr>
          <w:rFonts w:ascii="宋体" w:hAnsi="宋体" w:cs="宋体"/>
          <w:color w:val="auto"/>
          <w:sz w:val="24"/>
          <w:highlight w:val="none"/>
          <w:lang w:bidi="ar"/>
        </w:rPr>
      </w:pPr>
      <w:r/>
      <w:bookmarkStart w:id="29" w:name="_Toc35393627"/>
      <w:r/>
      <w:bookmarkStart w:id="30" w:name="_Toc28359008"/>
      <w:r/>
      <w:bookmarkStart w:id="31" w:name="_Toc28359085"/>
      <w:r/>
      <w:bookmarkStart w:id="32" w:name="_Toc35393796"/>
      <w:r>
        <w:rPr>
          <w:rFonts w:hint="eastAsia" w:ascii="宋体" w:hAnsi="宋体" w:cs="宋体"/>
          <w:color w:val="auto"/>
          <w:sz w:val="24"/>
          <w:highlight w:val="none"/>
          <w:lang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技术支持服务热线    0519-85588210</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CA认证证书办理  联系电话   0519-85588120</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2.1办理CA认证证书</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供应商登录“苏采云”政府采购一体化平台“新CA办理指南”，按照程序要求办理</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2.2注册</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供应商登录“苏采云”政府采购一体化平台下载“用户注册”查阅后进行自助注册。</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2.3控件、客户端下载</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供应商登录“苏采云”政府采购一体化平台下载、安装驱动。</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2.4 获取电子磋商文件</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供应商持CA数字认证证书登录“苏采云”政府采购一体化平台获取电子磋商文件。未在规定期限内通过“苏采云”政府采购一体化平台获取磋商文件的响应无效。</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2.5编制电子响应文件</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2.6提交电子响应文件</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供应商应于投标截止时间前在“苏采云”政府采购一体化平台提交电子响应文件，上传电子响应文件过程中请保持与互联网的连接畅通。</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2.7电子开标</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供应商使用CA认证证书登录“苏采云”政府采购交易系统网上开标大厅进行电子化不见面开标。</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2.8注意事项</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3.关于常州市中小企业政府采购信用融资：</w:t>
      </w:r>
      <w:r/>
    </w:p>
    <w:p>
      <w:pPr>
        <w:ind w:firstLine="480"/>
        <w:spacing w:line="400" w:lineRule="exact"/>
        <w:rPr>
          <w:rFonts w:ascii="宋体" w:hAnsi="宋体" w:cs="宋体"/>
          <w:color w:val="auto"/>
          <w:sz w:val="24"/>
          <w:highlight w:val="none"/>
          <w:lang w:bidi="ar"/>
        </w:rPr>
      </w:pPr>
      <w:r>
        <w:rPr>
          <w:rFonts w:hint="eastAsia" w:ascii="宋体" w:hAnsi="宋体" w:cs="宋体"/>
          <w:color w:val="auto"/>
          <w:sz w:val="24"/>
          <w:highlight w:val="none"/>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八、对本项目提出询问，请按以下方式联系。</w:t>
      </w:r>
      <w:bookmarkEnd w:id="29"/>
      <w:r/>
      <w:bookmarkEnd w:id="30"/>
      <w:r/>
      <w:bookmarkEnd w:id="31"/>
      <w:r/>
      <w:bookmarkEnd w:id="32"/>
      <w:r/>
      <w:r/>
    </w:p>
    <w:p>
      <w:pPr>
        <w:ind w:firstLine="482"/>
        <w:jc w:val="left"/>
        <w:spacing w:line="40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1.采购人信息</w:t>
      </w:r>
      <w:r/>
    </w:p>
    <w:p>
      <w:pPr>
        <w:ind w:firstLine="480"/>
        <w:jc w:val="left"/>
        <w:spacing w:line="400" w:lineRule="exact"/>
        <w:rPr>
          <w:rFonts w:ascii="宋体" w:hAnsi="宋体" w:cs="宋体"/>
          <w:color w:val="auto"/>
          <w:sz w:val="24"/>
          <w:highlight w:val="none"/>
        </w:rPr>
      </w:pPr>
      <w:r/>
      <w:bookmarkStart w:id="33" w:name="_Toc28359009"/>
      <w:r/>
      <w:bookmarkStart w:id="34" w:name="_Toc28359086"/>
      <w:r>
        <w:rPr>
          <w:rFonts w:hint="eastAsia" w:ascii="宋体" w:hAnsi="宋体" w:cs="宋体"/>
          <w:color w:val="auto"/>
          <w:sz w:val="24"/>
          <w:highlight w:val="none"/>
        </w:rPr>
        <w:t xml:space="preserve">名称：江苏省常州技师学院</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地址：江苏省常州市新北区嫩江路8号</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联系方式：姚老师 0519-81162006</w:t>
      </w:r>
      <w:r/>
    </w:p>
    <w:p>
      <w:pPr>
        <w:ind w:firstLine="482"/>
        <w:jc w:val="left"/>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2.采购代理机构信息</w:t>
      </w:r>
      <w:bookmarkEnd w:id="33"/>
      <w:r/>
      <w:bookmarkEnd w:id="34"/>
      <w:r/>
      <w:r/>
    </w:p>
    <w:p>
      <w:pPr>
        <w:ind w:firstLine="480"/>
        <w:spacing w:line="400" w:lineRule="exact"/>
        <w:rPr>
          <w:rFonts w:hint="eastAsia" w:ascii="宋体" w:hAnsi="宋体" w:eastAsia="宋体" w:cs="宋体"/>
          <w:bCs/>
          <w:color w:val="auto"/>
          <w:sz w:val="24"/>
          <w:highlight w:val="none"/>
          <w:lang w:eastAsia="zh-CN"/>
        </w:rPr>
      </w:pPr>
      <w:r/>
      <w:bookmarkStart w:id="35" w:name="_Toc28359010"/>
      <w:r/>
      <w:bookmarkStart w:id="36" w:name="_Toc28359087"/>
      <w:r>
        <w:rPr>
          <w:rFonts w:hint="eastAsia" w:ascii="宋体" w:hAnsi="宋体" w:cs="宋体"/>
          <w:bCs/>
          <w:color w:val="auto"/>
          <w:sz w:val="24"/>
          <w:highlight w:val="none"/>
        </w:rPr>
        <w:t xml:space="preserve">名称：</w:t>
      </w:r>
      <w:r>
        <w:rPr>
          <w:rFonts w:hint="eastAsia" w:ascii="宋体" w:hAnsi="宋体" w:cs="宋体"/>
          <w:bCs/>
          <w:color w:val="auto"/>
          <w:sz w:val="24"/>
          <w:highlight w:val="none"/>
          <w:lang w:eastAsia="zh-CN"/>
        </w:rPr>
        <w:t xml:space="preserve">常州润邦招标代理有限公司</w:t>
      </w:r>
      <w:r/>
    </w:p>
    <w:p>
      <w:pPr>
        <w:ind w:firstLine="480"/>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地址：</w:t>
      </w:r>
      <w:r>
        <w:rPr>
          <w:rFonts w:hint="eastAsia" w:ascii="宋体" w:hAnsi="宋体" w:cs="宋体"/>
          <w:bCs/>
          <w:color w:val="auto"/>
          <w:sz w:val="24"/>
          <w:highlight w:val="none"/>
          <w:lang w:eastAsia="zh-CN"/>
        </w:rPr>
        <w:t xml:space="preserve">常州市飞龙东路108号-304室（翠园世家商业街三楼）</w:t>
      </w:r>
      <w:r/>
    </w:p>
    <w:p>
      <w:pPr>
        <w:ind w:firstLine="480"/>
        <w:spacing w:line="40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0519-81881991</w:t>
      </w:r>
      <w:r/>
    </w:p>
    <w:p>
      <w:pPr>
        <w:ind w:firstLine="482"/>
        <w:spacing w:line="400" w:lineRule="exact"/>
        <w:rPr>
          <w:rFonts w:ascii="宋体" w:hAnsi="宋体" w:cs="宋体"/>
          <w:b/>
          <w:color w:val="auto"/>
          <w:sz w:val="24"/>
          <w:highlight w:val="none"/>
          <w:u w:val="single"/>
        </w:rPr>
      </w:pPr>
      <w:r>
        <w:rPr>
          <w:rFonts w:hint="eastAsia" w:ascii="宋体" w:hAnsi="宋体" w:cs="宋体"/>
          <w:b/>
          <w:color w:val="auto"/>
          <w:sz w:val="24"/>
          <w:highlight w:val="none"/>
        </w:rPr>
        <w:t xml:space="preserve">3.项目联系方式</w:t>
      </w:r>
      <w:bookmarkEnd w:id="35"/>
      <w:r/>
      <w:bookmarkEnd w:id="36"/>
      <w:r/>
      <w:r/>
    </w:p>
    <w:p>
      <w:pPr>
        <w:pStyle w:val="1296"/>
        <w:ind w:firstLine="480"/>
        <w:spacing w:line="400" w:lineRule="exact"/>
        <w:rPr>
          <w:rFonts w:hint="eastAsia" w:hAnsi="宋体" w:eastAsia="宋体" w:cs="宋体"/>
          <w:color w:val="auto"/>
          <w:sz w:val="24"/>
          <w:highlight w:val="none"/>
          <w:lang w:eastAsia="zh-CN" w:bidi="ar"/>
        </w:rPr>
      </w:pPr>
      <w:r>
        <w:rPr>
          <w:rFonts w:hAnsi="宋体" w:cs="宋体"/>
          <w:color w:val="auto"/>
          <w:sz w:val="24"/>
          <w:szCs w:val="24"/>
          <w:highlight w:val="none"/>
        </w:rPr>
        <w:t xml:space="preserve">项目联系人：</w:t>
      </w:r>
      <w:r>
        <w:rPr>
          <w:rFonts w:hint="eastAsia" w:hAnsi="宋体" w:cs="宋体"/>
          <w:color w:val="auto"/>
          <w:sz w:val="24"/>
          <w:szCs w:val="24"/>
          <w:highlight w:val="none"/>
          <w:lang w:eastAsia="zh-CN"/>
        </w:rPr>
        <w:t xml:space="preserve">赵婷</w:t>
      </w:r>
      <w:r/>
    </w:p>
    <w:p>
      <w:pPr>
        <w:pStyle w:val="1296"/>
        <w:ind w:firstLine="480"/>
        <w:spacing w:line="400" w:lineRule="exact"/>
        <w:rPr>
          <w:rFonts w:hint="eastAsia" w:hAnsi="宋体" w:eastAsia="宋体" w:cs="宋体"/>
          <w:color w:val="auto"/>
          <w:sz w:val="24"/>
          <w:highlight w:val="none"/>
          <w:lang w:eastAsia="zh-CN"/>
        </w:rPr>
      </w:pPr>
      <w:r>
        <w:rPr>
          <w:rFonts w:hAnsi="宋体" w:cs="宋体"/>
          <w:color w:val="auto"/>
          <w:sz w:val="24"/>
          <w:highlight w:val="none"/>
        </w:rPr>
        <w:t xml:space="preserve">电话：</w:t>
      </w:r>
      <w:r>
        <w:rPr>
          <w:rFonts w:hint="eastAsia" w:hAnsi="宋体" w:cs="宋体"/>
          <w:bCs/>
          <w:color w:val="auto"/>
          <w:sz w:val="24"/>
          <w:highlight w:val="none"/>
          <w:lang w:eastAsia="zh-CN"/>
        </w:rPr>
        <w:t xml:space="preserve">0519-81881991</w:t>
      </w:r>
      <w:r>
        <w:rPr>
          <w:rFonts w:hint="eastAsia" w:hAnsi="宋体" w:eastAsia="宋体" w:cs="宋体"/>
          <w:color w:val="auto"/>
          <w:sz w:val="24"/>
          <w:highlight w:val="none"/>
          <w:lang w:eastAsia="zh-CN"/>
        </w:rPr>
      </w:r>
      <w:r/>
    </w:p>
    <w:p>
      <w:pPr>
        <w:pStyle w:val="1281"/>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b/>
          <w:color w:val="auto"/>
          <w:sz w:val="36"/>
          <w:szCs w:val="36"/>
          <w:highlight w:val="none"/>
        </w:rPr>
      </w:pPr>
      <w:r/>
      <w:bookmarkStart w:id="37" w:name="_Toc353873938"/>
      <w:r/>
      <w:bookmarkStart w:id="38" w:name="_Toc226965856"/>
      <w:r/>
      <w:bookmarkStart w:id="39" w:name="_Toc195842950"/>
      <w:r/>
      <w:bookmarkStart w:id="40" w:name="_Toc127151777"/>
      <w:r/>
      <w:bookmarkStart w:id="41" w:name="_Toc150774783"/>
      <w:r/>
      <w:bookmarkStart w:id="42" w:name="_Toc32074"/>
      <w:r/>
      <w:bookmarkStart w:id="43" w:name="_Toc305158854"/>
      <w:r/>
      <w:bookmarkStart w:id="44" w:name="_Toc127161488"/>
      <w:r/>
      <w:bookmarkStart w:id="45" w:name="_Toc264969275"/>
      <w:r/>
      <w:bookmarkStart w:id="46" w:name="_Toc305158928"/>
      <w:r/>
      <w:bookmarkStart w:id="47" w:name="_Toc353825548"/>
      <w:r/>
      <w:bookmarkStart w:id="48" w:name="_Toc512937850"/>
      <w:r/>
      <w:bookmarkStart w:id="49" w:name="_Toc265228423"/>
      <w:r>
        <w:rPr>
          <w:rFonts w:hint="eastAsia" w:ascii="宋体" w:hAnsi="宋体" w:cs="宋体"/>
          <w:b/>
          <w:color w:val="auto"/>
          <w:sz w:val="36"/>
          <w:szCs w:val="36"/>
          <w:highlight w:val="none"/>
        </w:rPr>
        <w:br w:type="page" w:clear="all"/>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6"/>
          <w:szCs w:val="36"/>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1271"/>
        <w:spacing w:before="0" w:line="360" w:lineRule="auto"/>
        <w:tabs>
          <w:tab w:val="center" w:pos="4592" w:leader="none"/>
          <w:tab w:val="left" w:pos="7860" w:leader="none"/>
        </w:tabs>
        <w:rPr>
          <w:rFonts w:ascii="宋体" w:hAnsi="宋体" w:eastAsia="宋体" w:cs="宋体"/>
          <w:b w:val="0"/>
          <w:color w:val="auto"/>
          <w:sz w:val="28"/>
          <w:highlight w:val="none"/>
        </w:rPr>
      </w:pPr>
      <w:r/>
      <w:bookmarkStart w:id="50" w:name="_Toc151193833"/>
      <w:r/>
      <w:bookmarkStart w:id="51" w:name="_Toc150774619"/>
      <w:r/>
      <w:bookmarkStart w:id="52" w:name="_Toc127161433"/>
      <w:r/>
      <w:bookmarkStart w:id="53" w:name="_Toc164608788"/>
      <w:r/>
      <w:bookmarkStart w:id="54" w:name="_Toc520356144"/>
      <w:r/>
      <w:bookmarkStart w:id="55" w:name="_Toc142311021"/>
      <w:r/>
      <w:bookmarkStart w:id="56" w:name="_Toc151193907"/>
      <w:r/>
      <w:bookmarkStart w:id="57" w:name="_Toc150509270"/>
      <w:r/>
      <w:bookmarkStart w:id="58" w:name="_Toc226965792"/>
      <w:r/>
      <w:bookmarkStart w:id="59" w:name="_Toc226309763"/>
      <w:r/>
      <w:bookmarkStart w:id="60" w:name="_Toc164608633"/>
      <w:r/>
      <w:bookmarkStart w:id="61" w:name="_Toc164351613"/>
      <w:r/>
      <w:bookmarkStart w:id="62" w:name="_Toc151193689"/>
      <w:r/>
      <w:bookmarkStart w:id="63" w:name="_Toc164229214"/>
      <w:r/>
      <w:bookmarkStart w:id="64" w:name="_Toc150774724"/>
      <w:r/>
      <w:bookmarkStart w:id="65" w:name="_Toc150480757"/>
      <w:r/>
      <w:bookmarkStart w:id="66" w:name="_Toc127151519"/>
      <w:r/>
      <w:bookmarkStart w:id="67" w:name="_Toc226965709"/>
      <w:r/>
      <w:bookmarkStart w:id="68" w:name="_Toc151190146"/>
      <w:r/>
      <w:bookmarkStart w:id="69" w:name="_Toc164229360"/>
      <w:r/>
      <w:bookmarkStart w:id="70" w:name="_Toc151193761"/>
      <w:r/>
      <w:bookmarkStart w:id="71" w:name="_Toc149720812"/>
      <w:r/>
      <w:bookmarkStart w:id="72" w:name="_Toc226337215"/>
      <w:r/>
      <w:bookmarkStart w:id="73" w:name="_Toc151193617"/>
      <w:r/>
      <w:bookmarkStart w:id="74" w:name="_Toc195842884"/>
      <w:r/>
      <w:bookmarkStart w:id="75" w:name="_Toc127151720"/>
      <w:r>
        <w:rPr>
          <w:rFonts w:hint="eastAsia" w:ascii="宋体" w:hAnsi="宋体" w:eastAsia="宋体" w:cs="宋体"/>
          <w:color w:val="auto"/>
          <w:sz w:val="28"/>
          <w:highlight w:val="none"/>
        </w:rPr>
        <w:t xml:space="preserve">供应商须知资料表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本表是对供应商须知的具体补充和修改，如有矛盾，均以本资料表为准。标记“</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”的选项意为适用于本项目，标记“</w:t>
      </w:r>
      <w:r>
        <w:rPr>
          <w:rFonts w:hint="eastAsia" w:ascii="宋体" w:hAnsi="宋体" w:cs="宋体"/>
          <w:color w:val="auto"/>
          <w:highlight w:val="none"/>
        </w:rPr>
        <w:t xml:space="preserve">□</w:t>
      </w:r>
      <w:r>
        <w:rPr>
          <w:rFonts w:hint="eastAsia" w:ascii="宋体" w:hAnsi="宋体" w:cs="宋体"/>
          <w:color w:val="auto"/>
          <w:sz w:val="24"/>
          <w:highlight w:val="none"/>
        </w:rPr>
        <w:t xml:space="preserve">”的选项意为不适用于本项目。</w:t>
      </w:r>
      <w:r/>
    </w:p>
    <w:tbl>
      <w:tblPr>
        <w:tblStyle w:val="1280"/>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6006"/>
      </w:tblGrid>
      <w:tr>
        <w:trPr>
          <w:jc w:val="center"/>
          <w:trHeight w:val="680"/>
          <w:tblHeader/>
        </w:trPr>
        <w:tc>
          <w:tcPr>
            <w:tcW w:w="98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6006"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680"/>
        </w:trPr>
        <w:tc>
          <w:tcPr>
            <w:tcW w:w="988"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服务</w:t>
            </w:r>
            <w:r/>
          </w:p>
          <w:p>
            <w:pPr>
              <w:jc w:val="left"/>
              <w:rPr>
                <w:rFonts w:ascii="宋体" w:hAnsi="宋体" w:cs="宋体"/>
                <w:color w:val="auto"/>
                <w:sz w:val="24"/>
                <w:highlight w:val="none"/>
              </w:rPr>
            </w:pPr>
            <w:r>
              <w:rPr>
                <w:rFonts w:hint="eastAsia" w:ascii="宋体" w:hAnsi="宋体" w:cs="宋体"/>
                <w:color w:val="auto"/>
                <w:sz w:val="24"/>
                <w:highlight w:val="none"/>
              </w:rPr>
              <w:t xml:space="preserve">□货物</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□工程</w:t>
            </w:r>
            <w:r/>
          </w:p>
        </w:tc>
      </w:tr>
      <w:tr>
        <w:trPr>
          <w:jc w:val="center"/>
          <w:trHeight w:val="680"/>
        </w:trPr>
        <w:tc>
          <w:tcPr>
            <w:tcW w:w="988"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2.3</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rPr>
                <w:rFonts w:ascii="宋体" w:hAnsi="宋体" w:cs="宋体"/>
                <w:color w:val="auto"/>
                <w:sz w:val="24"/>
                <w:highlight w:val="none"/>
              </w:rPr>
            </w:pPr>
            <w:r>
              <w:rPr>
                <w:rFonts w:hint="eastAsia" w:ascii="宋体" w:hAnsi="宋体" w:cs="宋体"/>
                <w:color w:val="auto"/>
                <w:sz w:val="24"/>
                <w:highlight w:val="none"/>
              </w:rPr>
              <w:t xml:space="preserve">□是</w:t>
            </w:r>
            <w:r/>
          </w:p>
          <w:p>
            <w:pPr>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w:t>
            </w:r>
            <w:r/>
          </w:p>
        </w:tc>
      </w:tr>
      <w:tr>
        <w:trPr>
          <w:jc w:val="center"/>
          <w:trHeight w:val="680"/>
        </w:trPr>
        <w:tc>
          <w:tcPr>
            <w:tcW w:w="988" w:type="dxa"/>
            <w:vAlign w:val="center"/>
            <w:vMerge w:val="restart"/>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不组织</w:t>
            </w:r>
            <w:r/>
          </w:p>
          <w:p>
            <w:pPr>
              <w:jc w:val="left"/>
              <w:rPr>
                <w:rFonts w:ascii="宋体" w:hAnsi="宋体" w:cs="宋体"/>
                <w:bCs/>
                <w:color w:val="auto"/>
                <w:sz w:val="24"/>
                <w:highlight w:val="none"/>
              </w:rPr>
            </w:pPr>
            <w:r>
              <w:rPr>
                <w:rFonts w:hint="eastAsia" w:ascii="宋体" w:hAnsi="宋体" w:cs="宋体"/>
                <w:color w:val="auto"/>
                <w:sz w:val="24"/>
                <w:highlight w:val="none"/>
              </w:rPr>
              <w:t xml:space="preserve">□组织，考察时间：_/__</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rPr>
              <w:t xml:space="preserve">_/_</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分</w:t>
            </w:r>
            <w:r/>
          </w:p>
          <w:p>
            <w:pPr>
              <w:pStyle w:val="1296"/>
              <w:rPr>
                <w:rFonts w:hint="default" w:hAnsi="宋体" w:cs="宋体"/>
                <w:color w:val="auto"/>
                <w:sz w:val="24"/>
                <w:szCs w:val="24"/>
                <w:highlight w:val="none"/>
              </w:rPr>
            </w:pPr>
            <w:r>
              <w:rPr>
                <w:rFonts w:hAnsi="宋体" w:cs="宋体"/>
                <w:color w:val="auto"/>
                <w:sz w:val="24"/>
                <w:szCs w:val="24"/>
                <w:highlight w:val="none"/>
              </w:rPr>
              <w:t xml:space="preserve">考察地点：_____/______。</w:t>
            </w:r>
            <w:r/>
          </w:p>
        </w:tc>
      </w:tr>
      <w:tr>
        <w:trPr>
          <w:jc w:val="center"/>
          <w:trHeight w:val="680"/>
        </w:trPr>
        <w:tc>
          <w:tcPr>
            <w:tcW w:w="988" w:type="dxa"/>
            <w:vAlign w:val="center"/>
            <w:vMerge w:val="continue"/>
            <w:textDirection w:val="lrTb"/>
            <w:noWrap w:val="false"/>
          </w:tcPr>
          <w:p>
            <w:pPr>
              <w:pStyle w:val="1296"/>
              <w:jc w:val="center"/>
              <w:rPr>
                <w:rFonts w:hint="default" w:hAnsi="宋体" w:cs="宋体"/>
                <w:color w:val="auto"/>
                <w:sz w:val="24"/>
                <w:szCs w:val="24"/>
                <w:highlight w:val="none"/>
              </w:rPr>
            </w:pPr>
            <w:r>
              <w:rPr>
                <w:rFonts w:hint="default" w:hAnsi="宋体" w:cs="宋体"/>
                <w:color w:val="auto"/>
                <w:sz w:val="24"/>
                <w:szCs w:val="24"/>
                <w:highlight w:val="none"/>
              </w:rPr>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磋商前答疑会</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不召开</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□召开，召开时间：__/_</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rPr>
              <w:t xml:space="preserve">_/__</w:t>
            </w:r>
            <w:r>
              <w:rPr>
                <w:rFonts w:hint="eastAsia" w:ascii="宋体" w:hAnsi="宋体" w:cs="宋体"/>
                <w:color w:val="auto"/>
                <w:sz w:val="24"/>
                <w:highlight w:val="none"/>
                <w:lang w:bidi="ar"/>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召开地点：______/_____。</w:t>
            </w:r>
            <w:r/>
          </w:p>
        </w:tc>
      </w:tr>
      <w:tr>
        <w:trPr>
          <w:jc w:val="center"/>
          <w:trHeight w:val="680"/>
        </w:trPr>
        <w:tc>
          <w:tcPr>
            <w:tcW w:w="988"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4.2.5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color w:val="auto"/>
                <w:sz w:val="24"/>
                <w:highlight w:val="none"/>
                <w:u w:val="single"/>
              </w:rPr>
              <w:t xml:space="preserve">其他未列明行业</w:t>
            </w:r>
            <w:r/>
          </w:p>
        </w:tc>
      </w:tr>
      <w:tr>
        <w:trPr>
          <w:jc w:val="center"/>
          <w:trHeight w:val="680"/>
        </w:trPr>
        <w:tc>
          <w:tcPr>
            <w:tcW w:w="988"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10.2</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报价</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报价的特殊规定：</w:t>
            </w:r>
            <w:r/>
          </w:p>
          <w:p>
            <w:pPr>
              <w:jc w:val="left"/>
              <w:rPr>
                <w:rFonts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有，具体情形：</w:t>
            </w:r>
            <w:r>
              <w:rPr>
                <w:rFonts w:hint="eastAsia" w:ascii="宋体" w:hAnsi="宋体" w:cs="宋体"/>
                <w:color w:val="auto"/>
                <w:sz w:val="24"/>
                <w:highlight w:val="none"/>
                <w:u w:val="single"/>
              </w:rPr>
              <w:t xml:space="preserve">本项目采用2次报价，响应文件的报价作为首次报价，评审时，磋商小组应当要求所有实质性响应的供应商在规定时间内提交最终报价。</w:t>
            </w:r>
            <w:r>
              <w:rPr>
                <w:rFonts w:hint="eastAsia" w:ascii="宋体" w:hAnsi="宋体" w:cs="宋体"/>
                <w:b/>
                <w:bCs/>
                <w:color w:val="auto"/>
                <w:sz w:val="24"/>
                <w:highlight w:val="none"/>
                <w:u w:val="single"/>
              </w:rPr>
              <w:t xml:space="preserve">（未提交最终报价的供应商，系统自动按无效响应处理）</w:t>
            </w:r>
            <w:r/>
          </w:p>
        </w:tc>
      </w:tr>
      <w:tr>
        <w:trPr>
          <w:jc w:val="center"/>
          <w:trHeight w:val="680"/>
        </w:trPr>
        <w:tc>
          <w:tcPr>
            <w:tcW w:w="988"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11.1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磋商保证金</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680"/>
        </w:trPr>
        <w:tc>
          <w:tcPr>
            <w:tcW w:w="988"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12.1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自提交响应文件的截止之日起算</w:t>
            </w:r>
            <w:r>
              <w:rPr>
                <w:rFonts w:hint="eastAsia" w:ascii="宋体" w:hAnsi="宋体" w:cs="宋体"/>
                <w:color w:val="auto"/>
                <w:sz w:val="24"/>
                <w:highlight w:val="none"/>
                <w:u w:val="single"/>
              </w:rPr>
              <w:t xml:space="preserve">60</w:t>
            </w:r>
            <w:r>
              <w:rPr>
                <w:rFonts w:hint="eastAsia" w:ascii="宋体" w:hAnsi="宋体" w:cs="宋体"/>
                <w:color w:val="auto"/>
                <w:sz w:val="24"/>
                <w:highlight w:val="none"/>
              </w:rPr>
              <w:t xml:space="preserve">日历天。</w:t>
            </w:r>
            <w:r/>
          </w:p>
        </w:tc>
      </w:tr>
      <w:tr>
        <w:trPr>
          <w:jc w:val="center"/>
          <w:trHeight w:val="680"/>
        </w:trPr>
        <w:tc>
          <w:tcPr>
            <w:tcW w:w="988"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23.5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分包</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本项目是否允许分包： </w:t>
            </w:r>
            <w:r/>
          </w:p>
          <w:p>
            <w:pPr>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不允许</w:t>
            </w:r>
            <w:r/>
          </w:p>
          <w:p>
            <w:pPr>
              <w:jc w:val="left"/>
              <w:rPr>
                <w:rFonts w:ascii="宋体" w:hAnsi="宋体" w:cs="宋体"/>
                <w:color w:val="auto"/>
                <w:sz w:val="24"/>
                <w:highlight w:val="none"/>
              </w:rPr>
            </w:pPr>
            <w:r>
              <w:rPr>
                <w:rFonts w:hint="eastAsia" w:ascii="宋体" w:hAnsi="宋体" w:cs="宋体"/>
                <w:color w:val="auto"/>
                <w:sz w:val="24"/>
                <w:highlight w:val="none"/>
              </w:rPr>
              <w:t xml:space="preserve">□允许，具体要求：____/___。</w:t>
            </w:r>
            <w:r/>
          </w:p>
          <w:p>
            <w:pPr>
              <w:jc w:val="left"/>
              <w:rPr>
                <w:rFonts w:ascii="宋体" w:hAnsi="宋体" w:cs="宋体"/>
                <w:color w:val="auto"/>
                <w:sz w:val="24"/>
                <w:highlight w:val="none"/>
              </w:rPr>
            </w:pPr>
            <w:r>
              <w:rPr>
                <w:rFonts w:hint="eastAsia" w:ascii="宋体" w:hAnsi="宋体" w:cs="宋体"/>
                <w:color w:val="auto"/>
                <w:sz w:val="24"/>
                <w:highlight w:val="none"/>
              </w:rPr>
              <w:t xml:space="preserve">（1）可以分包履行的具体内容：___/____；</w:t>
            </w:r>
            <w:r/>
          </w:p>
          <w:p>
            <w:pPr>
              <w:jc w:val="left"/>
              <w:rPr>
                <w:rFonts w:ascii="宋体" w:hAnsi="宋体" w:cs="宋体"/>
                <w:color w:val="auto"/>
                <w:sz w:val="24"/>
                <w:highlight w:val="none"/>
              </w:rPr>
            </w:pPr>
            <w:r>
              <w:rPr>
                <w:rFonts w:hint="eastAsia" w:ascii="宋体" w:hAnsi="宋体" w:cs="宋体"/>
                <w:color w:val="auto"/>
                <w:sz w:val="24"/>
                <w:highlight w:val="none"/>
              </w:rPr>
              <w:t xml:space="preserve">（2）允许分包的金额或者比例：___/____；</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（3）其他要求：____/___。</w:t>
            </w:r>
            <w:r/>
          </w:p>
        </w:tc>
      </w:tr>
      <w:tr>
        <w:trPr>
          <w:jc w:val="center"/>
          <w:trHeight w:val="680"/>
        </w:trPr>
        <w:tc>
          <w:tcPr>
            <w:tcW w:w="988"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24.1.1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询问</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询问送达形式：书面形式。</w:t>
            </w:r>
            <w:r/>
          </w:p>
        </w:tc>
      </w:tr>
      <w:tr>
        <w:trPr>
          <w:jc w:val="center"/>
          <w:trHeight w:val="680"/>
        </w:trPr>
        <w:tc>
          <w:tcPr>
            <w:tcW w:w="988"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24.3</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联系方式</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bCs/>
                <w:color w:val="auto"/>
                <w:sz w:val="24"/>
                <w:highlight w:val="none"/>
                <w:lang w:eastAsia="zh-CN"/>
              </w:rPr>
              <w:t xml:space="preserve">常州润邦招标代理有限公司</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bCs/>
                <w:color w:val="auto"/>
                <w:sz w:val="24"/>
                <w:highlight w:val="none"/>
                <w:lang w:eastAsia="zh-CN"/>
              </w:rPr>
              <w:t xml:space="preserve">0519-81881991</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bCs/>
                <w:color w:val="auto"/>
                <w:sz w:val="24"/>
                <w:highlight w:val="none"/>
                <w:lang w:eastAsia="zh-CN"/>
              </w:rPr>
              <w:t xml:space="preserve">常州市飞龙东路108号-304室（翠园世家商业街三楼）</w:t>
            </w:r>
            <w:r>
              <w:rPr>
                <w:rFonts w:hint="eastAsia" w:ascii="宋体" w:hAnsi="宋体" w:cs="宋体"/>
                <w:color w:val="auto"/>
                <w:sz w:val="24"/>
                <w:highlight w:val="none"/>
              </w:rPr>
              <w:t xml:space="preserve">。</w:t>
            </w:r>
            <w:r/>
          </w:p>
        </w:tc>
      </w:tr>
      <w:tr>
        <w:trPr>
          <w:jc w:val="center"/>
          <w:trHeight w:val="680"/>
        </w:trPr>
        <w:tc>
          <w:tcPr>
            <w:tcW w:w="988"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25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代理费</w:t>
            </w:r>
            <w:r/>
          </w:p>
        </w:tc>
        <w:tc>
          <w:tcPr>
            <w:tcW w:w="6006"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收费对象：</w:t>
            </w:r>
            <w:r/>
          </w:p>
          <w:p>
            <w:pPr>
              <w:jc w:val="left"/>
              <w:rPr>
                <w:rFonts w:ascii="宋体" w:hAnsi="宋体" w:cs="宋体"/>
                <w:color w:val="auto"/>
                <w:sz w:val="24"/>
                <w:highlight w:val="none"/>
              </w:rPr>
            </w:pPr>
            <w:r>
              <w:rPr>
                <w:rFonts w:hint="eastAsia" w:ascii="宋体" w:hAnsi="宋体" w:cs="宋体"/>
                <w:color w:val="auto"/>
                <w:sz w:val="24"/>
                <w:highlight w:val="none"/>
              </w:rPr>
              <w:t xml:space="preserve">□采购人</w:t>
            </w:r>
            <w:r/>
          </w:p>
          <w:p>
            <w:pPr>
              <w:jc w:val="left"/>
              <w:rPr>
                <w:rFonts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成交供应商</w:t>
            </w:r>
            <w:r/>
          </w:p>
          <w:p>
            <w:pPr>
              <w:rPr>
                <w:rFonts w:ascii="宋体" w:hAnsi="宋体" w:cs="宋体"/>
                <w:color w:val="auto"/>
                <w:sz w:val="24"/>
                <w:highlight w:val="none"/>
              </w:rPr>
            </w:pPr>
            <w:r>
              <w:rPr>
                <w:rFonts w:hint="eastAsia" w:ascii="宋体" w:hAnsi="宋体" w:cs="宋体"/>
                <w:color w:val="auto"/>
                <w:sz w:val="24"/>
                <w:highlight w:val="none"/>
              </w:rPr>
              <w:t xml:space="preserve">收费标准：以成交金额为基数，收费比例按差额定率累进法计算，100万元以下部分0.6%，100万元（含）-500万元部分0.32%。代理服务费不足2500元的，按2500元收取。</w:t>
            </w:r>
            <w:r/>
          </w:p>
          <w:p>
            <w:pPr>
              <w:jc w:val="left"/>
              <w:rPr>
                <w:rFonts w:ascii="宋体" w:hAnsi="宋体" w:cs="宋体"/>
                <w:color w:val="auto"/>
                <w:sz w:val="24"/>
                <w:highlight w:val="none"/>
              </w:rPr>
            </w:pPr>
            <w:r>
              <w:rPr>
                <w:rFonts w:hint="eastAsia" w:ascii="宋体" w:hAnsi="宋体" w:cs="宋体"/>
                <w:color w:val="auto"/>
                <w:sz w:val="24"/>
                <w:highlight w:val="none"/>
              </w:rPr>
              <w:t xml:space="preserve">缴纳时间：成交供应商领取中标通知书前须向采购代理机构缴纳采购服务费。</w:t>
            </w:r>
            <w:r/>
          </w:p>
        </w:tc>
      </w:tr>
      <w:tr>
        <w:trPr>
          <w:jc w:val="center"/>
          <w:trHeight w:val="680"/>
        </w:trPr>
        <w:tc>
          <w:tcPr>
            <w:tcW w:w="988" w:type="dxa"/>
            <w:vAlign w:val="center"/>
            <w:textDirection w:val="lrTb"/>
            <w:noWrap w:val="false"/>
          </w:tcPr>
          <w:p>
            <w:pPr>
              <w:pStyle w:val="1296"/>
              <w:jc w:val="center"/>
              <w:rPr>
                <w:rFonts w:hint="default" w:hAnsi="宋体" w:cs="宋体"/>
                <w:color w:val="auto"/>
                <w:sz w:val="24"/>
                <w:szCs w:val="24"/>
                <w:highlight w:val="none"/>
              </w:rPr>
            </w:pPr>
            <w:r>
              <w:rPr>
                <w:rFonts w:hAnsi="宋体" w:cs="宋体"/>
                <w:color w:val="auto"/>
                <w:sz w:val="24"/>
                <w:szCs w:val="24"/>
                <w:highlight w:val="none"/>
              </w:rPr>
              <w:t xml:space="preserve">26</w:t>
            </w:r>
            <w:r/>
          </w:p>
        </w:tc>
        <w:tc>
          <w:tcPr>
            <w:shd w:val="clear" w:color="auto" w:fill="auto"/>
            <w:tcW w:w="1701" w:type="dxa"/>
            <w:vAlign w:val="center"/>
            <w:textDirection w:val="lrTb"/>
            <w:noWrap w:val="false"/>
          </w:tcPr>
          <w:p>
            <w:pPr>
              <w:jc w:val="center"/>
              <w:spacing w:line="40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纸质中标</w:t>
            </w:r>
            <w:r>
              <w:rPr>
                <w:rFonts w:hint="eastAsia" w:ascii="宋体" w:hAnsi="宋体" w:cs="宋体"/>
                <w:color w:val="auto"/>
                <w:sz w:val="24"/>
                <w:highlight w:val="none"/>
              </w:rPr>
              <w:t xml:space="preserve">（成交）</w:t>
            </w:r>
            <w:r>
              <w:rPr>
                <w:rFonts w:ascii="宋体" w:hAnsi="宋体" w:cs="宋体"/>
                <w:color w:val="auto"/>
                <w:sz w:val="24"/>
                <w:highlight w:val="none"/>
              </w:rPr>
              <w:t xml:space="preserve">文件</w:t>
            </w:r>
            <w:r/>
          </w:p>
        </w:tc>
        <w:tc>
          <w:tcPr>
            <w:shd w:val="clear" w:color="auto" w:fill="auto"/>
            <w:tcW w:w="6006" w:type="dxa"/>
            <w:vAlign w:val="center"/>
            <w:textDirection w:val="lrTb"/>
            <w:noWrap w:val="false"/>
          </w:tcPr>
          <w:p>
            <w:pPr>
              <w:spacing w:line="400" w:lineRule="exact"/>
              <w:rPr>
                <w:rFonts w:ascii="宋体" w:hAnsi="宋体" w:cs="宋体"/>
                <w:color w:val="auto"/>
                <w:sz w:val="24"/>
                <w:highlight w:val="none"/>
              </w:rPr>
            </w:pPr>
            <w:r>
              <w:rPr>
                <w:rFonts w:hint="eastAsia"/>
                <w:b/>
                <w:bCs/>
                <w:color w:val="auto"/>
                <w:sz w:val="24"/>
                <w:highlight w:val="none"/>
              </w:rPr>
              <w:t xml:space="preserve">成交供应商</w:t>
            </w:r>
            <w:r>
              <w:rPr>
                <w:rFonts w:hint="eastAsia"/>
                <w:color w:val="auto"/>
                <w:sz w:val="24"/>
                <w:highlight w:val="none"/>
              </w:rPr>
              <w:t xml:space="preserve">在中标结果公告后需递交与电子响应文件内容一致的</w:t>
            </w:r>
            <w:r>
              <w:rPr>
                <w:rFonts w:hint="eastAsia"/>
                <w:b/>
                <w:bCs/>
                <w:color w:val="auto"/>
                <w:sz w:val="24"/>
                <w:highlight w:val="none"/>
              </w:rPr>
              <w:t xml:space="preserve">纸质响应文件两份（需打印清晰，标注目录及页码）</w:t>
            </w:r>
            <w:r>
              <w:rPr>
                <w:rFonts w:hint="eastAsia"/>
                <w:color w:val="auto"/>
                <w:sz w:val="24"/>
                <w:highlight w:val="none"/>
              </w:rPr>
              <w:t xml:space="preserve">，作为项目归档使用。</w:t>
            </w:r>
            <w:r/>
          </w:p>
        </w:tc>
      </w:tr>
    </w:tbl>
    <w:p>
      <w:pPr>
        <w:jc w:val="both"/>
        <w:spacing w:line="360" w:lineRule="auto"/>
        <w:tabs>
          <w:tab w:val="left" w:pos="5580" w:leader="none"/>
        </w:tabs>
        <w:rPr>
          <w:rFonts w:ascii="宋体" w:hAnsi="宋体" w:cs="宋体"/>
          <w:color w:val="auto"/>
          <w:sz w:val="24"/>
          <w:highlight w:val="none"/>
        </w:rPr>
        <w:sectPr>
          <w:footerReference w:type="default" r:id="rId19"/>
          <w:footerReference w:type="first" r:id="rId20"/>
          <w:footnotePr/>
          <w:endnotePr/>
          <w:type w:val="nextPage"/>
          <w:pgSz w:w="11905" w:h="16838" w:orient="portrait"/>
          <w:pgMar w:top="1440" w:right="1800" w:bottom="1440" w:left="1800" w:header="851" w:footer="850" w:gutter="0"/>
          <w:cols w:num="1" w:sep="0" w:space="0" w:equalWidth="1"/>
          <w:docGrid w:linePitch="360"/>
          <w:titlePg/>
        </w:sectPr>
      </w:pPr>
      <w:r>
        <w:rPr>
          <w:rFonts w:ascii="宋体" w:hAnsi="宋体" w:cs="宋体"/>
          <w:color w:val="auto"/>
          <w:sz w:val="24"/>
          <w:highlight w:val="none"/>
        </w:rPr>
      </w:r>
      <w:r/>
    </w:p>
    <w:p>
      <w:pPr>
        <w:jc w:val="center"/>
        <w:spacing w:before="240" w:after="240"/>
        <w:rPr>
          <w:rFonts w:ascii="宋体" w:hAnsi="宋体" w:cs="宋体"/>
          <w:b/>
          <w:color w:val="auto"/>
          <w:sz w:val="28"/>
          <w:szCs w:val="28"/>
          <w:highlight w:val="none"/>
        </w:rPr>
      </w:pPr>
      <w:r>
        <w:rPr>
          <w:rFonts w:hint="eastAsia" w:ascii="宋体" w:hAnsi="宋体" w:cs="宋体"/>
          <w:b/>
          <w:color w:val="auto"/>
          <w:sz w:val="28"/>
          <w:szCs w:val="28"/>
          <w:highlight w:val="none"/>
        </w:rPr>
        <w:t xml:space="preserve">供应商须知</w:t>
      </w:r>
      <w:r/>
    </w:p>
    <w:p>
      <w:pPr>
        <w:pStyle w:val="1271"/>
        <w:spacing w:before="0" w:line="400" w:lineRule="exact"/>
        <w:tabs>
          <w:tab w:val="center" w:pos="4592" w:leader="none"/>
          <w:tab w:val="left" w:pos="7860" w:leader="none"/>
        </w:tabs>
        <w:rPr>
          <w:rFonts w:ascii="宋体" w:hAnsi="宋体" w:eastAsia="宋体" w:cs="宋体"/>
          <w:color w:val="auto"/>
          <w:sz w:val="28"/>
          <w:highlight w:val="none"/>
        </w:rPr>
      </w:pPr>
      <w:r/>
      <w:bookmarkStart w:id="76" w:name="_Toc265228356"/>
      <w:r/>
      <w:bookmarkStart w:id="77" w:name="_Toc151190145"/>
      <w:r/>
      <w:bookmarkStart w:id="78" w:name="_Toc150774723"/>
      <w:r/>
      <w:bookmarkStart w:id="79" w:name="_Toc151193616"/>
      <w:r/>
      <w:bookmarkStart w:id="80" w:name="_Toc226965791"/>
      <w:r/>
      <w:bookmarkStart w:id="81" w:name="_Toc142311020"/>
      <w:r/>
      <w:bookmarkStart w:id="82" w:name="_Toc151193832"/>
      <w:r/>
      <w:bookmarkStart w:id="83" w:name="_Toc226337214"/>
      <w:r/>
      <w:bookmarkStart w:id="84" w:name="_Toc195842883"/>
      <w:r/>
      <w:bookmarkStart w:id="85" w:name="_Toc305158786"/>
      <w:r/>
      <w:bookmarkStart w:id="86" w:name="_Toc226965708"/>
      <w:r/>
      <w:bookmarkStart w:id="87" w:name="_Toc264969208"/>
      <w:r/>
      <w:bookmarkStart w:id="88" w:name="_Toc127151518"/>
      <w:r/>
      <w:bookmarkStart w:id="89" w:name="_Toc151193688"/>
      <w:r/>
      <w:bookmarkStart w:id="90" w:name="_Toc520356143"/>
      <w:r/>
      <w:bookmarkStart w:id="91" w:name="_Toc151193906"/>
      <w:r/>
      <w:bookmarkStart w:id="92" w:name="_Toc150774618"/>
      <w:r/>
      <w:bookmarkStart w:id="93" w:name="_Toc151193760"/>
      <w:r/>
      <w:bookmarkStart w:id="94" w:name="_Toc305158860"/>
      <w:r/>
      <w:bookmarkStart w:id="95" w:name="_Toc150509269"/>
      <w:r/>
      <w:bookmarkStart w:id="96" w:name="_Toc226309762"/>
      <w:r/>
      <w:bookmarkStart w:id="97" w:name="_Toc150480756"/>
      <w:r>
        <w:rPr>
          <w:rFonts w:hint="eastAsia" w:ascii="宋体" w:hAnsi="宋体" w:eastAsia="宋体" w:cs="宋体"/>
          <w:color w:val="auto"/>
          <w:sz w:val="28"/>
          <w:highlight w:val="none"/>
        </w:rPr>
        <w:t xml:space="preserve">一   说  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98" w:name="_Toc305158787"/>
      <w:r/>
      <w:bookmarkStart w:id="99" w:name="_Toc305158861"/>
      <w:r/>
      <w:bookmarkStart w:id="100" w:name="_Toc265228357"/>
      <w:r/>
      <w:bookmarkStart w:id="101" w:name="_Toc264969209"/>
      <w:r>
        <w:rPr>
          <w:rFonts w:hint="eastAsia" w:ascii="宋体" w:hAnsi="宋体" w:cs="宋体"/>
          <w:color w:val="auto"/>
          <w:sz w:val="24"/>
          <w:highlight w:val="none"/>
        </w:rPr>
        <w:t xml:space="preserve">采购人、采购代理机构、供应商</w:t>
      </w:r>
      <w:bookmarkEnd w:id="98"/>
      <w:r/>
      <w:bookmarkEnd w:id="99"/>
      <w:r/>
      <w:bookmarkEnd w:id="100"/>
      <w:r/>
      <w:bookmarkEnd w:id="101"/>
      <w:r>
        <w:rPr>
          <w:rFonts w:hint="eastAsia" w:ascii="宋体" w:hAnsi="宋体" w:cs="宋体"/>
          <w:color w:val="auto"/>
          <w:sz w:val="24"/>
          <w:highlight w:val="none"/>
        </w:rPr>
        <w:t xml:space="preserve">、联合体</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供应商（也称“申请人”）：指向采购人提供货物、工程或者服务的法人、其他组织或者自然人。</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102" w:name="_Toc150774620"/>
      <w:r/>
      <w:bookmarkStart w:id="103" w:name="_Toc151190147"/>
      <w:r/>
      <w:bookmarkStart w:id="104" w:name="_Toc151193908"/>
      <w:r/>
      <w:bookmarkStart w:id="105" w:name="_Toc127161434"/>
      <w:r/>
      <w:bookmarkStart w:id="106" w:name="_Toc151193834"/>
      <w:r/>
      <w:bookmarkStart w:id="107" w:name="_Toc151193762"/>
      <w:r/>
      <w:bookmarkStart w:id="108" w:name="_Toc127151721"/>
      <w:r/>
      <w:bookmarkStart w:id="109" w:name="_Toc150774725"/>
      <w:r/>
      <w:bookmarkStart w:id="110" w:name="_Toc149720813"/>
      <w:r/>
      <w:bookmarkStart w:id="111" w:name="_Toc195842885"/>
      <w:r/>
      <w:bookmarkStart w:id="112" w:name="_Toc164608789"/>
      <w:r/>
      <w:bookmarkStart w:id="113" w:name="_Toc226965710"/>
      <w:r/>
      <w:bookmarkStart w:id="114" w:name="_Toc226309764"/>
      <w:r/>
      <w:bookmarkStart w:id="115" w:name="_Toc265228358"/>
      <w:r/>
      <w:bookmarkStart w:id="116" w:name="_Toc164229215"/>
      <w:r/>
      <w:bookmarkStart w:id="117" w:name="_Toc305158862"/>
      <w:r/>
      <w:bookmarkStart w:id="118" w:name="_Toc151193690"/>
      <w:r/>
      <w:bookmarkStart w:id="119" w:name="_Toc164351614"/>
      <w:r/>
      <w:bookmarkStart w:id="120" w:name="_Toc305158788"/>
      <w:r/>
      <w:bookmarkStart w:id="121" w:name="_Toc142311022"/>
      <w:r/>
      <w:bookmarkStart w:id="122" w:name="_Toc164229361"/>
      <w:r/>
      <w:bookmarkStart w:id="123" w:name="_Toc150480758"/>
      <w:r/>
      <w:bookmarkStart w:id="124" w:name="_Toc226965793"/>
      <w:r/>
      <w:bookmarkStart w:id="125" w:name="_Toc151193618"/>
      <w:r/>
      <w:bookmarkStart w:id="126" w:name="_Toc264969210"/>
      <w:r/>
      <w:bookmarkStart w:id="127" w:name="_Toc164608634"/>
      <w:r/>
      <w:bookmarkStart w:id="128" w:name="_Toc127151520"/>
      <w:r/>
      <w:bookmarkStart w:id="129" w:name="_Toc226337216"/>
      <w:r/>
      <w:bookmarkStart w:id="130" w:name="_Toc150509271"/>
      <w:r>
        <w:rPr>
          <w:rFonts w:hint="eastAsia" w:ascii="宋体" w:hAnsi="宋体" w:cs="宋体"/>
          <w:color w:val="auto"/>
          <w:sz w:val="24"/>
          <w:highlight w:val="none"/>
        </w:rPr>
        <w:t xml:space="preserve">资金来源</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rFonts w:hint="eastAsia" w:ascii="宋体" w:hAnsi="宋体" w:cs="宋体"/>
          <w:color w:val="auto"/>
          <w:sz w:val="24"/>
          <w:highlight w:val="none"/>
        </w:rPr>
        <w:t xml:space="preserve">、项目属性、科研仪器设备采购</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项目属性见《供应商须知资料表》。</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是否属于科研仪器设备采购见《供应商须知资料表》。</w:t>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现场考察、磋商前答疑会</w:t>
      </w:r>
      <w:r/>
    </w:p>
    <w:p>
      <w:pPr>
        <w:numPr>
          <w:ilvl w:val="1"/>
          <w:numId w:val="8"/>
        </w:numPr>
        <w:ind w:left="0" w:firstLine="480"/>
        <w:spacing w:line="400" w:lineRule="exact"/>
        <w:tabs>
          <w:tab w:val="left" w:pos="1080" w:leader="none"/>
          <w:tab w:val="left" w:pos="2014" w:leader="none"/>
        </w:tabs>
        <w:rPr>
          <w:rFonts w:ascii="宋体" w:hAnsi="宋体" w:cs="宋体"/>
          <w:color w:val="auto"/>
          <w:sz w:val="28"/>
          <w:highlight w:val="none"/>
        </w:rPr>
      </w:pPr>
      <w:r>
        <w:rPr>
          <w:rFonts w:hint="eastAsia" w:ascii="宋体" w:hAnsi="宋体" w:cs="宋体"/>
          <w:color w:val="auto"/>
          <w:sz w:val="24"/>
          <w:highlight w:val="none"/>
        </w:rPr>
        <w:t xml:space="preserve">若《供应商须知资料表》中规定了组织现场考察、召开磋商前答疑会，则供应商应按要求在规定的时间和地点参加。</w:t>
      </w:r>
      <w:bookmarkStart w:id="131" w:name="_Toc150774622"/>
      <w:r/>
      <w:bookmarkStart w:id="132" w:name="_Toc142311024"/>
      <w:r/>
      <w:bookmarkStart w:id="133" w:name="_Toc151193764"/>
      <w:r/>
      <w:bookmarkStart w:id="134" w:name="_Toc520356146"/>
      <w:r/>
      <w:bookmarkStart w:id="135" w:name="_Toc226337218"/>
      <w:r/>
      <w:bookmarkStart w:id="136" w:name="_Toc150480760"/>
      <w:r/>
      <w:bookmarkStart w:id="137" w:name="_Toc305158864"/>
      <w:r/>
      <w:bookmarkStart w:id="138" w:name="_Toc195842887"/>
      <w:r/>
      <w:bookmarkStart w:id="139" w:name="_Toc151193692"/>
      <w:r/>
      <w:bookmarkStart w:id="140" w:name="_Toc226965795"/>
      <w:r/>
      <w:bookmarkStart w:id="141" w:name="_Toc127151522"/>
      <w:r/>
      <w:bookmarkStart w:id="142" w:name="_Toc226309766"/>
      <w:r/>
      <w:bookmarkStart w:id="143" w:name="_Toc150774727"/>
      <w:r/>
      <w:bookmarkStart w:id="144" w:name="_Toc151190149"/>
      <w:r/>
      <w:bookmarkStart w:id="145" w:name="_Toc151193910"/>
      <w:r/>
      <w:bookmarkStart w:id="146" w:name="_Toc265228360"/>
      <w:r/>
      <w:bookmarkStart w:id="147" w:name="_Toc226965712"/>
      <w:r/>
      <w:bookmarkStart w:id="148" w:name="_Toc305158790"/>
      <w:r/>
      <w:bookmarkStart w:id="149" w:name="_Toc151193620"/>
      <w:r/>
      <w:bookmarkStart w:id="150" w:name="_Toc264969212"/>
      <w:r/>
      <w:bookmarkStart w:id="151" w:name="_Toc151193836"/>
      <w:r/>
      <w:bookmarkStart w:id="152" w:name="_Toc150509273"/>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政府采购政策（包括但不限于下列具体政策要求）</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进口产品</w:t>
      </w:r>
      <w:r/>
    </w:p>
    <w:p>
      <w:pPr>
        <w:numPr>
          <w:ilvl w:val="2"/>
          <w:numId w:val="8"/>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8"/>
        </w:numPr>
        <w:ind w:firstLine="480"/>
        <w:spacing w:line="400" w:lineRule="exact"/>
        <w:rPr>
          <w:rFonts w:ascii="宋体" w:hAnsi="宋体" w:cs="宋体"/>
          <w:vanish/>
          <w:color w:val="auto"/>
          <w:sz w:val="24"/>
          <w:highlight w:val="none"/>
        </w:rPr>
      </w:pPr>
      <w:r>
        <w:rPr>
          <w:rFonts w:hint="eastAsia" w:ascii="宋体" w:hAnsi="宋体" w:cs="宋体"/>
          <w:color w:val="auto"/>
          <w:sz w:val="24"/>
          <w:highlight w:val="none"/>
        </w:rPr>
        <w:t xml:space="preserve">中小企业定义：</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firstLine="480"/>
        <w:spacing w:line="400" w:lineRule="exact"/>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480"/>
        <w:spacing w:line="400" w:lineRule="exact"/>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480"/>
        <w:spacing w:line="400" w:lineRule="exact"/>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本项目是否专门面向中小企业预留采购份额见第一章《采购邀请》。</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采购标的对应的中小企业划分标准所属行业见《供应商须知资料表》。</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小微企业价格评审优惠的政策调整：见第三章《评审方法和评审标准》。</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支持乡村产业振兴管理</w:t>
      </w:r>
      <w:r/>
    </w:p>
    <w:p>
      <w:pPr>
        <w:numPr>
          <w:ilvl w:val="2"/>
          <w:numId w:val="8"/>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正版软件</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政府采购创新产品政策</w:t>
      </w:r>
      <w:r/>
    </w:p>
    <w:p>
      <w:pPr>
        <w:numPr>
          <w:ilvl w:val="2"/>
          <w:numId w:val="8"/>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 绿色采购政策</w:t>
      </w:r>
      <w:r/>
    </w:p>
    <w:p>
      <w:pPr>
        <w:numPr>
          <w:ilvl w:val="2"/>
          <w:numId w:val="8"/>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firstLine="480"/>
        <w:spacing w:line="400" w:lineRule="exact"/>
        <w:rPr>
          <w:rFonts w:ascii="宋体" w:hAnsi="宋体"/>
          <w:color w:val="auto"/>
          <w:sz w:val="24"/>
          <w:highlight w:val="none"/>
        </w:rPr>
      </w:pPr>
      <w:r>
        <w:rPr>
          <w:rFonts w:hint="eastAsia" w:ascii="宋体" w:hAnsi="宋体" w:cs="宋体"/>
          <w:color w:val="auto"/>
          <w:sz w:val="24"/>
          <w:highlight w:val="none"/>
        </w:rPr>
        <w:t xml:space="preserve">依据《绿色数据中心政府采购需求标准（试行）》（财办库〔2023〕7 号）</w:t>
      </w:r>
      <w:r>
        <w:rPr>
          <w:rFonts w:hint="eastAsia" w:ascii="宋体" w:hAnsi="宋体"/>
          <w:color w:val="auto"/>
          <w:sz w:val="24"/>
          <w:highlight w:val="none"/>
        </w:rPr>
        <w:t xml:space="preserve">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numPr>
          <w:ilvl w:val="2"/>
          <w:numId w:val="8"/>
        </w:numPr>
        <w:ind w:firstLine="480"/>
        <w:spacing w:line="400" w:lineRule="exact"/>
        <w:tabs>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优先使用低挥发性有机化合物产品</w:t>
      </w:r>
      <w:r/>
    </w:p>
    <w:p>
      <w:pPr>
        <w:ind w:firstLine="480"/>
        <w:spacing w:line="400" w:lineRule="exact"/>
        <w:rPr>
          <w:rFonts w:ascii="宋体" w:hAnsi="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w:t>
      </w:r>
      <w:r>
        <w:rPr>
          <w:rFonts w:hint="eastAsia" w:ascii="宋体" w:hAnsi="宋体"/>
          <w:color w:val="auto"/>
          <w:sz w:val="24"/>
          <w:highlight w:val="none"/>
        </w:rPr>
        <w:t xml:space="preserve">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响应费用</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color w:val="auto"/>
          <w:sz w:val="28"/>
          <w:highlight w:val="none"/>
        </w:rPr>
      </w:pPr>
      <w:r/>
      <w:bookmarkStart w:id="153" w:name="_1.8_计量单位"/>
      <w:r/>
      <w:bookmarkEnd w:id="153"/>
      <w:r/>
      <w:r/>
    </w:p>
    <w:p>
      <w:pPr>
        <w:pStyle w:val="1271"/>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二   竞争性磋商文件</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154" w:name="_Toc226965796"/>
      <w:r/>
      <w:bookmarkStart w:id="155" w:name="_Toc226337219"/>
      <w:r/>
      <w:bookmarkStart w:id="156" w:name="_Toc226965713"/>
      <w:r/>
      <w:bookmarkStart w:id="157" w:name="_Toc151193621"/>
      <w:r/>
      <w:bookmarkStart w:id="158" w:name="_Toc149720816"/>
      <w:r/>
      <w:bookmarkStart w:id="159" w:name="_Toc127151523"/>
      <w:r/>
      <w:bookmarkStart w:id="160" w:name="_Toc150774623"/>
      <w:r/>
      <w:bookmarkStart w:id="161" w:name="_Toc226309767"/>
      <w:r/>
      <w:bookmarkStart w:id="162" w:name="_Toc150480761"/>
      <w:r/>
      <w:bookmarkStart w:id="163" w:name="_Toc264969213"/>
      <w:r/>
      <w:bookmarkStart w:id="164" w:name="_Toc150509274"/>
      <w:r/>
      <w:bookmarkStart w:id="165" w:name="_Toc164608792"/>
      <w:r/>
      <w:bookmarkStart w:id="166" w:name="_Toc164229218"/>
      <w:r/>
      <w:bookmarkStart w:id="167" w:name="_Toc195842888"/>
      <w:r/>
      <w:bookmarkStart w:id="168" w:name="_Toc164351617"/>
      <w:r/>
      <w:bookmarkStart w:id="169" w:name="_Toc142311025"/>
      <w:r/>
      <w:bookmarkStart w:id="170" w:name="_Toc151193765"/>
      <w:r/>
      <w:bookmarkStart w:id="171" w:name="_Toc151190150"/>
      <w:r/>
      <w:bookmarkStart w:id="172" w:name="_Toc127151724"/>
      <w:r/>
      <w:bookmarkStart w:id="173" w:name="_Toc305158865"/>
      <w:r/>
      <w:bookmarkStart w:id="174" w:name="_Toc151193837"/>
      <w:r/>
      <w:bookmarkStart w:id="175" w:name="_Toc150774728"/>
      <w:r/>
      <w:bookmarkStart w:id="176" w:name="_Toc151193693"/>
      <w:r/>
      <w:bookmarkStart w:id="177" w:name="_Toc305158791"/>
      <w:r/>
      <w:bookmarkStart w:id="178" w:name="_Toc520356147"/>
      <w:r/>
      <w:bookmarkStart w:id="179" w:name="_Toc164608637"/>
      <w:r/>
      <w:bookmarkStart w:id="180" w:name="_Toc127161437"/>
      <w:r/>
      <w:bookmarkStart w:id="181" w:name="_Toc265228361"/>
      <w:r/>
      <w:bookmarkStart w:id="182" w:name="_Toc164229364"/>
      <w:r/>
      <w:bookmarkStart w:id="183" w:name="_Toc151193911"/>
      <w:r>
        <w:rPr>
          <w:rFonts w:hint="eastAsia" w:ascii="宋体" w:hAnsi="宋体" w:cs="宋体"/>
          <w:color w:val="auto"/>
          <w:sz w:val="24"/>
          <w:highlight w:val="none"/>
        </w:rPr>
        <w:t xml:space="preserve">竞争性磋商文件构</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Pr>
          <w:rFonts w:hint="eastAsia" w:ascii="宋体" w:hAnsi="宋体" w:cs="宋体"/>
          <w:color w:val="auto"/>
          <w:sz w:val="24"/>
          <w:highlight w:val="none"/>
        </w:rPr>
        <w:t xml:space="preserve">成</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竞争性磋商文件包括以下部分：</w:t>
      </w:r>
      <w:r/>
    </w:p>
    <w:p>
      <w:pPr>
        <w:numPr>
          <w:ilvl w:val="0"/>
          <w:numId w:val="9"/>
        </w:numPr>
        <w:ind w:left="0" w:firstLine="480"/>
        <w:spacing w:line="400" w:lineRule="exact"/>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采购邀请</w:t>
      </w:r>
      <w:r/>
    </w:p>
    <w:p>
      <w:pPr>
        <w:numPr>
          <w:ilvl w:val="0"/>
          <w:numId w:val="9"/>
        </w:numPr>
        <w:ind w:left="0" w:firstLine="480"/>
        <w:spacing w:line="400" w:lineRule="exact"/>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供应商须知</w:t>
      </w:r>
      <w:r/>
    </w:p>
    <w:p>
      <w:pPr>
        <w:numPr>
          <w:ilvl w:val="0"/>
          <w:numId w:val="9"/>
        </w:numPr>
        <w:ind w:left="0" w:firstLine="480"/>
        <w:spacing w:line="400" w:lineRule="exact"/>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评审程序、评审方法和评审标准</w:t>
      </w:r>
      <w:r/>
    </w:p>
    <w:p>
      <w:pPr>
        <w:numPr>
          <w:ilvl w:val="0"/>
          <w:numId w:val="9"/>
        </w:numPr>
        <w:ind w:left="0" w:firstLine="480"/>
        <w:spacing w:line="400" w:lineRule="exact"/>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9"/>
        </w:numPr>
        <w:ind w:left="0" w:firstLine="480"/>
        <w:spacing w:line="400" w:lineRule="exact"/>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合同草案条款</w:t>
      </w:r>
      <w:r/>
    </w:p>
    <w:p>
      <w:pPr>
        <w:numPr>
          <w:ilvl w:val="0"/>
          <w:numId w:val="9"/>
        </w:numPr>
        <w:ind w:left="0" w:firstLine="480"/>
        <w:spacing w:line="400" w:lineRule="exact"/>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响应文件格式</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对竞争性磋商文件的澄清或修改</w:t>
      </w:r>
      <w:r/>
    </w:p>
    <w:p>
      <w:pPr>
        <w:numPr>
          <w:ilvl w:val="1"/>
          <w:numId w:val="8"/>
        </w:numPr>
        <w:ind w:left="0" w:firstLine="480"/>
        <w:spacing w:line="400" w:lineRule="exact"/>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400" w:lineRule="exact"/>
        <w:tabs>
          <w:tab w:val="left" w:pos="1080" w:leader="none"/>
          <w:tab w:val="left" w:pos="1561"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400" w:lineRule="exact"/>
        <w:tabs>
          <w:tab w:val="left" w:pos="1080" w:leader="none"/>
          <w:tab w:val="left" w:pos="1561" w:leader="none"/>
        </w:tabs>
        <w:rPr>
          <w:rFonts w:ascii="宋体" w:hAnsi="宋体" w:cs="宋体"/>
          <w:color w:val="auto"/>
          <w:sz w:val="28"/>
          <w:highlight w:val="none"/>
        </w:rPr>
      </w:pPr>
      <w:r/>
      <w:bookmarkStart w:id="184" w:name="_Toc516367020"/>
      <w:r/>
      <w:bookmarkStart w:id="185" w:name="_Toc150480764"/>
      <w:r/>
      <w:bookmarkStart w:id="186" w:name="_Toc151193624"/>
      <w:r/>
      <w:bookmarkStart w:id="187" w:name="_Toc150509277"/>
      <w:r/>
      <w:bookmarkStart w:id="188" w:name="_Toc151190153"/>
      <w:r/>
      <w:bookmarkStart w:id="189" w:name="_Toc150774731"/>
      <w:r/>
      <w:bookmarkStart w:id="190" w:name="_Toc305158868"/>
      <w:r/>
      <w:bookmarkStart w:id="191" w:name="_Toc265228364"/>
      <w:r/>
      <w:bookmarkStart w:id="192" w:name="_Toc142311028"/>
      <w:r/>
      <w:bookmarkStart w:id="193" w:name="_Toc195842891"/>
      <w:r/>
      <w:bookmarkStart w:id="194" w:name="_Toc151193914"/>
      <w:r/>
      <w:bookmarkStart w:id="195" w:name="_Toc151193696"/>
      <w:r/>
      <w:bookmarkStart w:id="196" w:name="_Toc127151526"/>
      <w:r/>
      <w:bookmarkStart w:id="197" w:name="_Toc520356150"/>
      <w:r/>
      <w:bookmarkStart w:id="198" w:name="_Toc151193840"/>
      <w:r/>
      <w:bookmarkStart w:id="199" w:name="_Toc226965799"/>
      <w:r/>
      <w:bookmarkStart w:id="200" w:name="_Toc305158794"/>
      <w:r/>
      <w:bookmarkStart w:id="201" w:name="_Toc151193768"/>
      <w:r/>
      <w:bookmarkStart w:id="202" w:name="_Toc264969216"/>
      <w:r/>
      <w:bookmarkStart w:id="203" w:name="_Toc226337222"/>
      <w:r/>
      <w:bookmarkStart w:id="204" w:name="_Toc226965716"/>
      <w:r/>
      <w:bookmarkStart w:id="205" w:name="_Toc150774626"/>
      <w:r/>
      <w:bookmarkStart w:id="206" w:name="_Toc226309770"/>
      <w:r/>
      <w:r/>
    </w:p>
    <w:p>
      <w:pPr>
        <w:pStyle w:val="1271"/>
        <w:spacing w:before="0" w:line="400" w:lineRule="exact"/>
        <w:rPr>
          <w:rFonts w:ascii="宋体" w:hAnsi="宋体" w:eastAsia="宋体" w:cs="宋体"/>
          <w:color w:val="auto"/>
          <w:sz w:val="28"/>
          <w:highlight w:val="none"/>
        </w:rPr>
      </w:pPr>
      <w:r>
        <w:rPr>
          <w:rFonts w:hint="eastAsia" w:ascii="宋体" w:hAnsi="宋体" w:eastAsia="宋体" w:cs="宋体"/>
          <w:color w:val="auto"/>
          <w:sz w:val="28"/>
          <w:highlight w:val="none"/>
        </w:rPr>
        <w:t xml:space="preserve">三   响应文件</w:t>
      </w:r>
      <w:bookmarkEnd w:id="184"/>
      <w:r>
        <w:rPr>
          <w:rFonts w:hint="eastAsia" w:ascii="宋体" w:hAnsi="宋体" w:eastAsia="宋体" w:cs="宋体"/>
          <w:color w:val="auto"/>
          <w:sz w:val="28"/>
          <w:highlight w:val="none"/>
        </w:rPr>
        <w:t xml:space="preserve">的编制</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207" w:name="_Toc164608796"/>
      <w:r/>
      <w:bookmarkStart w:id="208" w:name="_Toc142311029"/>
      <w:r/>
      <w:bookmarkStart w:id="209" w:name="_Toc127161441"/>
      <w:r/>
      <w:bookmarkStart w:id="210" w:name="_Toc151193625"/>
      <w:r/>
      <w:bookmarkStart w:id="211" w:name="_Toc150509278"/>
      <w:r/>
      <w:bookmarkStart w:id="212" w:name="_Toc195842892"/>
      <w:r/>
      <w:bookmarkStart w:id="213" w:name="_Toc151193697"/>
      <w:r/>
      <w:bookmarkStart w:id="214" w:name="_Toc265228365"/>
      <w:r/>
      <w:bookmarkStart w:id="215" w:name="_Toc226965800"/>
      <w:r/>
      <w:bookmarkStart w:id="216" w:name="_Toc127151527"/>
      <w:r/>
      <w:bookmarkStart w:id="217" w:name="_Toc516367021"/>
      <w:r/>
      <w:bookmarkStart w:id="218" w:name="_Toc150774732"/>
      <w:r/>
      <w:bookmarkStart w:id="219" w:name="_Toc127151728"/>
      <w:r/>
      <w:bookmarkStart w:id="220" w:name="_Toc151190154"/>
      <w:r/>
      <w:bookmarkStart w:id="221" w:name="_Toc164608641"/>
      <w:r/>
      <w:bookmarkStart w:id="222" w:name="_Toc305158795"/>
      <w:r/>
      <w:bookmarkStart w:id="223" w:name="_Toc150480765"/>
      <w:r/>
      <w:bookmarkStart w:id="224" w:name="_Toc264969217"/>
      <w:r/>
      <w:bookmarkStart w:id="225" w:name="_Toc151193769"/>
      <w:r/>
      <w:bookmarkStart w:id="226" w:name="_Toc164351621"/>
      <w:r/>
      <w:bookmarkStart w:id="227" w:name="_Toc151193841"/>
      <w:r/>
      <w:bookmarkStart w:id="228" w:name="_Toc164229368"/>
      <w:r/>
      <w:bookmarkStart w:id="229" w:name="_Toc520356151"/>
      <w:r/>
      <w:bookmarkStart w:id="230" w:name="_Toc226309771"/>
      <w:r/>
      <w:bookmarkStart w:id="231" w:name="_Toc164229222"/>
      <w:r/>
      <w:bookmarkStart w:id="232" w:name="_Toc305158869"/>
      <w:r/>
      <w:bookmarkStart w:id="233" w:name="_Toc150774627"/>
      <w:r/>
      <w:bookmarkStart w:id="234" w:name="_Toc151193915"/>
      <w:r/>
      <w:bookmarkStart w:id="235" w:name="_Toc149720820"/>
      <w:r/>
      <w:bookmarkStart w:id="236" w:name="_Toc226965717"/>
      <w:r/>
      <w:bookmarkStart w:id="237" w:name="_Toc226337223"/>
      <w:r>
        <w:rPr>
          <w:rFonts w:hint="eastAsia" w:ascii="宋体" w:hAnsi="宋体" w:cs="宋体"/>
          <w:color w:val="auto"/>
          <w:sz w:val="24"/>
          <w:highlight w:val="none"/>
        </w:rPr>
        <w:t xml:space="preserve">响应范围、竞争性磋商文件中计量单位的使用</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Pr>
          <w:rFonts w:hint="eastAsia" w:ascii="宋体" w:hAnsi="宋体" w:cs="宋体"/>
          <w:color w:val="auto"/>
          <w:sz w:val="24"/>
          <w:highlight w:val="none"/>
        </w:rPr>
        <w:t xml:space="preserve">及磋商语言</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除竞争性磋商文件有特殊要求外，本项目磋商所使用的计量单位，应采用中华人民共和国法定计量单位。</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238" w:name="_Ref467306195"/>
      <w:r/>
      <w:bookmarkStart w:id="239" w:name="_Ref467306676"/>
      <w:r/>
      <w:bookmarkStart w:id="240" w:name="_Toc516367022"/>
      <w:r/>
      <w:bookmarkStart w:id="241" w:name="_Toc149720821"/>
      <w:r/>
      <w:bookmarkStart w:id="242" w:name="_Toc150480766"/>
      <w:r/>
      <w:bookmarkStart w:id="243" w:name="_Toc164229369"/>
      <w:r/>
      <w:bookmarkStart w:id="244" w:name="_Toc127161442"/>
      <w:r/>
      <w:bookmarkStart w:id="245" w:name="_Toc150774628"/>
      <w:r/>
      <w:bookmarkStart w:id="246" w:name="_Toc520356152"/>
      <w:r/>
      <w:bookmarkStart w:id="247" w:name="_Toc226965801"/>
      <w:r/>
      <w:bookmarkStart w:id="248" w:name="_Toc151193770"/>
      <w:r/>
      <w:bookmarkStart w:id="249" w:name="_Toc151193842"/>
      <w:r/>
      <w:bookmarkStart w:id="250" w:name="_Toc305158796"/>
      <w:r/>
      <w:bookmarkStart w:id="251" w:name="_Toc226337224"/>
      <w:r/>
      <w:bookmarkStart w:id="252" w:name="_Toc151190155"/>
      <w:r/>
      <w:bookmarkStart w:id="253" w:name="_Toc195842893"/>
      <w:r/>
      <w:bookmarkStart w:id="254" w:name="_Toc164229223"/>
      <w:r/>
      <w:bookmarkStart w:id="255" w:name="_Toc226309772"/>
      <w:r/>
      <w:bookmarkStart w:id="256" w:name="_Toc164608797"/>
      <w:r/>
      <w:bookmarkStart w:id="257" w:name="_Toc264969218"/>
      <w:r/>
      <w:bookmarkStart w:id="258" w:name="_Toc127151729"/>
      <w:r/>
      <w:bookmarkStart w:id="259" w:name="_Toc226965718"/>
      <w:r/>
      <w:bookmarkStart w:id="260" w:name="_Toc305158870"/>
      <w:r/>
      <w:bookmarkStart w:id="261" w:name="_Toc164351622"/>
      <w:r/>
      <w:bookmarkStart w:id="262" w:name="_Toc150774733"/>
      <w:r/>
      <w:bookmarkStart w:id="263" w:name="_Toc142311030"/>
      <w:r/>
      <w:bookmarkStart w:id="264" w:name="_Toc151193916"/>
      <w:r/>
      <w:bookmarkStart w:id="265" w:name="_Toc127151528"/>
      <w:r/>
      <w:bookmarkStart w:id="266" w:name="_Toc150509279"/>
      <w:r/>
      <w:bookmarkStart w:id="267" w:name="_Toc265228366"/>
      <w:r/>
      <w:bookmarkStart w:id="268" w:name="_Toc151193698"/>
      <w:r/>
      <w:bookmarkStart w:id="269" w:name="_Toc164608642"/>
      <w:r/>
      <w:bookmarkStart w:id="270" w:name="_Toc151193626"/>
      <w:r>
        <w:rPr>
          <w:rFonts w:hint="eastAsia" w:ascii="宋体" w:hAnsi="宋体" w:cs="宋体"/>
          <w:color w:val="auto"/>
          <w:sz w:val="24"/>
          <w:highlight w:val="none"/>
        </w:rPr>
        <w:t xml:space="preserve">响应文件</w:t>
      </w:r>
      <w:bookmarkEnd w:id="238"/>
      <w:r/>
      <w:bookmarkEnd w:id="239"/>
      <w:r/>
      <w:bookmarkEnd w:id="240"/>
      <w:r>
        <w:rPr>
          <w:rFonts w:hint="eastAsia" w:ascii="宋体" w:hAnsi="宋体" w:cs="宋体"/>
          <w:color w:val="auto"/>
          <w:sz w:val="24"/>
          <w:highlight w:val="none"/>
        </w:rPr>
        <w:t xml:space="preserve">构成</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bookmarkStart w:id="271" w:name="_Ref467052588"/>
      <w:r>
        <w:rPr>
          <w:rFonts w:hint="eastAsia" w:ascii="宋体" w:hAnsi="宋体" w:cs="宋体"/>
          <w:color w:val="auto"/>
          <w:sz w:val="24"/>
          <w:highlight w:val="none"/>
        </w:rPr>
        <w:t xml:space="preserve">供应商应当按照竞争性磋商文件的要求编制响应文件，</w:t>
      </w:r>
      <w:r>
        <w:rPr>
          <w:rFonts w:hint="eastAsia" w:ascii="宋体" w:hAnsi="宋体" w:cs="宋体"/>
          <w:color w:val="auto"/>
          <w:sz w:val="24"/>
          <w:highlight w:val="none"/>
        </w:rPr>
        <w:t xml:space="preserve">并对其提交的响应文件的真实性、合法性承担法律责任</w:t>
      </w:r>
      <w:r>
        <w:rPr>
          <w:rFonts w:hint="eastAsia" w:ascii="宋体" w:hAnsi="宋体" w:cs="宋体"/>
          <w:color w:val="auto"/>
          <w:sz w:val="24"/>
          <w:highlight w:val="none"/>
        </w:rPr>
        <w:t xml:space="preserve">。响应文件的部分格式要求，见第六章《响应文件格式》。</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对于竞争性磋商文件中标记了“实质性格式”文件的，</w:t>
      </w:r>
      <w:r>
        <w:rPr>
          <w:rFonts w:hint="eastAsia" w:ascii="宋体" w:hAnsi="宋体" w:cs="宋体"/>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第三章《评审方法和评审标准》中涉及的证明文件。</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供应商认为应附的其他材料。</w:t>
      </w:r>
      <w:bookmarkEnd w:id="271"/>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272" w:name="_Toc164608644"/>
      <w:r/>
      <w:bookmarkStart w:id="273" w:name="_Toc164351624"/>
      <w:r/>
      <w:bookmarkStart w:id="274" w:name="_Toc150480768"/>
      <w:r/>
      <w:bookmarkStart w:id="275" w:name="_Toc127161444"/>
      <w:r/>
      <w:bookmarkStart w:id="276" w:name="_Toc150774735"/>
      <w:r/>
      <w:bookmarkStart w:id="277" w:name="_Toc149720823"/>
      <w:r/>
      <w:bookmarkStart w:id="278" w:name="_Toc195842895"/>
      <w:r/>
      <w:bookmarkStart w:id="279" w:name="_Toc164229371"/>
      <w:r/>
      <w:bookmarkStart w:id="280" w:name="_Toc151193700"/>
      <w:r/>
      <w:bookmarkStart w:id="281" w:name="_Toc127151731"/>
      <w:r/>
      <w:bookmarkStart w:id="282" w:name="_Toc142311032"/>
      <w:r/>
      <w:bookmarkStart w:id="283" w:name="_Toc151193628"/>
      <w:r/>
      <w:bookmarkStart w:id="284" w:name="_Toc164608799"/>
      <w:r/>
      <w:bookmarkStart w:id="285" w:name="_Toc151193844"/>
      <w:r/>
      <w:bookmarkStart w:id="286" w:name="_Toc151190157"/>
      <w:r/>
      <w:bookmarkStart w:id="287" w:name="_Toc520356155"/>
      <w:r/>
      <w:bookmarkStart w:id="288" w:name="_Toc150509281"/>
      <w:r/>
      <w:bookmarkStart w:id="289" w:name="_Toc151193918"/>
      <w:r/>
      <w:bookmarkStart w:id="290" w:name="_Toc150774630"/>
      <w:r/>
      <w:bookmarkStart w:id="291" w:name="_Toc127151530"/>
      <w:r/>
      <w:bookmarkStart w:id="292" w:name="_Toc151193772"/>
      <w:r/>
      <w:bookmarkStart w:id="293" w:name="_Toc164229225"/>
      <w:r>
        <w:rPr>
          <w:rFonts w:hint="eastAsia" w:ascii="宋体" w:hAnsi="宋体" w:cs="宋体"/>
          <w:color w:val="auto"/>
          <w:sz w:val="24"/>
          <w:highlight w:val="none"/>
        </w:rPr>
        <w:t xml:space="preserve">报价</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所有响应均以人民币报价。</w:t>
      </w:r>
      <w:r/>
    </w:p>
    <w:p>
      <w:pPr>
        <w:numPr>
          <w:ilvl w:val="1"/>
          <w:numId w:val="8"/>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按照竞争性磋商文件要求完成本项目的全部相关工程或服务费用。</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供应商不能提供任何有选择性或可调整的最终报价（</w:t>
      </w:r>
      <w:r>
        <w:rPr>
          <w:rFonts w:hint="eastAsia" w:ascii="宋体" w:hAnsi="宋体" w:cs="宋体"/>
          <w:color w:val="auto"/>
          <w:sz w:val="24"/>
          <w:highlight w:val="none"/>
        </w:rPr>
        <w:t xml:space="preserve">竞争性磋商文件</w:t>
      </w:r>
      <w:r>
        <w:rPr>
          <w:rFonts w:hint="eastAsia" w:ascii="宋体" w:hAnsi="宋体" w:cs="宋体"/>
          <w:color w:val="auto"/>
          <w:sz w:val="24"/>
          <w:highlight w:val="none"/>
        </w:rPr>
        <w:t xml:space="preserve">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磋商保证金</w:t>
      </w:r>
      <w:r/>
    </w:p>
    <w:p>
      <w:pPr>
        <w:ind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根据江苏省和常州市的相关文件规定，免收保证金。</w:t>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响应有效期</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294" w:name="_Toc305158875"/>
      <w:r/>
      <w:bookmarkStart w:id="295" w:name="_Toc264969223"/>
      <w:r/>
      <w:bookmarkStart w:id="296" w:name="_Toc226309777"/>
      <w:r/>
      <w:bookmarkStart w:id="297" w:name="_Toc151193703"/>
      <w:r/>
      <w:bookmarkStart w:id="298" w:name="_Toc127151533"/>
      <w:r/>
      <w:bookmarkStart w:id="299" w:name="_Toc305158801"/>
      <w:r/>
      <w:bookmarkStart w:id="300" w:name="_Toc195842898"/>
      <w:r/>
      <w:bookmarkStart w:id="301" w:name="_Toc226965806"/>
      <w:r/>
      <w:bookmarkStart w:id="302" w:name="_Toc226965723"/>
      <w:r/>
      <w:bookmarkStart w:id="303" w:name="_Toc151193775"/>
      <w:r/>
      <w:bookmarkStart w:id="304" w:name="_Toc164608647"/>
      <w:r/>
      <w:bookmarkStart w:id="305" w:name="_Toc149720826"/>
      <w:r/>
      <w:bookmarkStart w:id="306" w:name="_Toc151193631"/>
      <w:r/>
      <w:bookmarkStart w:id="307" w:name="_Toc226337229"/>
      <w:r/>
      <w:bookmarkStart w:id="308" w:name="_Toc520356158"/>
      <w:r/>
      <w:bookmarkStart w:id="309" w:name="_Toc150774738"/>
      <w:r/>
      <w:bookmarkStart w:id="310" w:name="_Toc265228371"/>
      <w:r/>
      <w:bookmarkStart w:id="311" w:name="_Toc164351627"/>
      <w:r/>
      <w:bookmarkStart w:id="312" w:name="_Toc164608802"/>
      <w:r/>
      <w:bookmarkStart w:id="313" w:name="_Toc151190160"/>
      <w:r/>
      <w:bookmarkStart w:id="314" w:name="_Toc164229374"/>
      <w:r/>
      <w:bookmarkStart w:id="315" w:name="_Toc164229228"/>
      <w:r/>
      <w:bookmarkStart w:id="316" w:name="_Toc151193921"/>
      <w:r/>
      <w:bookmarkStart w:id="317" w:name="_Toc127161447"/>
      <w:r/>
      <w:bookmarkStart w:id="318" w:name="_Toc150480771"/>
      <w:r/>
      <w:bookmarkStart w:id="319" w:name="_Toc151193847"/>
      <w:r/>
      <w:bookmarkStart w:id="320" w:name="_Toc150774633"/>
      <w:r/>
      <w:bookmarkStart w:id="321" w:name="_Toc142311035"/>
      <w:r/>
      <w:bookmarkStart w:id="322" w:name="_Toc127151734"/>
      <w:r/>
      <w:bookmarkStart w:id="323" w:name="_Toc150509284"/>
      <w:r>
        <w:rPr>
          <w:rFonts w:hint="eastAsia" w:ascii="宋体" w:hAnsi="宋体" w:cs="宋体"/>
          <w:color w:val="auto"/>
          <w:sz w:val="24"/>
          <w:highlight w:val="none"/>
        </w:rPr>
        <w:t xml:space="preserve">响应文件的签署</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cs="宋体"/>
          <w:color w:val="auto"/>
          <w:sz w:val="24"/>
          <w:highlight w:val="none"/>
        </w:rPr>
        <w:t xml:space="preserve">、盖章</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bookmarkStart w:id="324" w:name="_Toc195842899"/>
      <w:r/>
      <w:bookmarkStart w:id="325" w:name="_Toc265228372"/>
      <w:r/>
      <w:bookmarkStart w:id="326" w:name="_Toc520356159"/>
      <w:r/>
      <w:bookmarkStart w:id="327" w:name="_Toc151193632"/>
      <w:r/>
      <w:bookmarkStart w:id="328" w:name="_Toc151193704"/>
      <w:r/>
      <w:bookmarkStart w:id="329" w:name="_Toc151190161"/>
      <w:r/>
      <w:bookmarkStart w:id="330" w:name="_Toc264969224"/>
      <w:r/>
      <w:bookmarkStart w:id="331" w:name="_Toc226965724"/>
      <w:r/>
      <w:bookmarkStart w:id="332" w:name="_Toc226965807"/>
      <w:r/>
      <w:bookmarkStart w:id="333" w:name="_Toc142311036"/>
      <w:r/>
      <w:bookmarkStart w:id="334" w:name="_Toc150774739"/>
      <w:r/>
      <w:bookmarkStart w:id="335" w:name="_Toc150774634"/>
      <w:r/>
      <w:bookmarkStart w:id="336" w:name="_Toc226309778"/>
      <w:r/>
      <w:bookmarkStart w:id="337" w:name="_Toc151193848"/>
      <w:r/>
      <w:bookmarkStart w:id="338" w:name="_Toc305158876"/>
      <w:r/>
      <w:bookmarkStart w:id="339" w:name="_Toc150480772"/>
      <w:r/>
      <w:bookmarkStart w:id="340" w:name="_Toc150509285"/>
      <w:r/>
      <w:bookmarkStart w:id="341" w:name="_Toc151193776"/>
      <w:r/>
      <w:bookmarkStart w:id="342" w:name="_Toc151193922"/>
      <w:r/>
      <w:bookmarkStart w:id="343" w:name="_Toc305158802"/>
      <w:r/>
      <w:bookmarkStart w:id="344" w:name="_Toc226337230"/>
      <w:r/>
      <w:bookmarkStart w:id="345" w:name="_Toc127151534"/>
      <w:r>
        <w:rPr>
          <w:rFonts w:hint="eastAsia" w:ascii="宋体" w:hAnsi="宋体" w:cs="宋体"/>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竞争性磋商文件要求盖章的内容，一般通过响应文件编制工具加盖电子签章。</w:t>
      </w:r>
      <w:r/>
    </w:p>
    <w:p>
      <w:pPr>
        <w:pStyle w:val="1271"/>
        <w:spacing w:before="0" w:line="360" w:lineRule="auto"/>
        <w:rPr>
          <w:rFonts w:ascii="宋体" w:hAnsi="宋体" w:eastAsia="宋体" w:cs="宋体"/>
          <w:color w:val="auto"/>
          <w:sz w:val="28"/>
          <w:highlight w:val="none"/>
        </w:rPr>
      </w:pPr>
      <w:r>
        <w:rPr>
          <w:rFonts w:ascii="宋体" w:hAnsi="宋体" w:eastAsia="宋体" w:cs="宋体"/>
          <w:color w:val="auto"/>
          <w:sz w:val="28"/>
          <w:highlight w:val="none"/>
        </w:rPr>
      </w:r>
      <w:r/>
    </w:p>
    <w:p>
      <w:pPr>
        <w:pStyle w:val="1271"/>
        <w:spacing w:before="0" w:line="360" w:lineRule="auto"/>
        <w:rPr>
          <w:rFonts w:ascii="宋体" w:hAnsi="宋体" w:eastAsia="宋体" w:cs="宋体"/>
          <w:color w:val="auto"/>
          <w:sz w:val="28"/>
          <w:highlight w:val="none"/>
        </w:rPr>
      </w:pPr>
      <w:r>
        <w:rPr>
          <w:rFonts w:hint="eastAsia" w:ascii="宋体" w:hAnsi="宋体" w:eastAsia="宋体" w:cs="宋体"/>
          <w:color w:val="auto"/>
          <w:sz w:val="28"/>
          <w:highlight w:val="none"/>
        </w:rPr>
        <w:t xml:space="preserve">四   响应文件的提交</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346" w:name="_Toc226965808"/>
      <w:r/>
      <w:bookmarkStart w:id="347" w:name="_Toc127161449"/>
      <w:r/>
      <w:bookmarkStart w:id="348" w:name="_Toc150480773"/>
      <w:r/>
      <w:bookmarkStart w:id="349" w:name="_Toc151193777"/>
      <w:r/>
      <w:bookmarkStart w:id="350" w:name="_Toc195842900"/>
      <w:r/>
      <w:bookmarkStart w:id="351" w:name="_Toc226965725"/>
      <w:r/>
      <w:bookmarkStart w:id="352" w:name="_Toc226337231"/>
      <w:r/>
      <w:bookmarkStart w:id="353" w:name="_Toc164229230"/>
      <w:r/>
      <w:bookmarkStart w:id="354" w:name="_Toc305158877"/>
      <w:r/>
      <w:bookmarkStart w:id="355" w:name="_Toc226309779"/>
      <w:r/>
      <w:bookmarkStart w:id="356" w:name="_Toc265228373"/>
      <w:r/>
      <w:bookmarkStart w:id="357" w:name="_Toc151190162"/>
      <w:r/>
      <w:bookmarkStart w:id="358" w:name="_Toc150509286"/>
      <w:r/>
      <w:bookmarkStart w:id="359" w:name="_Toc164608649"/>
      <w:r/>
      <w:bookmarkStart w:id="360" w:name="_Toc151193849"/>
      <w:r/>
      <w:bookmarkStart w:id="361" w:name="_Toc149720828"/>
      <w:r/>
      <w:bookmarkStart w:id="362" w:name="_Toc127151535"/>
      <w:r/>
      <w:bookmarkStart w:id="363" w:name="_Toc151193705"/>
      <w:r/>
      <w:bookmarkStart w:id="364" w:name="_Toc164229376"/>
      <w:r/>
      <w:bookmarkStart w:id="365" w:name="_Toc142311037"/>
      <w:r/>
      <w:bookmarkStart w:id="366" w:name="_Toc520356160"/>
      <w:r/>
      <w:bookmarkStart w:id="367" w:name="_Toc264969225"/>
      <w:r/>
      <w:bookmarkStart w:id="368" w:name="_Toc150774635"/>
      <w:r/>
      <w:bookmarkStart w:id="369" w:name="_Toc164608804"/>
      <w:r/>
      <w:bookmarkStart w:id="370" w:name="_Toc151193923"/>
      <w:r/>
      <w:bookmarkStart w:id="371" w:name="_Toc151193633"/>
      <w:r/>
      <w:bookmarkStart w:id="372" w:name="_Toc127151736"/>
      <w:r/>
      <w:bookmarkStart w:id="373" w:name="_Toc150774740"/>
      <w:r/>
      <w:bookmarkStart w:id="374" w:name="_Toc164351629"/>
      <w:r/>
      <w:bookmarkStart w:id="375" w:name="_Toc305158803"/>
      <w:r>
        <w:rPr>
          <w:rFonts w:hint="eastAsia" w:ascii="宋体" w:hAnsi="宋体" w:cs="宋体"/>
          <w:color w:val="auto"/>
          <w:sz w:val="24"/>
          <w:highlight w:val="none"/>
        </w:rPr>
        <w:t xml:space="preserve">响应文件的</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hint="eastAsia" w:ascii="宋体" w:hAnsi="宋体" w:cs="宋体"/>
          <w:color w:val="auto"/>
          <w:sz w:val="24"/>
          <w:highlight w:val="none"/>
        </w:rPr>
        <w:t xml:space="preserve">提交</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本项目使用“苏采云”政府采购一体化平台。供应商根据竞争性磋商文件及“苏采云”政府采购一体化平台供应商操作手册要求编制、生成并提交电子响应文件。</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采购人及采购代理机构拒绝接受通过“苏采云”政府采购一体化平台以外任何形式提交的响应文件，磋商保证金除外。</w:t>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376" w:name="_Toc127151536"/>
      <w:r/>
      <w:bookmarkStart w:id="377" w:name="_Toc520356161"/>
      <w:r/>
      <w:bookmarkStart w:id="378" w:name="_Toc149720829"/>
      <w:r/>
      <w:bookmarkStart w:id="379" w:name="_Toc305158878"/>
      <w:r/>
      <w:bookmarkStart w:id="380" w:name="_Toc150480774"/>
      <w:r/>
      <w:bookmarkStart w:id="381" w:name="_Toc127161450"/>
      <w:r/>
      <w:bookmarkStart w:id="382" w:name="_Toc150774636"/>
      <w:r/>
      <w:bookmarkStart w:id="383" w:name="_Toc226337232"/>
      <w:r/>
      <w:bookmarkStart w:id="384" w:name="_Toc151193706"/>
      <w:r/>
      <w:bookmarkStart w:id="385" w:name="_Toc150509287"/>
      <w:r/>
      <w:bookmarkStart w:id="386" w:name="_Toc164351630"/>
      <w:r/>
      <w:bookmarkStart w:id="387" w:name="_Toc151193850"/>
      <w:r/>
      <w:bookmarkStart w:id="388" w:name="_Toc151193924"/>
      <w:r/>
      <w:bookmarkStart w:id="389" w:name="_Toc151190163"/>
      <w:r/>
      <w:bookmarkStart w:id="390" w:name="_Toc195842901"/>
      <w:r/>
      <w:bookmarkStart w:id="391" w:name="_Toc142311038"/>
      <w:r/>
      <w:bookmarkStart w:id="392" w:name="_Toc164608805"/>
      <w:r/>
      <w:bookmarkStart w:id="393" w:name="_Toc151193778"/>
      <w:r/>
      <w:bookmarkStart w:id="394" w:name="_Toc265228374"/>
      <w:r/>
      <w:bookmarkStart w:id="395" w:name="_Toc164229377"/>
      <w:r/>
      <w:bookmarkStart w:id="396" w:name="_Toc264969226"/>
      <w:r/>
      <w:bookmarkStart w:id="397" w:name="_Toc226965809"/>
      <w:r/>
      <w:bookmarkStart w:id="398" w:name="_Toc150774741"/>
      <w:r/>
      <w:bookmarkStart w:id="399" w:name="_Toc305158804"/>
      <w:r/>
      <w:bookmarkStart w:id="400" w:name="_Toc127151737"/>
      <w:r/>
      <w:bookmarkStart w:id="401" w:name="_Toc151193634"/>
      <w:r/>
      <w:bookmarkStart w:id="402" w:name="_Toc226309780"/>
      <w:r/>
      <w:bookmarkStart w:id="403" w:name="_Toc164229231"/>
      <w:r/>
      <w:bookmarkStart w:id="404" w:name="_Toc164608650"/>
      <w:r/>
      <w:bookmarkStart w:id="405" w:name="_Toc226965726"/>
      <w:r>
        <w:rPr>
          <w:rFonts w:hint="eastAsia" w:ascii="宋体" w:hAnsi="宋体" w:cs="宋体"/>
          <w:color w:val="auto"/>
          <w:sz w:val="24"/>
          <w:highlight w:val="none"/>
        </w:rPr>
        <w:t xml:space="preserve">响应文件截止</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hint="eastAsia" w:ascii="宋体" w:hAnsi="宋体" w:cs="宋体"/>
          <w:color w:val="auto"/>
          <w:sz w:val="24"/>
          <w:highlight w:val="none"/>
        </w:rPr>
        <w:t xml:space="preserve">时间</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供应商应在竞争性磋商文件要求提交响应文件截止时间前，将电子响应文件提交至“苏采云”政府采购一体化平台。</w:t>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406" w:name="_Toc127161451"/>
      <w:r/>
      <w:bookmarkStart w:id="407" w:name="_Toc151193851"/>
      <w:r/>
      <w:bookmarkStart w:id="408" w:name="_Toc151193925"/>
      <w:r/>
      <w:bookmarkStart w:id="409" w:name="_Toc151193779"/>
      <w:r/>
      <w:bookmarkStart w:id="410" w:name="_Toc226965727"/>
      <w:r/>
      <w:bookmarkStart w:id="411" w:name="_Toc164608651"/>
      <w:r/>
      <w:bookmarkStart w:id="412" w:name="_Toc164608806"/>
      <w:r/>
      <w:bookmarkStart w:id="413" w:name="_Toc305158805"/>
      <w:r/>
      <w:bookmarkStart w:id="414" w:name="_Toc150509288"/>
      <w:r/>
      <w:bookmarkStart w:id="415" w:name="_Toc264969227"/>
      <w:r/>
      <w:bookmarkStart w:id="416" w:name="_Toc265228375"/>
      <w:r/>
      <w:bookmarkStart w:id="417" w:name="_Toc149720830"/>
      <w:r/>
      <w:bookmarkStart w:id="418" w:name="_Toc164229378"/>
      <w:r/>
      <w:bookmarkStart w:id="419" w:name="_Toc164229232"/>
      <w:r/>
      <w:bookmarkStart w:id="420" w:name="_Toc142311039"/>
      <w:r/>
      <w:bookmarkStart w:id="421" w:name="_Toc305158879"/>
      <w:r/>
      <w:bookmarkStart w:id="422" w:name="_Toc150774637"/>
      <w:r/>
      <w:bookmarkStart w:id="423" w:name="_Toc226337233"/>
      <w:r/>
      <w:bookmarkStart w:id="424" w:name="_Toc151190164"/>
      <w:r/>
      <w:bookmarkStart w:id="425" w:name="_Toc226965810"/>
      <w:r/>
      <w:bookmarkStart w:id="426" w:name="_Toc127151738"/>
      <w:r/>
      <w:bookmarkStart w:id="427" w:name="_Toc150480775"/>
      <w:r/>
      <w:bookmarkStart w:id="428" w:name="_Toc164351631"/>
      <w:r/>
      <w:bookmarkStart w:id="429" w:name="_Toc226309781"/>
      <w:r/>
      <w:bookmarkStart w:id="430" w:name="_Toc150774742"/>
      <w:r/>
      <w:bookmarkStart w:id="431" w:name="_Toc151193635"/>
      <w:r/>
      <w:bookmarkStart w:id="432" w:name="_Toc151193707"/>
      <w:r/>
      <w:bookmarkStart w:id="433" w:name="_Toc195842902"/>
      <w:r/>
      <w:bookmarkStart w:id="434" w:name="_Toc520356162"/>
      <w:r/>
      <w:bookmarkStart w:id="435" w:name="_Toc127151537"/>
      <w:r>
        <w:rPr>
          <w:rFonts w:hint="eastAsia" w:ascii="宋体" w:hAnsi="宋体" w:cs="宋体"/>
          <w:color w:val="auto"/>
          <w:sz w:val="24"/>
          <w:highlight w:val="none"/>
        </w:rPr>
        <w:t xml:space="preserve">响应文件的修改与撤回</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400" w:lineRule="exact"/>
        <w:tabs>
          <w:tab w:val="left" w:pos="900" w:leader="none"/>
          <w:tab w:val="left" w:pos="1080" w:leader="none"/>
          <w:tab w:val="left" w:pos="1589" w:leader="none"/>
        </w:tabs>
        <w:rPr>
          <w:rFonts w:ascii="宋体" w:hAnsi="宋体" w:cs="宋体"/>
          <w:color w:val="auto"/>
          <w:sz w:val="24"/>
          <w:highlight w:val="none"/>
        </w:rPr>
      </w:pPr>
      <w:r>
        <w:rPr>
          <w:rFonts w:ascii="宋体" w:hAnsi="宋体" w:cs="宋体"/>
          <w:color w:val="auto"/>
          <w:sz w:val="24"/>
          <w:highlight w:val="none"/>
        </w:rPr>
      </w:r>
      <w:r/>
    </w:p>
    <w:p>
      <w:pPr>
        <w:pStyle w:val="1271"/>
        <w:spacing w:before="0" w:line="400" w:lineRule="exact"/>
        <w:rPr>
          <w:rFonts w:ascii="宋体" w:hAnsi="宋体" w:eastAsia="宋体" w:cs="宋体"/>
          <w:color w:val="auto"/>
          <w:sz w:val="28"/>
          <w:highlight w:val="none"/>
        </w:rPr>
      </w:pPr>
      <w:r/>
      <w:bookmarkStart w:id="436" w:name="_Toc142311040"/>
      <w:r/>
      <w:bookmarkStart w:id="437" w:name="_Toc226337234"/>
      <w:r/>
      <w:bookmarkStart w:id="438" w:name="_Toc520356163"/>
      <w:r/>
      <w:bookmarkStart w:id="439" w:name="_Toc151193852"/>
      <w:r/>
      <w:bookmarkStart w:id="440" w:name="_Toc150509289"/>
      <w:r/>
      <w:bookmarkStart w:id="441" w:name="_Toc150774743"/>
      <w:r/>
      <w:bookmarkStart w:id="442" w:name="_Toc226965811"/>
      <w:r/>
      <w:bookmarkStart w:id="443" w:name="_Toc264969228"/>
      <w:r/>
      <w:bookmarkStart w:id="444" w:name="_Toc150774638"/>
      <w:r/>
      <w:bookmarkStart w:id="445" w:name="_Toc151193636"/>
      <w:r/>
      <w:bookmarkStart w:id="446" w:name="_Toc195842903"/>
      <w:r/>
      <w:bookmarkStart w:id="447" w:name="_Toc151190165"/>
      <w:r/>
      <w:bookmarkStart w:id="448" w:name="_Toc265228376"/>
      <w:r/>
      <w:bookmarkStart w:id="449" w:name="_Toc305158806"/>
      <w:r/>
      <w:bookmarkStart w:id="450" w:name="_Toc151193708"/>
      <w:r/>
      <w:bookmarkStart w:id="451" w:name="_Toc151193780"/>
      <w:r/>
      <w:bookmarkStart w:id="452" w:name="_Toc305158880"/>
      <w:r/>
      <w:bookmarkStart w:id="453" w:name="_Toc150480776"/>
      <w:r/>
      <w:bookmarkStart w:id="454" w:name="_Toc226309782"/>
      <w:r/>
      <w:bookmarkStart w:id="455" w:name="_Toc127151538"/>
      <w:r/>
      <w:bookmarkStart w:id="456" w:name="_Toc226965728"/>
      <w:r/>
      <w:bookmarkStart w:id="457" w:name="_Toc151193926"/>
      <w:r>
        <w:rPr>
          <w:rFonts w:hint="eastAsia" w:ascii="宋体" w:hAnsi="宋体" w:eastAsia="宋体" w:cs="宋体"/>
          <w:color w:val="auto"/>
          <w:sz w:val="28"/>
          <w:highlight w:val="none"/>
        </w:rPr>
        <w:t xml:space="preserve">五   </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hint="eastAsia" w:ascii="宋体" w:hAnsi="宋体" w:eastAsia="宋体" w:cs="宋体"/>
          <w:color w:val="auto"/>
          <w:sz w:val="28"/>
          <w:highlight w:val="none"/>
        </w:rPr>
        <w:t xml:space="preserve">评审</w:t>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响应文件的解密与开启</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本项目采用不见面交易模式，使用“苏采云”政府采购一体化平台在线进行解密。供应商应在规定的时间内对响应文件进行解密，因非系统原因导致的解密失败，视为响应无效。</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供应商不足3家的，不予解密。</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bookmarkStart w:id="458" w:name="_Toc520356165"/>
      <w:r>
        <w:rPr>
          <w:rFonts w:hint="eastAsia" w:ascii="宋体" w:hAnsi="宋体" w:cs="宋体"/>
          <w:color w:val="auto"/>
          <w:sz w:val="24"/>
          <w:highlight w:val="none"/>
        </w:rPr>
        <w:t xml:space="preserve">本项目不公开报价。</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p>
    <w:p>
      <w:p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1)平台系统发生故障而无法登录访问的；</w:t>
      </w:r>
      <w:r/>
    </w:p>
    <w:p>
      <w:p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400" w:lineRule="exact"/>
        <w:tabs>
          <w:tab w:val="left" w:pos="993"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bookmarkEnd w:id="458"/>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磋商小组</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磋商小组根据政府采购有关规定和本次采购项目的特点进行组建，并负责具体评审事务，独立履行职责。</w:t>
      </w:r>
      <w:bookmarkStart w:id="459" w:name="_Toc520356166"/>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9"/>
      <w:r/>
      <w:bookmarkStart w:id="460" w:name="_Toc520356169"/>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评审方法和评审标准</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见第三章《评审方法和评审标准》。</w:t>
      </w:r>
      <w:r/>
    </w:p>
    <w:p>
      <w:pPr>
        <w:ind w:left="1080"/>
        <w:spacing w:line="400" w:lineRule="exact"/>
        <w:tabs>
          <w:tab w:val="left" w:pos="360" w:leader="none"/>
          <w:tab w:val="left" w:pos="1080" w:leader="none"/>
        </w:tabs>
        <w:rPr>
          <w:rFonts w:ascii="宋体" w:hAnsi="宋体" w:cs="宋体"/>
          <w:color w:val="auto"/>
          <w:sz w:val="24"/>
          <w:highlight w:val="none"/>
        </w:rPr>
      </w:pPr>
      <w:r>
        <w:rPr>
          <w:rFonts w:ascii="宋体" w:hAnsi="宋体" w:cs="宋体"/>
          <w:color w:val="auto"/>
          <w:sz w:val="24"/>
          <w:highlight w:val="none"/>
        </w:rPr>
      </w:r>
      <w:r/>
    </w:p>
    <w:p>
      <w:pPr>
        <w:pStyle w:val="1271"/>
        <w:spacing w:before="0" w:line="400" w:lineRule="exact"/>
        <w:rPr>
          <w:rFonts w:ascii="宋体" w:hAnsi="宋体" w:eastAsia="宋体" w:cs="宋体"/>
          <w:color w:val="auto"/>
          <w:sz w:val="28"/>
          <w:highlight w:val="none"/>
        </w:rPr>
      </w:pPr>
      <w:r/>
      <w:bookmarkStart w:id="461" w:name="_Toc151193715"/>
      <w:r/>
      <w:bookmarkStart w:id="462" w:name="_Toc226337241"/>
      <w:r/>
      <w:bookmarkStart w:id="463" w:name="_Toc305158887"/>
      <w:r/>
      <w:bookmarkStart w:id="464" w:name="_Toc151193787"/>
      <w:r/>
      <w:bookmarkStart w:id="465" w:name="_Toc226965735"/>
      <w:r/>
      <w:bookmarkStart w:id="466" w:name="_Toc150480783"/>
      <w:r/>
      <w:bookmarkStart w:id="467" w:name="_Toc142311047"/>
      <w:r/>
      <w:bookmarkStart w:id="468" w:name="_Toc226965818"/>
      <w:r/>
      <w:bookmarkStart w:id="469" w:name="_Toc150509296"/>
      <w:r/>
      <w:bookmarkStart w:id="470" w:name="_Toc127151545"/>
      <w:r/>
      <w:bookmarkStart w:id="471" w:name="_Toc151190172"/>
      <w:r/>
      <w:bookmarkStart w:id="472" w:name="_Toc150774750"/>
      <w:r/>
      <w:bookmarkStart w:id="473" w:name="_Toc264969235"/>
      <w:r/>
      <w:bookmarkStart w:id="474" w:name="_Toc151193933"/>
      <w:r/>
      <w:bookmarkStart w:id="475" w:name="_Toc151193859"/>
      <w:r/>
      <w:bookmarkStart w:id="476" w:name="_Toc150774645"/>
      <w:r/>
      <w:bookmarkStart w:id="477" w:name="_Toc151193643"/>
      <w:r/>
      <w:bookmarkStart w:id="478" w:name="_Toc305158813"/>
      <w:r/>
      <w:bookmarkStart w:id="479" w:name="_Toc226309789"/>
      <w:r/>
      <w:bookmarkStart w:id="480" w:name="_Toc195842910"/>
      <w:r/>
      <w:bookmarkStart w:id="481" w:name="_Toc265228383"/>
      <w:r>
        <w:rPr>
          <w:rFonts w:hint="eastAsia" w:ascii="宋体" w:hAnsi="宋体" w:eastAsia="宋体" w:cs="宋体"/>
          <w:color w:val="auto"/>
          <w:sz w:val="28"/>
          <w:highlight w:val="none"/>
        </w:rPr>
        <w:t xml:space="preserve">六   </w:t>
      </w:r>
      <w:bookmarkEnd w:id="460"/>
      <w:r>
        <w:rPr>
          <w:rFonts w:hint="eastAsia" w:ascii="宋体" w:hAnsi="宋体" w:eastAsia="宋体" w:cs="宋体"/>
          <w:color w:val="auto"/>
          <w:sz w:val="28"/>
          <w:highlight w:val="none"/>
        </w:rPr>
        <w:t xml:space="preserve">确定</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hint="eastAsia" w:ascii="宋体" w:hAnsi="宋体" w:eastAsia="宋体" w:cs="宋体"/>
          <w:color w:val="auto"/>
          <w:sz w:val="28"/>
          <w:highlight w:val="none"/>
        </w:rPr>
        <w:t xml:space="preserve">成交</w:t>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482" w:name="_Toc127161461"/>
      <w:r/>
      <w:bookmarkStart w:id="483" w:name="_Toc305158889"/>
      <w:r/>
      <w:bookmarkStart w:id="484" w:name="_Toc127151547"/>
      <w:r/>
      <w:bookmarkStart w:id="485" w:name="_Toc164351641"/>
      <w:r/>
      <w:bookmarkStart w:id="486" w:name="_Toc226337243"/>
      <w:r/>
      <w:bookmarkStart w:id="487" w:name="_Toc164229242"/>
      <w:r/>
      <w:bookmarkStart w:id="488" w:name="_Toc149720840"/>
      <w:r/>
      <w:bookmarkStart w:id="489" w:name="_Toc151193935"/>
      <w:r/>
      <w:bookmarkStart w:id="490" w:name="_Toc150509298"/>
      <w:r/>
      <w:bookmarkStart w:id="491" w:name="_Toc151193717"/>
      <w:r/>
      <w:bookmarkStart w:id="492" w:name="_Toc265228385"/>
      <w:r/>
      <w:bookmarkStart w:id="493" w:name="_Toc164608661"/>
      <w:r/>
      <w:bookmarkStart w:id="494" w:name="_Toc142311049"/>
      <w:r/>
      <w:bookmarkStart w:id="495" w:name="_Toc151193789"/>
      <w:r/>
      <w:bookmarkStart w:id="496" w:name="_Toc226965737"/>
      <w:r/>
      <w:bookmarkStart w:id="497" w:name="_Toc264969237"/>
      <w:r/>
      <w:bookmarkStart w:id="498" w:name="_Toc150480785"/>
      <w:r/>
      <w:bookmarkStart w:id="499" w:name="_Toc164229388"/>
      <w:r/>
      <w:bookmarkStart w:id="500" w:name="_Toc151190174"/>
      <w:r/>
      <w:bookmarkStart w:id="501" w:name="_Toc150774647"/>
      <w:r/>
      <w:bookmarkStart w:id="502" w:name="_Toc151193645"/>
      <w:r/>
      <w:bookmarkStart w:id="503" w:name="_Toc127151748"/>
      <w:r/>
      <w:bookmarkStart w:id="504" w:name="_Toc164608816"/>
      <w:r/>
      <w:bookmarkStart w:id="505" w:name="_Toc150774752"/>
      <w:r/>
      <w:bookmarkStart w:id="506" w:name="_Toc226965820"/>
      <w:r/>
      <w:bookmarkStart w:id="507" w:name="_Toc226309791"/>
      <w:r/>
      <w:bookmarkStart w:id="508" w:name="_Toc151193861"/>
      <w:r/>
      <w:bookmarkStart w:id="509" w:name="_Toc305158815"/>
      <w:r/>
      <w:bookmarkStart w:id="510" w:name="_Toc195842912"/>
      <w:r>
        <w:rPr>
          <w:rFonts w:hint="eastAsia" w:ascii="宋体" w:hAnsi="宋体" w:cs="宋体"/>
          <w:color w:val="auto"/>
          <w:sz w:val="24"/>
          <w:highlight w:val="none"/>
        </w:rPr>
        <w:t xml:space="preserve">确定成交供应商</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511" w:name="_Toc305158891"/>
      <w:r/>
      <w:bookmarkStart w:id="512" w:name="_Toc305158817"/>
      <w:r/>
      <w:bookmarkStart w:id="513" w:name="_Toc164229390"/>
      <w:r/>
      <w:bookmarkStart w:id="514" w:name="_Toc150774754"/>
      <w:r/>
      <w:bookmarkStart w:id="515" w:name="_Toc151193647"/>
      <w:r/>
      <w:bookmarkStart w:id="516" w:name="_Toc142311051"/>
      <w:r/>
      <w:bookmarkStart w:id="517" w:name="_Toc226965822"/>
      <w:r/>
      <w:bookmarkStart w:id="518" w:name="_Toc151190176"/>
      <w:r/>
      <w:bookmarkStart w:id="519" w:name="_Toc150774649"/>
      <w:r/>
      <w:bookmarkStart w:id="520" w:name="_Toc164608818"/>
      <w:r/>
      <w:bookmarkStart w:id="521" w:name="_Toc226965739"/>
      <w:r/>
      <w:bookmarkStart w:id="522" w:name="_Toc151193719"/>
      <w:r/>
      <w:bookmarkStart w:id="523" w:name="_Toc226337245"/>
      <w:r/>
      <w:bookmarkStart w:id="524" w:name="_Toc127151750"/>
      <w:r/>
      <w:bookmarkStart w:id="525" w:name="_Toc195842914"/>
      <w:r/>
      <w:bookmarkStart w:id="526" w:name="_Toc265228387"/>
      <w:r/>
      <w:bookmarkStart w:id="527" w:name="_Toc151193863"/>
      <w:r/>
      <w:bookmarkStart w:id="528" w:name="_Toc264969239"/>
      <w:r/>
      <w:bookmarkStart w:id="529" w:name="_Toc127161463"/>
      <w:r/>
      <w:bookmarkStart w:id="530" w:name="_Toc150509300"/>
      <w:r/>
      <w:bookmarkStart w:id="531" w:name="_Toc149720842"/>
      <w:r/>
      <w:bookmarkStart w:id="532" w:name="_Toc164351643"/>
      <w:r/>
      <w:bookmarkStart w:id="533" w:name="_Toc127151549"/>
      <w:r/>
      <w:bookmarkStart w:id="534" w:name="_Toc226309793"/>
      <w:r/>
      <w:bookmarkStart w:id="535" w:name="_Toc151193791"/>
      <w:r/>
      <w:bookmarkStart w:id="536" w:name="_Toc150480787"/>
      <w:r/>
      <w:bookmarkStart w:id="537" w:name="_Toc151193937"/>
      <w:r/>
      <w:bookmarkStart w:id="538" w:name="_Toc164229244"/>
      <w:r/>
      <w:bookmarkStart w:id="539" w:name="_Toc164608663"/>
      <w:r/>
      <w:bookmarkStart w:id="540" w:name="_Ref467306425"/>
      <w:r/>
      <w:bookmarkStart w:id="541" w:name="_Toc520356176"/>
      <w:r/>
      <w:bookmarkStart w:id="542" w:name="_Ref467307090"/>
      <w:r>
        <w:rPr>
          <w:rFonts w:hint="eastAsia" w:ascii="宋体" w:hAnsi="宋体" w:cs="宋体"/>
          <w:color w:val="auto"/>
          <w:sz w:val="24"/>
          <w:highlight w:val="none"/>
        </w:rPr>
        <w:t xml:space="preserve">成交公告与成交通知书</w:t>
      </w:r>
      <w:bookmarkEnd w:id="511"/>
      <w:r/>
      <w:bookmarkEnd w:id="512"/>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采购人或采购代理机构将</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rPr>
        <w:t xml:space="preserve">常州市政府采购网</w:t>
      </w:r>
      <w:r>
        <w:rPr>
          <w:rFonts w:hint="eastAsia" w:ascii="宋体" w:hAnsi="宋体" w:cs="宋体"/>
          <w:color w:val="auto"/>
          <w:sz w:val="24"/>
          <w:highlight w:val="none"/>
        </w:rPr>
        <w:t xml:space="preserve">公告成交结果，同时向成交供应商发出成交通知书，</w:t>
      </w:r>
      <w:r>
        <w:rPr>
          <w:rFonts w:hint="eastAsia" w:ascii="宋体" w:hAnsi="宋体" w:cs="宋体"/>
          <w:color w:val="auto"/>
          <w:sz w:val="24"/>
          <w:highlight w:val="none"/>
        </w:rPr>
        <w:t xml:space="preserve">成交公告期限为1个工作日。</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终止</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 因情况变化，不再符合规定的竞争性磋商采购方式适用情形的；</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 出现影响采购公正的违法、违规行为的；</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szCs w:val="20"/>
          <w:highlight w:val="none"/>
        </w:rPr>
        <w:t xml:space="preserve"> 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firstLine="480"/>
        <w:spacing w:line="40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 平台系统出现序号17.7的所述情形，情况严重且影响采购活动公平、公正性的</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
    </w:p>
    <w:p>
      <w:pPr>
        <w:numPr>
          <w:ilvl w:val="0"/>
          <w:numId w:val="8"/>
        </w:numPr>
        <w:ind w:left="0" w:firstLine="480"/>
        <w:spacing w:line="400" w:lineRule="exact"/>
        <w:tabs>
          <w:tab w:val="left" w:pos="360" w:leader="none"/>
        </w:tabs>
        <w:rPr>
          <w:rFonts w:ascii="宋体" w:hAnsi="宋体" w:cs="宋体"/>
          <w:color w:val="auto"/>
          <w:sz w:val="24"/>
          <w:highlight w:val="none"/>
        </w:rPr>
      </w:pPr>
      <w:r/>
      <w:bookmarkStart w:id="543" w:name="_Ref467307062"/>
      <w:r/>
      <w:bookmarkStart w:id="544" w:name="_Toc164229245"/>
      <w:r/>
      <w:bookmarkStart w:id="545" w:name="_Toc226965823"/>
      <w:r/>
      <w:bookmarkStart w:id="546" w:name="_Ref467306377"/>
      <w:r/>
      <w:bookmarkStart w:id="547" w:name="_Toc150480788"/>
      <w:r/>
      <w:bookmarkStart w:id="548" w:name="_Toc164608664"/>
      <w:r/>
      <w:bookmarkStart w:id="549" w:name="_Toc305158892"/>
      <w:r/>
      <w:bookmarkStart w:id="550" w:name="_Toc151193864"/>
      <w:r/>
      <w:bookmarkStart w:id="551" w:name="_Toc127161464"/>
      <w:r/>
      <w:bookmarkStart w:id="552" w:name="_Toc265228388"/>
      <w:r/>
      <w:bookmarkStart w:id="553" w:name="_Toc127151550"/>
      <w:r/>
      <w:bookmarkStart w:id="554" w:name="_Toc151193792"/>
      <w:r/>
      <w:bookmarkStart w:id="555" w:name="_Toc305158818"/>
      <w:r/>
      <w:bookmarkStart w:id="556" w:name="_Ref467307204"/>
      <w:r/>
      <w:bookmarkStart w:id="557" w:name="_Toc151193938"/>
      <w:r/>
      <w:bookmarkStart w:id="558" w:name="_Toc150774650"/>
      <w:r/>
      <w:bookmarkStart w:id="559" w:name="_Toc151190177"/>
      <w:r/>
      <w:bookmarkStart w:id="560" w:name="_Toc520356175"/>
      <w:r/>
      <w:bookmarkStart w:id="561" w:name="_Toc226337246"/>
      <w:r/>
      <w:bookmarkStart w:id="562" w:name="_Toc150509301"/>
      <w:r/>
      <w:bookmarkStart w:id="563" w:name="_Toc149720843"/>
      <w:r/>
      <w:bookmarkStart w:id="564" w:name="_Toc142311052"/>
      <w:r/>
      <w:bookmarkStart w:id="565" w:name="_Toc226965740"/>
      <w:r/>
      <w:bookmarkStart w:id="566" w:name="_Toc151193648"/>
      <w:r/>
      <w:bookmarkStart w:id="567" w:name="_Toc151193720"/>
      <w:r/>
      <w:bookmarkStart w:id="568" w:name="_Toc164229391"/>
      <w:r/>
      <w:bookmarkStart w:id="569" w:name="_Toc150774755"/>
      <w:r/>
      <w:bookmarkStart w:id="570" w:name="_Toc264969240"/>
      <w:r/>
      <w:bookmarkStart w:id="571" w:name="_Toc195842915"/>
      <w:r/>
      <w:bookmarkStart w:id="572" w:name="_Toc164608819"/>
      <w:r/>
      <w:bookmarkStart w:id="573" w:name="_Toc226309794"/>
      <w:r/>
      <w:bookmarkStart w:id="574" w:name="_Toc127151751"/>
      <w:r/>
      <w:bookmarkStart w:id="575" w:name="_Ref467306978"/>
      <w:r/>
      <w:bookmarkStart w:id="576" w:name="_Toc164351644"/>
      <w:r>
        <w:rPr>
          <w:rFonts w:hint="eastAsia" w:ascii="宋体" w:hAnsi="宋体" w:cs="宋体"/>
          <w:color w:val="auto"/>
          <w:sz w:val="24"/>
          <w:highlight w:val="none"/>
        </w:rPr>
        <w:t xml:space="preserve">签订合同</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联合体获得成交资格的，联合体各方应当共同与采购人签订合同，就成交项目向采购人承担连带责任。</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。成交供应商就采购项目和分包项目向采购人负责，分包供应商就分包项目承担责任。</w:t>
      </w:r>
      <w:bookmarkEnd w:id="540"/>
      <w:r/>
      <w:bookmarkEnd w:id="541"/>
      <w:r/>
      <w:bookmarkEnd w:id="542"/>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询问与质疑</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firstLine="482"/>
        <w:spacing w:line="400" w:lineRule="exact"/>
        <w:rPr>
          <w:rFonts w:ascii="宋体" w:hAnsi="宋体" w:cs="宋体"/>
          <w:color w:val="auto"/>
          <w:sz w:val="24"/>
          <w:highlight w:val="none"/>
        </w:rPr>
      </w:pP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323"/>
          <w:rFonts w:hint="eastAsia" w:ascii="宋体" w:hAnsi="宋体" w:cs="宋体"/>
          <w:color w:val="auto"/>
          <w:highlight w:val="none"/>
        </w:rPr>
        <w:t xml:space="preserve">http://gk</w:t>
      </w:r>
      <w:bookmarkStart w:id="577" w:name="_Hlt100654014"/>
      <w:r>
        <w:rPr>
          <w:rStyle w:val="1323"/>
          <w:rFonts w:hint="eastAsia" w:ascii="宋体" w:hAnsi="宋体" w:cs="宋体"/>
          <w:color w:val="auto"/>
          <w:highlight w:val="none"/>
        </w:rPr>
        <w:t xml:space="preserve">s</w:t>
      </w:r>
      <w:bookmarkEnd w:id="577"/>
      <w:r>
        <w:rPr>
          <w:rStyle w:val="1323"/>
          <w:rFonts w:hint="eastAsia" w:ascii="宋体" w:hAnsi="宋体" w:cs="宋体"/>
          <w:color w:val="auto"/>
          <w:highlight w:val="none"/>
        </w:rPr>
        <w:t xml:space="preserve">.m</w:t>
      </w:r>
      <w:bookmarkStart w:id="578" w:name="_Hlt100653993"/>
      <w:r/>
      <w:bookmarkStart w:id="579" w:name="_Hlt100653994"/>
      <w:r>
        <w:rPr>
          <w:rStyle w:val="1323"/>
          <w:rFonts w:hint="eastAsia" w:ascii="宋体" w:hAnsi="宋体" w:cs="宋体"/>
          <w:color w:val="auto"/>
          <w:highlight w:val="none"/>
        </w:rPr>
        <w:t xml:space="preserve">o</w:t>
      </w:r>
      <w:bookmarkEnd w:id="578"/>
      <w:r/>
      <w:bookmarkEnd w:id="579"/>
      <w:r/>
      <w:bookmarkStart w:id="580" w:name="_Hlt101169156"/>
      <w:r>
        <w:rPr>
          <w:rStyle w:val="1323"/>
          <w:rFonts w:hint="eastAsia" w:ascii="宋体" w:hAnsi="宋体" w:cs="宋体"/>
          <w:color w:val="auto"/>
          <w:highlight w:val="none"/>
        </w:rPr>
        <w:t xml:space="preserve">f</w:t>
      </w:r>
      <w:bookmarkEnd w:id="580"/>
      <w:r>
        <w:rPr>
          <w:rStyle w:val="1323"/>
          <w:rFonts w:hint="eastAsia" w:ascii="宋体" w:hAnsi="宋体" w:cs="宋体"/>
          <w:color w:val="auto"/>
          <w:highlight w:val="none"/>
        </w:rPr>
        <w:t xml:space="preserve">.gov.cn/ztztz/zhengfucaigouguanli/201802/t20180201_2804589.htm</w:t>
      </w:r>
      <w:r>
        <w:rPr>
          <w:rStyle w:val="1323"/>
          <w:rFonts w:hint="eastAsia" w:ascii="宋体" w:hAnsi="宋体" w:cs="宋体"/>
          <w:color w:val="auto"/>
          <w:highlight w:val="none"/>
        </w:rPr>
        <w:fldChar w:fldCharType="end"/>
      </w:r>
      <w:r>
        <w:rPr>
          <w:rFonts w:hint="eastAsia" w:ascii="宋体" w:hAnsi="宋体" w:cs="宋体"/>
          <w:color w:val="auto"/>
          <w:highlight w:val="none"/>
        </w:rPr>
        <w:t xml:space="preserve">）</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接收询问和质疑的联系部门、联系电话和通讯地址见《供应商须知资料表》。</w:t>
      </w:r>
      <w:r/>
    </w:p>
    <w:p>
      <w:pPr>
        <w:numPr>
          <w:ilvl w:val="0"/>
          <w:numId w:val="8"/>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代理费</w:t>
      </w:r>
      <w:r/>
    </w:p>
    <w:p>
      <w:pPr>
        <w:numPr>
          <w:ilvl w:val="1"/>
          <w:numId w:val="8"/>
        </w:numPr>
        <w:ind w:left="0" w:firstLine="480"/>
        <w:spacing w:line="400" w:lineRule="exact"/>
        <w:tabs>
          <w:tab w:val="left" w:pos="1080"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收费对象、收费标准及缴纳时间见《供应商须知资料表》。由成交供应商支付的，成交供应商须一次性向采购代理机构缴纳代理费，报价应包含代理费用。</w:t>
      </w:r>
      <w:bookmarkStart w:id="581" w:name="_Toc353825544"/>
      <w:r/>
      <w:bookmarkStart w:id="582" w:name="_Toc226965827"/>
      <w:r/>
      <w:bookmarkStart w:id="583" w:name="_Toc305158896"/>
      <w:r/>
      <w:bookmarkStart w:id="584" w:name="_Toc265228392"/>
      <w:r/>
      <w:bookmarkStart w:id="585" w:name="_Toc226337250"/>
      <w:r/>
      <w:bookmarkStart w:id="586" w:name="_Toc353873934"/>
      <w:r/>
      <w:bookmarkStart w:id="587" w:name="_Toc142311056"/>
      <w:r/>
      <w:bookmarkStart w:id="588" w:name="_Toc353873664"/>
      <w:r/>
      <w:bookmarkStart w:id="589" w:name="_Toc264969244"/>
      <w:r/>
      <w:bookmarkStart w:id="590" w:name="_Toc150774759"/>
      <w:r/>
      <w:bookmarkStart w:id="591" w:name="_Toc127151554"/>
      <w:r/>
      <w:bookmarkStart w:id="592" w:name="_Toc305158822"/>
      <w:r/>
      <w:bookmarkStart w:id="593" w:name="_Toc150480792"/>
      <w:r/>
      <w:r/>
    </w:p>
    <w:p>
      <w:pPr>
        <w:numPr>
          <w:ilvl w:val="1"/>
          <w:numId w:val="10"/>
        </w:numPr>
        <w:ind w:left="0" w:firstLine="480"/>
        <w:spacing w:line="400" w:lineRule="exact"/>
        <w:tabs>
          <w:tab w:val="left" w:pos="1080" w:leader="none"/>
          <w:tab w:val="left" w:pos="2014" w:leader="none"/>
        </w:tabs>
        <w:rPr>
          <w:rFonts w:ascii="宋体" w:hAnsi="宋体" w:cs="宋体"/>
          <w:color w:val="auto"/>
          <w:sz w:val="24"/>
          <w:highlight w:val="none"/>
        </w:rPr>
        <w:sectPr>
          <w:footerReference w:type="even" r:id="rId21"/>
          <w:footnotePr/>
          <w:endnotePr/>
          <w:type w:val="nextPage"/>
          <w:pgSz w:w="11905" w:h="16838" w:orient="portrait"/>
          <w:pgMar w:top="1440" w:right="1800" w:bottom="1440" w:left="1800" w:header="851" w:footer="850" w:gutter="0"/>
          <w:cols w:num="1" w:sep="0" w:space="0" w:equalWidth="1"/>
          <w:docGrid w:linePitch="360"/>
          <w:titlePg/>
        </w:sectPr>
      </w:pPr>
      <w:r>
        <w:rPr>
          <w:rFonts w:ascii="宋体" w:hAnsi="宋体" w:cs="宋体"/>
          <w:color w:val="auto"/>
          <w:sz w:val="24"/>
          <w:highlight w:val="none"/>
        </w:rPr>
      </w:r>
      <w:r/>
    </w:p>
    <w:p>
      <w:pPr>
        <w:jc w:val="center"/>
        <w:spacing w:line="360" w:lineRule="auto"/>
        <w:rPr>
          <w:rFonts w:ascii="宋体" w:hAnsi="宋体" w:cs="宋体"/>
          <w:b/>
          <w:color w:val="auto"/>
          <w:sz w:val="36"/>
          <w:szCs w:val="36"/>
          <w:highlight w:val="none"/>
        </w:rPr>
        <w:outlineLvl w:val="0"/>
      </w:pPr>
      <w:r/>
      <w:bookmarkStart w:id="594" w:name="_Toc21766"/>
      <w:r>
        <w:rPr>
          <w:rFonts w:hint="eastAsia" w:ascii="宋体" w:hAnsi="宋体" w:cs="宋体"/>
          <w:b/>
          <w:color w:val="auto"/>
          <w:sz w:val="36"/>
          <w:szCs w:val="36"/>
          <w:highlight w:val="none"/>
        </w:rPr>
        <w:t xml:space="preserve">第三章   </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Pr>
          <w:rFonts w:hint="eastAsia" w:ascii="宋体" w:hAnsi="宋体" w:cs="宋体"/>
          <w:b/>
          <w:color w:val="auto"/>
          <w:sz w:val="36"/>
          <w:szCs w:val="36"/>
          <w:highlight w:val="none"/>
        </w:rPr>
        <w:t xml:space="preserve">评审程序、评审方法和评审标准</w:t>
      </w:r>
      <w:bookmarkEnd w:id="594"/>
      <w:r/>
      <w:bookmarkStart w:id="595" w:name="_Toc487900382"/>
      <w:r/>
      <w:r/>
    </w:p>
    <w:p>
      <w:pPr>
        <w:pStyle w:val="1271"/>
        <w:spacing w:before="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一、评审程序</w:t>
      </w:r>
      <w:r/>
    </w:p>
    <w:p>
      <w:pPr>
        <w:ind w:firstLine="482"/>
        <w:jc w:val="left"/>
        <w:spacing w:line="400" w:lineRule="exact"/>
        <w:tabs>
          <w:tab w:val="left" w:pos="1080" w:leader="none"/>
        </w:tabs>
        <w:rPr>
          <w:rFonts w:ascii="宋体" w:hAnsi="宋体" w:cs="宋体"/>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rPr>
        <w:tab/>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595"/>
      <w:r/>
      <w:bookmarkStart w:id="596" w:name="_Toc226309785"/>
      <w:r/>
      <w:bookmarkStart w:id="597" w:name="_Toc150509292"/>
      <w:r/>
      <w:bookmarkStart w:id="598" w:name="_Toc151193929"/>
      <w:r/>
      <w:bookmarkStart w:id="599" w:name="_Toc226965814"/>
      <w:r/>
      <w:bookmarkStart w:id="600" w:name="_Toc150774746"/>
      <w:r/>
      <w:bookmarkStart w:id="601" w:name="_Toc305158883"/>
      <w:r/>
      <w:bookmarkStart w:id="602" w:name="_Toc127161455"/>
      <w:r/>
      <w:bookmarkStart w:id="603" w:name="_Toc164229382"/>
      <w:r/>
      <w:bookmarkStart w:id="604" w:name="_Toc265228379"/>
      <w:r/>
      <w:bookmarkStart w:id="605" w:name="_Toc164608655"/>
      <w:r/>
      <w:bookmarkStart w:id="606" w:name="_Toc195842906"/>
      <w:r/>
      <w:bookmarkStart w:id="607" w:name="_Toc151193711"/>
      <w:r/>
      <w:bookmarkStart w:id="608" w:name="_Toc150480779"/>
      <w:r/>
      <w:bookmarkStart w:id="609" w:name="_Toc226337237"/>
      <w:r/>
      <w:bookmarkStart w:id="610" w:name="_Toc264969231"/>
      <w:r/>
      <w:bookmarkStart w:id="611" w:name="_Toc127151541"/>
      <w:r/>
      <w:bookmarkStart w:id="612" w:name="_Toc151193855"/>
      <w:r/>
      <w:bookmarkStart w:id="613" w:name="_Toc305158809"/>
      <w:r/>
      <w:bookmarkStart w:id="614" w:name="_Toc149720834"/>
      <w:r/>
      <w:bookmarkStart w:id="615" w:name="_Toc226965731"/>
      <w:r/>
      <w:bookmarkStart w:id="616" w:name="_Toc151193639"/>
      <w:r/>
      <w:bookmarkStart w:id="617" w:name="_Toc151190168"/>
      <w:r/>
      <w:bookmarkStart w:id="618" w:name="_Toc142311043"/>
      <w:r/>
      <w:bookmarkStart w:id="619" w:name="_Toc127151742"/>
      <w:r/>
      <w:bookmarkStart w:id="620" w:name="_Toc150774641"/>
      <w:r/>
      <w:bookmarkStart w:id="621" w:name="_Toc164608810"/>
      <w:r/>
      <w:bookmarkStart w:id="622" w:name="_Toc164351635"/>
      <w:r/>
      <w:bookmarkStart w:id="623" w:name="_Toc151193783"/>
      <w:r/>
      <w:bookmarkStart w:id="624" w:name="_Toc164229236"/>
      <w:r/>
      <w:bookmarkStart w:id="625" w:name="_Toc353873941"/>
      <w:r/>
      <w:bookmarkStart w:id="626" w:name="_Toc353825551"/>
      <w:r/>
      <w:bookmarkStart w:id="627" w:name="_Toc265228393"/>
      <w:r/>
      <w:bookmarkStart w:id="628" w:name="_Toc353873665"/>
      <w:r/>
      <w:bookmarkStart w:id="629" w:name="_Toc353873935"/>
      <w:r/>
      <w:bookmarkStart w:id="630" w:name="_Toc353825545"/>
      <w:r/>
      <w:bookmarkStart w:id="631" w:name="_Toc150774760"/>
      <w:r/>
      <w:bookmarkStart w:id="632" w:name="_Toc127151555"/>
      <w:r/>
      <w:bookmarkStart w:id="633" w:name="_Toc305158823"/>
      <w:r/>
      <w:bookmarkStart w:id="634" w:name="_Toc226965828"/>
      <w:r/>
      <w:bookmarkStart w:id="635" w:name="_Toc226337251"/>
      <w:r/>
      <w:bookmarkStart w:id="636" w:name="_Toc142311057"/>
      <w:r/>
      <w:bookmarkStart w:id="637" w:name="_Toc305158897"/>
      <w:r/>
      <w:bookmarkStart w:id="638" w:name="_Toc195842920"/>
      <w:r/>
      <w:bookmarkStart w:id="639" w:name="_Toc264969245"/>
      <w:r/>
      <w:bookmarkStart w:id="640" w:name="_Toc150480793"/>
      <w:r>
        <w:rPr>
          <w:rFonts w:hint="eastAsia" w:ascii="宋体" w:hAnsi="宋体" w:cs="宋体"/>
          <w:color w:val="auto"/>
          <w:sz w:val="24"/>
          <w:highlight w:val="none"/>
        </w:rPr>
        <w:t xml:space="preserve">响应文件的</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rFonts w:hint="eastAsia" w:ascii="宋体" w:hAnsi="宋体" w:cs="宋体"/>
          <w:color w:val="auto"/>
          <w:sz w:val="24"/>
          <w:highlight w:val="none"/>
        </w:rPr>
        <w:t xml:space="preserve">资格性检查和符合性审查</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《资格性检查要求》中对格式有要求的，除竞争性磋商文件另有规定外，均为“实质性格式”文件。</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《资格性检查要求》见下表：</w:t>
      </w:r>
      <w:r/>
    </w:p>
    <w:p>
      <w:pPr>
        <w:ind w:left="1077" w:firstLine="2650"/>
        <w:spacing w:line="360" w:lineRule="auto"/>
        <w:tabs>
          <w:tab w:val="left" w:pos="900" w:leader="none"/>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128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729"/>
        <w:gridCol w:w="4657"/>
        <w:gridCol w:w="1497"/>
      </w:tblGrid>
      <w:tr>
        <w:trPr>
          <w:cantSplit/>
          <w:trHeight w:val="20"/>
          <w:tblHeader/>
        </w:trPr>
        <w:tc>
          <w:tcPr>
            <w:tcW w:w="374" w:type="pct"/>
            <w:vAlign w:val="center"/>
            <w:textDirection w:val="lrTb"/>
            <w:noWrap w:val="false"/>
          </w:tcPr>
          <w:p>
            <w:pPr>
              <w:jc w:val="center"/>
              <w:tabs>
                <w:tab w:val="left" w:pos="1080" w:leader="none"/>
              </w:tabs>
              <w:rPr>
                <w:rFonts w:ascii="宋体" w:hAnsi="宋体" w:cs="宋体"/>
                <w:b/>
                <w:color w:val="auto"/>
                <w:sz w:val="24"/>
                <w:highlight w:val="none"/>
              </w:rPr>
            </w:pPr>
            <w:r/>
            <w:bookmarkStart w:id="641" w:name="_Hlt487972895"/>
            <w:r/>
            <w:bookmarkEnd w:id="641"/>
            <w:r>
              <w:rPr>
                <w:rFonts w:hint="eastAsia" w:ascii="宋体" w:hAnsi="宋体" w:cs="宋体"/>
                <w:b/>
                <w:color w:val="auto"/>
                <w:sz w:val="24"/>
                <w:highlight w:val="none"/>
              </w:rPr>
              <w:t xml:space="preserve">序号</w:t>
            </w:r>
            <w:r/>
          </w:p>
        </w:tc>
        <w:tc>
          <w:tcPr>
            <w:tcW w:w="1014"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2732"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878" w:type="pct"/>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1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273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具体规定见第一章《采购邀请》</w:t>
            </w:r>
            <w:r/>
          </w:p>
        </w:tc>
        <w:tc>
          <w:tcPr>
            <w:tcW w:w="878" w:type="pct"/>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37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01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供应商资格声明函</w:t>
            </w:r>
            <w:r/>
          </w:p>
        </w:tc>
        <w:tc>
          <w:tcPr>
            <w:tcW w:w="273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提供了符合采购文件要求的《供应商资格声明函》。</w:t>
            </w:r>
            <w:r/>
          </w:p>
        </w:tc>
        <w:tc>
          <w:tcPr>
            <w:tcW w:w="878"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01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供应商信用记录</w:t>
            </w:r>
            <w:r/>
          </w:p>
        </w:tc>
        <w:tc>
          <w:tcPr>
            <w:tcW w:w="2732" w:type="pct"/>
            <w:vAlign w:val="center"/>
            <w:textDirection w:val="lrTb"/>
            <w:noWrap w:val="false"/>
          </w:tcPr>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t>
            </w:r>
            <w:r>
              <w:rPr>
                <w:rFonts w:hint="eastAsia" w:ascii="宋体" w:hAnsi="宋体" w:cs="宋体"/>
                <w:color w:val="auto"/>
                <w:spacing w:val="-20"/>
                <w:sz w:val="24"/>
                <w:highlight w:val="none"/>
              </w:rPr>
              <w:t xml:space="preserve">（www.creditchina.gov.cn、www.ccgp.gov.cn）；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。联合体形式响应的，联合体成员存在不良信用记录，视同联合体存在不良信用记录。</w:t>
            </w:r>
            <w:r/>
          </w:p>
        </w:tc>
        <w:tc>
          <w:tcPr>
            <w:tcW w:w="878"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无须供应商提供，由采购人或采购代理机构查询。</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1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tcW w:w="273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具体要求见第一章《采购邀请》</w:t>
            </w:r>
            <w:r/>
          </w:p>
        </w:tc>
        <w:tc>
          <w:tcPr>
            <w:tcW w:w="878"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tcW w:w="374" w:type="pct"/>
            <w:vAlign w:val="center"/>
            <w:textDirection w:val="lrTb"/>
            <w:noWrap w:val="false"/>
          </w:tcPr>
          <w:p>
            <w:pPr>
              <w:jc w:val="center"/>
              <w:tabs>
                <w:tab w:val="left" w:pos="108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2-1</w:t>
            </w:r>
            <w:r/>
          </w:p>
        </w:tc>
        <w:tc>
          <w:tcPr>
            <w:tcW w:w="1014" w:type="pct"/>
            <w:vAlign w:val="center"/>
            <w:textDirection w:val="lrTb"/>
            <w:noWrap w:val="false"/>
          </w:tcPr>
          <w:p>
            <w:pPr>
              <w:jc w:val="center"/>
              <w:tabs>
                <w:tab w:val="left" w:pos="108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中小企业声明函</w:t>
            </w:r>
            <w:r/>
          </w:p>
        </w:tc>
        <w:tc>
          <w:tcPr>
            <w:tcW w:w="2732" w:type="pct"/>
            <w:vAlign w:val="center"/>
            <w:textDirection w:val="lrTb"/>
            <w:noWrap w:val="false"/>
          </w:tcPr>
          <w:p>
            <w:pPr>
              <w:jc w:val="left"/>
              <w:tabs>
                <w:tab w:val="left" w:pos="1080" w:leader="none"/>
              </w:tabs>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本项目专门面向中小企业采购，必须提供</w:t>
            </w:r>
            <w:r/>
          </w:p>
          <w:p>
            <w:pPr>
              <w:jc w:val="left"/>
              <w:tabs>
                <w:tab w:val="left" w:pos="108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1、供应商单独参与磋商的，应提供中小企业声明函；如为监狱企业或残疾人福利性单位，不必提供中小企业声明函，但须按注1或注2要求提供证明材料。</w:t>
            </w:r>
            <w:r/>
          </w:p>
          <w:p>
            <w:pPr>
              <w:jc w:val="left"/>
              <w:tabs>
                <w:tab w:val="left" w:pos="108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jc w:val="left"/>
              <w:tabs>
                <w:tab w:val="left" w:pos="108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注1：监狱企业须提供由省级以上监狱管理局（常州市含教育矫治局）、戒毒管理局（含新疆生产建设兵团）出具的属于监狱企业的证明文件。</w:t>
            </w:r>
            <w:r/>
          </w:p>
          <w:p>
            <w:pPr>
              <w:jc w:val="left"/>
              <w:tabs>
                <w:tab w:val="left" w:pos="108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注2：残疾人福利性单位须按磋商文件要求提供《残疾人福利性单位声明函》。</w:t>
            </w:r>
            <w:r/>
          </w:p>
        </w:tc>
        <w:tc>
          <w:tcPr>
            <w:tcW w:w="878" w:type="pct"/>
            <w:vAlign w:val="center"/>
            <w:textDirection w:val="lrTb"/>
            <w:noWrap w:val="false"/>
          </w:tcPr>
          <w:p>
            <w:pPr>
              <w:tabs>
                <w:tab w:val="left" w:pos="108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格式见《响应文件格式》</w:t>
            </w:r>
            <w:r/>
          </w:p>
        </w:tc>
      </w:tr>
      <w:tr>
        <w:trPr>
          <w:cantSplit/>
          <w:trHeight w:val="20"/>
        </w:trPr>
        <w:tc>
          <w:tcPr>
            <w:tcW w:w="374" w:type="pct"/>
            <w:vAlign w:val="center"/>
            <w:textDirection w:val="lrTb"/>
            <w:noWrap w:val="false"/>
          </w:tcPr>
          <w:p>
            <w:pPr>
              <w:jc w:val="center"/>
              <w:tabs>
                <w:tab w:val="left" w:pos="108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2-3</w:t>
            </w:r>
            <w:r/>
          </w:p>
        </w:tc>
        <w:tc>
          <w:tcPr>
            <w:tcW w:w="1014" w:type="pct"/>
            <w:vAlign w:val="center"/>
            <w:textDirection w:val="lrTb"/>
            <w:noWrap w:val="false"/>
          </w:tcPr>
          <w:p>
            <w:pPr>
              <w:jc w:val="center"/>
              <w:tabs>
                <w:tab w:val="left" w:pos="108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其它落实政府采购政策的资格要求</w:t>
            </w:r>
            <w:r/>
          </w:p>
        </w:tc>
        <w:tc>
          <w:tcPr>
            <w:tcW w:w="2732" w:type="pct"/>
            <w:vAlign w:val="center"/>
            <w:textDirection w:val="lrTb"/>
            <w:noWrap w:val="false"/>
          </w:tcPr>
          <w:p>
            <w:pPr>
              <w:jc w:val="left"/>
              <w:tabs>
                <w:tab w:val="left" w:pos="108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如有，见第一章《采购邀请》</w:t>
            </w:r>
            <w:r/>
          </w:p>
        </w:tc>
        <w:tc>
          <w:tcPr>
            <w:tcW w:w="878" w:type="pct"/>
            <w:vAlign w:val="center"/>
            <w:textDirection w:val="lrTb"/>
            <w:noWrap w:val="false"/>
          </w:tcPr>
          <w:p>
            <w:pPr>
              <w:jc w:val="center"/>
              <w:tabs>
                <w:tab w:val="left" w:pos="108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提供证明文件的电子件或电子证照</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1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tcW w:w="273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见第一章《采购邀请》</w:t>
            </w:r>
            <w:r/>
          </w:p>
        </w:tc>
        <w:tc>
          <w:tcPr>
            <w:tcW w:w="878" w:type="pct"/>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w:t>
            </w:r>
            <w:r/>
          </w:p>
        </w:tc>
        <w:tc>
          <w:tcPr>
            <w:tcW w:w="101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是否接受联合体响应</w:t>
            </w:r>
            <w:r/>
          </w:p>
        </w:tc>
        <w:tc>
          <w:tcPr>
            <w:tcW w:w="273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2、联合体各成员单位均须提供本表中序号1-1、1-2的证明文件。</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4、联合体中有同类资质的供应商按照联合体分工承担相同工作的，应当按照资质等级较低的供应商确定资质等级。</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6、若联合体中任一成员单位中途退出，则该联合体的</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7、本项目不接受联合体响应，供应商不得为联合体。</w:t>
            </w:r>
            <w:r/>
          </w:p>
        </w:tc>
        <w:tc>
          <w:tcPr>
            <w:tcW w:w="878"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提供《联合协议》原件，格式见《响应文件格式》</w:t>
            </w:r>
            <w:r/>
          </w:p>
        </w:tc>
      </w:tr>
      <w:tr>
        <w:trPr>
          <w:cantSplit/>
          <w:trHeight w:val="20"/>
        </w:trPr>
        <w:tc>
          <w:tcPr>
            <w:tcW w:w="37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3-2</w:t>
            </w:r>
            <w:r/>
          </w:p>
        </w:tc>
        <w:tc>
          <w:tcPr>
            <w:tcW w:w="101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tcW w:w="273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见第一章《采购邀请》</w:t>
            </w:r>
            <w:r/>
          </w:p>
        </w:tc>
        <w:tc>
          <w:tcPr>
            <w:tcW w:w="878"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提供证明文件扫描件</w:t>
            </w:r>
            <w:r/>
          </w:p>
        </w:tc>
      </w:tr>
      <w:tr>
        <w:trPr>
          <w:cantSplit/>
          <w:trHeight w:val="570"/>
        </w:trPr>
        <w:tc>
          <w:tcPr>
            <w:tcW w:w="37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4</w:t>
            </w:r>
            <w:r/>
          </w:p>
        </w:tc>
        <w:tc>
          <w:tcPr>
            <w:tcW w:w="1014" w:type="pct"/>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营业执照或事业单位法人证书</w:t>
            </w:r>
            <w:r/>
          </w:p>
        </w:tc>
        <w:tc>
          <w:tcPr>
            <w:tcW w:w="2732"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有效期内的营业执照或事业单位法人证书</w:t>
            </w:r>
            <w:r/>
          </w:p>
        </w:tc>
        <w:tc>
          <w:tcPr>
            <w:tcW w:w="878" w:type="pct"/>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提供证明文件扫描件</w:t>
            </w:r>
            <w:r/>
          </w:p>
        </w:tc>
      </w:tr>
    </w:tbl>
    <w:p>
      <w:pPr>
        <w:jc w:val="left"/>
        <w:widowControl/>
        <w:rPr>
          <w:rFonts w:ascii="宋体" w:hAnsi="宋体" w:cs="宋体"/>
          <w:color w:val="auto"/>
          <w:sz w:val="24"/>
          <w:highlight w:val="none"/>
        </w:rPr>
      </w:pPr>
      <w:r>
        <w:rPr>
          <w:rFonts w:hint="eastAsia" w:ascii="宋体" w:hAnsi="宋体" w:cs="宋体"/>
          <w:color w:val="auto"/>
          <w:sz w:val="24"/>
          <w:highlight w:val="none"/>
        </w:rPr>
        <w:br w:type="page" w:clear="all"/>
      </w:r>
      <w:r/>
    </w:p>
    <w:p>
      <w:pPr>
        <w:numPr>
          <w:ilvl w:val="1"/>
          <w:numId w:val="11"/>
        </w:numPr>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《符合性审查要求》见下表：</w:t>
      </w:r>
      <w:r/>
    </w:p>
    <w:p>
      <w:pPr>
        <w:jc w:val="cente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1280"/>
        <w:tblW w:w="49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752"/>
        <w:gridCol w:w="5985"/>
      </w:tblGrid>
      <w:tr>
        <w:trPr>
          <w:jc w:val="center"/>
          <w:trHeight w:val="300"/>
          <w:tblHeader/>
        </w:trPr>
        <w:tc>
          <w:tcPr>
            <w:tcW w:w="405" w:type="pct"/>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040" w:type="pct"/>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553" w:type="pct"/>
            <w:vAlign w:val="center"/>
            <w:textDirection w:val="lrTb"/>
            <w:noWrap w:val="false"/>
          </w:tcPr>
          <w:p>
            <w:pPr>
              <w:jc w:val="center"/>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响应函、</w:t>
            </w:r>
            <w:r>
              <w:rPr>
                <w:rFonts w:hint="eastAsia" w:ascii="宋体" w:hAnsi="宋体" w:cs="宋体"/>
                <w:color w:val="auto"/>
                <w:sz w:val="24"/>
                <w:highlight w:val="none"/>
              </w:rPr>
              <w:t xml:space="preserve">法定代表人资格证明书（或授权委托书）和政府采购供应商信用承诺书</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按磋商文件要求提供响应函、</w:t>
            </w:r>
            <w:r>
              <w:rPr>
                <w:rFonts w:hint="eastAsia" w:ascii="宋体" w:hAnsi="宋体" w:cs="宋体"/>
                <w:color w:val="auto"/>
                <w:sz w:val="24"/>
                <w:highlight w:val="none"/>
              </w:rPr>
              <w:t xml:space="preserve">法定代表人资格证明书（或授权委托书）和政府采购供应商信用承诺书</w:t>
            </w:r>
            <w:r>
              <w:rPr>
                <w:rFonts w:hint="eastAsia" w:ascii="宋体" w:hAnsi="宋体" w:cs="宋体"/>
                <w:color w:val="auto"/>
                <w:sz w:val="24"/>
                <w:highlight w:val="none"/>
              </w:rPr>
              <w:t xml:space="preserve">；</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响应完整性</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未将一个采购包中的内容拆开响应；</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响应报价</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响应报价未</w:t>
            </w:r>
            <w:r>
              <w:rPr>
                <w:rFonts w:hint="eastAsia" w:ascii="宋体" w:hAnsi="宋体" w:cs="宋体"/>
                <w:color w:val="auto"/>
                <w:sz w:val="24"/>
                <w:highlight w:val="none"/>
              </w:rPr>
              <w:t xml:space="preserve">超过磋商文件中规定的项目/采购包预算金额或者项目/采购包最高限价</w:t>
            </w:r>
            <w:r>
              <w:rPr>
                <w:rFonts w:hint="eastAsia" w:ascii="宋体" w:hAnsi="宋体" w:cs="宋体"/>
                <w:color w:val="auto"/>
                <w:sz w:val="24"/>
                <w:highlight w:val="none"/>
              </w:rPr>
              <w:t xml:space="preserve">；</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响应文件未</w:t>
            </w:r>
            <w:r>
              <w:rPr>
                <w:rFonts w:hint="eastAsia" w:ascii="宋体" w:hAnsi="宋体" w:cs="宋体"/>
                <w:color w:val="auto"/>
                <w:sz w:val="24"/>
                <w:highlight w:val="none"/>
              </w:rPr>
              <w:t xml:space="preserve">出现可选择性或可调整的报价（磋商文件另有规定的除外）</w:t>
            </w:r>
            <w:r>
              <w:rPr>
                <w:rFonts w:hint="eastAsia" w:ascii="宋体" w:hAnsi="宋体" w:cs="宋体"/>
                <w:color w:val="auto"/>
                <w:sz w:val="24"/>
                <w:highlight w:val="none"/>
              </w:rPr>
              <w:t xml:space="preserve">；</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响应文件中承诺的响应有效期满足磋商文件中载明的响应有效期的；</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按照磋商文件要求签署、加盖公章的；</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w:t>
            </w:r>
            <w:r/>
          </w:p>
        </w:tc>
      </w:tr>
      <w:tr>
        <w:trPr>
          <w:jc w:val="center"/>
          <w:trHeight w:val="57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响应文件满足磋商文件</w:t>
            </w:r>
            <w:r>
              <w:rPr>
                <w:rFonts w:hint="eastAsia" w:ascii="宋体" w:hAnsi="宋体" w:cs="宋体"/>
                <w:color w:val="auto"/>
                <w:sz w:val="24"/>
                <w:highlight w:val="none"/>
              </w:rPr>
              <w:t xml:space="preserve">第四章《采购需求》</w:t>
            </w:r>
            <w:r>
              <w:rPr>
                <w:rFonts w:hint="eastAsia" w:ascii="宋体" w:hAnsi="宋体" w:cs="宋体"/>
                <w:color w:val="auto"/>
                <w:sz w:val="24"/>
                <w:highlight w:val="none"/>
              </w:rPr>
              <w:t xml:space="preserve">中★号条款要求的；</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分包承担主体具备《供应商须知资料表》载明的资质条件且提供了资质证书复印件（如有）；</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分包意向协议</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（如有）</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按磋商文件规定签订并提供分包意向协议原件的复印件的；</w:t>
            </w:r>
            <w:r>
              <w:rPr>
                <w:rFonts w:hint="eastAsia" w:ascii="宋体" w:hAnsi="宋体" w:cs="宋体"/>
                <w:color w:val="auto"/>
                <w:sz w:val="24"/>
                <w:highlight w:val="none"/>
              </w:rPr>
              <w:t xml:space="preserve">（如有）</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报价的修正</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（如有）</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不涉及报价修正，或响应文件报价出现前后不一致时，供应商对修正后的报价予以确认；（如有）</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串通响应</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响应文件未含有采购人不能接受的附加条件的；</w:t>
            </w:r>
            <w:r/>
          </w:p>
        </w:tc>
      </w:tr>
      <w:tr>
        <w:trPr>
          <w:jc w:val="center"/>
          <w:trHeight w:val="685"/>
        </w:trPr>
        <w:tc>
          <w:tcPr>
            <w:tcW w:w="40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w:t>
            </w:r>
            <w:r/>
          </w:p>
        </w:tc>
        <w:tc>
          <w:tcPr>
            <w:tcW w:w="104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553"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供应商、响应文件不存在不符合法律、法规和磋商文件规定的其他无效情形。</w:t>
            </w:r>
            <w:r/>
          </w:p>
        </w:tc>
      </w:tr>
    </w:tbl>
    <w:p>
      <w:pPr>
        <w:numPr>
          <w:ilvl w:val="0"/>
          <w:numId w:val="11"/>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磋商、响应文件有关事项的澄清、说明或者更正和最终报价</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磋商小组所有成员应当集中与单一供应商分别进行磋商，并给予所有参加磋商的供应商平等的磋商机会。</w:t>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对磋商文件作出的实质性变动是磋商文件的有效组成部分，磋商小组应当及时通过“苏采云”政府采购一体化平台以书面形式同时通知所有参加磋商的供应商。</w:t>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响应文件的澄清、说明或者更正：</w:t>
      </w:r>
      <w:r/>
    </w:p>
    <w:p>
      <w:pPr>
        <w:ind w:firstLine="480"/>
        <w:spacing w:line="400" w:lineRule="exact"/>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评审过程中，磋商小组会将通过“苏采云”政府采购一体化平台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400" w:lineRule="exact"/>
        <w:tabs>
          <w:tab w:val="left" w:pos="1080" w:leader="none"/>
          <w:tab w:val="left" w:pos="1872" w:leader="none"/>
        </w:tabs>
        <w:rPr>
          <w:rFonts w:ascii="宋体" w:hAnsi="宋体" w:cs="宋体"/>
          <w:b/>
          <w:color w:val="auto"/>
          <w:sz w:val="24"/>
          <w:highlight w:val="none"/>
        </w:rPr>
      </w:pPr>
      <w:r>
        <w:rPr>
          <w:rFonts w:hint="eastAsia" w:ascii="宋体" w:hAnsi="宋体" w:cs="宋体"/>
          <w:b/>
          <w:color w:val="auto"/>
          <w:sz w:val="24"/>
          <w:highlight w:val="none"/>
        </w:rPr>
        <w:t xml:space="preserve">磋商结束后，磋商小组将要求所有实质性响应的供应商在规定时间内通过“苏采云”政府采购交易系统网上开标大厅提交最终报价。</w:t>
      </w:r>
      <w:r/>
    </w:p>
    <w:p>
      <w:pPr>
        <w:numPr>
          <w:ilvl w:val="1"/>
          <w:numId w:val="11"/>
        </w:numPr>
        <w:ind w:left="0" w:firstLine="480"/>
        <w:keepLines w:val="0"/>
        <w:keepNext w:val="0"/>
        <w:pageBreakBefore w:val="0"/>
        <w:spacing w:line="400" w:lineRule="exact"/>
        <w:widowControl w:val="off"/>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auto"/>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0" w:firstLine="480"/>
        <w:keepLines w:val="0"/>
        <w:keepNext w:val="0"/>
        <w:pageBreakBefore w:val="0"/>
        <w:spacing w:line="400" w:lineRule="exact"/>
        <w:widowControl w:val="off"/>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最终报价是供应商响应文件的有效组成部分。</w:t>
      </w:r>
      <w:r/>
    </w:p>
    <w:p>
      <w:pPr>
        <w:numPr>
          <w:ilvl w:val="1"/>
          <w:numId w:val="11"/>
        </w:numPr>
        <w:ind w:left="0" w:firstLine="480"/>
        <w:keepLines w:val="0"/>
        <w:keepNext w:val="0"/>
        <w:pageBreakBefore w:val="0"/>
        <w:spacing w:line="400" w:lineRule="exact"/>
        <w:widowControl w:val="off"/>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已提交响应文件的供应商，在提交最终报价之前，可以根据磋商情况退出磋商。</w:t>
      </w:r>
      <w:r/>
    </w:p>
    <w:p>
      <w:pPr>
        <w:numPr>
          <w:ilvl w:val="1"/>
          <w:numId w:val="11"/>
        </w:numPr>
        <w:ind w:left="0" w:firstLine="482"/>
        <w:keepLines w:val="0"/>
        <w:keepNext w:val="0"/>
        <w:pageBreakBefore w:val="0"/>
        <w:spacing w:line="400" w:lineRule="exact"/>
        <w:widowControl w:val="off"/>
        <w:tabs>
          <w:tab w:val="left" w:pos="1080" w:leader="none"/>
          <w:tab w:val="left" w:pos="1872" w:leader="none"/>
        </w:tabs>
        <w:rPr>
          <w:rFonts w:ascii="宋体" w:hAnsi="宋体" w:cs="宋体"/>
          <w:b/>
          <w:bCs/>
          <w:color w:val="auto"/>
          <w:sz w:val="24"/>
          <w:highlight w:val="none"/>
        </w:rPr>
      </w:pPr>
      <w:r>
        <w:rPr>
          <w:rFonts w:hint="eastAsia" w:ascii="宋体" w:hAnsi="宋体" w:cs="宋体"/>
          <w:b/>
          <w:bCs/>
          <w:color w:val="auto"/>
          <w:sz w:val="24"/>
          <w:highlight w:val="none"/>
        </w:rPr>
        <w:t xml:space="preserve">磋商报价次数：按《供应商须知资料表》规定，如有多轮报价，合同单价按照最终报价同比例浮动。</w:t>
      </w:r>
      <w:r/>
    </w:p>
    <w:p>
      <w:pPr>
        <w:numPr>
          <w:ilvl w:val="1"/>
          <w:numId w:val="11"/>
        </w:numPr>
        <w:ind w:left="0" w:firstLine="482"/>
        <w:keepLines w:val="0"/>
        <w:keepNext w:val="0"/>
        <w:pageBreakBefore w:val="0"/>
        <w:spacing w:line="400" w:lineRule="exact"/>
        <w:widowControl w:val="off"/>
        <w:tabs>
          <w:tab w:val="left" w:pos="1080" w:leader="none"/>
          <w:tab w:val="left" w:pos="1872"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评审中出现下列情形之一的，评审委员会应当启动异常低价投标（响应）审查程序：</w:t>
      </w:r>
      <w:r/>
    </w:p>
    <w:p>
      <w:pPr>
        <w:ind w:firstLine="482"/>
        <w:keepLines w:val="0"/>
        <w:keepNext w:val="0"/>
        <w:pageBreakBefore w:val="0"/>
        <w:spacing w:line="400" w:lineRule="exact"/>
        <w:widowControl w:val="off"/>
        <w:rPr>
          <w:rFonts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400" w:lineRule="exact"/>
        <w:widowControl w:val="off"/>
        <w:rPr>
          <w:rFonts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400" w:lineRule="exact"/>
        <w:widowControl w:val="off"/>
        <w:rPr>
          <w:rFonts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keepLines w:val="0"/>
        <w:keepNext w:val="0"/>
        <w:pageBreakBefore w:val="0"/>
        <w:spacing w:line="400" w:lineRule="exact"/>
        <w:widowControl w:val="off"/>
        <w:rPr>
          <w:rFonts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keepLines w:val="0"/>
        <w:keepNext w:val="0"/>
        <w:pageBreakBefore w:val="0"/>
        <w:spacing w:line="400" w:lineRule="exact"/>
        <w:widowControl w:val="off"/>
        <w:rPr>
          <w:rFonts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p>
    <w:p>
      <w:pPr>
        <w:ind w:firstLine="480"/>
        <w:keepLines w:val="0"/>
        <w:keepNext w:val="0"/>
        <w:pageBreakBefore w:val="0"/>
        <w:spacing w:line="400" w:lineRule="exact"/>
        <w:widowControl w:val="off"/>
        <w:rPr>
          <w:rFonts w:ascii="宋体" w:hAnsi="宋体" w:cs="宋体"/>
          <w:sz w:val="24"/>
          <w:highlight w:val="none"/>
        </w:rP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00" w:lineRule="exact"/>
        <w:widowControl w:val="off"/>
        <w:rPr>
          <w:rFonts w:ascii="宋体" w:hAnsi="宋体" w:cs="宋体"/>
          <w:sz w:val="24"/>
          <w:highlight w:val="none"/>
        </w:rP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highlight w:val="none"/>
          <w:u w:val="single"/>
        </w:rPr>
        <w:t xml:space="preserve">无效投标（响应）</w:t>
      </w:r>
      <w:r>
        <w:rPr>
          <w:rFonts w:hint="eastAsia" w:ascii="宋体" w:hAnsi="宋体" w:cs="宋体"/>
          <w:sz w:val="24"/>
          <w:highlight w:val="none"/>
        </w:rPr>
        <w:t xml:space="preserve">处理。</w:t>
      </w:r>
      <w:r/>
    </w:p>
    <w:p>
      <w:pPr>
        <w:ind w:firstLine="480"/>
        <w:keepLines w:val="0"/>
        <w:keepNext w:val="0"/>
        <w:pageBreakBefore w:val="0"/>
        <w:spacing w:line="400" w:lineRule="exact"/>
        <w:widowControl w:val="off"/>
        <w:rPr>
          <w:rFonts w:ascii="宋体" w:hAnsi="宋体" w:cs="宋体"/>
          <w:sz w:val="24"/>
          <w:highlight w:val="none"/>
        </w:rP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numId w:val="0"/>
        </w:numPr>
        <w:ind w:firstLine="482"/>
        <w:keepLines w:val="0"/>
        <w:keepNext w:val="0"/>
        <w:pageBreakBefore w:val="0"/>
        <w:spacing w:line="400" w:lineRule="exact"/>
        <w:widowControl w:val="off"/>
        <w:tabs>
          <w:tab w:val="left" w:pos="1080" w:leader="none"/>
          <w:tab w:val="left" w:pos="1872" w:leader="none"/>
        </w:tabs>
        <w:rPr>
          <w:rFonts w:ascii="宋体" w:hAnsi="宋体" w:cs="宋体"/>
          <w:b/>
          <w:bCs/>
          <w:color w:val="auto"/>
          <w:sz w:val="24"/>
          <w:highlight w:val="none"/>
        </w:rPr>
      </w:pPr>
      <w:r/>
      <w:bookmarkStart w:id="747" w:name="_GoBack"/>
      <w:r/>
      <w:bookmarkEnd w:id="747"/>
      <w:r>
        <w:rPr>
          <w:rFonts w:hint="eastAsia" w:ascii="宋体" w:hAnsi="宋体" w:cs="宋体"/>
          <w:b/>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11"/>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最终报价的算术修正及政策调整</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最终报价出现前后不一致的，按照下列规定修正：</w:t>
      </w:r>
      <w:r/>
    </w:p>
    <w:p>
      <w:pPr>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竞争性磋商文件对于报价修正是否另有规定：</w:t>
      </w:r>
      <w:r/>
    </w:p>
    <w:p>
      <w:pPr>
        <w:ind w:firstLine="48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□有，具体规定为：___________</w:t>
      </w:r>
      <w:r/>
    </w:p>
    <w:p>
      <w:pPr>
        <w:ind w:firstLine="42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highlight w:val="none"/>
        </w:rPr>
        <w:t xml:space="preserve">■</w:t>
      </w:r>
      <w:r>
        <w:rPr>
          <w:rFonts w:hint="eastAsia" w:ascii="宋体" w:hAnsi="宋体" w:cs="宋体"/>
          <w:color w:val="auto"/>
          <w:sz w:val="24"/>
          <w:highlight w:val="none"/>
        </w:rPr>
        <w:t xml:space="preserve">无，按下述3.2.2-3.2.5项规定修正。</w:t>
      </w:r>
      <w:r/>
    </w:p>
    <w:p>
      <w:pPr>
        <w:numPr>
          <w:ilvl w:val="2"/>
          <w:numId w:val="11"/>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11"/>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单价金额小数点或者百分比有明显错位的，以最终报价一览表的总价为准，并修改单价；</w:t>
      </w:r>
      <w:r/>
    </w:p>
    <w:p>
      <w:pPr>
        <w:numPr>
          <w:ilvl w:val="2"/>
          <w:numId w:val="11"/>
        </w:numPr>
        <w:ind w:firstLine="480"/>
        <w:spacing w:line="400" w:lineRule="exact"/>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b/>
          <w:bCs/>
          <w:color w:val="auto"/>
          <w:sz w:val="24"/>
          <w:highlight w:val="none"/>
        </w:rPr>
      </w:pPr>
      <w:r>
        <w:rPr>
          <w:rFonts w:hint="eastAsia" w:ascii="宋体" w:hAnsi="宋体" w:cs="宋体"/>
          <w:color w:val="auto"/>
          <w:sz w:val="24"/>
          <w:highlight w:val="none"/>
        </w:rPr>
        <w:t xml:space="preserve">落实政府采购政策的价格调整：只有符合第二章《供应商须知》4.2条规定情形的，可以享受中小企业扶持政策：</w:t>
      </w:r>
      <w:r>
        <w:rPr>
          <w:rFonts w:hint="eastAsia" w:ascii="宋体" w:hAnsi="宋体" w:cs="宋体"/>
          <w:b/>
          <w:bCs/>
          <w:color w:val="auto"/>
          <w:sz w:val="24"/>
          <w:highlight w:val="none"/>
          <w:u w:val="single"/>
        </w:rPr>
        <w:t xml:space="preserve">本项目专门面向中小企业采购，价格不作扣除。</w:t>
      </w:r>
      <w:r/>
    </w:p>
    <w:p>
      <w:pPr>
        <w:numPr>
          <w:ilvl w:val="2"/>
          <w:numId w:val="11"/>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b/>
          <w:bCs/>
          <w:color w:val="auto"/>
          <w:sz w:val="24"/>
          <w:highlight w:val="none"/>
        </w:rPr>
        <w:t xml:space="preserve">20%</w:t>
      </w:r>
      <w:r>
        <w:rPr>
          <w:rFonts w:hint="eastAsia" w:ascii="宋体" w:hAnsi="宋体" w:cs="宋体"/>
          <w:color w:val="auto"/>
          <w:sz w:val="24"/>
          <w:highlight w:val="none"/>
        </w:rPr>
        <w:t xml:space="preserve">的扣除，用扣除后的价格参加评审。</w:t>
      </w:r>
      <w:r/>
    </w:p>
    <w:p>
      <w:pPr>
        <w:numPr>
          <w:ilvl w:val="2"/>
          <w:numId w:val="11"/>
        </w:num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30%以上的联合体或者大中型企业的报价给予3%的扣除，用扣除后的价格参加评审。</w:t>
      </w:r>
      <w:r/>
    </w:p>
    <w:p>
      <w:pPr>
        <w:numPr>
          <w:ilvl w:val="2"/>
          <w:numId w:val="11"/>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价格扣除比例对小型企业和微型企业同等对待，不作区分。</w:t>
      </w:r>
      <w:r/>
    </w:p>
    <w:p>
      <w:pPr>
        <w:numPr>
          <w:ilvl w:val="2"/>
          <w:numId w:val="11"/>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中小企业参加政府采购活动，应当按照竞争性磋商文件给定的格式出具《中小企业声明函》，否则不得享受相关中小企业扶持政策。</w:t>
      </w:r>
      <w:r/>
    </w:p>
    <w:p>
      <w:pPr>
        <w:numPr>
          <w:ilvl w:val="2"/>
          <w:numId w:val="11"/>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firstLine="480"/>
        <w:spacing w:line="400" w:lineRule="exact"/>
        <w:tabs>
          <w:tab w:val="left" w:pos="1080" w:leader="none"/>
          <w:tab w:val="left" w:pos="1589" w:leader="none"/>
          <w:tab w:val="left" w:pos="2035" w:leader="none"/>
        </w:tabs>
        <w:rPr>
          <w:rFonts w:ascii="宋体" w:hAnsi="宋体" w:cs="宋体"/>
          <w:color w:val="auto"/>
          <w:sz w:val="24"/>
          <w:highlight w:val="none"/>
        </w:rPr>
      </w:pPr>
      <w:r>
        <w:rPr>
          <w:rFonts w:hint="eastAsia" w:ascii="宋体" w:hAnsi="宋体" w:cs="宋体"/>
          <w:color w:val="auto"/>
          <w:sz w:val="24"/>
          <w:highlight w:val="none"/>
        </w:rPr>
        <w:t xml:space="preserve">残疾人福利性单位按竞争性磋商文件要求提供了《残疾人福利性单位声明函》（见附件）的，视同小微企业。</w:t>
      </w:r>
      <w:r/>
    </w:p>
    <w:p>
      <w:pPr>
        <w:numPr>
          <w:ilvl w:val="2"/>
          <w:numId w:val="11"/>
        </w:numPr>
        <w:ind w:firstLine="480"/>
        <w:spacing w:line="400" w:lineRule="exact"/>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firstLine="480"/>
        <w:spacing w:line="400" w:lineRule="exact"/>
        <w:tabs>
          <w:tab w:val="left" w:pos="1080" w:leader="none"/>
          <w:tab w:val="left" w:pos="1589" w:leader="none"/>
          <w:tab w:val="left" w:pos="2014" w:leader="none"/>
        </w:tabs>
        <w:rPr>
          <w:rFonts w:ascii="宋体" w:hAnsi="宋体" w:cs="宋体"/>
          <w:color w:val="auto"/>
          <w:sz w:val="24"/>
          <w:highlight w:val="none"/>
        </w:rPr>
      </w:pPr>
      <w:r>
        <w:rPr>
          <w:rFonts w:hint="eastAsia" w:ascii="宋体" w:hAnsi="宋体" w:cs="宋体"/>
          <w:color w:val="auto"/>
          <w:sz w:val="24"/>
          <w:highlight w:val="none"/>
        </w:rPr>
        <w:t xml:space="preserve">其他为落实政府采购政策实施的优先采购：___/___。</w:t>
      </w:r>
      <w:r/>
    </w:p>
    <w:p>
      <w:pPr>
        <w:numPr>
          <w:ilvl w:val="0"/>
          <w:numId w:val="11"/>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磋商环节及提交最终报价后如出现以下情况的，供应商的</w:t>
      </w:r>
      <w:r>
        <w:rPr>
          <w:rFonts w:hint="eastAsia" w:ascii="宋体" w:hAnsi="宋体" w:cs="宋体"/>
          <w:b/>
          <w:color w:val="auto"/>
          <w:sz w:val="24"/>
          <w:highlight w:val="none"/>
        </w:rPr>
        <w:t xml:space="preserve">响应文件无效</w:t>
      </w:r>
      <w:r>
        <w:rPr>
          <w:rFonts w:hint="eastAsia" w:ascii="宋体" w:hAnsi="宋体" w:cs="宋体"/>
          <w:color w:val="auto"/>
          <w:sz w:val="24"/>
          <w:highlight w:val="none"/>
        </w:rPr>
        <w:t xml:space="preserve">：</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供应商对实质性变动不予确认的；</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不满足磋商文件★号条款或磋商文件技术指标超出磋商文件《采购需求》中主要技术参数允许偏差的最大范围的（如有）；</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未按照磋商小组规定的时间、逾期提交最终报价的；</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如供应商的最终报价超过竞争性磋商文件中规定的项目/采购包预算金额或者项目/采购包最高限价的；</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响应文件中出现可选择性或可调整的报价的（竞争性磋商文件另有规定的除外）；</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最终报价出现前后不一致，供应商对修正后的报价不予确认的；</w:t>
      </w:r>
      <w:r/>
    </w:p>
    <w:p>
      <w:pPr>
        <w:numPr>
          <w:ilvl w:val="1"/>
          <w:numId w:val="11"/>
        </w:numPr>
        <w:ind w:left="0" w:firstLine="480"/>
        <w:spacing w:line="400" w:lineRule="exact"/>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其他：___/___。</w:t>
      </w:r>
      <w:bookmarkEnd w:id="625"/>
      <w:r/>
      <w:bookmarkEnd w:id="626"/>
      <w:r/>
      <w:r/>
    </w:p>
    <w:p>
      <w:pPr>
        <w:numPr>
          <w:ilvl w:val="0"/>
          <w:numId w:val="11"/>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评审方法和评审标准</w:t>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竞争性磋商文件中没有规定的评审标准不得作为评审依据。</w:t>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非政府强制采购的节能产品或环境标志产品，依据品目清单和认证证书实施政府优先采购。优先采购的具体规定（如涉及）__/____。</w:t>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关于无线局域网认证产品政府采购清单中的产品，优先采购的具体规定（如涉及）___/___。</w:t>
      </w:r>
      <w:r/>
    </w:p>
    <w:p>
      <w:pPr>
        <w:numPr>
          <w:ilvl w:val="0"/>
          <w:numId w:val="11"/>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确定</w:t>
      </w:r>
      <w:bookmarkStart w:id="642" w:name="_Toc226965736"/>
      <w:r/>
      <w:bookmarkStart w:id="643" w:name="_Toc151193934"/>
      <w:r/>
      <w:bookmarkStart w:id="644" w:name="_Toc149720839"/>
      <w:r/>
      <w:bookmarkStart w:id="645" w:name="_Toc164351640"/>
      <w:r/>
      <w:bookmarkStart w:id="646" w:name="_Toc150480784"/>
      <w:r/>
      <w:bookmarkStart w:id="647" w:name="_Toc226309790"/>
      <w:r/>
      <w:bookmarkStart w:id="648" w:name="_Toc305158814"/>
      <w:r/>
      <w:bookmarkStart w:id="649" w:name="_Toc264969236"/>
      <w:r/>
      <w:bookmarkStart w:id="650" w:name="_Toc164229387"/>
      <w:r/>
      <w:bookmarkStart w:id="651" w:name="_Toc305158888"/>
      <w:r/>
      <w:bookmarkStart w:id="652" w:name="_Toc226337242"/>
      <w:r/>
      <w:bookmarkStart w:id="653" w:name="_Toc151193788"/>
      <w:r/>
      <w:bookmarkStart w:id="654" w:name="_Toc127151747"/>
      <w:r/>
      <w:bookmarkStart w:id="655" w:name="_Toc150774751"/>
      <w:r/>
      <w:bookmarkStart w:id="656" w:name="_Toc151190173"/>
      <w:r/>
      <w:bookmarkStart w:id="657" w:name="_Toc150774646"/>
      <w:r/>
      <w:bookmarkStart w:id="658" w:name="_Toc151193716"/>
      <w:r/>
      <w:bookmarkStart w:id="659" w:name="_Toc151193644"/>
      <w:r/>
      <w:bookmarkStart w:id="660" w:name="_Toc226965819"/>
      <w:r/>
      <w:bookmarkStart w:id="661" w:name="_Toc151193860"/>
      <w:r/>
      <w:bookmarkStart w:id="662" w:name="_Toc164608815"/>
      <w:r/>
      <w:bookmarkStart w:id="663" w:name="_Toc142311048"/>
      <w:r/>
      <w:bookmarkStart w:id="664" w:name="_Toc164229241"/>
      <w:r/>
      <w:bookmarkStart w:id="665" w:name="_Toc127151546"/>
      <w:r/>
      <w:bookmarkStart w:id="666" w:name="_Toc164608660"/>
      <w:r/>
      <w:bookmarkStart w:id="667" w:name="_Toc195842911"/>
      <w:r/>
      <w:bookmarkStart w:id="668" w:name="_Toc265228384"/>
      <w:r/>
      <w:bookmarkStart w:id="669" w:name="_Ref467307010"/>
      <w:r/>
      <w:bookmarkStart w:id="670" w:name="_Toc127161460"/>
      <w:r/>
      <w:bookmarkStart w:id="671" w:name="_Toc520356170"/>
      <w:r/>
      <w:bookmarkStart w:id="672" w:name="_Toc150509297"/>
      <w:r>
        <w:rPr>
          <w:rFonts w:hint="eastAsia" w:ascii="宋体" w:hAnsi="宋体" w:cs="宋体"/>
          <w:color w:val="auto"/>
          <w:sz w:val="24"/>
          <w:highlight w:val="none"/>
        </w:rPr>
        <w:t xml:space="preserve">成交候选人名单</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szCs w:val="20"/>
          <w:highlight w:val="none"/>
        </w:rPr>
        <w:t xml:space="preserve">磋商小组根据上述供应商排序，依次推荐排序前</w:t>
      </w:r>
      <w:r>
        <w:rPr>
          <w:rFonts w:hint="eastAsia" w:ascii="宋体" w:hAnsi="宋体" w:cs="宋体"/>
          <w:color w:val="auto"/>
          <w:sz w:val="24"/>
          <w:highlight w:val="none"/>
        </w:rPr>
        <w:t xml:space="preserve">3名</w:t>
      </w:r>
      <w:r>
        <w:rPr>
          <w:rFonts w:hint="eastAsia" w:ascii="宋体" w:hAnsi="宋体" w:cs="宋体"/>
          <w:color w:val="auto"/>
          <w:sz w:val="24"/>
          <w:szCs w:val="20"/>
          <w:highlight w:val="none"/>
        </w:rPr>
        <w:t xml:space="preserve">的供应商为</w:t>
      </w:r>
      <w:r>
        <w:rPr>
          <w:rFonts w:hint="eastAsia" w:ascii="宋体" w:hAnsi="宋体" w:cs="宋体"/>
          <w:color w:val="auto"/>
          <w:sz w:val="24"/>
          <w:szCs w:val="21"/>
          <w:highlight w:val="none"/>
        </w:rPr>
        <w:t xml:space="preserve">成交候选供应商</w:t>
      </w:r>
      <w:r>
        <w:rPr>
          <w:rFonts w:hint="eastAsia" w:ascii="宋体" w:hAnsi="宋体" w:cs="宋体"/>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1"/>
        </w:numPr>
        <w:ind w:left="0" w:firstLine="480"/>
        <w:spacing w:line="400" w:lineRule="exact"/>
        <w:tabs>
          <w:tab w:val="left" w:pos="1080"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磋商小组要对评分汇总情况进行复核，特别是对排名第一的、报价最低的、响应文件被认定为无效的情形进行重点复核。</w:t>
      </w:r>
      <w:r/>
    </w:p>
    <w:p>
      <w:pPr>
        <w:numPr>
          <w:ilvl w:val="0"/>
          <w:numId w:val="11"/>
        </w:numPr>
        <w:ind w:left="0" w:firstLine="480"/>
        <w:spacing w:line="4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报告违法行为</w:t>
      </w:r>
      <w:r/>
    </w:p>
    <w:p>
      <w:pPr>
        <w:numPr>
          <w:ilvl w:val="1"/>
          <w:numId w:val="11"/>
        </w:numPr>
        <w:ind w:left="0" w:firstLine="480"/>
        <w:spacing w:line="400" w:lineRule="exact"/>
        <w:widowControl/>
        <w:tabs>
          <w:tab w:val="left" w:pos="1080" w:leader="none"/>
          <w:tab w:val="left" w:pos="1872" w:leader="none"/>
        </w:tabs>
        <w:rPr>
          <w:rFonts w:ascii="宋体" w:hAnsi="宋体" w:cs="宋体"/>
          <w:b/>
          <w:color w:val="auto"/>
          <w:sz w:val="24"/>
          <w:highlight w:val="none"/>
        </w:rPr>
      </w:pPr>
      <w:r>
        <w:rPr>
          <w:rFonts w:hint="eastAsia" w:ascii="宋体" w:hAnsi="宋体" w:cs="宋体"/>
          <w:color w:val="auto"/>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cs="宋体"/>
          <w:b/>
          <w:color w:val="auto"/>
          <w:sz w:val="24"/>
          <w:highlight w:val="none"/>
        </w:rPr>
        <w:br w:type="page" w:clear="all"/>
      </w:r>
      <w:r/>
    </w:p>
    <w:p>
      <w:pPr>
        <w:pStyle w:val="1271"/>
        <w:numPr>
          <w:ilvl w:val="0"/>
          <w:numId w:val="12"/>
        </w:numPr>
        <w:spacing w:before="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bl>
      <w:tblPr>
        <w:tblStyle w:val="128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007"/>
        <w:gridCol w:w="658"/>
        <w:gridCol w:w="6146"/>
      </w:tblGrid>
      <w:tr>
        <w:trPr>
          <w:trHeight w:val="454"/>
          <w:tblHeader/>
        </w:trPr>
        <w:tc>
          <w:tcPr>
            <w:tcW w:w="415"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591"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评分因素</w:t>
            </w:r>
            <w:r/>
          </w:p>
        </w:tc>
        <w:tc>
          <w:tcPr>
            <w:tcW w:w="386"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W w:w="3607"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trHeight w:val="454"/>
        </w:trPr>
        <w:tc>
          <w:tcPr>
            <w:tcW w:w="41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59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607" w:type="pct"/>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满足磋商文件要求且最终报价最低的报价为评标基准价，其价格分为满分。其他供应商的价格分统一按照下列公式计算：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价格分得分＝（评标基准价/最终报价）×分值。</w:t>
            </w:r>
            <w:r/>
          </w:p>
          <w:p>
            <w:pPr>
              <w:rPr>
                <w:rFonts w:ascii="宋体" w:hAnsi="宋体" w:cs="宋体"/>
                <w:b/>
                <w:bCs/>
                <w:color w:val="auto"/>
                <w:sz w:val="24"/>
                <w:highlight w:val="none"/>
              </w:rPr>
            </w:pPr>
            <w:r>
              <w:rPr>
                <w:rFonts w:hint="eastAsia" w:ascii="宋体" w:hAnsi="宋体" w:cs="宋体"/>
                <w:b/>
                <w:bCs/>
                <w:color w:val="auto"/>
                <w:sz w:val="24"/>
                <w:highlight w:val="none"/>
                <w:u w:val="single"/>
              </w:rPr>
              <w:t xml:space="preserve">此处最终报价指经过报价修正后的最终报价。本项目专门面向中小企业采购，价格不作扣除。</w:t>
            </w:r>
            <w:r/>
          </w:p>
        </w:tc>
      </w:tr>
      <w:tr>
        <w:trPr>
          <w:trHeight w:val="454"/>
        </w:trPr>
        <w:tc>
          <w:tcPr>
            <w:tcW w:w="41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59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主观分</w:t>
            </w:r>
            <w:r/>
          </w:p>
        </w:tc>
        <w:tc>
          <w:tcPr>
            <w:tcW w:w="386"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60</w:t>
            </w:r>
            <w:r/>
          </w:p>
        </w:tc>
        <w:tc>
          <w:tcPr>
            <w:tcW w:w="3607" w:type="pct"/>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trHeight w:val="454"/>
        </w:trPr>
        <w:tc>
          <w:tcPr>
            <w:tcW w:w="41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W w:w="591" w:type="pct"/>
            <w:vAlign w:val="center"/>
            <w:textDirection w:val="lrTb"/>
            <w:noWrap w:val="false"/>
          </w:tcPr>
          <w:p>
            <w:pPr>
              <w:jc w:val="center"/>
              <w:rPr>
                <w:rFonts w:ascii="宋体" w:hAnsi="宋体" w:cs="仿宋"/>
                <w:color w:val="auto"/>
                <w:spacing w:val="10"/>
                <w:sz w:val="24"/>
                <w:highlight w:val="none"/>
              </w:rPr>
            </w:pPr>
            <w:r>
              <w:rPr>
                <w:rFonts w:hint="eastAsia" w:ascii="宋体" w:hAnsi="宋体" w:cs="宋体"/>
                <w:bCs/>
                <w:color w:val="auto"/>
                <w:spacing w:val="-6"/>
                <w:sz w:val="24"/>
                <w:highlight w:val="none"/>
              </w:rPr>
              <w:t xml:space="preserve">项目理解及需求分析</w:t>
            </w:r>
            <w:r/>
          </w:p>
        </w:tc>
        <w:tc>
          <w:tcPr>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3607"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根据供应商提供的</w:t>
            </w:r>
            <w:r>
              <w:rPr>
                <w:rFonts w:hint="eastAsia" w:ascii="宋体" w:hAnsi="宋体" w:cs="宋体"/>
                <w:bCs/>
                <w:color w:val="auto"/>
                <w:spacing w:val="-6"/>
                <w:sz w:val="24"/>
                <w:highlight w:val="none"/>
              </w:rPr>
              <w:t xml:space="preserve">项目理解及需求分析</w:t>
            </w:r>
            <w:r>
              <w:rPr>
                <w:rFonts w:hint="eastAsia" w:ascii="宋体" w:hAnsi="宋体" w:cs="宋体"/>
                <w:color w:val="auto"/>
                <w:sz w:val="24"/>
                <w:highlight w:val="none"/>
              </w:rPr>
              <w:t xml:space="preserve">由评委综合比较进行评分:</w:t>
            </w:r>
            <w:r>
              <w:rPr>
                <w:rFonts w:hint="eastAsia" w:ascii="宋体" w:hAnsi="宋体" w:cs="宋体"/>
                <w:color w:val="auto"/>
                <w:spacing w:val="-6"/>
                <w:sz w:val="24"/>
                <w:highlight w:val="none"/>
              </w:rPr>
              <w:t xml:space="preserve">对项目概况、服务目标、服务需求的理解到位，对采购人需求分析透彻，并且能结合采购人需求提供全面的跟踪服务的</w:t>
            </w:r>
            <w:r>
              <w:rPr>
                <w:rFonts w:hint="eastAsia" w:ascii="宋体" w:hAnsi="宋体" w:cs="宋体"/>
                <w:color w:val="auto"/>
                <w:sz w:val="24"/>
                <w:highlight w:val="none"/>
              </w:rPr>
              <w:t xml:space="preserve">得6分</w:t>
            </w:r>
            <w:r>
              <w:rPr>
                <w:rFonts w:hint="eastAsia" w:ascii="宋体" w:hAnsi="宋体" w:cs="宋体"/>
                <w:color w:val="auto"/>
                <w:spacing w:val="-6"/>
                <w:sz w:val="24"/>
                <w:highlight w:val="none"/>
              </w:rPr>
              <w:t xml:space="preserve">；基本了解项目概况、服务目标、服务需求，能够简单分析用户需求提供基本跟踪服务</w:t>
            </w:r>
            <w:r>
              <w:rPr>
                <w:rFonts w:hint="eastAsia" w:ascii="宋体" w:hAnsi="宋体" w:cs="宋体"/>
                <w:color w:val="auto"/>
                <w:sz w:val="24"/>
                <w:highlight w:val="none"/>
              </w:rPr>
              <w:t xml:space="preserve">得3分</w:t>
            </w:r>
            <w:r>
              <w:rPr>
                <w:rFonts w:hint="eastAsia" w:ascii="宋体" w:hAnsi="宋体" w:cs="宋体"/>
                <w:color w:val="auto"/>
                <w:spacing w:val="-6"/>
                <w:sz w:val="24"/>
                <w:highlight w:val="none"/>
              </w:rPr>
              <w:t xml:space="preserve">；对项目概况、服务目标、服务需求理解稍有偏差，提供需求提供服务基本满足要求</w:t>
            </w:r>
            <w:r>
              <w:rPr>
                <w:rFonts w:hint="eastAsia" w:ascii="宋体" w:hAnsi="宋体" w:cs="宋体"/>
                <w:color w:val="auto"/>
                <w:sz w:val="24"/>
                <w:highlight w:val="none"/>
              </w:rPr>
              <w:t xml:space="preserve">得1分</w:t>
            </w:r>
            <w:r>
              <w:rPr>
                <w:rFonts w:hint="eastAsia" w:ascii="宋体" w:hAnsi="宋体" w:cs="宋体"/>
                <w:color w:val="auto"/>
                <w:spacing w:val="-6"/>
                <w:sz w:val="24"/>
                <w:highlight w:val="none"/>
              </w:rPr>
              <w:t xml:space="preserve">；未提供本项不得分。</w:t>
            </w:r>
            <w:r/>
          </w:p>
        </w:tc>
      </w:tr>
      <w:tr>
        <w:trPr>
          <w:trHeight w:val="454"/>
        </w:trPr>
        <w:tc>
          <w:tcPr>
            <w:tcW w:w="41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2.2</w:t>
            </w:r>
            <w:r/>
          </w:p>
        </w:tc>
        <w:tc>
          <w:tcPr>
            <w:shd w:val="clear" w:color="auto" w:fill="auto"/>
            <w:tcW w:w="591" w:type="pct"/>
            <w:vAlign w:val="center"/>
            <w:textDirection w:val="lrTb"/>
            <w:noWrap w:val="false"/>
          </w:tcPr>
          <w:p>
            <w:pPr>
              <w:jc w:val="center"/>
              <w:rPr>
                <w:rFonts w:ascii="宋体" w:hAnsi="宋体" w:cs="仿宋"/>
                <w:color w:val="auto"/>
                <w:spacing w:val="10"/>
                <w:sz w:val="24"/>
                <w:highlight w:val="none"/>
              </w:rPr>
            </w:pPr>
            <w:r>
              <w:rPr>
                <w:rFonts w:hint="eastAsia" w:ascii="宋体" w:hAnsi="宋体" w:cs="等线"/>
                <w:color w:val="auto"/>
                <w:sz w:val="24"/>
                <w:highlight w:val="none"/>
              </w:rPr>
              <w:t xml:space="preserve">培训课程设计</w:t>
            </w:r>
            <w:r/>
          </w:p>
        </w:tc>
        <w:tc>
          <w:tcPr>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3607"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根据供应商提供的培训课程设计由评委综合比较进行评分:培训课程设计</w:t>
            </w:r>
            <w:r>
              <w:rPr>
                <w:rFonts w:ascii="宋体" w:hAnsi="宋体" w:cs="宋体"/>
                <w:color w:val="auto"/>
                <w:sz w:val="24"/>
                <w:highlight w:val="none"/>
              </w:rPr>
              <w:t xml:space="preserve">合理</w:t>
            </w:r>
            <w:r>
              <w:rPr>
                <w:rFonts w:hint="eastAsia" w:ascii="宋体" w:hAnsi="宋体" w:cs="宋体"/>
                <w:color w:val="auto"/>
                <w:sz w:val="24"/>
                <w:highlight w:val="none"/>
              </w:rPr>
              <w:t xml:space="preserve">，符合本次服务要求，课程设计具有针对性，课程安排合理完善的得6分；培训课程设计比较</w:t>
            </w:r>
            <w:r>
              <w:rPr>
                <w:rFonts w:ascii="宋体" w:hAnsi="宋体" w:cs="宋体"/>
                <w:color w:val="auto"/>
                <w:sz w:val="24"/>
                <w:highlight w:val="none"/>
              </w:rPr>
              <w:t xml:space="preserve">合理</w:t>
            </w:r>
            <w:r>
              <w:rPr>
                <w:rFonts w:hint="eastAsia" w:ascii="宋体" w:hAnsi="宋体" w:cs="宋体"/>
                <w:color w:val="auto"/>
                <w:sz w:val="24"/>
                <w:highlight w:val="none"/>
              </w:rPr>
              <w:t xml:space="preserve">，比较符合本次服务要求，课程设计比较有针对性，课程安排比较合理完善的得3分；培训课程设计一般，基本符合本次服务要求，课程设计有一定针对性，课程安排一般合理的得1分；</w:t>
            </w:r>
            <w:r>
              <w:rPr>
                <w:rFonts w:hint="eastAsia" w:ascii="宋体" w:hAnsi="宋体" w:cs="宋体"/>
                <w:color w:val="auto"/>
                <w:spacing w:val="-6"/>
                <w:sz w:val="24"/>
                <w:highlight w:val="none"/>
              </w:rPr>
              <w:t xml:space="preserve">未提供本项不得分。</w:t>
            </w:r>
            <w:r/>
          </w:p>
        </w:tc>
      </w:tr>
      <w:tr>
        <w:trPr>
          <w:trHeight w:val="454"/>
        </w:trPr>
        <w:tc>
          <w:tcPr>
            <w:tcW w:w="41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2.3</w:t>
            </w:r>
            <w:r/>
          </w:p>
        </w:tc>
        <w:tc>
          <w:tcPr>
            <w:shd w:val="clear" w:color="auto" w:fill="auto"/>
            <w:tcW w:w="591" w:type="pct"/>
            <w:vAlign w:val="center"/>
            <w:textDirection w:val="lrTb"/>
            <w:noWrap w:val="false"/>
          </w:tcPr>
          <w:p>
            <w:pPr>
              <w:jc w:val="center"/>
              <w:rPr>
                <w:rFonts w:ascii="宋体" w:hAnsi="宋体" w:cs="仿宋"/>
                <w:color w:val="auto"/>
                <w:spacing w:val="10"/>
                <w:sz w:val="24"/>
                <w:highlight w:val="none"/>
              </w:rPr>
            </w:pPr>
            <w:r>
              <w:rPr>
                <w:rFonts w:hint="eastAsia" w:ascii="宋体" w:hAnsi="宋体" w:cs="等线"/>
                <w:color w:val="auto"/>
                <w:sz w:val="24"/>
                <w:highlight w:val="none"/>
              </w:rPr>
              <w:t xml:space="preserve">对本项目的重点、难点分析及应对措施</w:t>
            </w:r>
            <w:r/>
          </w:p>
        </w:tc>
        <w:tc>
          <w:tcPr>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3607" w:type="pct"/>
            <w:vAlign w:val="center"/>
            <w:textDirection w:val="lrTb"/>
            <w:noWrap w:val="false"/>
          </w:tcPr>
          <w:p>
            <w:pPr>
              <w:rPr>
                <w:rFonts w:ascii="宋体" w:hAnsi="宋体" w:cs="宋体"/>
                <w:color w:val="auto"/>
                <w:sz w:val="24"/>
                <w:highlight w:val="none"/>
              </w:rPr>
            </w:pPr>
            <w:r>
              <w:rPr>
                <w:rFonts w:hint="eastAsia" w:ascii="宋体" w:hAnsi="宋体" w:cs="宋体"/>
                <w:bCs/>
                <w:color w:val="auto"/>
                <w:spacing w:val="-6"/>
                <w:sz w:val="24"/>
                <w:highlight w:val="none"/>
              </w:rPr>
              <w:t xml:space="preserve">对本项目的重点、难点分析及应对措施，项目重点内容阐述、难点分析及相应的应对措施：</w:t>
            </w:r>
            <w:r>
              <w:rPr>
                <w:rFonts w:hint="eastAsia" w:ascii="宋体" w:hAnsi="宋体" w:cs="宋体"/>
                <w:color w:val="auto"/>
                <w:spacing w:val="-6"/>
                <w:sz w:val="24"/>
                <w:highlight w:val="none"/>
              </w:rPr>
              <w:t xml:space="preserve">重点切入准确、内容阐述精细，难点分析精准，应对措施科学、合理，操作性强得6分；重点切入较为准确，内容阐述完整，难点分析到位，应对措施较为科学合理，操作性较强得3分；重点内容切入稍有偏差，内容阐述简单，难点分析基本合理，应对措施操作性一般得1分；未提供本项不得分。</w:t>
            </w:r>
            <w:r/>
          </w:p>
        </w:tc>
      </w:tr>
      <w:tr>
        <w:trPr>
          <w:trHeight w:val="454"/>
        </w:trPr>
        <w:tc>
          <w:tcPr>
            <w:tcW w:w="41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2.4</w:t>
            </w:r>
            <w:r/>
          </w:p>
        </w:tc>
        <w:tc>
          <w:tcPr>
            <w:shd w:val="clear" w:color="auto" w:fill="auto"/>
            <w:tcW w:w="591" w:type="pct"/>
            <w:vAlign w:val="center"/>
            <w:textDirection w:val="lrTb"/>
            <w:noWrap w:val="false"/>
          </w:tcPr>
          <w:p>
            <w:pPr>
              <w:jc w:val="center"/>
              <w:rPr>
                <w:rFonts w:ascii="宋体" w:hAnsi="宋体" w:cs="仿宋"/>
                <w:color w:val="auto"/>
                <w:spacing w:val="10"/>
                <w:sz w:val="24"/>
                <w:highlight w:val="none"/>
              </w:rPr>
            </w:pPr>
            <w:r>
              <w:rPr>
                <w:rFonts w:hint="eastAsia" w:ascii="宋体" w:hAnsi="宋体" w:cs="等线"/>
                <w:color w:val="auto"/>
                <w:sz w:val="24"/>
                <w:highlight w:val="none"/>
              </w:rPr>
              <w:t xml:space="preserve">时间进度安排及进度保证措施</w:t>
            </w:r>
            <w:r/>
          </w:p>
        </w:tc>
        <w:tc>
          <w:tcPr>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3607" w:type="pct"/>
            <w:vAlign w:val="center"/>
            <w:textDirection w:val="lrTb"/>
            <w:noWrap w:val="false"/>
          </w:tcPr>
          <w:p>
            <w:pPr>
              <w:rPr>
                <w:rFonts w:ascii="宋体" w:hAnsi="宋体" w:cs="宋体"/>
                <w:color w:val="auto"/>
                <w:sz w:val="24"/>
                <w:highlight w:val="none"/>
              </w:rPr>
            </w:pPr>
            <w:r>
              <w:rPr>
                <w:rFonts w:hint="eastAsia" w:ascii="宋体" w:hAnsi="宋体" w:cs="宋体"/>
                <w:bCs/>
                <w:color w:val="auto"/>
                <w:spacing w:val="-6"/>
                <w:sz w:val="24"/>
                <w:highlight w:val="none"/>
              </w:rPr>
              <w:t xml:space="preserve">针对本项目的时间进度安排及进度保证措施：</w:t>
            </w:r>
            <w:r>
              <w:rPr>
                <w:rFonts w:hint="eastAsia" w:ascii="宋体" w:hAnsi="宋体" w:cs="宋体"/>
                <w:color w:val="auto"/>
                <w:spacing w:val="-6"/>
                <w:sz w:val="24"/>
                <w:highlight w:val="none"/>
              </w:rPr>
              <w:t xml:space="preserve">由评委综合评分：响应人时间进度安排及进度保证措施，进度安排紧凑，有效提高服务进度，且措施科学可行得6分；进度安排较合理，保障措施较可行得3分；进度安排基本合理，保障措施基本可行得1分；未提供本项不得分。</w:t>
            </w:r>
            <w:r/>
          </w:p>
        </w:tc>
      </w:tr>
      <w:tr>
        <w:trPr>
          <w:trHeight w:val="454"/>
        </w:trPr>
        <w:tc>
          <w:tcPr>
            <w:tcW w:w="41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2.5</w:t>
            </w:r>
            <w:r/>
          </w:p>
        </w:tc>
        <w:tc>
          <w:tcPr>
            <w:shd w:val="clear" w:color="auto" w:fill="auto"/>
            <w:tcW w:w="591" w:type="pct"/>
            <w:vAlign w:val="center"/>
            <w:textDirection w:val="lrTb"/>
            <w:noWrap w:val="false"/>
          </w:tcPr>
          <w:p>
            <w:pPr>
              <w:jc w:val="center"/>
              <w:rPr>
                <w:rFonts w:ascii="宋体" w:hAnsi="宋体" w:cs="仿宋"/>
                <w:color w:val="auto"/>
                <w:spacing w:val="10"/>
                <w:sz w:val="24"/>
                <w:highlight w:val="none"/>
              </w:rPr>
            </w:pPr>
            <w:r>
              <w:rPr>
                <w:rFonts w:hint="eastAsia" w:ascii="宋体" w:hAnsi="宋体" w:cs="等线"/>
                <w:color w:val="auto"/>
                <w:sz w:val="24"/>
                <w:highlight w:val="none"/>
                <w:lang w:val="en-US" w:eastAsia="zh-CN"/>
              </w:rPr>
              <w:t xml:space="preserve">项目实施</w:t>
            </w:r>
            <w:r>
              <w:rPr>
                <w:rFonts w:hint="eastAsia" w:ascii="宋体" w:hAnsi="宋体" w:cs="等线"/>
                <w:color w:val="auto"/>
                <w:sz w:val="24"/>
                <w:highlight w:val="none"/>
              </w:rPr>
              <w:t xml:space="preserve">人员方案</w:t>
            </w:r>
            <w:r/>
          </w:p>
        </w:tc>
        <w:tc>
          <w:tcPr>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3607" w:type="pct"/>
            <w:vAlign w:val="center"/>
            <w:textDirection w:val="lrTb"/>
            <w:noWrap w:val="false"/>
          </w:tcPr>
          <w:p>
            <w:pPr>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针对供应商提供的拟投入项目实施人员方案进行综合评审（包括但不限于人员配置与岗位职责、项目组织管理机制、内部协调配合及实施进度安排、应急保障与响应措施等）：</w:t>
            </w:r>
            <w:r/>
          </w:p>
          <w:p>
            <w:pPr>
              <w:rPr>
                <w:rFonts w:ascii="宋体" w:hAnsi="宋体" w:cs="宋体"/>
                <w:color w:val="auto"/>
                <w:sz w:val="24"/>
                <w:highlight w:val="none"/>
              </w:rPr>
            </w:pPr>
            <w:r>
              <w:rPr>
                <w:rFonts w:hint="eastAsia" w:ascii="宋体" w:hAnsi="宋体" w:cs="宋体"/>
                <w:bCs/>
                <w:color w:val="auto"/>
                <w:spacing w:val="-6"/>
                <w:sz w:val="24"/>
                <w:highlight w:val="none"/>
              </w:rPr>
              <w:t xml:space="preserve">方案完整、可行，组织管理清晰，能完全满足项目实施要求，得6分；方案较具体、可行，组织管理基本清晰，能基本满足项目实施要求，得3分；方案内容较简单，对项目实施要求响应一般，得1分；未提供本项不得分。</w:t>
            </w:r>
            <w:r/>
          </w:p>
        </w:tc>
      </w:tr>
      <w:tr>
        <w:trPr>
          <w:trHeight w:val="454"/>
        </w:trPr>
        <w:tc>
          <w:tcPr>
            <w:tcW w:w="415"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2.6</w:t>
            </w:r>
            <w:r/>
          </w:p>
        </w:tc>
        <w:tc>
          <w:tcPr>
            <w:shd w:val="clear" w:color="auto" w:fill="auto"/>
            <w:tcW w:w="591" w:type="pct"/>
            <w:vAlign w:val="center"/>
            <w:textDirection w:val="lrTb"/>
            <w:noWrap w:val="false"/>
          </w:tcPr>
          <w:p>
            <w:pPr>
              <w:jc w:val="center"/>
              <w:rPr>
                <w:rFonts w:hint="eastAsia" w:ascii="宋体" w:hAnsi="宋体" w:cs="等线"/>
                <w:color w:val="auto"/>
                <w:sz w:val="24"/>
                <w:highlight w:val="none"/>
              </w:rPr>
            </w:pPr>
            <w:r>
              <w:rPr>
                <w:rFonts w:hint="eastAsia" w:ascii="宋体" w:hAnsi="宋体" w:cs="等线"/>
                <w:color w:val="auto"/>
                <w:sz w:val="24"/>
                <w:highlight w:val="none"/>
              </w:rPr>
              <w:t xml:space="preserve">教学团队配置</w:t>
            </w:r>
            <w:r/>
          </w:p>
        </w:tc>
        <w:tc>
          <w:tcPr>
            <w:tcW w:w="386" w:type="pct"/>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tcW w:w="3607" w:type="pct"/>
            <w:vAlign w:val="center"/>
            <w:textDirection w:val="lrTb"/>
            <w:noWrap w:val="false"/>
          </w:tcPr>
          <w:p>
            <w:pPr>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针对供应商提供的拟投入教学团队方案进行综合评审（包括但不限于教学团队结构、讲师资质与授课经验、课程设计与教学方法、实训组织安排、教学质量管控措施等）：方案完整、可行，教学团队配置合理，能完全满足教学实施要求，得</w:t>
            </w:r>
            <w:r>
              <w:rPr>
                <w:rFonts w:hint="eastAsia" w:ascii="宋体" w:hAnsi="宋体" w:cs="宋体"/>
                <w:bCs/>
                <w:color w:val="auto"/>
                <w:spacing w:val="-6"/>
                <w:sz w:val="24"/>
                <w:highlight w:val="none"/>
                <w:lang w:val="en-US" w:eastAsia="zh-CN"/>
              </w:rPr>
              <w:t xml:space="preserve">6</w:t>
            </w:r>
            <w:r>
              <w:rPr>
                <w:rFonts w:hint="eastAsia" w:ascii="宋体" w:hAnsi="宋体" w:cs="宋体"/>
                <w:bCs/>
                <w:color w:val="auto"/>
                <w:spacing w:val="-6"/>
                <w:sz w:val="24"/>
                <w:highlight w:val="none"/>
              </w:rPr>
              <w:t xml:space="preserve">分；方案较具体、可行，教学团队配置基本合理，能基本满足教学实施要求，得</w:t>
            </w:r>
            <w:r>
              <w:rPr>
                <w:rFonts w:hint="eastAsia" w:ascii="宋体" w:hAnsi="宋体" w:cs="宋体"/>
                <w:bCs/>
                <w:color w:val="auto"/>
                <w:spacing w:val="-6"/>
                <w:sz w:val="24"/>
                <w:highlight w:val="none"/>
                <w:lang w:val="en-US" w:eastAsia="zh-CN"/>
              </w:rPr>
              <w:t xml:space="preserve">3</w:t>
            </w:r>
            <w:r>
              <w:rPr>
                <w:rFonts w:hint="eastAsia" w:ascii="宋体" w:hAnsi="宋体" w:cs="宋体"/>
                <w:bCs/>
                <w:color w:val="auto"/>
                <w:spacing w:val="-6"/>
                <w:sz w:val="24"/>
                <w:highlight w:val="none"/>
              </w:rPr>
              <w:t xml:space="preserve">分；方案内容较简单，对教学实施要求响应一般，得</w:t>
            </w:r>
            <w:r>
              <w:rPr>
                <w:rFonts w:hint="eastAsia" w:ascii="宋体" w:hAnsi="宋体" w:cs="宋体"/>
                <w:bCs/>
                <w:color w:val="auto"/>
                <w:spacing w:val="-6"/>
                <w:sz w:val="24"/>
                <w:highlight w:val="none"/>
                <w:lang w:val="en-US" w:eastAsia="zh-CN"/>
              </w:rPr>
              <w:t xml:space="preserve">1</w:t>
            </w:r>
            <w:r>
              <w:rPr>
                <w:rFonts w:hint="eastAsia" w:ascii="宋体" w:hAnsi="宋体" w:cs="宋体"/>
                <w:bCs/>
                <w:color w:val="auto"/>
                <w:spacing w:val="-6"/>
                <w:sz w:val="24"/>
                <w:highlight w:val="none"/>
              </w:rPr>
              <w:t xml:space="preserve">分；未提供本项不得分。</w:t>
            </w:r>
            <w:r/>
          </w:p>
        </w:tc>
      </w:tr>
      <w:tr>
        <w:trPr>
          <w:trHeight w:val="454"/>
        </w:trPr>
        <w:tc>
          <w:tcPr>
            <w:shd w:val="clear" w:color="auto" w:fill="auto"/>
            <w:tcW w:w="415" w:type="pct"/>
            <w:vAlign w:val="center"/>
            <w:textDirection w:val="lrTb"/>
            <w:noWrap w:val="false"/>
          </w:tcPr>
          <w:p>
            <w:pPr>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2.7</w:t>
            </w:r>
            <w:r/>
          </w:p>
        </w:tc>
        <w:tc>
          <w:tcPr>
            <w:shd w:val="clear" w:color="auto" w:fill="auto"/>
            <w:tcW w:w="591" w:type="pct"/>
            <w:vAlign w:val="center"/>
            <w:textDirection w:val="lrTb"/>
            <w:noWrap w:val="false"/>
          </w:tcPr>
          <w:p>
            <w:pPr>
              <w:jc w:val="center"/>
              <w:rPr>
                <w:rFonts w:ascii="宋体" w:hAnsi="宋体" w:cs="仿宋"/>
                <w:color w:val="auto"/>
                <w:spacing w:val="10"/>
                <w:sz w:val="24"/>
                <w:highlight w:val="none"/>
              </w:rPr>
            </w:pPr>
            <w:r>
              <w:rPr>
                <w:rFonts w:hint="eastAsia" w:ascii="宋体" w:hAnsi="宋体" w:cs="等线"/>
                <w:color w:val="auto"/>
                <w:sz w:val="24"/>
                <w:highlight w:val="none"/>
              </w:rPr>
              <w:t xml:space="preserve">售后服务方案</w:t>
            </w:r>
            <w:r/>
          </w:p>
        </w:tc>
        <w:tc>
          <w:tcPr>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3607"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供应商提供针对本项目的售后服务方案，由评委综合比较进行评分：售后服务方案完整，售后服务体系完备、服务人员充足，且服务方案针对性强，响应时间短、措施合理；提供了优于服务需求且具备可行性的特色服务得6分；售后服务方案较完整，售后服务体系较完备、服务人员较充足，且服务方案针对性较强，响应时间较短、措施较为合理；提供了符合服务需求且具备一定可行性的特色服务得3分；售后服务方案简单，售后服务体系欠缺、服务人员数量一般，且服务方案针对性一般，响应时间一般、具有一定的响应措施得1分</w:t>
            </w:r>
            <w:r>
              <w:rPr>
                <w:rFonts w:hint="eastAsia" w:ascii="宋体" w:hAnsi="宋体" w:cs="宋体"/>
                <w:bCs/>
                <w:color w:val="auto"/>
                <w:spacing w:val="-6"/>
                <w:sz w:val="24"/>
                <w:highlight w:val="none"/>
              </w:rPr>
              <w:t xml:space="preserve">；未提供本项不得分。</w:t>
            </w:r>
            <w:r/>
          </w:p>
        </w:tc>
      </w:tr>
      <w:tr>
        <w:trPr>
          <w:trHeight w:val="454"/>
        </w:trPr>
        <w:tc>
          <w:tcPr>
            <w:shd w:val="clear" w:color="auto" w:fill="auto"/>
            <w:tcW w:w="415" w:type="pct"/>
            <w:vAlign w:val="center"/>
            <w:textDirection w:val="lrTb"/>
            <w:noWrap w:val="false"/>
          </w:tcPr>
          <w:p>
            <w:pPr>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2.8</w:t>
            </w:r>
            <w:r/>
          </w:p>
        </w:tc>
        <w:tc>
          <w:tcPr>
            <w:shd w:val="clear" w:color="auto" w:fill="auto"/>
            <w:tcW w:w="591" w:type="pct"/>
            <w:vAlign w:val="center"/>
            <w:textDirection w:val="lrTb"/>
            <w:noWrap w:val="false"/>
          </w:tcPr>
          <w:p>
            <w:pPr>
              <w:jc w:val="center"/>
              <w:rPr>
                <w:rFonts w:ascii="宋体" w:hAnsi="宋体" w:cs="仿宋"/>
                <w:color w:val="auto"/>
                <w:spacing w:val="10"/>
                <w:sz w:val="24"/>
                <w:highlight w:val="none"/>
              </w:rPr>
            </w:pPr>
            <w:r>
              <w:rPr>
                <w:rFonts w:hint="eastAsia" w:ascii="宋体" w:hAnsi="宋体" w:cs="等线"/>
                <w:color w:val="auto"/>
                <w:sz w:val="24"/>
                <w:highlight w:val="none"/>
              </w:rPr>
              <w:t xml:space="preserve">应急</w:t>
            </w:r>
            <w:r>
              <w:rPr>
                <w:rFonts w:ascii="宋体" w:hAnsi="宋体" w:cs="等线"/>
                <w:color w:val="auto"/>
                <w:sz w:val="24"/>
                <w:highlight w:val="none"/>
              </w:rPr>
              <w:t xml:space="preserve">方案</w:t>
            </w:r>
            <w:r/>
          </w:p>
        </w:tc>
        <w:tc>
          <w:tcPr>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3607"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供应商提供针对本项目的应急方案，由评委综合比较进行评分：应急方案完整全面，可操作性强，明确职责、措施有力得6分；应急方案完整较全面，可操作性较强，职责较为明确、措施较为有力得3分；应急方案内容完整性全面性一般，可操作性一般，职责划分模糊，应急措施有欠缺得1分；</w:t>
            </w:r>
            <w:r>
              <w:rPr>
                <w:rFonts w:hint="eastAsia" w:ascii="宋体" w:hAnsi="宋体" w:cs="宋体"/>
                <w:bCs/>
                <w:color w:val="auto"/>
                <w:spacing w:val="-6"/>
                <w:sz w:val="24"/>
                <w:highlight w:val="none"/>
              </w:rPr>
              <w:t xml:space="preserve">未提供本项不得分。</w:t>
            </w:r>
            <w:r/>
          </w:p>
        </w:tc>
      </w:tr>
      <w:tr>
        <w:trPr>
          <w:trHeight w:val="454"/>
        </w:trPr>
        <w:tc>
          <w:tcPr>
            <w:shd w:val="clear" w:color="auto" w:fill="auto"/>
            <w:tcW w:w="415" w:type="pct"/>
            <w:vAlign w:val="center"/>
            <w:textDirection w:val="lrTb"/>
            <w:noWrap w:val="false"/>
          </w:tcPr>
          <w:p>
            <w:pPr>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2.9</w:t>
            </w:r>
            <w:r/>
          </w:p>
        </w:tc>
        <w:tc>
          <w:tcPr>
            <w:shd w:val="clear" w:color="auto" w:fill="auto"/>
            <w:tcW w:w="591" w:type="pct"/>
            <w:vAlign w:val="center"/>
            <w:textDirection w:val="lrTb"/>
            <w:noWrap w:val="false"/>
          </w:tcPr>
          <w:p>
            <w:pPr>
              <w:jc w:val="center"/>
              <w:rPr>
                <w:rFonts w:ascii="宋体" w:hAnsi="宋体" w:cs="仿宋"/>
                <w:color w:val="auto"/>
                <w:spacing w:val="10"/>
                <w:sz w:val="24"/>
                <w:highlight w:val="none"/>
              </w:rPr>
            </w:pPr>
            <w:r>
              <w:rPr>
                <w:rFonts w:hint="eastAsia" w:ascii="宋体" w:hAnsi="宋体" w:cs="等线"/>
                <w:color w:val="auto"/>
                <w:sz w:val="24"/>
                <w:highlight w:val="none"/>
              </w:rPr>
              <w:t xml:space="preserve">质量</w:t>
            </w:r>
            <w:r>
              <w:rPr>
                <w:rFonts w:ascii="宋体" w:hAnsi="宋体" w:cs="等线"/>
                <w:color w:val="auto"/>
                <w:sz w:val="24"/>
                <w:highlight w:val="none"/>
              </w:rPr>
              <w:t xml:space="preserve">保证措施</w:t>
            </w:r>
            <w:r/>
          </w:p>
        </w:tc>
        <w:tc>
          <w:tcPr>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3607" w:type="pct"/>
            <w:vAlign w:val="center"/>
            <w:textDirection w:val="lrTb"/>
            <w:noWrap w:val="false"/>
          </w:tcPr>
          <w:p>
            <w:pPr>
              <w:widowControl/>
              <w:rPr>
                <w:rFonts w:ascii="宋体" w:hAnsi="宋体" w:cs="宋体"/>
                <w:color w:val="auto"/>
                <w:sz w:val="24"/>
                <w:highlight w:val="none"/>
              </w:rPr>
            </w:pPr>
            <w:r>
              <w:rPr>
                <w:rFonts w:hint="eastAsia" w:ascii="宋体" w:hAnsi="宋体"/>
                <w:bCs/>
                <w:color w:val="auto"/>
                <w:sz w:val="24"/>
                <w:highlight w:val="none"/>
              </w:rPr>
              <w:t xml:space="preserve">提供针对本项目的质量保证措施，</w:t>
            </w:r>
            <w:r>
              <w:rPr>
                <w:rFonts w:hint="eastAsia" w:ascii="宋体" w:hAnsi="宋体" w:cs="宋体"/>
                <w:color w:val="auto"/>
                <w:sz w:val="24"/>
                <w:highlight w:val="none"/>
              </w:rPr>
              <w:t xml:space="preserve">由评委综合比较进行评分：</w:t>
            </w:r>
            <w:r>
              <w:rPr>
                <w:rFonts w:hint="eastAsia" w:ascii="宋体" w:hAnsi="宋体"/>
                <w:bCs/>
                <w:color w:val="auto"/>
                <w:sz w:val="24"/>
                <w:highlight w:val="none"/>
              </w:rPr>
              <w:t xml:space="preserve">质量保障措施全面、有力可行，安排措施合理先进，有高效健全的反馈机制及对应改进措施的6分；质量保障措施较为全面、可行，安排措施合理较为先进，有健全的反馈机制及对应改进措施的3分；质量保障措施一般可行，安排措施一般先进，有反馈机制及一定的对应改进措施的1分；</w:t>
            </w:r>
            <w:r>
              <w:rPr>
                <w:rFonts w:hint="eastAsia" w:ascii="宋体" w:hAnsi="宋体" w:cs="宋体"/>
                <w:bCs/>
                <w:color w:val="auto"/>
                <w:spacing w:val="-6"/>
                <w:sz w:val="24"/>
                <w:highlight w:val="none"/>
              </w:rPr>
              <w:t xml:space="preserve">未提供本项不得分。</w:t>
            </w:r>
            <w:r/>
          </w:p>
        </w:tc>
      </w:tr>
      <w:tr>
        <w:trPr>
          <w:trHeight w:val="454"/>
        </w:trPr>
        <w:tc>
          <w:tcPr>
            <w:tcW w:w="415"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2.10</w:t>
            </w:r>
            <w:r/>
          </w:p>
        </w:tc>
        <w:tc>
          <w:tcPr>
            <w:shd w:val="clear" w:color="auto" w:fill="auto"/>
            <w:tcW w:w="591" w:type="pct"/>
            <w:vAlign w:val="center"/>
            <w:textDirection w:val="lrTb"/>
            <w:noWrap w:val="false"/>
          </w:tcPr>
          <w:p>
            <w:pPr>
              <w:jc w:val="center"/>
              <w:rPr>
                <w:rFonts w:ascii="宋体" w:hAnsi="宋体" w:cs="仿宋"/>
                <w:color w:val="auto"/>
                <w:spacing w:val="10"/>
                <w:sz w:val="24"/>
                <w:highlight w:val="none"/>
              </w:rPr>
            </w:pPr>
            <w:r>
              <w:rPr>
                <w:rFonts w:hint="eastAsia" w:ascii="宋体" w:hAnsi="宋体" w:cs="等线"/>
                <w:color w:val="auto"/>
                <w:sz w:val="24"/>
                <w:highlight w:val="none"/>
              </w:rPr>
              <w:t xml:space="preserve">合理化</w:t>
            </w:r>
            <w:r>
              <w:rPr>
                <w:rFonts w:ascii="宋体" w:hAnsi="宋体" w:cs="等线"/>
                <w:color w:val="auto"/>
                <w:sz w:val="24"/>
                <w:highlight w:val="none"/>
              </w:rPr>
              <w:t xml:space="preserve">建议</w:t>
            </w:r>
            <w:r/>
          </w:p>
        </w:tc>
        <w:tc>
          <w:tcPr>
            <w:shd w:val="clear" w:color="auto" w:fill="auto"/>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shd w:val="clear" w:color="auto" w:fill="auto"/>
            <w:tcW w:w="3607" w:type="pct"/>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提供针对本项目的合理化建议，由评委综合比较进行评分：结合本项目培训服务、在线实训环境后期运维需求，提供多维度、可落地、配套完整保障措施的合理化建议，全部具备采纳价值，得 6 分；提供有一定针对性、具备基础可行性的合理化建议，内容完整性不足，仅部分可采纳，得 3 分；仅提供泛泛通用、无项目适配性的简单建议，落地性差，仅有少量借鉴意义，得 1 分；未提供本项不得分。</w:t>
            </w:r>
            <w:r/>
          </w:p>
        </w:tc>
      </w:tr>
      <w:tr>
        <w:trPr>
          <w:trHeight w:val="454"/>
        </w:trPr>
        <w:tc>
          <w:tcPr>
            <w:tcW w:w="41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59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客观分</w:t>
            </w:r>
            <w:r/>
          </w:p>
        </w:tc>
        <w:tc>
          <w:tcPr>
            <w:tcW w:w="386"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30</w:t>
            </w:r>
            <w:r/>
          </w:p>
        </w:tc>
        <w:tc>
          <w:tcPr>
            <w:tcW w:w="3607" w:type="pct"/>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trHeight w:val="454"/>
        </w:trPr>
        <w:tc>
          <w:tcPr>
            <w:tcW w:w="41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3.1</w:t>
            </w:r>
            <w:r/>
          </w:p>
        </w:tc>
        <w:tc>
          <w:tcPr>
            <w:shd w:val="clear" w:color="auto" w:fill="auto"/>
            <w:tcW w:w="591" w:type="pct"/>
            <w:vAlign w:val="center"/>
            <w:textDirection w:val="lrTb"/>
            <w:noWrap w:val="false"/>
          </w:tcPr>
          <w:p>
            <w:pPr>
              <w:jc w:val="center"/>
              <w:rPr>
                <w:rFonts w:ascii="宋体" w:hAnsi="宋体" w:cs="等线"/>
                <w:color w:val="auto"/>
                <w:sz w:val="24"/>
                <w:highlight w:val="none"/>
              </w:rPr>
            </w:pPr>
            <w:r>
              <w:rPr>
                <w:rFonts w:hint="eastAsia" w:ascii="宋体" w:hAnsi="宋体" w:cs="等线"/>
                <w:color w:val="auto"/>
                <w:sz w:val="24"/>
                <w:highlight w:val="none"/>
              </w:rPr>
              <w:t xml:space="preserve">技术响应</w:t>
            </w:r>
            <w:r/>
          </w:p>
        </w:tc>
        <w:tc>
          <w:tcPr>
            <w:shd w:val="clear" w:color="auto" w:fill="auto"/>
            <w:tcW w:w="386"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24</w:t>
            </w:r>
            <w:r/>
          </w:p>
        </w:tc>
        <w:tc>
          <w:tcPr>
            <w:shd w:val="clear" w:color="auto" w:fill="auto"/>
            <w:tcW w:w="3607" w:type="pct"/>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根据响应文件是否符合或优于采购文件</w:t>
            </w:r>
            <w:r>
              <w:rPr>
                <w:rFonts w:hint="eastAsia" w:ascii="宋体" w:hAnsi="宋体" w:cs="宋体"/>
                <w:b/>
                <w:bCs/>
                <w:color w:val="auto"/>
                <w:sz w:val="24"/>
                <w:highlight w:val="none"/>
              </w:rPr>
              <w:t xml:space="preserve">“服务清单”</w:t>
            </w:r>
            <w:r>
              <w:rPr>
                <w:rFonts w:hint="eastAsia" w:ascii="宋体" w:hAnsi="宋体" w:cs="宋体"/>
                <w:color w:val="auto"/>
                <w:sz w:val="24"/>
                <w:highlight w:val="none"/>
              </w:rPr>
              <w:t xml:space="preserve">技术要求进行评价。符合或优于技术要求的得满分</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分，带“▲”参数为重要参数，每有一项负偏离的，扣3分，</w:t>
            </w:r>
            <w:r>
              <w:rPr>
                <w:rFonts w:hint="eastAsia" w:ascii="宋体" w:hAnsi="宋体" w:cs="宋体"/>
                <w:color w:val="auto"/>
                <w:sz w:val="24"/>
                <w:highlight w:val="none"/>
                <w:lang w:val="en-US" w:eastAsia="zh-CN"/>
              </w:rPr>
              <w:t xml:space="preserve">其它非</w:t>
            </w:r>
            <w:r>
              <w:rPr>
                <w:rFonts w:hint="eastAsia" w:ascii="宋体" w:hAnsi="宋体" w:cs="宋体"/>
                <w:color w:val="auto"/>
                <w:sz w:val="24"/>
                <w:highlight w:val="none"/>
              </w:rPr>
              <w:t xml:space="preserve">“▲”参数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每有一项负偏离的，扣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分，扣完为止。</w:t>
            </w:r>
            <w:r/>
          </w:p>
          <w:p>
            <w:pPr>
              <w:rPr>
                <w:rFonts w:ascii="宋体" w:hAnsi="宋体" w:cs="宋体"/>
                <w:color w:val="auto"/>
                <w:sz w:val="24"/>
                <w:highlight w:val="none"/>
              </w:rPr>
            </w:pPr>
            <w:r>
              <w:rPr>
                <w:rFonts w:hint="eastAsia" w:ascii="宋体" w:hAnsi="宋体" w:cs="宋体"/>
                <w:b/>
                <w:bCs/>
                <w:color w:val="auto"/>
                <w:sz w:val="24"/>
                <w:highlight w:val="none"/>
              </w:rPr>
              <w:t xml:space="preserve">供应商根据服务清单技术要求提供相关证明材料，未明确具体证明材料的以偏离表承诺为准。</w:t>
            </w:r>
            <w:r/>
          </w:p>
        </w:tc>
      </w:tr>
      <w:tr>
        <w:trPr>
          <w:trHeight w:val="454"/>
        </w:trPr>
        <w:tc>
          <w:tcPr>
            <w:tcW w:w="41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3.2</w:t>
            </w:r>
            <w:r/>
          </w:p>
        </w:tc>
        <w:tc>
          <w:tcPr>
            <w:shd w:val="clear" w:color="auto" w:fill="auto"/>
            <w:tcW w:w="591" w:type="pct"/>
            <w:vAlign w:val="center"/>
            <w:textDirection w:val="lrTb"/>
            <w:noWrap w:val="false"/>
          </w:tcPr>
          <w:p>
            <w:pPr>
              <w:jc w:val="center"/>
              <w:rPr>
                <w:rFonts w:ascii="宋体" w:hAnsi="宋体" w:cs="仿宋"/>
                <w:color w:val="auto"/>
                <w:spacing w:val="10"/>
                <w:sz w:val="24"/>
                <w:highlight w:val="none"/>
              </w:rPr>
            </w:pPr>
            <w:r>
              <w:rPr>
                <w:rFonts w:ascii="宋体" w:hAnsi="宋体" w:cs="等线"/>
                <w:color w:val="auto"/>
                <w:sz w:val="24"/>
                <w:highlight w:val="none"/>
              </w:rPr>
              <w:t xml:space="preserve">企业业绩</w:t>
            </w:r>
            <w:r/>
          </w:p>
        </w:tc>
        <w:tc>
          <w:tcPr>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3607" w:type="pct"/>
            <w:vAlign w:val="center"/>
            <w:textDirection w:val="lrTb"/>
            <w:noWrap w:val="false"/>
          </w:tcPr>
          <w:p>
            <w:pPr>
              <w:rPr>
                <w:rFonts w:ascii="宋体" w:hAnsi="宋体" w:cs="宋体"/>
                <w:bCs/>
                <w:color w:val="auto"/>
                <w:sz w:val="24"/>
                <w:highlight w:val="none"/>
              </w:rPr>
            </w:pPr>
            <w:r>
              <w:rPr>
                <w:rFonts w:hint="eastAsia" w:ascii="宋体" w:hAnsi="宋体" w:cs="宋体"/>
                <w:bCs/>
                <w:color w:val="auto"/>
                <w:sz w:val="24"/>
                <w:highlight w:val="none"/>
              </w:rPr>
              <w:t xml:space="preserve">供应商自2024年1月1日以来（以合同签订时间为准）承担过类似项目业绩，提供一份得3分。本项最高得3分</w:t>
            </w:r>
            <w:r>
              <w:rPr>
                <w:rFonts w:hint="eastAsia" w:ascii="宋体" w:hAnsi="宋体" w:cs="宋体"/>
                <w:bCs/>
                <w:color w:val="auto"/>
                <w:sz w:val="24"/>
                <w:highlight w:val="none"/>
              </w:rPr>
              <w:t xml:space="preserve">。</w:t>
            </w:r>
            <w:r/>
          </w:p>
          <w:p>
            <w:pPr>
              <w:rPr>
                <w:rFonts w:ascii="宋体" w:hAnsi="宋体" w:cs="宋体"/>
                <w:color w:val="auto"/>
                <w:sz w:val="24"/>
                <w:highlight w:val="none"/>
              </w:rPr>
            </w:pPr>
            <w:r>
              <w:rPr>
                <w:rFonts w:hint="eastAsia" w:ascii="宋体" w:hAnsi="宋体" w:cs="宋体"/>
                <w:b/>
                <w:bCs/>
                <w:color w:val="auto"/>
                <w:sz w:val="24"/>
                <w:highlight w:val="none"/>
              </w:rPr>
              <w:t xml:space="preserve">注：提供合同并加盖供应商公章，不提供不得分。</w:t>
            </w:r>
            <w:r/>
          </w:p>
        </w:tc>
      </w:tr>
      <w:tr>
        <w:trPr>
          <w:trHeight w:val="454"/>
        </w:trPr>
        <w:tc>
          <w:tcPr>
            <w:tcW w:w="41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3.3</w:t>
            </w:r>
            <w:r/>
          </w:p>
        </w:tc>
        <w:tc>
          <w:tcPr>
            <w:shd w:val="clear" w:color="auto" w:fill="auto"/>
            <w:tcW w:w="591" w:type="pct"/>
            <w:vAlign w:val="center"/>
            <w:textDirection w:val="lrTb"/>
            <w:noWrap w:val="false"/>
          </w:tcPr>
          <w:p>
            <w:pPr>
              <w:jc w:val="center"/>
              <w:rPr>
                <w:rFonts w:ascii="宋体" w:hAnsi="宋体" w:cs="仿宋"/>
                <w:color w:val="auto"/>
                <w:spacing w:val="10"/>
                <w:sz w:val="24"/>
                <w:highlight w:val="none"/>
              </w:rPr>
            </w:pPr>
            <w:r>
              <w:rPr>
                <w:rFonts w:ascii="宋体" w:hAnsi="宋体" w:cs="等线"/>
                <w:color w:val="auto"/>
                <w:sz w:val="24"/>
                <w:highlight w:val="none"/>
              </w:rPr>
              <w:t xml:space="preserve">综合实力</w:t>
            </w:r>
            <w:r/>
          </w:p>
        </w:tc>
        <w:tc>
          <w:tcPr>
            <w:tcW w:w="38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3607" w:type="pct"/>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供应商具有质量管理体系认证证书的得3分。</w:t>
            </w:r>
            <w:r/>
          </w:p>
          <w:p>
            <w:pPr>
              <w:rPr>
                <w:rFonts w:ascii="宋体" w:hAnsi="宋体" w:cs="宋体"/>
                <w:b/>
                <w:bCs/>
                <w:color w:val="auto"/>
                <w:sz w:val="24"/>
                <w:highlight w:val="none"/>
              </w:rPr>
            </w:pPr>
            <w:r>
              <w:rPr>
                <w:rFonts w:hint="eastAsia" w:ascii="宋体" w:hAnsi="宋体" w:cs="宋体"/>
                <w:b/>
                <w:color w:val="auto"/>
                <w:sz w:val="24"/>
                <w:highlight w:val="none"/>
              </w:rPr>
              <w:t xml:space="preserve">注</w:t>
            </w:r>
            <w:r>
              <w:rPr>
                <w:rFonts w:ascii="宋体" w:hAnsi="宋体" w:cs="宋体"/>
                <w:b/>
                <w:color w:val="auto"/>
                <w:sz w:val="24"/>
                <w:highlight w:val="none"/>
              </w:rPr>
              <w:t xml:space="preserve">：</w:t>
            </w:r>
            <w:r>
              <w:rPr>
                <w:rFonts w:hint="eastAsia" w:ascii="宋体" w:hAnsi="宋体" w:cs="宋体"/>
                <w:b/>
                <w:color w:val="auto"/>
                <w:sz w:val="24"/>
                <w:highlight w:val="none"/>
              </w:rPr>
              <w:t xml:space="preserve">提供证书（须在国家认监委官网最新查询状态为“有效”）并加盖供应商公章</w:t>
            </w:r>
            <w:r>
              <w:rPr>
                <w:rFonts w:ascii="宋体" w:hAnsi="宋体" w:cs="宋体"/>
                <w:b/>
                <w:color w:val="auto"/>
                <w:sz w:val="24"/>
                <w:highlight w:val="none"/>
              </w:rPr>
              <w:t xml:space="preserve">，不提供不得分。</w:t>
            </w:r>
            <w:r/>
          </w:p>
        </w:tc>
      </w:tr>
    </w:tbl>
    <w:p>
      <w:pPr>
        <w:rPr>
          <w:rFonts w:ascii="宋体" w:hAnsi="宋体" w:cs="宋体"/>
          <w:b/>
          <w:color w:val="auto"/>
          <w:sz w:val="36"/>
          <w:szCs w:val="36"/>
          <w:highlight w:val="none"/>
        </w:rPr>
      </w:pPr>
      <w:r/>
      <w:bookmarkStart w:id="673" w:name="_Toc1289"/>
      <w:r>
        <w:rPr>
          <w:rFonts w:hint="eastAsia" w:ascii="宋体" w:hAnsi="宋体" w:cs="宋体"/>
          <w:b/>
          <w:color w:val="auto"/>
          <w:sz w:val="36"/>
          <w:szCs w:val="36"/>
          <w:highlight w:val="none"/>
        </w:rPr>
        <w:br w:type="page" w:clear="all"/>
      </w:r>
      <w:r/>
    </w:p>
    <w:p>
      <w:pPr>
        <w:jc w:val="center"/>
        <w:spacing w:line="360" w:lineRule="auto"/>
        <w:rPr>
          <w:rFonts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第四章   采购需求</w:t>
      </w:r>
      <w:bookmarkEnd w:id="673"/>
      <w:r/>
      <w:r/>
    </w:p>
    <w:p>
      <w:pPr>
        <w:pStyle w:val="1371"/>
        <w:contextualSpacing/>
        <w:ind w:left="420" w:firstLine="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一、采购标的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采购标的：本项目拟采购一套集人工智能应用开发、云安全实践与网络安全实训于一体的人才培养服务，构建“实训环境、课程资源、项目场景、师资赋能、考核评价、运营管理”一体化教学体系。供应商须提供统一的AI应用开发与在线实训环境，配套六个由易到难的项目化实训场景及完整课程资源，支持学生开展知识库、工作流、智能体、日志分析和安全检测等实践。通过教师培训、学生试点、成果答辩和运营移交，形成可持续开课、可实操训练、可量化评价、可迭代发展的人工智能与网络安全人才培养能力。</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2.项目预算金额：人民币250万元；项目最高限价：人民币250万元</w:t>
      </w:r>
      <w:r/>
    </w:p>
    <w:p>
      <w:pPr>
        <w:pStyle w:val="1371"/>
        <w:contextualSpacing/>
        <w:ind w:left="420" w:firstLine="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二、商务要求</w:t>
      </w:r>
      <w:r/>
    </w:p>
    <w:p>
      <w:pPr>
        <w:contextualSpacing/>
        <w:ind w:firstLine="482"/>
        <w:spacing w:line="400" w:lineRule="exact"/>
        <w:rPr>
          <w:rFonts w:ascii="宋体" w:hAnsi="宋体" w:cs="宋体"/>
          <w:b/>
          <w:bCs/>
          <w:i/>
          <w:color w:val="auto"/>
          <w:sz w:val="24"/>
          <w:highlight w:val="none"/>
        </w:rPr>
      </w:pPr>
      <w:r>
        <w:rPr>
          <w:rFonts w:hint="eastAsia" w:ascii="宋体" w:hAnsi="宋体" w:cs="宋体"/>
          <w:b/>
          <w:bCs/>
          <w:color w:val="auto"/>
          <w:sz w:val="24"/>
          <w:highlight w:val="none"/>
        </w:rPr>
        <w:t xml:space="preserve">（一） 交付（实施）的时间（期限）和地点（范围）</w:t>
      </w:r>
      <w:r/>
    </w:p>
    <w:p>
      <w:pPr>
        <w:ind w:firstLine="488"/>
        <w:spacing w:line="400" w:lineRule="exact"/>
        <w:rPr>
          <w:rFonts w:ascii="宋体" w:hAnsi="宋体" w:cs="宋体"/>
          <w:color w:val="auto"/>
          <w:spacing w:val="2"/>
          <w:sz w:val="24"/>
          <w:highlight w:val="none"/>
        </w:rPr>
      </w:pPr>
      <w:r>
        <w:rPr>
          <w:rFonts w:hint="eastAsia" w:ascii="宋体" w:hAnsi="宋体" w:cs="宋体"/>
          <w:color w:val="auto"/>
          <w:spacing w:val="2"/>
          <w:sz w:val="24"/>
          <w:highlight w:val="none"/>
        </w:rPr>
        <w:t xml:space="preserve">1.实施时间：</w:t>
      </w:r>
      <w:r>
        <w:rPr>
          <w:rFonts w:hint="eastAsia" w:ascii="宋体" w:hAnsi="宋体" w:cs="宋体"/>
          <w:color w:val="auto"/>
          <w:sz w:val="24"/>
          <w:highlight w:val="none"/>
        </w:rPr>
        <w:t xml:space="preserve">合同签订后180日内完成在线实训环境交付、课程交付、师资培训、学生试点、成果答辩与运营移交等全部内容。</w:t>
      </w:r>
      <w:r/>
    </w:p>
    <w:p>
      <w:pPr>
        <w:contextualSpacing/>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2.实施地点：采购人指定地点（江苏省常州技师学院云计算项目国家集训基地）。</w:t>
      </w:r>
      <w:r/>
    </w:p>
    <w:p>
      <w:pPr>
        <w:contextualSpacing/>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（二）履约保函</w:t>
      </w:r>
      <w:r/>
    </w:p>
    <w:p>
      <w:pPr>
        <w:contextualSpacing/>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在签订合同前，成交供应商自行办理电子履约保函(成交金额的5%)并提供至采购人，电子履约保函应在合同履行期限届满前有效。  </w:t>
      </w:r>
      <w:r/>
    </w:p>
    <w:p>
      <w:pPr>
        <w:contextualSpacing/>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（三）付款条件（进度和方式）</w:t>
      </w:r>
      <w:r/>
    </w:p>
    <w:p>
      <w:pPr>
        <w:contextualSpacing/>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1.本项目以人民币通过转账的方式付款。</w:t>
      </w:r>
      <w:r/>
    </w:p>
    <w:p>
      <w:pPr>
        <w:pStyle w:val="1543"/>
        <w:ind w:firstLine="480"/>
        <w:spacing w:line="42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2.合同签订后支付合同价的100%。采购人原则上应当自收到发票后10个工作日内将资金支付到合同约定的供应商账户。</w:t>
      </w:r>
      <w:r/>
    </w:p>
    <w:p>
      <w:pPr>
        <w:contextualSpacing/>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（四）报价要求</w:t>
      </w:r>
      <w:r/>
    </w:p>
    <w:p>
      <w:pPr>
        <w:contextualSpacing/>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本项目报价为</w:t>
      </w:r>
      <w:r>
        <w:rPr>
          <w:rFonts w:hint="eastAsia" w:ascii="宋体" w:hAnsi="宋体" w:cs="宋体"/>
          <w:b/>
          <w:color w:val="auto"/>
          <w:sz w:val="24"/>
          <w:highlight w:val="none"/>
          <w:u w:val="single"/>
        </w:rPr>
        <w:t xml:space="preserve">固定总价</w:t>
      </w:r>
      <w:r>
        <w:rPr>
          <w:rFonts w:hint="eastAsia" w:ascii="宋体" w:hAnsi="宋体" w:cs="宋体"/>
          <w:bCs/>
          <w:color w:val="auto"/>
          <w:sz w:val="24"/>
          <w:highlight w:val="none"/>
        </w:rPr>
        <w:t xml:space="preserve">，磋商价格应包括竞争性磋商文件所确定的采购范围相应服务的提供、人员（包括工资和补贴）、办公场所及设施、材料、配套、保险、管理、各种税费、利润、政策性文件规定以及为完成该项服务项目所涉及到的一切相关费用，采购人不再支付其他任何费用。</w:t>
      </w:r>
      <w:r/>
    </w:p>
    <w:p>
      <w:pPr>
        <w:contextualSpacing/>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报价货币为人民币，评标时以人民币为准。</w:t>
      </w:r>
      <w:r/>
    </w:p>
    <w:p>
      <w:pPr>
        <w:pStyle w:val="1371"/>
        <w:contextualSpacing/>
        <w:ind w:left="420" w:firstLine="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三、服务内容及要求</w:t>
      </w:r>
      <w:r/>
    </w:p>
    <w:p>
      <w:pPr>
        <w:pStyle w:val="1371"/>
        <w:contextualSpacing/>
        <w:ind w:left="420" w:firstLine="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（一）服务清单</w:t>
      </w:r>
      <w:r/>
    </w:p>
    <w:tbl>
      <w:tblPr>
        <w:tblStyle w:val="128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60"/>
        <w:gridCol w:w="6407"/>
        <w:gridCol w:w="897"/>
      </w:tblGrid>
      <w:tr>
        <w:trPr>
          <w:trHeight w:val="454"/>
          <w:tblHeader/>
        </w:trPr>
        <w:tc>
          <w:tcPr>
            <w:tcW w:w="268" w:type="pct"/>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446" w:type="pct"/>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服务名称</w:t>
            </w:r>
            <w:r/>
          </w:p>
        </w:tc>
        <w:tc>
          <w:tcPr>
            <w:tcW w:w="3758" w:type="pct"/>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服务内容</w:t>
            </w:r>
            <w:r/>
          </w:p>
        </w:tc>
        <w:tc>
          <w:tcPr>
            <w:tcW w:w="526" w:type="pct"/>
            <w:vAlign w:val="center"/>
            <w:textDirection w:val="lrTb"/>
            <w:noWrap w:val="false"/>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数量</w:t>
            </w:r>
            <w:r/>
          </w:p>
        </w:tc>
      </w:tr>
      <w:tr>
        <w:trPr>
          <w:trHeight w:val="454"/>
        </w:trPr>
        <w:tc>
          <w:tcPr>
            <w:tcW w:w="268" w:type="pct"/>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shd w:val="clear" w:color="auto" w:fill="auto"/>
            <w:tcW w:w="446" w:type="pct"/>
            <w:vAlign w:val="center"/>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课程培训</w:t>
            </w:r>
            <w:r/>
          </w:p>
        </w:tc>
        <w:tc>
          <w:tcPr>
            <w:shd w:val="clear" w:color="auto" w:fill="auto"/>
            <w:tcW w:w="3758" w:type="pct"/>
            <w:vAlign w:val="center"/>
            <w:textDirection w:val="lrTb"/>
            <w:noWrap w:val="false"/>
          </w:tcPr>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包含</w:t>
            </w:r>
            <w:r>
              <w:rPr>
                <w:rFonts w:ascii="宋体" w:hAnsi="宋体" w:cs="宋体"/>
                <w:bCs/>
                <w:color w:val="auto"/>
                <w:sz w:val="24"/>
                <w:highlight w:val="none"/>
              </w:rPr>
              <w:t xml:space="preserve">云安全工程与实践</w:t>
            </w:r>
            <w:r>
              <w:rPr>
                <w:rFonts w:hint="eastAsia" w:ascii="宋体" w:hAnsi="宋体" w:cs="宋体"/>
                <w:bCs/>
                <w:color w:val="auto"/>
                <w:sz w:val="24"/>
                <w:highlight w:val="none"/>
              </w:rPr>
              <w:t xml:space="preserve">课程。课程中，能够将学习如何管理身份和角色、管理并预置账户，以及监控 API 活动是否存在异常。</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能够学习如何保护存储在云上的数据。</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能够学习阐述基于 CIA 三要素的云安全性。</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能够学习使用 IAM 创建并分析身份验证和授权。</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能够学习使用适当的服务管理和预置账户。</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能够学习确定如何使用服务管理Secret。</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能够学习通过加密和访问控制监控敏感信息并保护数据。</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能够学习确定可应对从外部源发起的攻击的服务。</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能够学习监控、生成和收集日志。识别安全事件指标。确定如何使用服务调查和减轻威胁。</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能够学习包含</w:t>
            </w:r>
            <w:r>
              <w:rPr>
                <w:rFonts w:ascii="宋体" w:hAnsi="宋体" w:cs="宋体"/>
                <w:bCs/>
                <w:color w:val="auto"/>
                <w:sz w:val="24"/>
                <w:highlight w:val="none"/>
              </w:rPr>
              <w:t xml:space="preserve">云</w:t>
            </w:r>
            <w:r>
              <w:rPr>
                <w:rFonts w:hint="eastAsia" w:ascii="宋体" w:hAnsi="宋体" w:cs="宋体"/>
                <w:bCs/>
                <w:color w:val="auto"/>
                <w:sz w:val="24"/>
                <w:highlight w:val="none"/>
              </w:rPr>
              <w:t xml:space="preserve">安全</w:t>
            </w:r>
            <w:r>
              <w:rPr>
                <w:rFonts w:ascii="宋体" w:hAnsi="宋体" w:cs="宋体"/>
                <w:bCs/>
                <w:color w:val="auto"/>
                <w:sz w:val="24"/>
                <w:highlight w:val="none"/>
              </w:rPr>
              <w:t xml:space="preserve">规模化安全治理</w:t>
            </w:r>
            <w:r>
              <w:rPr>
                <w:rFonts w:hint="eastAsia" w:ascii="宋体" w:hAnsi="宋体" w:cs="宋体"/>
                <w:bCs/>
                <w:color w:val="auto"/>
                <w:sz w:val="24"/>
                <w:highlight w:val="none"/>
              </w:rPr>
              <w:t xml:space="preserve">课程。课程中，能够学习如何自动执行云监管以提高安全性。</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能够学习包括停用账户管理、预算执行以及安全运营和合规性领域的手动流程。</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能够学习学习如何：配置多账户环境，使用云安全统一身份中心/SSO服务实施身份管理建立登录区。</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能够学习使用Identity and Access Management (IAM)启用跨账户安全审计。</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能够学习使用云安全统一身份中心/SSO服务实施身份管理实施身份管理。</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能够学习使用云安全统一身份中心进行联合身份认证与访问进行联合访问。使用预先打包的防护机制实施策略。</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能够学习使用云安全审计日志服务和配置合规服务集中进行日志记录集中进行日志记录。</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能够学习使用云安全服务目录/资源编排工具定义预置账户的工作流定义预置账户的工作流</w:t>
            </w:r>
            <w:r/>
          </w:p>
          <w:p>
            <w:pPr>
              <w:pStyle w:val="1281"/>
              <w:spacing w:before="0" w:line="240" w:lineRule="auto"/>
              <w:rPr>
                <w:bCs/>
                <w:color w:val="auto"/>
                <w:highlight w:val="none"/>
              </w:rPr>
            </w:pPr>
            <w:r>
              <w:rPr>
                <w:bCs/>
                <w:color w:val="auto"/>
                <w:highlight w:val="none"/>
              </w:rPr>
            </w:r>
            <w:r/>
          </w:p>
          <w:p>
            <w:pPr>
              <w:numPr>
                <w:ilvl w:val="0"/>
                <w:numId w:val="13"/>
              </w:num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包含云安全最佳实践课程，课程中，能够学习使用安全服务和控制机制的一些最佳实践。</w:t>
            </w:r>
            <w:r/>
          </w:p>
          <w:p>
            <w:pPr>
              <w:pStyle w:val="1371"/>
              <w:rPr>
                <w:bCs/>
                <w:color w:val="auto"/>
                <w:highlight w:val="none"/>
              </w:rPr>
            </w:pPr>
            <w:r>
              <w:rPr>
                <w:bCs/>
                <w:color w:val="auto"/>
                <w:highlight w:val="none"/>
              </w:rPr>
            </w:r>
            <w:r/>
          </w:p>
          <w:p>
            <w:pPr>
              <w:rPr>
                <w:bCs/>
                <w:color w:val="auto"/>
                <w:highlight w:val="none"/>
              </w:rPr>
            </w:pPr>
            <w:r>
              <w:rPr>
                <w:bCs/>
                <w:color w:val="auto"/>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19.针对如何保护工作负载的安全。</w:t>
            </w:r>
            <w:r/>
          </w:p>
          <w:p>
            <w:pPr>
              <w:pStyle w:val="1281"/>
              <w:spacing w:before="0" w:line="240" w:lineRule="auto"/>
              <w:rPr>
                <w:bCs/>
                <w:color w:val="auto"/>
                <w:highlight w:val="none"/>
              </w:rPr>
            </w:pPr>
            <w:r>
              <w:rPr>
                <w:bCs/>
                <w:color w:val="auto"/>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20. 能够学习如何设计并实施安全的网络基础设施。</w:t>
            </w:r>
            <w:r/>
          </w:p>
          <w:p>
            <w:pPr>
              <w:pStyle w:val="1281"/>
              <w:spacing w:before="0" w:line="240" w:lineRule="auto"/>
              <w:rPr>
                <w:bCs/>
                <w:color w:val="auto"/>
                <w:highlight w:val="none"/>
              </w:rPr>
            </w:pPr>
            <w:r>
              <w:rPr>
                <w:bCs/>
                <w:color w:val="auto"/>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21. 能够学习如何设计并实施计算安全。设计并实施日志记录解决方案。</w:t>
            </w:r>
            <w:r/>
          </w:p>
          <w:p>
            <w:pPr>
              <w:pStyle w:val="1281"/>
              <w:spacing w:before="0" w:line="240" w:lineRule="auto"/>
              <w:rPr>
                <w:bCs/>
                <w:color w:val="auto"/>
                <w:highlight w:val="none"/>
              </w:rPr>
            </w:pPr>
            <w:r>
              <w:rPr>
                <w:bCs/>
                <w:color w:val="auto"/>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22.设计并实施安全的网络基础设施。设计并实施计算安全。设计并实施日志记录解决方案</w:t>
            </w:r>
            <w:r/>
          </w:p>
          <w:p>
            <w:pPr>
              <w:pStyle w:val="1281"/>
              <w:spacing w:before="0" w:line="240" w:lineRule="auto"/>
              <w:rPr>
                <w:bCs/>
                <w:color w:val="auto"/>
                <w:highlight w:val="none"/>
              </w:rPr>
            </w:pPr>
            <w:r>
              <w:rPr>
                <w:bCs/>
                <w:color w:val="auto"/>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23.包含AI驱动主动应用安全实践课程，课程中，能够学习到AI主动安全的概念与理论，涵盖应用安全现状、Security Agent核心能力、安全体系以及设计审查、代码审查、渗透测试三大安全审查工作流。</w:t>
            </w:r>
            <w:r>
              <w:rPr>
                <w:rFonts w:ascii="宋体" w:hAnsi="宋体" w:cs="宋体"/>
                <w:bCs/>
                <w:color w:val="auto"/>
                <w:sz w:val="24"/>
                <w:highlight w:val="none"/>
              </w:rPr>
              <w:t xml:space="preserve"> </w:t>
            </w:r>
            <w:r/>
          </w:p>
          <w:p>
            <w:pPr>
              <w:pStyle w:val="1281"/>
              <w:spacing w:before="0" w:line="240" w:lineRule="auto"/>
              <w:rPr>
                <w:bCs/>
                <w:color w:val="auto"/>
                <w:highlight w:val="none"/>
              </w:rPr>
            </w:pPr>
            <w:r>
              <w:rPr>
                <w:bCs/>
                <w:color w:val="auto"/>
                <w:highlight w:val="none"/>
              </w:rPr>
            </w:r>
            <w:r/>
          </w:p>
          <w:p>
            <w:pPr>
              <w:jc w:val="left"/>
              <w:widowControl/>
              <w:rPr>
                <w:bCs/>
                <w:color w:val="auto"/>
                <w:highlight w:val="none"/>
              </w:rPr>
            </w:pPr>
            <w:r>
              <w:rPr>
                <w:bCs/>
                <w:color w:val="auto"/>
                <w:highlight w:val="none"/>
              </w:rPr>
            </w:r>
            <w:r/>
          </w:p>
        </w:tc>
        <w:tc>
          <w:tcPr>
            <w:shd w:val="clear" w:color="auto" w:fill="auto"/>
            <w:tcW w:w="526" w:type="pct"/>
            <w:vAlign w:val="center"/>
            <w:textDirection w:val="lrTb"/>
            <w:noWrap w:val="false"/>
          </w:tcPr>
          <w:p>
            <w:pPr>
              <w:jc w:val="center"/>
              <w:widowControl/>
              <w:rPr>
                <w:rFonts w:ascii="宋体" w:hAnsi="宋体" w:cs="宋体"/>
                <w:bCs/>
                <w:color w:val="auto"/>
                <w:sz w:val="24"/>
                <w:highlight w:val="none"/>
              </w:rPr>
            </w:pPr>
            <w:r>
              <w:rPr>
                <w:rFonts w:hint="eastAsia" w:ascii="宋体" w:hAnsi="宋体" w:cs="宋体"/>
                <w:bCs/>
                <w:color w:val="auto"/>
                <w:sz w:val="24"/>
                <w:highlight w:val="none"/>
              </w:rPr>
              <w:t xml:space="preserve">4轮</w:t>
            </w:r>
            <w:r/>
          </w:p>
        </w:tc>
      </w:tr>
      <w:tr>
        <w:trPr>
          <w:trHeight w:val="454"/>
        </w:trPr>
        <w:tc>
          <w:tcPr>
            <w:tcW w:w="268" w:type="pct"/>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shd w:val="clear" w:color="auto" w:fill="auto"/>
            <w:tcW w:w="446" w:type="pct"/>
            <w:vAlign w:val="center"/>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人工智能编排及云课程实训服务</w:t>
            </w:r>
            <w:r/>
          </w:p>
        </w:tc>
        <w:tc>
          <w:tcPr>
            <w:shd w:val="clear" w:color="auto" w:fill="auto"/>
            <w:tcW w:w="3758" w:type="pct"/>
            <w:vAlign w:val="center"/>
            <w:textDirection w:val="lrTb"/>
            <w:noWrap w:val="false"/>
          </w:tcPr>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color w:val="auto"/>
                <w:highlight w:val="none"/>
              </w:rPr>
              <w:t xml:space="preserve"> </w:t>
            </w:r>
            <w:r>
              <w:rPr>
                <w:rFonts w:hint="eastAsia" w:ascii="宋体" w:hAnsi="宋体" w:cs="宋体"/>
                <w:bCs/>
                <w:color w:val="auto"/>
                <w:sz w:val="24"/>
                <w:highlight w:val="none"/>
              </w:rPr>
              <w:t xml:space="preserve">本服务可以提供多种学习模式，涵盖从理论到实践的完整培训体系，各模式对安全项目均有明确的价值定位。</w:t>
            </w:r>
            <w:r/>
          </w:p>
          <w:p>
            <w:pPr>
              <w:pStyle w:val="1281"/>
              <w:spacing w:before="0" w:line="240" w:lineRule="auto"/>
              <w:rPr>
                <w:bCs/>
                <w:color w:val="auto"/>
                <w:highlight w:val="none"/>
              </w:rPr>
            </w:pPr>
            <w:r>
              <w:rPr>
                <w:bCs/>
                <w:color w:val="auto"/>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2.▲在线学习服务须提供内容丰富的数字课程资源库，课程总量不少于3500门，覆盖不少于35个主要技术知识领域，其中信息安全方向课程不少于250门。课程须由课程提供方持续更新维护，服务期内定期新增课程内容。</w:t>
            </w:r>
            <w:r>
              <w:rPr>
                <w:rFonts w:hint="eastAsia" w:ascii="宋体" w:hAnsi="宋体" w:cs="宋体"/>
                <w:b/>
                <w:bCs w:val="0"/>
                <w:color w:val="auto"/>
                <w:sz w:val="24"/>
                <w:highlight w:val="none"/>
              </w:rPr>
              <w:t xml:space="preserve">提供截图佐证。</w:t>
            </w:r>
            <w:r/>
          </w:p>
          <w:p>
            <w:pPr>
              <w:jc w:val="left"/>
              <w:widowControl/>
              <w:rPr>
                <w:rFonts w:ascii="宋体" w:hAnsi="宋体" w:cs="宋体"/>
                <w:bCs/>
                <w:color w:val="auto"/>
                <w:sz w:val="24"/>
                <w:highlight w:val="none"/>
              </w:rPr>
            </w:pPr>
            <w:r>
              <w:rPr>
                <w:rFonts w:ascii="宋体" w:hAnsi="宋体" w:cs="宋体"/>
                <w:bCs/>
                <w:color w:val="auto"/>
                <w:sz w:val="24"/>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3.▲人工智能编排及云安全课程实训服务须提供真实环境实操训练（而非录屏演示或纯模拟界面），学员可在真实环境中完成资源配置、安全检测、事件处置等实操；信息安全方向动手实验不少于 25 门，且提供隔离沙箱环境保障零风险演练。</w:t>
            </w:r>
            <w:r>
              <w:rPr>
                <w:rFonts w:hint="eastAsia" w:ascii="宋体" w:hAnsi="宋体" w:cs="宋体"/>
                <w:b/>
                <w:color w:val="auto"/>
                <w:sz w:val="24"/>
                <w:highlight w:val="none"/>
              </w:rPr>
              <w:t xml:space="preserve">提供真实云环境实验的功能截图与实验清单；</w:t>
            </w:r>
            <w:r/>
          </w:p>
          <w:p>
            <w:pPr>
              <w:jc w:val="left"/>
              <w:widowControl/>
              <w:rPr>
                <w:rFonts w:ascii="宋体" w:hAnsi="宋体" w:cs="宋体"/>
                <w:bCs/>
                <w:color w:val="auto"/>
                <w:sz w:val="24"/>
                <w:highlight w:val="none"/>
              </w:rPr>
            </w:pPr>
            <w:r>
              <w:rPr>
                <w:rFonts w:ascii="宋体" w:hAnsi="宋体" w:cs="宋体"/>
                <w:bCs/>
                <w:color w:val="auto"/>
                <w:sz w:val="24"/>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4.▲本服务</w:t>
            </w:r>
            <w:r>
              <w:rPr>
                <w:rFonts w:ascii="宋体" w:hAnsi="宋体" w:cs="宋体"/>
                <w:bCs/>
                <w:color w:val="auto"/>
                <w:sz w:val="24"/>
                <w:highlight w:val="none"/>
              </w:rPr>
              <w:t xml:space="preserve">须提供游戏化、角色扮演式的沉浸式学习模块，学员通过在虚拟情境中完成闯关任务掌握技能，配备等级、成就、积分等激励机制，以提升学习积极性与课程完成率。</w:t>
            </w:r>
            <w:r>
              <w:rPr>
                <w:rFonts w:hint="eastAsia" w:ascii="宋体" w:hAnsi="宋体" w:cs="宋体"/>
                <w:b/>
                <w:color w:val="auto"/>
                <w:sz w:val="24"/>
                <w:highlight w:val="none"/>
              </w:rPr>
              <w:t xml:space="preserve">提供游戏化学习界面截图；</w:t>
            </w:r>
            <w:r/>
          </w:p>
          <w:p>
            <w:pPr>
              <w:pStyle w:val="1281"/>
              <w:spacing w:before="0" w:line="240" w:lineRule="auto"/>
              <w:tabs>
                <w:tab w:val="clear" w:pos="567" w:leader="none"/>
              </w:tabs>
              <w:rPr>
                <w:rFonts w:cs="宋体"/>
                <w:bCs/>
                <w:color w:val="auto"/>
                <w:highlight w:val="none"/>
              </w:rPr>
            </w:pPr>
            <w:r>
              <w:rPr>
                <w:rFonts w:cs="宋体"/>
                <w:bCs/>
                <w:color w:val="auto"/>
                <w:highlight w:val="none"/>
              </w:rPr>
            </w:r>
            <w:r/>
          </w:p>
          <w:p>
            <w:pPr>
              <w:pStyle w:val="1281"/>
              <w:spacing w:before="0" w:line="240" w:lineRule="auto"/>
              <w:tabs>
                <w:tab w:val="clear" w:pos="567" w:leader="none"/>
              </w:tabs>
              <w:rPr>
                <w:rFonts w:cs="宋体"/>
                <w:bCs/>
                <w:color w:val="auto"/>
                <w:highlight w:val="none"/>
              </w:rPr>
            </w:pPr>
            <w:r>
              <w:rPr>
                <w:rFonts w:hint="eastAsia" w:cs="宋体"/>
                <w:bCs/>
                <w:color w:val="auto"/>
                <w:highlight w:val="none"/>
              </w:rPr>
              <w:t xml:space="preserve">5.能够</w:t>
            </w:r>
            <w:r>
              <w:rPr>
                <w:rFonts w:cs="宋体"/>
                <w:bCs/>
                <w:color w:val="auto"/>
                <w:highlight w:val="none"/>
              </w:rPr>
              <w:t xml:space="preserve">基于真实业务与安全威胁场景的模拟演练，将叙事情境与动手操作结合，让学员在拟真场景中做出决策并动手处置。</w:t>
            </w:r>
            <w:r>
              <w:rPr>
                <w:rFonts w:hint="eastAsia" w:cs="宋体"/>
                <w:bCs/>
                <w:color w:val="auto"/>
                <w:highlight w:val="none"/>
              </w:rPr>
              <w:t xml:space="preserve">场景拟真：模拟勒索软件、加密挖矿、凭证泄露、DDoS 等真实攻防场景；决策训练：在贴近实战的情境中锻炼应急研判与处置能力；安全可控：无需搭建真实攻防环境即可反复演练。</w:t>
            </w:r>
            <w:r/>
          </w:p>
          <w:p>
            <w:pPr>
              <w:jc w:val="left"/>
              <w:widowControl/>
              <w:rPr>
                <w:rFonts w:ascii="宋体" w:hAnsi="宋体" w:cs="宋体"/>
                <w:bCs/>
                <w:color w:val="auto"/>
                <w:sz w:val="24"/>
                <w:highlight w:val="none"/>
              </w:rPr>
            </w:pPr>
            <w:r>
              <w:rPr>
                <w:rFonts w:ascii="宋体" w:hAnsi="宋体" w:cs="宋体"/>
                <w:bCs/>
                <w:color w:val="auto"/>
                <w:sz w:val="24"/>
                <w:highlight w:val="none"/>
              </w:rPr>
            </w:r>
            <w:r/>
          </w:p>
          <w:p>
            <w:pPr>
              <w:pStyle w:val="1281"/>
              <w:spacing w:before="0" w:line="240" w:lineRule="auto"/>
              <w:tabs>
                <w:tab w:val="clear" w:pos="567" w:leader="none"/>
              </w:tabs>
              <w:rPr>
                <w:rFonts w:cs="宋体"/>
                <w:bCs/>
                <w:color w:val="auto"/>
                <w:highlight w:val="none"/>
              </w:rPr>
            </w:pPr>
            <w:r>
              <w:rPr>
                <w:rFonts w:hint="eastAsia" w:cs="宋体"/>
                <w:bCs/>
                <w:color w:val="auto"/>
                <w:highlight w:val="none"/>
              </w:rPr>
              <w:t xml:space="preserve">6.按岗位角色或解决方案组织的系统化学习计划，将零散课程编排为由浅入深的成长路径。安全领域需提供10 条学习路径，覆盖安全工程师、IAM、事件响应、数据保护、生成式 AI 安全等方向。路径清晰：能够为不同岗位规划从入门到精通的学习顺序，避免盲目学习；角色导向：按实际岗位需求匹配内容，学以致用；进度可管理：便于团队统一规划与跟踪培养进度。</w:t>
            </w:r>
            <w:r/>
          </w:p>
          <w:p>
            <w:pPr>
              <w:rPr>
                <w:bCs/>
                <w:color w:val="auto"/>
                <w:highlight w:val="none"/>
              </w:rPr>
            </w:pPr>
            <w:r>
              <w:rPr>
                <w:bCs/>
                <w:color w:val="auto"/>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7.▲本服务提供可视化的智能体（Agent）配置工作台，以满足可视化手动配置式及聊天对话式，实现能够在安全沙箱内运行命令、执行程序、读取文件的超级智能体构建。</w:t>
            </w:r>
            <w:r>
              <w:rPr>
                <w:rFonts w:hint="eastAsia" w:ascii="宋体" w:hAnsi="宋体" w:cs="宋体"/>
                <w:b/>
                <w:color w:val="auto"/>
                <w:sz w:val="24"/>
                <w:highlight w:val="none"/>
              </w:rPr>
              <w:t xml:space="preserve">提供证明截图。</w:t>
            </w:r>
            <w:r/>
          </w:p>
          <w:p>
            <w:pPr>
              <w:pStyle w:val="1281"/>
              <w:spacing w:before="0" w:line="240" w:lineRule="auto"/>
              <w:rPr>
                <w:bCs/>
                <w:color w:val="auto"/>
                <w:highlight w:val="none"/>
              </w:rPr>
            </w:pPr>
            <w:r>
              <w:rPr>
                <w:bCs/>
                <w:color w:val="auto"/>
                <w:highlight w:val="none"/>
              </w:rPr>
            </w:r>
            <w:r/>
          </w:p>
          <w:p>
            <w:pPr>
              <w:pStyle w:val="1281"/>
              <w:spacing w:before="0" w:line="240" w:lineRule="auto"/>
              <w:rPr>
                <w:rFonts w:cs="宋体"/>
                <w:bCs/>
                <w:color w:val="auto"/>
                <w:highlight w:val="none"/>
              </w:rPr>
            </w:pPr>
            <w:r>
              <w:rPr>
                <w:rFonts w:hint="eastAsia" w:cs="宋体"/>
                <w:bCs/>
                <w:color w:val="auto"/>
                <w:highlight w:val="none"/>
              </w:rPr>
              <w:t xml:space="preserve">8.▲本服务需支持为Agent挂载多种外部扩展能力，包括添加自定义技能（Skills）、上传本地文件、挂载外部工具（Tools）以及接入私有知识库进行知识检索，且具备实时预览调试功能。</w:t>
            </w:r>
            <w:r>
              <w:rPr>
                <w:rFonts w:hint="eastAsia" w:cs="宋体"/>
                <w:b/>
                <w:color w:val="auto"/>
                <w:highlight w:val="none"/>
              </w:rPr>
              <w:t xml:space="preserve">提供证明截图。</w:t>
            </w:r>
            <w:r/>
          </w:p>
          <w:p>
            <w:pPr>
              <w:rPr>
                <w:bCs/>
                <w:color w:val="auto"/>
                <w:highlight w:val="none"/>
              </w:rPr>
            </w:pPr>
            <w:r>
              <w:rPr>
                <w:bCs/>
                <w:color w:val="auto"/>
                <w:highlight w:val="none"/>
              </w:rPr>
            </w:r>
            <w:r/>
          </w:p>
          <w:p>
            <w:pPr>
              <w:pStyle w:val="1281"/>
              <w:spacing w:before="0" w:line="240" w:lineRule="auto"/>
              <w:rPr>
                <w:rFonts w:cs="宋体"/>
                <w:bCs/>
                <w:color w:val="auto"/>
                <w:highlight w:val="none"/>
              </w:rPr>
            </w:pPr>
            <w:r>
              <w:rPr>
                <w:rFonts w:hint="eastAsia" w:cs="宋体"/>
                <w:bCs/>
                <w:color w:val="auto"/>
                <w:highlight w:val="none"/>
              </w:rPr>
              <w:t xml:space="preserve">9.▲本服务需支持应用编排资产的组件化与标准化管理，提供工作流片段的资产复用管理功能，允许开发者将经过验证的高频业务逻辑提取并保存为统一的独立片段资产；在跨构建多个新的工作流时，系统支持对这些标准片段的直接插入一键复用，从而有效消除重复性配置工作，保障企业内部共享业务逻辑的一致性，并显著提升大规模复杂 AI 应用的交付与迭代效率。</w:t>
            </w:r>
            <w:r>
              <w:rPr>
                <w:rFonts w:hint="eastAsia" w:cs="宋体"/>
                <w:b/>
                <w:color w:val="auto"/>
                <w:highlight w:val="none"/>
              </w:rPr>
              <w:t xml:space="preserve">提供证明截图。</w:t>
            </w:r>
            <w:r/>
          </w:p>
          <w:p>
            <w:pPr>
              <w:rPr>
                <w:bCs/>
                <w:color w:val="auto"/>
                <w:highlight w:val="none"/>
              </w:rPr>
            </w:pPr>
            <w:r>
              <w:rPr>
                <w:bCs/>
                <w:color w:val="auto"/>
                <w:highlight w:val="none"/>
              </w:rPr>
            </w:r>
            <w:r/>
          </w:p>
          <w:p>
            <w:pPr>
              <w:pStyle w:val="1281"/>
              <w:spacing w:before="0" w:line="240" w:lineRule="auto"/>
              <w:rPr>
                <w:rFonts w:cs="宋体"/>
                <w:bCs/>
                <w:color w:val="auto"/>
                <w:highlight w:val="none"/>
              </w:rPr>
            </w:pPr>
            <w:r>
              <w:rPr>
                <w:rFonts w:hint="eastAsia" w:cs="宋体"/>
                <w:bCs/>
                <w:color w:val="auto"/>
                <w:highlight w:val="none"/>
              </w:rPr>
              <w:t xml:space="preserve">10.通过低代码编辑界面，能够进行模型选择、提示词编写、插件和工作流添加、变量和数据库配置、知识库绑定等便捷操作，并能提供调试与预览能力，助力智能体高效率生成。</w:t>
            </w:r>
            <w:r/>
          </w:p>
          <w:p>
            <w:pPr>
              <w:jc w:val="left"/>
              <w:widowControl/>
              <w:rPr>
                <w:rFonts w:ascii="宋体" w:hAnsi="宋体" w:cs="宋体"/>
                <w:bCs/>
                <w:color w:val="auto"/>
                <w:sz w:val="24"/>
                <w:highlight w:val="none"/>
              </w:rPr>
            </w:pPr>
            <w:r>
              <w:rPr>
                <w:rFonts w:ascii="宋体" w:hAnsi="宋体" w:cs="宋体"/>
                <w:bCs/>
                <w:color w:val="auto"/>
                <w:sz w:val="24"/>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11.能够预设多个开场白问题，支持在应用回复后</w:t>
            </w:r>
            <w:r>
              <w:rPr>
                <w:rFonts w:hint="eastAsia" w:ascii="微软雅黑" w:hAnsi="微软雅黑" w:eastAsia="微软雅黑" w:cs="微软雅黑"/>
                <w:bCs/>
                <w:color w:val="auto"/>
                <w:sz w:val="24"/>
                <w:highlight w:val="none"/>
              </w:rPr>
              <w:t xml:space="preserve">⾃</w:t>
            </w:r>
            <w:r>
              <w:rPr>
                <w:rFonts w:hint="eastAsia" w:ascii="宋体" w:hAnsi="宋体" w:cs="宋体"/>
                <w:bCs/>
                <w:color w:val="auto"/>
                <w:sz w:val="24"/>
                <w:highlight w:val="none"/>
              </w:rPr>
              <w:t xml:space="preserve">动根据对话内容提供多条用户提问建议；并且支持文字转语音，语音转文字等交互功能。</w:t>
            </w:r>
            <w:r/>
          </w:p>
          <w:p>
            <w:pPr>
              <w:jc w:val="left"/>
              <w:widowControl/>
              <w:rPr>
                <w:rFonts w:ascii="宋体" w:hAnsi="宋体" w:cs="宋体"/>
                <w:bCs/>
                <w:color w:val="auto"/>
                <w:sz w:val="24"/>
                <w:highlight w:val="none"/>
              </w:rPr>
            </w:pPr>
            <w:r>
              <w:rPr>
                <w:rFonts w:ascii="宋体" w:hAnsi="宋体" w:cs="宋体"/>
                <w:bCs/>
                <w:color w:val="auto"/>
                <w:sz w:val="24"/>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12.支持工作流 CLI命令行访问能力，支持在外部终端管理与触发工作流。CLI 须与实训环境RBAC 权限体系严格打通，确保命令行调用的应用资产与当前用户权限水位强绑定，满足本地或外部终端安全、受控地调度专属工作流。</w:t>
            </w:r>
            <w:r/>
          </w:p>
          <w:p>
            <w:pPr>
              <w:pStyle w:val="1281"/>
              <w:spacing w:before="0" w:line="240" w:lineRule="auto"/>
              <w:rPr>
                <w:bCs/>
                <w:color w:val="auto"/>
                <w:highlight w:val="none"/>
              </w:rPr>
            </w:pPr>
            <w:r>
              <w:rPr>
                <w:bCs/>
                <w:color w:val="auto"/>
                <w:highlight w:val="none"/>
              </w:rPr>
            </w:r>
            <w:r/>
          </w:p>
          <w:p>
            <w:pPr>
              <w:jc w:val="left"/>
              <w:widowControl/>
              <w:rPr>
                <w:rFonts w:ascii="宋体" w:hAnsi="宋体" w:cs="宋体"/>
                <w:bCs/>
                <w:color w:val="auto"/>
                <w:sz w:val="24"/>
                <w:highlight w:val="none"/>
              </w:rPr>
            </w:pPr>
            <w:r>
              <w:rPr>
                <w:rFonts w:hint="eastAsia" w:ascii="宋体" w:hAnsi="宋体" w:cs="宋体"/>
                <w:bCs/>
                <w:color w:val="auto"/>
                <w:sz w:val="24"/>
                <w:highlight w:val="none"/>
              </w:rPr>
              <w:t xml:space="preserve">13.▲提供本项目所要求的在线实训环境及配套服务的能力，能够提供在线实训环境账号</w:t>
            </w:r>
            <w:r>
              <w:rPr>
                <w:rFonts w:hint="eastAsia" w:ascii="宋体" w:hAnsi="宋体" w:cs="宋体"/>
                <w:bCs/>
                <w:color w:val="auto"/>
                <w:sz w:val="24"/>
                <w:highlight w:val="none"/>
                <w:lang w:val="en-US" w:eastAsia="zh-CN"/>
              </w:rPr>
              <w:t xml:space="preserve">账号</w:t>
            </w:r>
            <w:r>
              <w:rPr>
                <w:rFonts w:hint="eastAsia" w:ascii="宋体" w:hAnsi="宋体" w:cs="宋体"/>
                <w:bCs/>
                <w:color w:val="auto"/>
                <w:sz w:val="24"/>
                <w:highlight w:val="none"/>
              </w:rPr>
              <w:t xml:space="preserve">授权、账号开通、本地化交付及技术支持服务。</w:t>
            </w:r>
            <w:r>
              <w:rPr>
                <w:rFonts w:hint="eastAsia" w:ascii="宋体" w:hAnsi="宋体" w:cs="宋体"/>
                <w:b/>
                <w:color w:val="auto"/>
                <w:sz w:val="24"/>
                <w:highlight w:val="none"/>
              </w:rPr>
              <w:t xml:space="preserve">须提供证明材料或承诺。</w:t>
            </w:r>
            <w:r/>
          </w:p>
        </w:tc>
        <w:tc>
          <w:tcPr>
            <w:tcW w:w="526" w:type="pct"/>
            <w:vAlign w:val="center"/>
            <w:textDirection w:val="lrTb"/>
            <w:noWrap w:val="false"/>
          </w:tcPr>
          <w:p>
            <w:pPr>
              <w:pStyle w:val="1371"/>
              <w:ind w:firstLine="0"/>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1套</w:t>
            </w:r>
            <w:r/>
          </w:p>
        </w:tc>
      </w:tr>
    </w:tbl>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（二）采购标的需满足的服务标准、期限、效率等要求：</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1.成交供应商须在采购人指定的地点提供现场培训服务。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2.成交供应商提供1年的技术支持服务，出现问题与故障时应按采购人要求通过远程或现场解决。</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3.售后服务期内由成交供应商提供技术支持。如果发生问题并且收到报告，成交供应商应当在2小时内予以答复。</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4.如发现所提供的服务存在问题，需要成交供应商解决或配合解决时，应在接到通知后24小时内派有关人员到达现场，在48小时内排除故障。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5.成交供应商派往采购人现场的人员，应具有较高的业务素质，现场解决问题时，不得无故拖延或推迟，应为采购人提供最佳的服务。</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（三）采购标的的其他技术、服务等要求；</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1.供应商应根据采购人实际教学需求，完成实训环境的部署、配置、调试及试运行，确保系统各项功能稳定可用。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color w:val="auto"/>
          <w:highlight w:val="none"/>
        </w:rPr>
        <w:t xml:space="preserve"> </w:t>
      </w:r>
      <w:r>
        <w:rPr>
          <w:rFonts w:hint="eastAsia" w:ascii="宋体" w:hAnsi="宋体" w:cs="宋体"/>
          <w:color w:val="auto"/>
          <w:sz w:val="24"/>
          <w:highlight w:val="none"/>
        </w:rPr>
        <w:t xml:space="preserve">在线实训环境应支持人工智能应用开发、知识库管理、工作流编排、智能体构建、模型接入、工具调用、应用发布等功能，满足课程教学、学生实训和项目成果展示需要。</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3.供应商应提供完整的课程教学资源，包括但不限于课程大纲、教学课件、实验手册、任务书、教师指导手册、案例数据、测试题库及项目评分表等。</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4.供应商应提供系统使用培训和师资赋能服务，培训内容应覆盖在线实训环境管理、课程实施、实训项目操作、常见问题处理等，确保采购人相关教师具备独立开展教学的能力。</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5.供应商应在正式开课前完成在线实训环境功能、账号权限、网络访问、终端兼容性及并发使用情况的检查，并配合采购人开展试讲、学生试用和问题整改。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6.项目实施过程中应采用模拟数据、脱敏数据或专门构造的教学数据，不得擅自采集、存储、处理或对外提供采购人的敏感信息和学生个人信息。</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（四）需由供应商提供设计方案、解决方案或者组织方案的采购项目，应当说明采购标的的功能、应用场景、目标等基本要求：</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1.供应商应结合采购人的专业建设、课程教学、学生实训和师资培养需求，提供完整的项目总体设计方案，明确建设思路、技术路线、系统架构、建设内容及实施路径。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2.方案应满足人工智能应用开发、云安全践和网络安全实训等教学功能，支持知识库建设、工作流编排、智能体开发、模型调用、日志分析、安全检测及成果展示等应用。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3.方案应适用于日常课程教学、集中实训、技能竞赛训练、综合项目实践、教师培训及学生成果答辩等场景，并支持按照课程、班级、教师和学生进行统一管理。</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4.方案应以提升学生实践能力和项目交付能力为目标，形成从基础知识学习、在线实训环境操作、场景实训到综合项目开发的递进式人才培养路径。</w:t>
      </w:r>
      <w:r/>
    </w:p>
    <w:p>
      <w:pPr>
        <w:pStyle w:val="1371"/>
        <w:contextualSpacing/>
        <w:ind w:left="420" w:firstLine="0"/>
        <w:spacing w:line="400" w:lineRule="exact"/>
        <w:rPr>
          <w:rFonts w:ascii="宋体" w:hAnsi="宋体" w:cs="宋体"/>
          <w:b/>
          <w:bCs/>
          <w:color w:val="auto"/>
          <w:sz w:val="24"/>
          <w:highlight w:val="none"/>
        </w:rPr>
      </w:pPr>
      <w:r>
        <w:rPr>
          <w:rFonts w:hint="eastAsia" w:ascii="宋体" w:hAnsi="宋体" w:cs="宋体"/>
          <w:b/>
          <w:color w:val="auto"/>
          <w:sz w:val="24"/>
          <w:szCs w:val="24"/>
          <w:highlight w:val="none"/>
        </w:rPr>
        <w:t xml:space="preserve">（五）</w:t>
      </w:r>
      <w:r>
        <w:rPr>
          <w:rFonts w:hint="eastAsia" w:ascii="宋体" w:hAnsi="宋体" w:cs="宋体"/>
          <w:b/>
          <w:bCs/>
          <w:color w:val="auto"/>
          <w:sz w:val="24"/>
          <w:highlight w:val="none"/>
        </w:rPr>
        <w:t xml:space="preserve">安全要求</w:t>
      </w:r>
      <w:r/>
    </w:p>
    <w:p>
      <w:pPr>
        <w:ind w:firstLine="480"/>
        <w:spacing w:line="400" w:lineRule="exact"/>
        <w:rPr>
          <w:rFonts w:asciiTheme="minorEastAsia" w:hAnsiTheme="minorEastAsia" w:eastAsiaTheme="minorEastAsia" w:cstheme="minorEastAsia"/>
          <w:bCs/>
          <w:color w:val="auto"/>
          <w:sz w:val="24"/>
          <w:highlight w:val="none"/>
          <w:lang w:val="zh-CN"/>
        </w:rPr>
      </w:pPr>
      <w:r>
        <w:rPr>
          <w:rFonts w:hint="eastAsia" w:asciiTheme="minorEastAsia" w:hAnsiTheme="minorEastAsia" w:eastAsiaTheme="minorEastAsia" w:cstheme="minorEastAsia"/>
          <w:bCs/>
          <w:color w:val="auto"/>
          <w:sz w:val="24"/>
          <w:highlight w:val="none"/>
          <w:lang w:val="zh-CN"/>
        </w:rPr>
        <w:t xml:space="preserve">在项目服务期间应制定项目安全实施管理措施，并严格遵守安全管理要求，成交供应商在项目服务过程中因管理不当、维护措施不当等因素或不按安全管理要求，造成人员安全或财产损失事故的，其责任均由成交供应商自行承担，采购人不承担责任。与本项目有关的所有质量、安全问题均由</w:t>
      </w:r>
      <w:r>
        <w:rPr>
          <w:rFonts w:hint="eastAsia" w:asciiTheme="minorEastAsia" w:hAnsiTheme="minorEastAsia" w:eastAsiaTheme="minorEastAsia" w:cstheme="minorEastAsia"/>
          <w:bCs/>
          <w:color w:val="auto"/>
          <w:sz w:val="24"/>
          <w:highlight w:val="none"/>
        </w:rPr>
        <w:t xml:space="preserve">成交供应商</w:t>
      </w:r>
      <w:r>
        <w:rPr>
          <w:rFonts w:hint="eastAsia" w:asciiTheme="minorEastAsia" w:hAnsiTheme="minorEastAsia" w:eastAsiaTheme="minorEastAsia" w:cstheme="minorEastAsia"/>
          <w:bCs/>
          <w:color w:val="auto"/>
          <w:sz w:val="24"/>
          <w:highlight w:val="none"/>
          <w:lang w:val="zh-CN"/>
        </w:rPr>
        <w:t xml:space="preserve">负责，如因上述原因造成的一切后果均由</w:t>
      </w:r>
      <w:r>
        <w:rPr>
          <w:rFonts w:hint="eastAsia" w:asciiTheme="minorEastAsia" w:hAnsiTheme="minorEastAsia" w:eastAsiaTheme="minorEastAsia" w:cstheme="minorEastAsia"/>
          <w:bCs/>
          <w:color w:val="auto"/>
          <w:sz w:val="24"/>
          <w:highlight w:val="none"/>
        </w:rPr>
        <w:t xml:space="preserve">成交供应商</w:t>
      </w:r>
      <w:r>
        <w:rPr>
          <w:rFonts w:hint="eastAsia" w:asciiTheme="minorEastAsia" w:hAnsiTheme="minorEastAsia" w:eastAsiaTheme="minorEastAsia" w:cstheme="minorEastAsia"/>
          <w:bCs/>
          <w:color w:val="auto"/>
          <w:sz w:val="24"/>
          <w:highlight w:val="none"/>
          <w:lang w:val="zh-CN"/>
        </w:rPr>
        <w:t xml:space="preserve">自行承担，与他人无涉。</w:t>
      </w:r>
      <w:r/>
    </w:p>
    <w:p>
      <w:pPr>
        <w:ind w:firstLine="480"/>
        <w:jc w:val="left"/>
        <w:spacing w:line="400" w:lineRule="exact"/>
        <w:widowControl/>
        <w:rPr>
          <w:rFonts w:ascii="宋体" w:hAnsi="宋体" w:cs="宋体"/>
          <w:b/>
          <w:color w:val="auto"/>
          <w:sz w:val="36"/>
          <w:szCs w:val="36"/>
          <w:highlight w:val="none"/>
        </w:rPr>
      </w:pPr>
      <w:r>
        <w:rPr>
          <w:rFonts w:hint="eastAsia" w:ascii="宋体" w:hAnsi="宋体" w:cs="宋体"/>
          <w:bCs/>
          <w:color w:val="auto"/>
          <w:sz w:val="24"/>
          <w:highlight w:val="none"/>
        </w:rPr>
        <w:br w:type="page" w:clear="all"/>
      </w:r>
      <w:r>
        <w:rPr>
          <w:rFonts w:hint="eastAsia" w:ascii="宋体" w:hAnsi="宋体" w:cs="宋体"/>
          <w:b/>
          <w:color w:val="auto"/>
          <w:sz w:val="36"/>
          <w:szCs w:val="36"/>
          <w:highlight w:val="none"/>
        </w:rPr>
        <w:t xml:space="preserve"> </w:t>
      </w:r>
      <w:r/>
    </w:p>
    <w:p>
      <w:pPr>
        <w:jc w:val="center"/>
        <w:spacing w:line="360" w:lineRule="auto"/>
        <w:rPr>
          <w:rFonts w:ascii="宋体" w:hAnsi="宋体" w:cs="宋体"/>
          <w:b/>
          <w:color w:val="auto"/>
          <w:sz w:val="36"/>
          <w:szCs w:val="36"/>
          <w:highlight w:val="none"/>
        </w:rPr>
        <w:outlineLvl w:val="0"/>
      </w:pPr>
      <w:r/>
      <w:bookmarkStart w:id="674" w:name="_Toc2704"/>
      <w:r>
        <w:rPr>
          <w:rFonts w:hint="eastAsia" w:ascii="宋体" w:hAnsi="宋体" w:cs="宋体"/>
          <w:b/>
          <w:color w:val="auto"/>
          <w:sz w:val="36"/>
          <w:szCs w:val="36"/>
          <w:highlight w:val="none"/>
        </w:rPr>
        <w:t xml:space="preserve">第五章   合同草案条款</w:t>
      </w:r>
      <w:bookmarkEnd w:id="674"/>
      <w:r/>
      <w:r/>
    </w:p>
    <w:p>
      <w:pPr>
        <w:rPr>
          <w:rFonts w:ascii="宋体" w:hAnsi="宋体" w:cs="宋体"/>
          <w:color w:val="auto"/>
          <w:sz w:val="24"/>
          <w:highlight w:val="none"/>
          <w:u w:val="single"/>
        </w:rPr>
      </w:pPr>
      <w:r/>
      <w:bookmarkStart w:id="675" w:name="_Toc18359"/>
      <w:r>
        <w:rPr>
          <w:rFonts w:hint="eastAsia" w:ascii="宋体" w:hAnsi="宋体" w:cs="宋体"/>
          <w:color w:val="auto"/>
          <w:sz w:val="24"/>
          <w:highlight w:val="none"/>
        </w:rPr>
        <w:t xml:space="preserve">合同编号：</w:t>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江苏省常州技师学院</w:t>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网络安全实训工作站项目合同</w:t>
      </w:r>
      <w:r/>
    </w:p>
    <w:p>
      <w:pPr>
        <w:spacing w:line="400" w:lineRule="exact"/>
        <w:rPr>
          <w:rFonts w:ascii="宋体" w:hAnsi="宋体" w:cs="宋体"/>
          <w:b/>
          <w:bCs/>
          <w:color w:val="auto"/>
          <w:sz w:val="24"/>
          <w:highlight w:val="none"/>
        </w:rPr>
      </w:pPr>
      <w:r>
        <w:rPr>
          <w:rFonts w:ascii="宋体" w:hAnsi="宋体" w:cs="宋体"/>
          <w:b/>
          <w:bCs/>
          <w:color w:val="auto"/>
          <w:sz w:val="24"/>
          <w:highlight w:val="none"/>
        </w:rPr>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甲方：江苏省常州技师学院</w:t>
      </w:r>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乙方：_________</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甲、乙双方根据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项目采购结果，签署本合同。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一、合同内容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 标的名称：</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1.2标的质量：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1.3 标的数量（规模）：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1.4 履行时间（期限）：</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1.5 履行地点：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1.6履行方式：</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二、合同金额</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2.1 本合同金额为（大写）：____________元整（_________元）人民币。</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三、技术资料</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3.1乙方应按招标文件规定的时间向甲方提供服务（包含与服务相关的货物）的有关技术资料。</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四、知识产权</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五、产权担保</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5.1 乙方保证所交付的服务（包含与服务相关的货物）的所有权完全属于乙方且无任何抵押、查封等产权瑕疵。</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六、履约保函</w:t>
      </w:r>
      <w:r/>
    </w:p>
    <w:p>
      <w:pPr>
        <w:contextualSpacing/>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乙方自行办理电子履约保函(成交金额的5%)并提供至采购人，电子履约保函应在合同履行期限届满前有效。</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七、合同转包或分包</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7.1 乙方不得将合同标的转包给他人履行。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7.2 乙方不得将合同标的分包给他人履行。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7.3 乙方如有转包或未经甲方同意的分包行为，甲方有权解除合同。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八、合同款项支付</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1.本项目以人民币通过转账的方式付款。</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2.合同签订后支付合同价的100%。甲方原则上应当自收到发票后10个工作日内将资金支付到合同约定的乙方账户。</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九、税费</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9.1 本合同执行中相关的一切税费均由乙方负担。</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十、项目验收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10.1 甲方依法组织履约验收工作。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10.3 对于实际使用人和甲方分离的项目，甲方邀请实际使用人参与验收。</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10.4 如有必要，甲方邀请参加本项目的其他供应商或第三方专业机构及专家参与验收，相关意见将作为验收书的参考资料。</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十一、违约责任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11.1 甲方无正当理由拒绝接受乙方提供服务的，甲方向乙方偿付拒绝接受服务合同价款总值</w:t>
      </w:r>
      <w:r>
        <w:rPr>
          <w:rFonts w:hint="eastAsia" w:ascii="宋体" w:hAnsi="宋体" w:cs="宋体"/>
          <w:bCs/>
          <w:color w:val="auto"/>
          <w:sz w:val="24"/>
          <w:highlight w:val="none"/>
        </w:rPr>
        <w:t xml:space="preserve">10%</w:t>
      </w:r>
      <w:r>
        <w:rPr>
          <w:rFonts w:hint="eastAsia" w:ascii="宋体" w:hAnsi="宋体" w:cs="宋体"/>
          <w:color w:val="auto"/>
          <w:sz w:val="24"/>
          <w:highlight w:val="none"/>
        </w:rPr>
        <w:t xml:space="preserve">的违约金。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11.2 甲方无故逾期验收和办理合同款项支付手续的,甲方应按逾期付款总额每日千分之六向乙方支付违约金。</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20%的违约金，如造成甲方损失超过违约金的，超出部分由乙方继续承担赔偿责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11.4 乙方所提供服务的标准不符合合同规定及招标文件规定标准的，甲方有权拒绝接受服务，并可单方面解除合同。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十二、不可抗力事件处理</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12.1 在合同有效期内，任何一方因不可抗力事件导致不能履行合同，则合同履行期可延长，其延长期与不可抗力影响期相同。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12.2 不可抗力事件发生后，应立即通知对方，并寄送有关权威机构出具的证明。</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12.3 不可抗力事件延续120天以上，双方应通过友好协商，确定是否继续履行合同。</w:t>
      </w:r>
      <w:r/>
    </w:p>
    <w:p>
      <w:pPr>
        <w:ind w:firstLine="48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十三、解决争议的方法</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13.1双方在签订、履行合同中所发生的一切争议，应通过友好协商解决。如协商不成，由甲方住所地人民法院管辖。</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十四、合同生效及其他</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14.1 合同经双方法定代表人或授权委托代表人签字并加盖单位公章后生效。</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14.2 本合同未尽事宜，遵照《中华人民共和国民法典》《中华人民共和国政府采购法》有关条文执行。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14.3 本合同正本一式两份，具有同等法律效力，甲方、乙方各执一份。</w:t>
      </w:r>
      <w:r/>
    </w:p>
    <w:p>
      <w:pPr>
        <w:ind w:firstLine="480"/>
        <w:spacing w:line="420" w:lineRule="exact"/>
        <w:rPr>
          <w:rFonts w:ascii="宋体" w:hAnsi="宋体" w:cs="宋体"/>
          <w:bCs/>
          <w:color w:val="auto"/>
          <w:sz w:val="24"/>
          <w:highlight w:val="none"/>
        </w:rPr>
      </w:pPr>
      <w:r>
        <w:rPr>
          <w:rFonts w:ascii="宋体" w:hAnsi="宋体" w:cs="宋体"/>
          <w:bCs/>
          <w:color w:val="auto"/>
          <w:sz w:val="24"/>
          <w:highlight w:val="none"/>
        </w:rPr>
      </w:r>
      <w:r/>
    </w:p>
    <w:p>
      <w:pPr>
        <w:ind w:left="5280" w:hanging="5280"/>
        <w:spacing w:line="420" w:lineRule="exact"/>
        <w:rPr>
          <w:rFonts w:ascii="宋体" w:hAnsi="宋体" w:cs="宋体"/>
          <w:bCs/>
          <w:color w:val="auto"/>
          <w:sz w:val="24"/>
          <w:highlight w:val="none"/>
        </w:rPr>
      </w:pPr>
      <w:r>
        <w:rPr>
          <w:rFonts w:hint="eastAsia" w:ascii="宋体" w:hAnsi="宋体" w:cs="宋体"/>
          <w:bCs/>
          <w:color w:val="auto"/>
          <w:sz w:val="24"/>
          <w:szCs w:val="22"/>
          <w:highlight w:val="none"/>
          <w:lang w:val="zh-CN"/>
        </w:rPr>
        <w:t xml:space="preserve">甲方（</w:t>
      </w:r>
      <w:r>
        <w:rPr>
          <w:rFonts w:hint="eastAsia" w:ascii="宋体" w:hAnsi="宋体" w:cs="宋体"/>
          <w:bCs/>
          <w:color w:val="auto"/>
          <w:sz w:val="24"/>
          <w:szCs w:val="22"/>
          <w:highlight w:val="none"/>
        </w:rPr>
        <w:t xml:space="preserve">盖章</w:t>
      </w:r>
      <w:r>
        <w:rPr>
          <w:rFonts w:hint="eastAsia" w:ascii="宋体" w:hAnsi="宋体" w:cs="宋体"/>
          <w:bCs/>
          <w:color w:val="auto"/>
          <w:sz w:val="24"/>
          <w:szCs w:val="22"/>
          <w:highlight w:val="none"/>
          <w:lang w:val="zh-CN"/>
        </w:rPr>
        <w:t xml:space="preserve">）：</w:t>
      </w:r>
      <w:r>
        <w:rPr>
          <w:rFonts w:hint="eastAsia" w:ascii="宋体" w:hAnsi="宋体" w:cs="宋体"/>
          <w:bCs/>
          <w:color w:val="auto"/>
          <w:sz w:val="24"/>
          <w:highlight w:val="none"/>
        </w:rPr>
        <w:t xml:space="preserve">江苏省常州技师学院          </w:t>
      </w:r>
      <w:r>
        <w:rPr>
          <w:rFonts w:hint="eastAsia" w:ascii="宋体" w:hAnsi="宋体" w:cs="宋体"/>
          <w:bCs/>
          <w:color w:val="auto"/>
          <w:sz w:val="24"/>
          <w:szCs w:val="22"/>
          <w:highlight w:val="none"/>
          <w:lang w:val="zh-CN"/>
        </w:rPr>
        <w:t xml:space="preserve">乙方（</w:t>
      </w:r>
      <w:r>
        <w:rPr>
          <w:rFonts w:hint="eastAsia" w:ascii="宋体" w:hAnsi="宋体" w:cs="宋体"/>
          <w:bCs/>
          <w:color w:val="auto"/>
          <w:sz w:val="24"/>
          <w:szCs w:val="22"/>
          <w:highlight w:val="none"/>
        </w:rPr>
        <w:t xml:space="preserve">盖章</w:t>
      </w:r>
      <w:r>
        <w:rPr>
          <w:rFonts w:hint="eastAsia" w:ascii="宋体" w:hAnsi="宋体" w:cs="宋体"/>
          <w:bCs/>
          <w:color w:val="auto"/>
          <w:sz w:val="24"/>
          <w:szCs w:val="22"/>
          <w:highlight w:val="none"/>
          <w:lang w:val="zh-CN"/>
        </w:rPr>
        <w:t xml:space="preserve">）：</w:t>
      </w:r>
      <w:r/>
    </w:p>
    <w:p>
      <w:pPr>
        <w:spacing w:line="420" w:lineRule="exact"/>
        <w:rPr>
          <w:rFonts w:ascii="宋体" w:hAnsi="宋体" w:cs="宋体"/>
          <w:bCs/>
          <w:color w:val="auto"/>
          <w:sz w:val="24"/>
          <w:szCs w:val="22"/>
          <w:highlight w:val="none"/>
          <w:lang w:val="zh-CN"/>
        </w:rPr>
      </w:pPr>
      <w:r>
        <w:rPr>
          <w:rFonts w:hint="eastAsia" w:ascii="宋体" w:hAnsi="宋体" w:cs="宋体"/>
          <w:bCs/>
          <w:color w:val="auto"/>
          <w:sz w:val="24"/>
          <w:szCs w:val="22"/>
          <w:highlight w:val="none"/>
          <w:lang w:val="zh-CN"/>
        </w:rPr>
        <w:t xml:space="preserve">法定代表人或授权代表（签字）: </w:t>
      </w:r>
      <w:r>
        <w:rPr>
          <w:rFonts w:hint="eastAsia" w:ascii="宋体" w:hAnsi="宋体" w:cs="宋体"/>
          <w:bCs/>
          <w:color w:val="auto"/>
          <w:sz w:val="24"/>
          <w:szCs w:val="22"/>
          <w:highlight w:val="none"/>
        </w:rPr>
        <w:t xml:space="preserve">             </w:t>
      </w:r>
      <w:r>
        <w:rPr>
          <w:rFonts w:hint="eastAsia" w:ascii="宋体" w:hAnsi="宋体" w:cs="宋体"/>
          <w:bCs/>
          <w:color w:val="auto"/>
          <w:sz w:val="24"/>
          <w:szCs w:val="22"/>
          <w:highlight w:val="none"/>
          <w:lang w:val="zh-CN"/>
        </w:rPr>
        <w:t xml:space="preserve">法定代表人或授权代表（签字）：</w:t>
      </w:r>
      <w:r>
        <w:rPr>
          <w:rFonts w:hint="eastAsia" w:ascii="宋体" w:hAnsi="宋体" w:cs="宋体"/>
          <w:bCs/>
          <w:color w:val="auto"/>
          <w:sz w:val="24"/>
          <w:szCs w:val="22"/>
          <w:highlight w:val="none"/>
        </w:rPr>
        <w:t xml:space="preserve"> </w:t>
      </w:r>
      <w:r/>
    </w:p>
    <w:p>
      <w:pPr>
        <w:spacing w:line="420" w:lineRule="exact"/>
        <w:rPr>
          <w:rFonts w:ascii="宋体" w:hAnsi="宋体" w:cs="宋体"/>
          <w:color w:val="auto"/>
          <w:sz w:val="24"/>
          <w:szCs w:val="22"/>
          <w:highlight w:val="none"/>
          <w:lang w:val="zh-CN"/>
        </w:rPr>
      </w:pPr>
      <w:r>
        <w:rPr>
          <w:rFonts w:hint="eastAsia" w:ascii="宋体" w:hAnsi="宋体" w:cs="宋体"/>
          <w:color w:val="auto"/>
          <w:sz w:val="24"/>
          <w:szCs w:val="22"/>
          <w:highlight w:val="none"/>
          <w:lang w:val="zh-CN"/>
        </w:rPr>
        <w:t xml:space="preserve">地址：</w:t>
      </w:r>
      <w:r>
        <w:rPr>
          <w:rFonts w:hint="eastAsia" w:ascii="宋体" w:hAnsi="宋体" w:cs="宋体"/>
          <w:bCs/>
          <w:color w:val="auto"/>
          <w:sz w:val="24"/>
          <w:szCs w:val="22"/>
          <w:highlight w:val="none"/>
        </w:rPr>
        <w:t xml:space="preserve">            </w:t>
      </w:r>
      <w:r>
        <w:rPr>
          <w:rFonts w:hint="eastAsia" w:ascii="宋体" w:hAnsi="宋体" w:cs="宋体"/>
          <w:color w:val="auto"/>
          <w:sz w:val="24"/>
          <w:szCs w:val="22"/>
          <w:highlight w:val="none"/>
        </w:rPr>
        <w:t xml:space="preserve">                        </w:t>
      </w:r>
      <w:r>
        <w:rPr>
          <w:rFonts w:hint="eastAsia" w:ascii="宋体" w:hAnsi="宋体" w:cs="宋体"/>
          <w:color w:val="auto"/>
          <w:sz w:val="24"/>
          <w:szCs w:val="22"/>
          <w:highlight w:val="none"/>
          <w:lang w:val="zh-CN"/>
        </w:rPr>
        <w:t xml:space="preserve">地址：</w:t>
      </w:r>
      <w:r/>
    </w:p>
    <w:p>
      <w:pPr>
        <w:spacing w:line="420" w:lineRule="exact"/>
        <w:rPr>
          <w:rFonts w:ascii="宋体" w:hAnsi="宋体" w:cs="宋体"/>
          <w:color w:val="auto"/>
          <w:sz w:val="24"/>
          <w:highlight w:val="none"/>
          <w:lang w:val="zh-CN"/>
        </w:rPr>
      </w:pPr>
      <w:r>
        <w:rPr>
          <w:rFonts w:hint="eastAsia" w:ascii="宋体" w:hAnsi="宋体" w:cs="宋体"/>
          <w:color w:val="auto"/>
          <w:sz w:val="24"/>
          <w:szCs w:val="22"/>
          <w:highlight w:val="none"/>
          <w:lang w:val="zh-CN"/>
        </w:rPr>
        <w:t xml:space="preserve">                                  </w:t>
      </w:r>
      <w:r>
        <w:rPr>
          <w:rFonts w:hint="eastAsia" w:ascii="宋体" w:hAnsi="宋体" w:cs="宋体"/>
          <w:color w:val="auto"/>
          <w:sz w:val="24"/>
          <w:szCs w:val="22"/>
          <w:highlight w:val="none"/>
        </w:rPr>
        <w:t xml:space="preserve">        </w:t>
      </w:r>
      <w:r>
        <w:rPr>
          <w:rFonts w:hint="eastAsia" w:ascii="宋体" w:hAnsi="宋体" w:cs="宋体"/>
          <w:color w:val="auto"/>
          <w:sz w:val="24"/>
          <w:szCs w:val="22"/>
          <w:highlight w:val="none"/>
          <w:lang w:val="zh-CN"/>
        </w:rPr>
        <w:t xml:space="preserve">电话: </w:t>
      </w:r>
      <w:r/>
    </w:p>
    <w:p>
      <w:pPr>
        <w:spacing w:line="420" w:lineRule="exact"/>
        <w:widowControl/>
        <w:rPr>
          <w:rFonts w:ascii="宋体" w:hAnsi="宋体" w:cs="宋体"/>
          <w:b/>
          <w:color w:val="auto"/>
          <w:sz w:val="24"/>
          <w:highlight w:val="none"/>
        </w:rPr>
      </w:pPr>
      <w:r>
        <w:rPr>
          <w:rFonts w:ascii="宋体" w:hAnsi="宋体" w:cs="宋体"/>
          <w:b/>
          <w:color w:val="auto"/>
          <w:sz w:val="24"/>
          <w:highlight w:val="none"/>
        </w:rPr>
      </w:r>
      <w:r/>
    </w:p>
    <w:p>
      <w:pPr>
        <w:spacing w:line="420" w:lineRule="exact"/>
        <w:widowControl/>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见证方：</w:t>
      </w:r>
      <w:r>
        <w:rPr>
          <w:rFonts w:hint="eastAsia" w:ascii="宋体" w:hAnsi="宋体" w:cs="宋体"/>
          <w:color w:val="auto"/>
          <w:sz w:val="24"/>
          <w:highlight w:val="none"/>
          <w:lang w:eastAsia="zh-CN"/>
        </w:rPr>
        <w:t xml:space="preserve">常州润邦招标代理有限公司</w:t>
      </w:r>
      <w:r/>
    </w:p>
    <w:p>
      <w:pPr>
        <w:spacing w:line="42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法定代表人或授权代表（签字）：</w:t>
      </w:r>
      <w:r/>
    </w:p>
    <w:p>
      <w:pPr>
        <w:spacing w:line="42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联系人：</w:t>
      </w:r>
      <w:r/>
    </w:p>
    <w:p>
      <w:pPr>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注：上述格式及内容仅供参考，具体以甲方签订合同时内容为准。</w:t>
      </w:r>
      <w:bookmarkEnd w:id="675"/>
      <w:r/>
      <w:r/>
    </w:p>
    <w:p>
      <w:pPr>
        <w:jc w:val="center"/>
        <w:spacing w:line="360" w:lineRule="auto"/>
        <w:rPr>
          <w:rFonts w:ascii="宋体" w:hAnsi="宋体" w:cs="宋体"/>
          <w:b/>
          <w:color w:val="auto"/>
          <w:sz w:val="36"/>
          <w:szCs w:val="36"/>
          <w:highlight w:val="none"/>
        </w:rPr>
        <w:outlineLvl w:val="0"/>
      </w:pPr>
      <w:r>
        <w:rPr>
          <w:rFonts w:hint="eastAsia" w:ascii="宋体" w:hAnsi="宋体" w:cs="宋体"/>
          <w:b/>
          <w:color w:val="auto"/>
          <w:sz w:val="36"/>
          <w:szCs w:val="36"/>
          <w:highlight w:val="none"/>
        </w:rPr>
        <w:br w:type="page" w:clear="all"/>
      </w:r>
      <w:bookmarkStart w:id="676" w:name="_Toc15291"/>
      <w:r>
        <w:rPr>
          <w:rFonts w:hint="eastAsia" w:ascii="宋体" w:hAnsi="宋体" w:cs="宋体"/>
          <w:b/>
          <w:color w:val="auto"/>
          <w:sz w:val="36"/>
          <w:szCs w:val="36"/>
          <w:highlight w:val="none"/>
        </w:rPr>
        <w:t xml:space="preserve">第六章   响应文件格式</w:t>
      </w:r>
      <w:bookmarkEnd w:id="676"/>
      <w:r/>
      <w:r/>
    </w:p>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ind w:left="142"/>
        <w:spacing w:line="360" w:lineRule="auto"/>
        <w:tabs>
          <w:tab w:val="left" w:pos="900" w:leader="none"/>
          <w:tab w:val="left" w:pos="1980" w:leader="none"/>
        </w:tabs>
        <w:rPr>
          <w:rFonts w:ascii="宋体" w:hAnsi="宋体" w:cs="宋体"/>
          <w:b/>
          <w:color w:val="auto"/>
          <w:sz w:val="24"/>
          <w:highlight w:val="none"/>
        </w:rPr>
      </w:pPr>
      <w:r>
        <w:rPr>
          <w:rFonts w:hint="eastAsia" w:ascii="宋体" w:hAnsi="宋体" w:cs="宋体"/>
          <w:b/>
          <w:color w:val="auto"/>
          <w:sz w:val="24"/>
          <w:highlight w:val="none"/>
        </w:rPr>
        <w:t xml:space="preserve">供应商编制文件须知</w:t>
      </w:r>
      <w:r/>
    </w:p>
    <w:p>
      <w:pPr>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对于竞争性磋商文件中标记了“实质性格式”文件的，供应商</w:t>
      </w:r>
      <w:r>
        <w:rPr>
          <w:rFonts w:hint="eastAsia" w:ascii="宋体" w:hAnsi="宋体" w:cs="宋体"/>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3、全部声明和问题的回答及所附材料必须是真实的、准确的和完整的。</w:t>
      </w:r>
      <w:r/>
    </w:p>
    <w:p>
      <w:pPr>
        <w:ind w:left="142"/>
        <w:spacing w:line="400" w:lineRule="exact"/>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hint="eastAsia" w:ascii="宋体" w:hAnsi="宋体" w:cs="宋体"/>
          <w:color w:val="auto"/>
          <w:sz w:val="24"/>
          <w:highlight w:val="none"/>
        </w:rPr>
        <w:br w:type="page" w:clear="all"/>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rPr>
          <w:rFonts w:ascii="宋体" w:hAnsi="宋体" w:cs="宋体"/>
          <w:b/>
          <w:color w:val="auto"/>
          <w:spacing w:val="20"/>
          <w:szCs w:val="21"/>
          <w:highlight w:val="none"/>
        </w:rPr>
      </w:pPr>
      <w:r>
        <w:rPr>
          <w:rFonts w:ascii="宋体" w:hAnsi="宋体" w:cs="宋体"/>
          <w:b/>
          <w:color w:val="auto"/>
          <w:spacing w:val="20"/>
          <w:szCs w:val="21"/>
          <w:highlight w:val="none"/>
        </w:rPr>
      </w:r>
      <w:r/>
    </w:p>
    <w:p>
      <w:pPr>
        <w:rPr>
          <w:rFonts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b/>
          <w:color w:val="auto"/>
          <w:spacing w:val="60"/>
          <w:sz w:val="84"/>
          <w:szCs w:val="84"/>
          <w:highlight w:val="none"/>
        </w:rPr>
      </w:pPr>
      <w:r>
        <w:rPr>
          <w:rFonts w:hint="eastAsia" w:ascii="宋体" w:hAnsi="宋体" w:cs="宋体"/>
          <w:b/>
          <w:color w:val="auto"/>
          <w:spacing w:val="60"/>
          <w:sz w:val="84"/>
          <w:szCs w:val="84"/>
          <w:highlight w:val="none"/>
        </w:rPr>
        <w:t xml:space="preserve">响 应 文 件</w:t>
      </w:r>
      <w:r/>
    </w:p>
    <w:p>
      <w:pPr>
        <w:jc w:val="center"/>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rPr>
          <w:rFonts w:ascii="宋体" w:hAnsi="宋体" w:cs="宋体"/>
          <w:b/>
          <w:color w:val="auto"/>
          <w:highlight w:val="none"/>
        </w:rPr>
      </w:pPr>
      <w:r>
        <w:rPr>
          <w:rFonts w:hint="eastAsia" w:ascii="宋体" w:hAnsi="宋体" w:cs="宋体"/>
          <w:b/>
          <w:color w:val="auto"/>
          <w:spacing w:val="20"/>
          <w:sz w:val="32"/>
          <w:szCs w:val="32"/>
          <w:highlight w:val="none"/>
        </w:rPr>
        <w:br w:type="page" w:clear="all"/>
      </w:r>
      <w:r/>
    </w:p>
    <w:p>
      <w:pPr>
        <w:spacing w:line="360" w:lineRule="auto"/>
        <w:rPr>
          <w:rFonts w:ascii="宋体" w:hAnsi="宋体" w:cs="宋体"/>
          <w:b/>
          <w:bCs/>
          <w:color w:val="auto"/>
          <w:sz w:val="24"/>
          <w:szCs w:val="20"/>
          <w:highlight w:val="none"/>
        </w:rPr>
        <w:outlineLvl w:val="2"/>
      </w:pPr>
      <w:r>
        <w:rPr>
          <w:rFonts w:hint="eastAsia" w:ascii="宋体" w:hAnsi="宋体" w:cs="宋体"/>
          <w:b/>
          <w:bCs/>
          <w:color w:val="auto"/>
          <w:sz w:val="24"/>
          <w:szCs w:val="20"/>
          <w:highlight w:val="none"/>
        </w:rPr>
        <w:t xml:space="preserve">1 </w:t>
      </w:r>
      <w:r>
        <w:rPr>
          <w:rFonts w:hint="eastAsia" w:ascii="宋体" w:hAnsi="宋体" w:cs="宋体"/>
          <w:b/>
          <w:bCs/>
          <w:color w:val="auto"/>
          <w:sz w:val="24"/>
          <w:highlight w:val="none"/>
        </w:rPr>
        <w:t xml:space="preserve">满足《中华人民共和国政府采购法》第二十二条规定及法律法规的其他规定</w:t>
      </w:r>
      <w:r/>
    </w:p>
    <w:p>
      <w:pPr>
        <w:pStyle w:val="1272"/>
        <w:rPr>
          <w:rFonts w:hAnsi="宋体" w:cs="宋体"/>
          <w:bCs/>
          <w:color w:val="auto"/>
          <w:highlight w:val="none"/>
          <w:u w:val="none"/>
        </w:rPr>
      </w:pPr>
      <w:r>
        <w:rPr>
          <w:rFonts w:hint="eastAsia" w:hAnsi="宋体" w:cs="宋体"/>
          <w:bCs/>
          <w:color w:val="auto"/>
          <w:highlight w:val="none"/>
          <w:u w:val="none"/>
        </w:rPr>
        <w:t xml:space="preserve">1-1 供应商资格声明函（实质性格式）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400" w:lineRule="exact"/>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282"/>
        <w:ind w:firstLine="480"/>
        <w:spacing w:line="400" w:lineRule="exact"/>
        <w:rPr>
          <w:rFonts w:hAnsi="宋体" w:cs="宋体"/>
          <w:color w:val="auto"/>
          <w:highlight w:val="none"/>
        </w:rPr>
      </w:pPr>
      <w:r>
        <w:rPr>
          <w:rFonts w:hAnsi="宋体" w:cs="宋体"/>
          <w:color w:val="auto"/>
          <w:highlight w:val="none"/>
        </w:rPr>
      </w:r>
      <w:r/>
    </w:p>
    <w:p>
      <w:pPr>
        <w:pStyle w:val="1282"/>
        <w:ind w:firstLine="480"/>
        <w:spacing w:line="400" w:lineRule="exact"/>
        <w:rPr>
          <w:rFonts w:hint="eastAsia" w:hAnsi="宋体" w:eastAsia="宋体" w:cs="宋体"/>
          <w:color w:val="auto"/>
          <w:highlight w:val="none"/>
          <w:lang w:eastAsia="zh-CN"/>
        </w:rPr>
      </w:pPr>
      <w:r>
        <w:rPr>
          <w:rFonts w:hint="eastAsia" w:hAnsi="宋体" w:cs="宋体"/>
          <w:color w:val="auto"/>
          <w:highlight w:val="none"/>
        </w:rPr>
        <w:t xml:space="preserve">致：</w:t>
      </w:r>
      <w:r>
        <w:rPr>
          <w:rFonts w:hint="eastAsia" w:hAnsi="宋体" w:cs="宋体"/>
          <w:color w:val="auto"/>
          <w:highlight w:val="none"/>
          <w:lang w:eastAsia="zh-CN"/>
        </w:rPr>
        <w:t xml:space="preserve">常州润邦招标代理有限公司</w:t>
      </w:r>
      <w:r/>
    </w:p>
    <w:p>
      <w:pPr>
        <w:pStyle w:val="1282"/>
        <w:ind w:firstLine="1024"/>
        <w:spacing w:line="400" w:lineRule="exact"/>
        <w:rPr>
          <w:rFonts w:hAnsi="宋体" w:cs="宋体"/>
          <w:color w:val="auto"/>
          <w:highlight w:val="none"/>
        </w:rPr>
      </w:pPr>
      <w:r>
        <w:rPr>
          <w:rFonts w:hint="eastAsia" w:hAnsi="宋体" w:cs="宋体"/>
          <w:color w:val="auto"/>
          <w:highlight w:val="none"/>
        </w:rPr>
        <w:t xml:space="preserve">江苏省常州技师学院</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按照《中华人民共和国政府采购法》第二十二条和磋商文件的规定，我单位郑重声明如下：</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一、我单位是按照中华人民共和国法律规定登记注册的，注册地点为</w:t>
      </w:r>
      <w:r>
        <w:rPr>
          <w:rFonts w:hint="eastAsia" w:hAnsi="宋体" w:cs="宋体"/>
          <w:color w:val="auto"/>
          <w:highlight w:val="none"/>
          <w:u w:val="single"/>
        </w:rPr>
        <w:t xml:space="preserve">         </w:t>
      </w:r>
      <w:r>
        <w:rPr>
          <w:rFonts w:hint="eastAsia" w:hAnsi="宋体" w:cs="宋体"/>
          <w:color w:val="auto"/>
          <w:highlight w:val="none"/>
        </w:rPr>
        <w:t xml:space="preserve">，全称为</w:t>
      </w:r>
      <w:r>
        <w:rPr>
          <w:rFonts w:hint="eastAsia" w:hAnsi="宋体" w:cs="宋体"/>
          <w:color w:val="auto"/>
          <w:highlight w:val="none"/>
          <w:u w:val="single"/>
        </w:rPr>
        <w:t xml:space="preserve">        </w:t>
      </w:r>
      <w:r>
        <w:rPr>
          <w:rFonts w:hint="eastAsia" w:hAnsi="宋体" w:cs="宋体"/>
          <w:color w:val="auto"/>
          <w:highlight w:val="none"/>
        </w:rPr>
        <w:t xml:space="preserve">，统一社会信用代码为</w:t>
      </w:r>
      <w:r>
        <w:rPr>
          <w:rFonts w:hint="eastAsia" w:hAnsi="宋体" w:cs="宋体"/>
          <w:color w:val="auto"/>
          <w:highlight w:val="none"/>
          <w:u w:val="single"/>
        </w:rPr>
        <w:t xml:space="preserve">           </w:t>
      </w:r>
      <w:r>
        <w:rPr>
          <w:rFonts w:hint="eastAsia" w:hAnsi="宋体" w:cs="宋体"/>
          <w:color w:val="auto"/>
          <w:highlight w:val="none"/>
        </w:rPr>
        <w:t xml:space="preserve"> ，法定代表人（单位负责人）为</w:t>
      </w:r>
      <w:r>
        <w:rPr>
          <w:rFonts w:hint="eastAsia" w:hAnsi="宋体" w:cs="宋体"/>
          <w:color w:val="auto"/>
          <w:highlight w:val="none"/>
          <w:u w:val="single"/>
        </w:rPr>
        <w:t xml:space="preserve">         </w:t>
      </w:r>
      <w:r>
        <w:rPr>
          <w:rFonts w:hint="eastAsia" w:hAnsi="宋体" w:cs="宋体"/>
          <w:color w:val="auto"/>
          <w:highlight w:val="none"/>
        </w:rPr>
        <w:t xml:space="preserve">，具有独立承担民事责任的能力</w:t>
      </w:r>
      <w:r>
        <w:rPr>
          <w:rFonts w:hint="eastAsia" w:hAnsi="宋体" w:cs="宋体"/>
          <w:b/>
          <w:color w:val="auto"/>
          <w:highlight w:val="none"/>
        </w:rPr>
        <w:t xml:space="preserve">（如属于分公司经总公司授权参与项目，由总公司承担民事责任的，需提供总公司项目授权书）</w:t>
      </w:r>
      <w:r>
        <w:rPr>
          <w:rFonts w:hint="eastAsia" w:hAnsi="宋体" w:cs="宋体"/>
          <w:color w:val="auto"/>
          <w:highlight w:val="none"/>
        </w:rPr>
        <w:t xml:space="preserve">。</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二、我单位未被“国家企业信用信息系统”列入经营异常名录或者严重违法企业名单。</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三、我单位具有良好的商业信誉（指供应商经营状况良好，无本资格声明第十条情形）和健全的财务会计制度。</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四、我单位依法进行纳税和社会保险申报并实际履行了义务。</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主要设备有：</w:t>
      </w:r>
      <w:r>
        <w:rPr>
          <w:rFonts w:hint="eastAsia" w:hAnsi="宋体" w:cs="宋体"/>
          <w:color w:val="auto"/>
          <w:highlight w:val="none"/>
          <w:u w:val="single"/>
        </w:rPr>
        <w:t xml:space="preserve">            </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主要专业技术能力有</w:t>
      </w:r>
      <w:r>
        <w:rPr>
          <w:rFonts w:hint="eastAsia" w:hAnsi="宋体" w:cs="宋体"/>
          <w:color w:val="auto"/>
          <w:highlight w:val="none"/>
          <w:u w:val="single"/>
        </w:rPr>
        <w:t xml:space="preserve">                 </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七、我单位具备法律、行政法规规定的其他条件。</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八、与我单位存在“单位负责人为同一人或者存在直接控股、管理关系”的其他单位信息如下（如无此情形的，填写“无”）：</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1、与我单位的法定代表人（单位负责人）为同一人的其他单位如下：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2、我单位直接控股的其他单位如下：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3、与我单位存在管理关系的其他单位如下：</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九、我单位不属于为本项目提供整体设计、规范编制或者项目管理、监理、检测等服务的供应商。</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十、我单位无以下不良信用记录情形：</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1、在“信用中国”网站被列入失信被执行人和重大税收违法案件当事人名单；</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2、在“中国政府采购网”网站被列入政府采购严重违法失信行为记录名单；</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3、不符合《政府采购法》第二十二条规定的条件。</w:t>
      </w:r>
      <w:r/>
    </w:p>
    <w:p>
      <w:pPr>
        <w:pStyle w:val="1282"/>
        <w:ind w:firstLine="480"/>
        <w:spacing w:line="400" w:lineRule="exact"/>
        <w:rPr>
          <w:rFonts w:hAnsi="宋体" w:cs="宋体"/>
          <w:color w:val="auto"/>
          <w:highlight w:val="none"/>
        </w:rPr>
      </w:pPr>
      <w:r>
        <w:rPr>
          <w:rFonts w:hAnsi="宋体" w:cs="宋体"/>
          <w:color w:val="auto"/>
          <w:highlight w:val="none"/>
        </w:rPr>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我单位保证上述声明的事项都是真实的，如有虚假，我单位愿意承担相应的法律责任，并承担因此所造成的一切损失。</w:t>
      </w:r>
      <w:r/>
    </w:p>
    <w:p>
      <w:pPr>
        <w:pStyle w:val="1282"/>
        <w:ind w:firstLine="480"/>
        <w:spacing w:line="400" w:lineRule="exact"/>
        <w:rPr>
          <w:rFonts w:hAnsi="宋体" w:cs="宋体"/>
          <w:color w:val="auto"/>
          <w:highlight w:val="none"/>
        </w:rPr>
      </w:pPr>
      <w:r>
        <w:rPr>
          <w:rFonts w:hAnsi="宋体" w:cs="宋体"/>
          <w:color w:val="auto"/>
          <w:highlight w:val="none"/>
        </w:rPr>
      </w:r>
      <w:r/>
    </w:p>
    <w:p>
      <w:pPr>
        <w:pStyle w:val="1282"/>
        <w:ind w:firstLine="480"/>
        <w:spacing w:line="400" w:lineRule="exact"/>
        <w:rPr>
          <w:rFonts w:hAnsi="宋体" w:cs="宋体"/>
          <w:color w:val="auto"/>
          <w:highlight w:val="none"/>
        </w:rPr>
      </w:pPr>
      <w:r>
        <w:rPr>
          <w:rFonts w:hAnsi="宋体" w:cs="宋体"/>
          <w:color w:val="auto"/>
          <w:highlight w:val="none"/>
        </w:rPr>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              供应商：（加盖公章）</w:t>
      </w:r>
      <w:r/>
    </w:p>
    <w:p>
      <w:pPr>
        <w:pStyle w:val="1282"/>
        <w:ind w:firstLine="480"/>
        <w:spacing w:line="400" w:lineRule="exact"/>
        <w:rPr>
          <w:rFonts w:hAnsi="宋体" w:cs="宋体"/>
          <w:color w:val="auto"/>
          <w:highlight w:val="none"/>
        </w:rPr>
      </w:pPr>
      <w:r>
        <w:rPr>
          <w:rFonts w:hint="eastAsia" w:hAnsi="宋体" w:cs="宋体"/>
          <w:color w:val="auto"/>
          <w:highlight w:val="none"/>
        </w:rPr>
        <w:t xml:space="preserve">               法定代表人（或授权代理人）签字或盖章：</w:t>
      </w:r>
      <w:r/>
    </w:p>
    <w:p>
      <w:pPr>
        <w:pStyle w:val="1282"/>
        <w:ind w:firstLine="3840"/>
        <w:spacing w:line="400" w:lineRule="exact"/>
        <w:rPr>
          <w:rFonts w:hAnsi="宋体" w:cs="宋体"/>
          <w:color w:val="auto"/>
          <w:highlight w:val="none"/>
        </w:rPr>
      </w:pPr>
      <w:r>
        <w:rPr>
          <w:rFonts w:hint="eastAsia" w:hAnsi="宋体" w:cs="宋体"/>
          <w:color w:val="auto"/>
          <w:highlight w:val="none"/>
        </w:rPr>
        <w:t xml:space="preserve">日期：    年    月    日</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hAnsi="宋体" w:cs="宋体"/>
          <w:color w:val="auto"/>
          <w:sz w:val="24"/>
          <w:highlight w:val="none"/>
        </w:rPr>
      </w:pPr>
      <w:r>
        <w:rPr>
          <w:rFonts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说明：供应商承诺不实的，依据《政府采购法》第七十七条“提供虚假材料谋取中标、成交的”有关规定予以处理。</w:t>
      </w:r>
      <w:bookmarkStart w:id="677" w:name="_Toc150480795"/>
      <w:r/>
      <w:bookmarkStart w:id="678" w:name="_Toc226965830"/>
      <w:r/>
      <w:bookmarkStart w:id="679" w:name="_Toc520356218"/>
      <w:r/>
      <w:bookmarkStart w:id="680" w:name="_Toc305158899"/>
      <w:r/>
      <w:bookmarkStart w:id="681" w:name="_Toc305158825"/>
      <w:r/>
      <w:bookmarkStart w:id="682" w:name="_Toc127151557"/>
      <w:r/>
      <w:bookmarkStart w:id="683" w:name="_Toc226309801"/>
      <w:r/>
      <w:bookmarkStart w:id="684" w:name="_Ref467988705"/>
      <w:r/>
      <w:bookmarkStart w:id="685" w:name="_Toc142311059"/>
      <w:r/>
      <w:bookmarkStart w:id="686" w:name="_Toc264969247"/>
      <w:r/>
      <w:bookmarkStart w:id="687" w:name="_Toc480942350"/>
      <w:r/>
      <w:bookmarkStart w:id="688" w:name="_Toc265228395"/>
      <w:r/>
      <w:bookmarkStart w:id="689" w:name="_Toc195842922"/>
      <w:r/>
      <w:bookmarkStart w:id="690" w:name="_Toc226337253"/>
      <w:r/>
      <w:bookmarkStart w:id="691" w:name="_Toc150774762"/>
      <w:r/>
      <w:bookmarkStart w:id="692" w:name="_Toc226965747"/>
      <w:r/>
      <w:r/>
    </w:p>
    <w:p>
      <w:pPr>
        <w:spacing w:line="360" w:lineRule="auto"/>
        <w:rPr>
          <w:rFonts w:ascii="宋体" w:hAnsi="宋体" w:cs="宋体"/>
          <w:b/>
          <w:bCs/>
          <w:color w:val="auto"/>
          <w:sz w:val="24"/>
          <w:highlight w:val="none"/>
        </w:rPr>
        <w:outlineLvl w:val="2"/>
      </w:pPr>
      <w:r>
        <w:rPr>
          <w:rFonts w:ascii="宋体" w:hAnsi="宋体" w:cs="宋体"/>
          <w:b/>
          <w:bCs/>
          <w:color w:val="auto"/>
          <w:sz w:val="24"/>
          <w:highlight w:val="none"/>
        </w:rPr>
      </w:r>
      <w:r/>
    </w:p>
    <w:p>
      <w:pPr>
        <w:spacing w:line="360" w:lineRule="auto"/>
        <w:rPr>
          <w:rFonts w:ascii="宋体" w:hAnsi="宋体" w:cs="宋体"/>
          <w:b/>
          <w:bCs/>
          <w:color w:val="auto"/>
          <w:sz w:val="24"/>
          <w:highlight w:val="none"/>
        </w:rPr>
        <w:outlineLvl w:val="2"/>
      </w:pPr>
      <w:r>
        <w:rPr>
          <w:rFonts w:ascii="宋体" w:hAnsi="宋体" w:cs="宋体"/>
          <w:b/>
          <w:bCs/>
          <w:color w:val="auto"/>
          <w:sz w:val="24"/>
          <w:highlight w:val="none"/>
        </w:rPr>
      </w:r>
      <w:r/>
    </w:p>
    <w:p>
      <w:pPr>
        <w:spacing w:line="360" w:lineRule="auto"/>
        <w:rPr>
          <w:rFonts w:ascii="宋体" w:hAnsi="宋体" w:cs="宋体"/>
          <w:b/>
          <w:bCs/>
          <w:color w:val="auto"/>
          <w:sz w:val="24"/>
          <w:highlight w:val="none"/>
        </w:rPr>
        <w:outlineLvl w:val="2"/>
      </w:pPr>
      <w:r>
        <w:rPr>
          <w:rFonts w:ascii="宋体" w:hAnsi="宋体" w:cs="宋体"/>
          <w:b/>
          <w:bCs/>
          <w:color w:val="auto"/>
          <w:sz w:val="24"/>
          <w:highlight w:val="none"/>
        </w:rPr>
      </w:r>
      <w:r/>
    </w:p>
    <w:p>
      <w:pPr>
        <w:spacing w:line="360" w:lineRule="auto"/>
        <w:rPr>
          <w:rFonts w:ascii="宋体" w:hAnsi="宋体" w:cs="宋体"/>
          <w:b/>
          <w:bCs/>
          <w:color w:val="auto"/>
          <w:sz w:val="24"/>
          <w:highlight w:val="none"/>
        </w:rPr>
        <w:outlineLvl w:val="2"/>
      </w:pPr>
      <w:r>
        <w:rPr>
          <w:rFonts w:ascii="宋体" w:hAnsi="宋体" w:cs="宋体"/>
          <w:b/>
          <w:bCs/>
          <w:color w:val="auto"/>
          <w:sz w:val="24"/>
          <w:highlight w:val="none"/>
        </w:rPr>
      </w:r>
      <w:r/>
    </w:p>
    <w:p>
      <w:pPr>
        <w:spacing w:line="360" w:lineRule="auto"/>
        <w:rPr>
          <w:rFonts w:ascii="宋体" w:hAnsi="宋体" w:cs="宋体"/>
          <w:b/>
          <w:bCs/>
          <w:color w:val="auto"/>
          <w:sz w:val="24"/>
          <w:highlight w:val="none"/>
        </w:rPr>
        <w:outlineLvl w:val="2"/>
      </w:pPr>
      <w:r>
        <w:rPr>
          <w:rFonts w:ascii="宋体" w:hAnsi="宋体" w:cs="宋体"/>
          <w:b/>
          <w:bCs/>
          <w:color w:val="auto"/>
          <w:sz w:val="24"/>
          <w:highlight w:val="none"/>
        </w:rPr>
      </w:r>
      <w:r/>
    </w:p>
    <w:p>
      <w:pPr>
        <w:spacing w:line="360" w:lineRule="auto"/>
        <w:rPr>
          <w:rFonts w:ascii="宋体" w:hAnsi="宋体" w:cs="宋体"/>
          <w:b/>
          <w:bCs/>
          <w:color w:val="auto"/>
          <w:sz w:val="24"/>
          <w:highlight w:val="none"/>
        </w:rPr>
        <w:outlineLvl w:val="2"/>
      </w:pPr>
      <w:r>
        <w:rPr>
          <w:rFonts w:ascii="宋体" w:hAnsi="宋体" w:cs="宋体"/>
          <w:b/>
          <w:bCs/>
          <w:color w:val="auto"/>
          <w:sz w:val="24"/>
          <w:highlight w:val="none"/>
        </w:rPr>
      </w:r>
      <w:r/>
    </w:p>
    <w:p>
      <w:pPr>
        <w:spacing w:line="360" w:lineRule="auto"/>
        <w:rPr>
          <w:rFonts w:ascii="宋体" w:hAnsi="宋体" w:cs="宋体"/>
          <w:b/>
          <w:bCs/>
          <w:color w:val="auto"/>
          <w:sz w:val="24"/>
          <w:highlight w:val="none"/>
        </w:rPr>
        <w:outlineLvl w:val="2"/>
      </w:pPr>
      <w:r>
        <w:rPr>
          <w:rFonts w:ascii="宋体" w:hAnsi="宋体" w:cs="宋体"/>
          <w:b/>
          <w:bCs/>
          <w:color w:val="auto"/>
          <w:sz w:val="24"/>
          <w:highlight w:val="none"/>
        </w:rPr>
      </w:r>
      <w:r/>
    </w:p>
    <w:p>
      <w:pPr>
        <w:spacing w:line="360" w:lineRule="auto"/>
        <w:rPr>
          <w:rFonts w:ascii="宋体" w:hAnsi="宋体" w:cs="宋体"/>
          <w:b/>
          <w:bCs/>
          <w:color w:val="auto"/>
          <w:sz w:val="24"/>
          <w:highlight w:val="none"/>
        </w:rPr>
        <w:outlineLvl w:val="2"/>
      </w:pPr>
      <w:r>
        <w:rPr>
          <w:rFonts w:ascii="宋体" w:hAnsi="宋体" w:cs="宋体"/>
          <w:b/>
          <w:bCs/>
          <w:color w:val="auto"/>
          <w:sz w:val="24"/>
          <w:highlight w:val="none"/>
        </w:rPr>
      </w:r>
      <w:r/>
    </w:p>
    <w:p>
      <w:pPr>
        <w:spacing w:line="360" w:lineRule="auto"/>
        <w:rPr>
          <w:rFonts w:ascii="宋体" w:hAnsi="宋体" w:cs="宋体"/>
          <w:b/>
          <w:bCs/>
          <w:color w:val="auto"/>
          <w:sz w:val="24"/>
          <w:highlight w:val="none"/>
        </w:rPr>
        <w:outlineLvl w:val="2"/>
      </w:pPr>
      <w:r>
        <w:rPr>
          <w:rFonts w:ascii="宋体" w:hAnsi="宋体" w:cs="宋体"/>
          <w:b/>
          <w:bCs/>
          <w:color w:val="auto"/>
          <w:sz w:val="24"/>
          <w:highlight w:val="none"/>
        </w:rPr>
      </w:r>
      <w:r/>
    </w:p>
    <w:p>
      <w:pPr>
        <w:spacing w:line="360" w:lineRule="auto"/>
        <w:rPr>
          <w:rFonts w:ascii="宋体" w:hAnsi="宋体" w:cs="宋体"/>
          <w:b/>
          <w:bCs/>
          <w:color w:val="auto"/>
          <w:sz w:val="24"/>
          <w:highlight w:val="none"/>
        </w:rPr>
        <w:outlineLvl w:val="2"/>
      </w:pPr>
      <w:r>
        <w:rPr>
          <w:rFonts w:ascii="宋体" w:hAnsi="宋体" w:cs="宋体"/>
          <w:b/>
          <w:bCs/>
          <w:color w:val="auto"/>
          <w:sz w:val="24"/>
          <w:highlight w:val="none"/>
        </w:rPr>
      </w:r>
      <w:r/>
    </w:p>
    <w:p>
      <w:pPr>
        <w:spacing w:line="360" w:lineRule="auto"/>
        <w:rPr>
          <w:rFonts w:ascii="宋体" w:hAnsi="宋体" w:cs="宋体"/>
          <w:b/>
          <w:bCs/>
          <w:color w:val="auto"/>
          <w:sz w:val="24"/>
          <w:highlight w:val="none"/>
        </w:rPr>
        <w:outlineLvl w:val="2"/>
      </w:pPr>
      <w:r>
        <w:rPr>
          <w:rFonts w:ascii="宋体" w:hAnsi="宋体" w:cs="宋体"/>
          <w:b/>
          <w:bCs/>
          <w:color w:val="auto"/>
          <w:sz w:val="24"/>
          <w:highlight w:val="none"/>
        </w:rPr>
      </w:r>
      <w:r/>
    </w:p>
    <w:p>
      <w:pPr>
        <w:spacing w:line="360" w:lineRule="auto"/>
        <w:rPr>
          <w:rFonts w:ascii="宋体" w:hAnsi="宋体" w:cs="宋体"/>
          <w:b/>
          <w:bCs/>
          <w:color w:val="auto"/>
          <w:sz w:val="24"/>
          <w:highlight w:val="none"/>
        </w:rPr>
        <w:outlineLvl w:val="2"/>
      </w:pPr>
      <w:r>
        <w:rPr>
          <w:rFonts w:hint="eastAsia" w:ascii="宋体" w:hAnsi="宋体" w:cs="宋体"/>
          <w:b/>
          <w:bCs/>
          <w:color w:val="auto"/>
          <w:sz w:val="24"/>
          <w:highlight w:val="none"/>
        </w:rPr>
        <w:t xml:space="preserve">2 落实政府采购政策需满足的资格要求：</w:t>
      </w:r>
      <w:r/>
    </w:p>
    <w:p>
      <w:pPr>
        <w:spacing w:line="360" w:lineRule="auto"/>
        <w:rPr>
          <w:rFonts w:ascii="宋体" w:hAnsi="宋体" w:cs="宋体"/>
          <w:color w:val="auto"/>
          <w:sz w:val="24"/>
          <w:highlight w:val="none"/>
        </w:rPr>
        <w:outlineLvl w:val="2"/>
      </w:pPr>
      <w:r>
        <w:rPr>
          <w:rFonts w:hint="eastAsia" w:ascii="宋体" w:hAnsi="宋体" w:cs="宋体"/>
          <w:color w:val="auto"/>
          <w:sz w:val="24"/>
          <w:highlight w:val="none"/>
        </w:rPr>
        <w:t xml:space="preserve">2-1 中小企业声明函</w:t>
      </w:r>
      <w:r>
        <w:rPr>
          <w:rFonts w:hint="eastAsia" w:ascii="宋体" w:hAnsi="宋体" w:cs="宋体"/>
          <w:b/>
          <w:bCs/>
          <w:color w:val="auto"/>
          <w:sz w:val="24"/>
          <w:highlight w:val="none"/>
        </w:rPr>
        <w:t xml:space="preserve">（实质性格式）</w:t>
      </w:r>
      <w:r/>
    </w:p>
    <w:p>
      <w:pPr>
        <w:spacing w:line="360" w:lineRule="auto"/>
        <w:tabs>
          <w:tab w:val="left" w:pos="5580" w:leader="none"/>
        </w:tabs>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说明：</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（2）如本项目（包）专门面向中小/小微企业采购，须提供《中小企业声明函》（实质性格式）。</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（4）其它</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1）中小企业参加政府采购活动，应当出具此格式文件。《中小企业声明函》由参加政府采购活动的供应商出具。联合体响应的，《中小企业声明函》由牵头人出具。</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color w:val="auto"/>
          <w:sz w:val="24"/>
          <w:szCs w:val="24"/>
          <w:highlight w:val="none"/>
        </w:rPr>
        <w:t xml:space="preserve">（工信部网址：https://baosong.miit.gov.cn/ScaleTest）</w:t>
      </w:r>
      <w:r/>
    </w:p>
    <w:p>
      <w:pPr>
        <w:jc w:val="left"/>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6</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填写请参考“常州市政府采购中心关于规范填写《中小企业声明函》的温馨提示”（网址：http://zfcg.changzhou.gov.cn/html/ns/tzgg/980332060316367.html）</w:t>
      </w:r>
      <w:r/>
    </w:p>
    <w:p>
      <w:pPr>
        <w:spacing w:line="360" w:lineRule="auto"/>
        <w:tabs>
          <w:tab w:val="left" w:pos="55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中小企业声明函（工程、服务）格式</w:t>
      </w:r>
      <w:r/>
    </w:p>
    <w:p>
      <w:pPr>
        <w:ind w:firstLine="504"/>
        <w:spacing w:line="400" w:lineRule="exact"/>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w:t>
      </w:r>
      <w:r>
        <w:rPr>
          <w:color w:val="auto"/>
          <w:spacing w:val="6"/>
          <w:sz w:val="24"/>
          <w:highlight w:val="none"/>
          <w:u w:val="single"/>
        </w:rPr>
        <w:t xml:space="preserve">（单位名称）</w:t>
      </w:r>
      <w:r>
        <w:rPr>
          <w:color w:val="auto"/>
          <w:spacing w:val="6"/>
          <w:sz w:val="24"/>
          <w:highlight w:val="none"/>
        </w:rPr>
        <w:t xml:space="preserve">的</w:t>
      </w:r>
      <w:r>
        <w:rPr>
          <w:color w:val="auto"/>
          <w:spacing w:val="6"/>
          <w:sz w:val="24"/>
          <w:highlight w:val="none"/>
          <w:u w:val="single"/>
        </w:rPr>
        <w:t xml:space="preserve">（项目名称）</w:t>
      </w:r>
      <w:r>
        <w:rPr>
          <w:color w:val="auto"/>
          <w:spacing w:val="6"/>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1.</w:t>
      </w: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行业；承建（承接）企业为</w:t>
      </w:r>
      <w:r>
        <w:rPr>
          <w:rFonts w:hint="eastAsia" w:ascii="宋体" w:hAnsi="宋体" w:cs="宋体"/>
          <w:color w:val="auto"/>
          <w:spacing w:val="6"/>
          <w:sz w:val="24"/>
          <w:highlight w:val="none"/>
          <w:u w:val="single"/>
        </w:rPr>
        <w:t xml:space="preserve">（企业名称）</w:t>
      </w:r>
      <w:r>
        <w:rPr>
          <w:rFonts w:hint="eastAsia" w:ascii="宋体" w:hAnsi="宋体" w:cs="宋体"/>
          <w:color w:val="auto"/>
          <w:spacing w:val="6"/>
          <w:sz w:val="24"/>
          <w:highlight w:val="none"/>
        </w:rPr>
        <w:t xml:space="preserve">，从业人员______人，营业收入为______万元，资产总额为______万元</w:t>
      </w:r>
      <w:r>
        <w:rPr>
          <w:rFonts w:hint="eastAsia" w:ascii="宋体" w:hAnsi="宋体" w:cs="宋体"/>
          <w:color w:val="auto"/>
          <w:spacing w:val="6"/>
          <w:sz w:val="24"/>
          <w:highlight w:val="none"/>
          <w:vertAlign w:val="superscript"/>
        </w:rPr>
        <w:t xml:space="preserve">1</w:t>
      </w:r>
      <w:r>
        <w:rPr>
          <w:rFonts w:hint="eastAsia" w:ascii="宋体" w:hAnsi="宋体" w:cs="宋体"/>
          <w:color w:val="auto"/>
          <w:spacing w:val="6"/>
          <w:sz w:val="24"/>
          <w:highlight w:val="none"/>
        </w:rPr>
        <w:t xml:space="preserve">，属于（中型企业、小型企业、微型企业）；</w:t>
      </w:r>
      <w:r/>
    </w:p>
    <w:p>
      <w:pPr>
        <w:ind w:firstLine="504"/>
        <w:spacing w:line="40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2.</w:t>
      </w: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行业；承建（承接）企业为</w:t>
      </w:r>
      <w:r>
        <w:rPr>
          <w:rFonts w:hint="eastAsia" w:ascii="宋体" w:hAnsi="宋体" w:cs="宋体"/>
          <w:color w:val="auto"/>
          <w:spacing w:val="6"/>
          <w:sz w:val="24"/>
          <w:highlight w:val="none"/>
          <w:u w:val="single"/>
        </w:rPr>
        <w:t xml:space="preserve">（企业名称）</w:t>
      </w:r>
      <w:r>
        <w:rPr>
          <w:rFonts w:hint="eastAsia" w:ascii="宋体" w:hAnsi="宋体" w:cs="宋体"/>
          <w:color w:val="auto"/>
          <w:spacing w:val="6"/>
          <w:sz w:val="24"/>
          <w:highlight w:val="none"/>
        </w:rPr>
        <w:t xml:space="preserve">，从业人员______人，营业收入为______万元，资产总额为______万元，属于</w:t>
      </w:r>
      <w:r>
        <w:rPr>
          <w:rFonts w:hint="eastAsia" w:ascii="宋体" w:hAnsi="宋体" w:cs="宋体"/>
          <w:color w:val="auto"/>
          <w:spacing w:val="6"/>
          <w:sz w:val="24"/>
          <w:highlight w:val="none"/>
          <w:u w:val="single"/>
        </w:rPr>
        <w:t xml:space="preserve">（中型企业、小型企业、微型企业）</w:t>
      </w:r>
      <w:r>
        <w:rPr>
          <w:rFonts w:hint="eastAsia" w:ascii="宋体" w:hAnsi="宋体" w:cs="宋体"/>
          <w:color w:val="auto"/>
          <w:spacing w:val="6"/>
          <w:sz w:val="24"/>
          <w:highlight w:val="none"/>
        </w:rPr>
        <w:t xml:space="preserve">；</w:t>
      </w:r>
      <w:r/>
    </w:p>
    <w:p>
      <w:pPr>
        <w:ind w:firstLine="504"/>
        <w:spacing w:line="400" w:lineRule="exact"/>
        <w:rPr>
          <w:color w:val="auto"/>
          <w:spacing w:val="6"/>
          <w:sz w:val="24"/>
          <w:highlight w:val="none"/>
        </w:rPr>
      </w:pPr>
      <w:r>
        <w:rPr>
          <w:color w:val="auto"/>
          <w:spacing w:val="6"/>
          <w:sz w:val="24"/>
          <w:highlight w:val="none"/>
        </w:rPr>
      </w:r>
      <w:r/>
    </w:p>
    <w:p>
      <w:pPr>
        <w:ind w:firstLine="504"/>
        <w:spacing w:line="400" w:lineRule="exact"/>
        <w:rPr>
          <w:color w:val="auto"/>
          <w:spacing w:val="6"/>
          <w:sz w:val="24"/>
          <w:highlight w:val="none"/>
        </w:rPr>
      </w:pPr>
      <w:r>
        <w:rPr>
          <w:color w:val="auto"/>
          <w:spacing w:val="6"/>
          <w:sz w:val="24"/>
          <w:highlight w:val="none"/>
        </w:rPr>
        <w:t xml:space="preserve">……</w:t>
      </w:r>
      <w:r/>
    </w:p>
    <w:p>
      <w:pPr>
        <w:ind w:firstLine="504"/>
        <w:spacing w:line="400" w:lineRule="exact"/>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400" w:lineRule="exact"/>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400" w:lineRule="exact"/>
        <w:rPr>
          <w:color w:val="auto"/>
          <w:sz w:val="24"/>
          <w:highlight w:val="none"/>
        </w:rPr>
      </w:pPr>
      <w:r>
        <w:rPr>
          <w:color w:val="auto"/>
          <w:sz w:val="24"/>
          <w:highlight w:val="none"/>
        </w:rPr>
      </w:r>
      <w:r/>
    </w:p>
    <w:p>
      <w:pPr>
        <w:ind w:right="360" w:firstLine="480"/>
        <w:jc w:val="right"/>
        <w:spacing w:line="400" w:lineRule="exact"/>
        <w:rPr>
          <w:color w:val="auto"/>
          <w:sz w:val="24"/>
          <w:highlight w:val="none"/>
        </w:rPr>
      </w:pPr>
      <w:r>
        <w:rPr>
          <w:color w:val="auto"/>
          <w:sz w:val="24"/>
          <w:highlight w:val="none"/>
        </w:rPr>
        <w:t xml:space="preserve">企业名称（加盖公章）：________</w:t>
      </w:r>
      <w:r/>
    </w:p>
    <w:p>
      <w:pPr>
        <w:ind w:right="360" w:firstLine="480"/>
        <w:jc w:val="right"/>
        <w:spacing w:line="400" w:lineRule="exact"/>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128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1"/>
      </w:tblGrid>
      <w:tr>
        <w:trPr/>
        <w:tc>
          <w:tcPr>
            <w:tcW w:w="8946" w:type="dxa"/>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从业人员、营业收入、资产总额填报上一年度数据，无上一年度数据的新成立企业可不填报。</w:t>
            </w:r>
            <w:r/>
          </w:p>
        </w:tc>
      </w:tr>
    </w:tbl>
    <w:p>
      <w:pPr>
        <w:ind w:firstLine="420"/>
        <w:jc w:val="left"/>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b/>
          <w:color w:val="auto"/>
          <w:sz w:val="36"/>
          <w:szCs w:val="36"/>
          <w:highlight w:val="none"/>
        </w:rPr>
      </w:pPr>
      <w:r>
        <w:rPr>
          <w:rFonts w:hint="eastAsia" w:ascii="宋体" w:hAnsi="宋体" w:cs="宋体"/>
          <w:color w:val="auto"/>
          <w:sz w:val="24"/>
          <w:highlight w:val="none"/>
        </w:rPr>
        <w:br w:type="page" w:clear="all"/>
      </w:r>
      <w:r>
        <w:rPr>
          <w:rFonts w:hint="eastAsia" w:ascii="宋体" w:hAnsi="宋体" w:cs="宋体"/>
          <w:b/>
          <w:color w:val="auto"/>
          <w:sz w:val="36"/>
          <w:szCs w:val="36"/>
          <w:highlight w:val="none"/>
        </w:rPr>
        <w:t xml:space="preserve">残疾人福利性单位声明函格式       </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w:t>
      </w:r>
      <w:r>
        <w:rPr>
          <w:rFonts w:hint="eastAsia" w:ascii="宋体" w:hAnsi="宋体" w:cs="宋体"/>
          <w:b/>
          <w:color w:val="auto"/>
          <w:sz w:val="24"/>
          <w:highlight w:val="none"/>
        </w:rPr>
        <w:t xml:space="preserve">（请进行勾选）</w:t>
      </w:r>
      <w:r>
        <w:rPr>
          <w:rFonts w:hint="eastAsia" w:ascii="宋体" w:hAnsi="宋体" w:cs="宋体"/>
          <w:color w:val="auto"/>
          <w:spacing w:val="6"/>
          <w:sz w:val="24"/>
          <w:highlight w:val="none"/>
        </w:rPr>
        <w:t xml:space="preserve">：</w:t>
      </w:r>
      <w:r/>
    </w:p>
    <w:p>
      <w:pPr>
        <w:ind w:firstLine="482"/>
        <w:spacing w:line="588" w:lineRule="exact"/>
        <w:rPr>
          <w:rFonts w:ascii="宋体" w:hAnsi="宋体" w:cs="宋体"/>
          <w:b/>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不属于符合条件的残疾人福利性单位。</w:t>
      </w:r>
      <w:r/>
    </w:p>
    <w:p>
      <w:pPr>
        <w:ind w:firstLine="482"/>
        <w:spacing w:line="588" w:lineRule="exact"/>
        <w:rPr>
          <w:rFonts w:ascii="宋体" w:hAnsi="宋体" w:cs="宋体"/>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属于符合条件的残疾人福利性单位，</w:t>
      </w:r>
      <w:r>
        <w:rPr>
          <w:rFonts w:hint="eastAsia" w:ascii="宋体" w:hAnsi="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color w:val="auto"/>
          <w:spacing w:val="6"/>
          <w:sz w:val="24"/>
          <w:highlight w:val="none"/>
        </w:rPr>
      </w:pPr>
      <w:r>
        <w:rPr>
          <w:rFonts w:hint="eastAsia" w:ascii="宋体" w:hAnsi="宋体" w:cs="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right="1560" w:firstLine="504"/>
        <w:jc w:val="center"/>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p>
    <w:p>
      <w:pPr>
        <w:ind w:right="1560" w:firstLine="504"/>
        <w:jc w:val="center"/>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日期：</w:t>
      </w:r>
      <w:r/>
    </w:p>
    <w:p>
      <w:pPr>
        <w:spacing w:line="360" w:lineRule="auto"/>
        <w:rPr>
          <w:rFonts w:ascii="宋体" w:hAnsi="宋体" w:cs="宋体"/>
          <w:color w:val="auto"/>
          <w:sz w:val="24"/>
          <w:highlight w:val="none"/>
        </w:rPr>
        <w:outlineLvl w:val="2"/>
      </w:pPr>
      <w:r>
        <w:rPr>
          <w:rFonts w:ascii="宋体" w:hAnsi="宋体" w:cs="宋体"/>
          <w:color w:val="auto"/>
          <w:sz w:val="24"/>
          <w:highlight w:val="none"/>
        </w:rPr>
      </w:r>
      <w:r/>
    </w:p>
    <w:p>
      <w:pPr>
        <w:spacing w:line="360" w:lineRule="auto"/>
        <w:rPr>
          <w:rFonts w:ascii="宋体" w:hAnsi="宋体" w:cs="宋体"/>
          <w:color w:val="auto"/>
          <w:sz w:val="24"/>
          <w:highlight w:val="none"/>
        </w:rPr>
        <w:outlineLvl w:val="2"/>
      </w:pPr>
      <w:r>
        <w:rPr>
          <w:rFonts w:ascii="宋体" w:hAnsi="宋体" w:cs="宋体"/>
          <w:color w:val="auto"/>
          <w:sz w:val="24"/>
          <w:highlight w:val="none"/>
        </w:rPr>
      </w:r>
      <w:r/>
    </w:p>
    <w:p>
      <w:pPr>
        <w:spacing w:line="360" w:lineRule="auto"/>
        <w:rPr>
          <w:rFonts w:ascii="宋体" w:hAnsi="宋体" w:cs="宋体"/>
          <w:color w:val="auto"/>
          <w:sz w:val="24"/>
          <w:highlight w:val="none"/>
        </w:rPr>
        <w:outlineLvl w:val="2"/>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t xml:space="preserve">3  本项目的特定资格要求：无</w:t>
      </w:r>
      <w:r/>
    </w:p>
    <w:p>
      <w:pPr>
        <w:rPr>
          <w:rFonts w:ascii="宋体" w:hAnsi="宋体" w:cs="宋体"/>
          <w:b/>
          <w:bCs/>
          <w:color w:val="auto"/>
          <w:sz w:val="24"/>
          <w:szCs w:val="20"/>
          <w:highlight w:val="none"/>
        </w:rPr>
      </w:pPr>
      <w:r>
        <w:rPr>
          <w:rFonts w:ascii="宋体" w:hAnsi="宋体" w:cs="宋体"/>
          <w:b/>
          <w:bCs/>
          <w:color w:val="auto"/>
          <w:sz w:val="24"/>
          <w:szCs w:val="20"/>
          <w:highlight w:val="none"/>
        </w:rPr>
      </w:r>
      <w:r/>
    </w:p>
    <w:p>
      <w:pPr>
        <w:spacing w:line="360" w:lineRule="auto"/>
        <w:rPr>
          <w:rFonts w:ascii="宋体" w:hAnsi="宋体" w:cs="宋体"/>
          <w:color w:val="auto"/>
          <w:sz w:val="24"/>
          <w:szCs w:val="20"/>
          <w:highlight w:val="none"/>
        </w:rPr>
        <w:outlineLvl w:val="2"/>
      </w:pPr>
      <w:r>
        <w:rPr>
          <w:rFonts w:hint="eastAsia" w:ascii="宋体" w:hAnsi="宋体" w:cs="宋体"/>
          <w:b/>
          <w:bCs/>
          <w:color w:val="auto"/>
          <w:sz w:val="24"/>
          <w:szCs w:val="20"/>
          <w:highlight w:val="none"/>
        </w:rPr>
        <w:t xml:space="preserve">4  </w:t>
      </w:r>
      <w:r>
        <w:rPr>
          <w:rFonts w:hint="eastAsia" w:ascii="宋体" w:hAnsi="宋体" w:cs="宋体"/>
          <w:b/>
          <w:bCs/>
          <w:color w:val="auto"/>
          <w:sz w:val="24"/>
          <w:highlight w:val="none"/>
        </w:rPr>
        <w:t xml:space="preserve">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响应函</w:t>
      </w:r>
      <w:r/>
    </w:p>
    <w:p>
      <w:pPr>
        <w:spacing w:line="360" w:lineRule="auto"/>
        <w:tabs>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（采购人或采购代理机构）</w:t>
      </w:r>
      <w:r/>
    </w:p>
    <w:p>
      <w:pPr>
        <w:spacing w:line="360" w:lineRule="auto"/>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ind w:firstLine="408"/>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我方参加你方就___________（项目名称，项目编号/包号）组织的政府采购活动，并对此项目进行响应。</w:t>
      </w:r>
      <w:r/>
    </w:p>
    <w:p>
      <w:pPr>
        <w:ind w:firstLine="408"/>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1. 我方</w:t>
      </w:r>
      <w:r>
        <w:rPr>
          <w:rFonts w:hint="eastAsia" w:ascii="宋体" w:hAnsi="宋体" w:cs="宋体"/>
          <w:color w:val="auto"/>
          <w:sz w:val="24"/>
          <w:highlight w:val="none"/>
        </w:rPr>
        <w:t xml:space="preserve">已详细审查全部磋商文件</w:t>
      </w:r>
      <w:r>
        <w:rPr>
          <w:rFonts w:hint="eastAsia" w:ascii="宋体" w:hAnsi="宋体" w:cs="宋体"/>
          <w:color w:val="auto"/>
          <w:sz w:val="24"/>
          <w:szCs w:val="20"/>
          <w:highlight w:val="none"/>
        </w:rPr>
        <w:t xml:space="preserve">，自愿参与响应并承诺如下：</w:t>
      </w:r>
      <w:r/>
    </w:p>
    <w:p>
      <w:pPr>
        <w:ind w:left="360" w:firstLine="72"/>
        <w:spacing w:line="400" w:lineRule="exact"/>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（1）本响应有效期为自提交响应文件的截止之日起</w:t>
      </w:r>
      <w:r>
        <w:rPr>
          <w:rFonts w:hint="eastAsia" w:ascii="宋体" w:hAnsi="宋体" w:cs="宋体"/>
          <w:color w:val="auto"/>
          <w:sz w:val="24"/>
          <w:highlight w:val="none"/>
        </w:rPr>
        <w:t xml:space="preserve">60</w:t>
      </w:r>
      <w:r>
        <w:rPr>
          <w:rFonts w:hint="eastAsia" w:ascii="宋体" w:hAnsi="宋体" w:cs="宋体"/>
          <w:color w:val="auto"/>
          <w:sz w:val="24"/>
          <w:szCs w:val="20"/>
          <w:highlight w:val="none"/>
        </w:rPr>
        <w:t xml:space="preserve">个日历日。</w:t>
      </w:r>
      <w:r/>
    </w:p>
    <w:p>
      <w:pPr>
        <w:ind w:left="360" w:firstLine="72"/>
        <w:spacing w:line="400" w:lineRule="exact"/>
        <w:tabs>
          <w:tab w:val="left" w:pos="720" w:leader="none"/>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（2）除合同条款及采购需求偏离表列出的偏离外，我方响应磋商文件的全部要求。</w:t>
      </w:r>
      <w:r/>
    </w:p>
    <w:p>
      <w:pPr>
        <w:ind w:firstLine="420"/>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（3）我方已提供的全部文件资料是真实、准确的，并对此承担一切法律后果。</w:t>
      </w:r>
      <w:r/>
    </w:p>
    <w:p>
      <w:pPr>
        <w:ind w:firstLine="420"/>
        <w:spacing w:line="400" w:lineRule="exact"/>
        <w:tabs>
          <w:tab w:val="left" w:pos="5580" w:leader="none"/>
        </w:tabs>
        <w:rPr>
          <w:rFonts w:ascii="宋体" w:hAnsi="宋体" w:cs="宋体"/>
          <w:color w:val="auto"/>
          <w:sz w:val="24"/>
          <w:highlight w:val="none"/>
        </w:rPr>
      </w:pPr>
      <w:r>
        <w:rPr>
          <w:rFonts w:hint="eastAsia" w:ascii="宋体" w:hAnsi="宋体" w:cs="宋体"/>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400" w:lineRule="exact"/>
        <w:rPr>
          <w:rFonts w:ascii="宋体" w:hAnsi="宋体" w:cs="宋体"/>
          <w:color w:val="auto"/>
          <w:sz w:val="24"/>
          <w:highlight w:val="none"/>
        </w:rPr>
      </w:pPr>
      <w:r>
        <w:rPr>
          <w:rFonts w:hint="eastAsia" w:ascii="宋体" w:hAnsi="宋体" w:cs="宋体"/>
          <w:color w:val="auto"/>
          <w:sz w:val="24"/>
          <w:highlight w:val="none"/>
        </w:rPr>
        <w:t xml:space="preserve">2. 其他补充条款（如有）：</w:t>
      </w:r>
      <w:r>
        <w:rPr>
          <w:rFonts w:hint="eastAsia" w:ascii="宋体" w:hAnsi="宋体" w:cs="宋体"/>
          <w:color w:val="auto"/>
          <w:sz w:val="24"/>
          <w:szCs w:val="20"/>
          <w:highlight w:val="none"/>
        </w:rPr>
        <w:t xml:space="preserve">___________</w:t>
      </w:r>
      <w:r>
        <w:rPr>
          <w:rFonts w:hint="eastAsia" w:ascii="宋体" w:hAnsi="宋体" w:cs="宋体"/>
          <w:color w:val="auto"/>
          <w:sz w:val="24"/>
          <w:highlight w:val="none"/>
        </w:rPr>
        <w:t xml:space="preserve">。</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与本响应有关的一切正式往来信函请寄：</w:t>
      </w:r>
      <w:r/>
    </w:p>
    <w:p>
      <w:pPr>
        <w:ind w:left="420"/>
        <w:spacing w:line="400" w:lineRule="exact"/>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ind w:left="420"/>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地址_________________________     </w:t>
      </w:r>
      <w:r/>
    </w:p>
    <w:p>
      <w:pPr>
        <w:ind w:left="420"/>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传真____________________________</w:t>
      </w:r>
      <w:r/>
    </w:p>
    <w:p>
      <w:pPr>
        <w:ind w:left="420"/>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电话_________________________     </w:t>
      </w:r>
      <w:r/>
    </w:p>
    <w:p>
      <w:pPr>
        <w:ind w:left="420"/>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电子函件________________________</w:t>
      </w:r>
      <w:r/>
    </w:p>
    <w:p>
      <w:pPr>
        <w:ind w:left="420"/>
        <w:spacing w:line="400" w:lineRule="exact"/>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ind w:left="420"/>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供应商名称（加盖公章） ___________</w:t>
      </w:r>
      <w:r/>
    </w:p>
    <w:p>
      <w:pPr>
        <w:ind w:left="420"/>
        <w:spacing w:line="400" w:lineRule="exact"/>
        <w:tabs>
          <w:tab w:val="left" w:pos="558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日期：_____年______月______日    </w:t>
      </w:r>
      <w:r/>
    </w:p>
    <w:p>
      <w:pPr>
        <w:ind w:left="420"/>
        <w:spacing w:line="360" w:lineRule="auto"/>
        <w:tabs>
          <w:tab w:val="left" w:pos="5580" w:leader="none"/>
        </w:tabs>
        <w:rPr>
          <w:rFonts w:ascii="宋体" w:hAnsi="宋体" w:cs="宋体"/>
          <w:color w:val="auto"/>
          <w:sz w:val="24"/>
          <w:szCs w:val="20"/>
          <w:highlight w:val="none"/>
          <w:u w:val="single"/>
        </w:rPr>
      </w:pPr>
      <w:r>
        <w:rPr>
          <w:rFonts w:ascii="宋体" w:hAnsi="宋体" w:cs="宋体"/>
          <w:color w:val="auto"/>
          <w:sz w:val="24"/>
          <w:szCs w:val="20"/>
          <w:highlight w:val="none"/>
          <w:u w:val="single"/>
        </w:rPr>
      </w:r>
      <w:r/>
    </w:p>
    <w:p>
      <w:pPr>
        <w:jc w:val="left"/>
        <w:widowControl/>
        <w:rPr>
          <w:rFonts w:ascii="宋体" w:hAnsi="宋体" w:cs="宋体"/>
          <w:b/>
          <w:bCs/>
          <w:color w:val="auto"/>
          <w:sz w:val="24"/>
          <w:highlight w:val="none"/>
        </w:rPr>
      </w:pPr>
      <w:r/>
      <w:bookmarkStart w:id="693" w:name="_Hlt520356243"/>
      <w:r/>
      <w:bookmarkEnd w:id="693"/>
      <w:r/>
      <w:bookmarkStart w:id="694" w:name="_Hlt520355938"/>
      <w:r/>
      <w:bookmarkEnd w:id="694"/>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5</w:t>
      </w:r>
      <w:r>
        <w:rPr>
          <w:rFonts w:hint="eastAsia" w:ascii="宋体" w:hAnsi="宋体" w:cs="宋体"/>
          <w:b/>
          <w:bCs/>
          <w:color w:val="auto"/>
          <w:sz w:val="24"/>
          <w:highlight w:val="none"/>
        </w:rPr>
        <w:t xml:space="preserve">  法定代表人资格证明书/授权委托书（实质性格式）</w:t>
      </w:r>
      <w:r/>
    </w:p>
    <w:p>
      <w:pPr>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法定代表人资格证明书</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单位名称:</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地址:</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姓名:     性别:       年龄:      职务:</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的法定代表人。为参与</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的政府采购活动，</w:t>
      </w:r>
      <w:r>
        <w:rPr>
          <w:rFonts w:hint="eastAsia" w:ascii="宋体" w:hAnsi="宋体" w:cs="宋体"/>
          <w:color w:val="auto"/>
          <w:sz w:val="24"/>
          <w:szCs w:val="20"/>
          <w:highlight w:val="none"/>
        </w:rPr>
        <w:t xml:space="preserve">签署、澄清确认、递交、撤回、修改</w:t>
      </w:r>
      <w:r>
        <w:rPr>
          <w:rFonts w:hint="eastAsia" w:ascii="宋体" w:hAnsi="宋体" w:cs="宋体"/>
          <w:color w:val="auto"/>
          <w:sz w:val="24"/>
          <w:highlight w:val="none"/>
        </w:rPr>
        <w:t xml:space="preserve">上述项目的响应文件、进行合同磋商、签署合同和处理与之有关的一切事务。</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特此证明。</w:t>
      </w:r>
      <w:r/>
    </w:p>
    <w:p>
      <w:pPr>
        <w:spacing w:line="400" w:lineRule="exact"/>
        <w:rPr>
          <w:rFonts w:ascii="宋体" w:hAnsi="宋体" w:cs="宋体"/>
          <w:color w:val="auto"/>
          <w:sz w:val="24"/>
          <w:highlight w:val="none"/>
        </w:rPr>
      </w:pPr>
      <w:r>
        <w:rPr>
          <w:rFonts w:ascii="宋体" w:hAnsi="宋体" w:cs="宋体"/>
          <w:color w:val="auto"/>
          <w:sz w:val="24"/>
          <w:highlight w:val="none"/>
        </w:rPr>
      </w:r>
      <w:r/>
    </w:p>
    <w:p>
      <w:pPr>
        <w:pStyle w:val="1281"/>
        <w:ind w:right="-46"/>
        <w:spacing w:line="400" w:lineRule="exact"/>
        <w:rPr>
          <w:rFonts w:cs="宋体"/>
          <w:color w:val="auto"/>
          <w:spacing w:val="-3"/>
          <w:highlight w:val="none"/>
        </w:rPr>
      </w:pPr>
      <w:r>
        <w:rPr>
          <w:rFonts w:hint="eastAsia" w:cs="宋体"/>
          <w:color w:val="auto"/>
          <w:highlight w:val="none"/>
        </w:rPr>
        <w:t xml:space="preserve">附：</w:t>
      </w:r>
      <w:r>
        <w:rPr>
          <w:rFonts w:hint="eastAsia" w:cs="宋体"/>
          <w:color w:val="auto"/>
          <w:spacing w:val="-3"/>
          <w:highlight w:val="none"/>
        </w:rPr>
        <w:t xml:space="preserve">法</w:t>
      </w:r>
      <w:r>
        <w:rPr>
          <w:rFonts w:hint="eastAsia" w:cs="宋体"/>
          <w:color w:val="auto"/>
          <w:highlight w:val="none"/>
        </w:rPr>
        <w:t xml:space="preserve">定</w:t>
      </w:r>
      <w:r>
        <w:rPr>
          <w:rFonts w:hint="eastAsia" w:cs="宋体"/>
          <w:color w:val="auto"/>
          <w:spacing w:val="-3"/>
          <w:highlight w:val="none"/>
        </w:rPr>
        <w:t xml:space="preserve">代</w:t>
      </w:r>
      <w:r>
        <w:rPr>
          <w:rFonts w:hint="eastAsia" w:cs="宋体"/>
          <w:color w:val="auto"/>
          <w:highlight w:val="none"/>
        </w:rPr>
        <w:t xml:space="preserve">表</w:t>
      </w:r>
      <w:r>
        <w:rPr>
          <w:rFonts w:hint="eastAsia" w:cs="宋体"/>
          <w:color w:val="auto"/>
          <w:spacing w:val="-3"/>
          <w:highlight w:val="none"/>
        </w:rPr>
        <w:t xml:space="preserve">人</w:t>
      </w:r>
      <w:r>
        <w:rPr>
          <w:rFonts w:hint="eastAsia" w:cs="宋体"/>
          <w:color w:val="auto"/>
          <w:highlight w:val="none"/>
        </w:rPr>
        <w:t xml:space="preserve">（</w:t>
      </w:r>
      <w:r>
        <w:rPr>
          <w:rFonts w:hint="eastAsia" w:cs="宋体"/>
          <w:color w:val="auto"/>
          <w:spacing w:val="-3"/>
          <w:highlight w:val="none"/>
        </w:rPr>
        <w:t xml:space="preserve">单</w:t>
      </w:r>
      <w:r>
        <w:rPr>
          <w:rFonts w:hint="eastAsia" w:cs="宋体"/>
          <w:color w:val="auto"/>
          <w:highlight w:val="none"/>
        </w:rPr>
        <w:t xml:space="preserve">位</w:t>
      </w:r>
      <w:r>
        <w:rPr>
          <w:rFonts w:hint="eastAsia" w:cs="宋体"/>
          <w:color w:val="auto"/>
          <w:spacing w:val="-3"/>
          <w:highlight w:val="none"/>
        </w:rPr>
        <w:t xml:space="preserve">负</w:t>
      </w:r>
      <w:r>
        <w:rPr>
          <w:rFonts w:hint="eastAsia" w:cs="宋体"/>
          <w:color w:val="auto"/>
          <w:highlight w:val="none"/>
        </w:rPr>
        <w:t xml:space="preserve">责人</w:t>
      </w:r>
      <w:r>
        <w:rPr>
          <w:rFonts w:hint="eastAsia" w:cs="宋体"/>
          <w:color w:val="auto"/>
          <w:spacing w:val="-3"/>
          <w:highlight w:val="none"/>
        </w:rPr>
        <w:t xml:space="preserve">）有效期内的身份证正反面电子件。</w:t>
      </w:r>
      <w:r/>
    </w:p>
    <w:tbl>
      <w:tblPr>
        <w:tblStyle w:val="1280"/>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850"/>
        </w:trPr>
        <w:tc>
          <w:tcPr>
            <w:tcW w:w="4673" w:type="dxa"/>
            <w:textDirection w:val="lrTb"/>
            <w:noWrap w:val="false"/>
          </w:tcPr>
          <w:p>
            <w:pPr>
              <w:jc w:val="left"/>
              <w:spacing w:line="360" w:lineRule="auto"/>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jc w:val="left"/>
              <w:spacing w:line="360" w:lineRule="auto"/>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jc w:val="left"/>
              <w:spacing w:line="360" w:lineRule="auto"/>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jc w:val="left"/>
              <w:spacing w:line="360" w:lineRule="auto"/>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p>
            <w:pPr>
              <w:jc w:val="left"/>
              <w:spacing w:line="360" w:lineRule="auto"/>
              <w:tabs>
                <w:tab w:val="left" w:pos="5580" w:leader="none"/>
              </w:tabs>
              <w:rPr>
                <w:rFonts w:ascii="宋体" w:hAnsi="宋体" w:cs="宋体"/>
                <w:color w:val="auto"/>
                <w:sz w:val="24"/>
                <w:szCs w:val="20"/>
                <w:highlight w:val="none"/>
              </w:rPr>
            </w:pPr>
            <w:r>
              <w:rPr>
                <w:rFonts w:ascii="宋体" w:hAnsi="宋体" w:cs="宋体"/>
                <w:color w:val="auto"/>
                <w:sz w:val="24"/>
                <w:szCs w:val="20"/>
                <w:highlight w:val="none"/>
              </w:rPr>
            </w:r>
            <w:r/>
          </w:p>
        </w:tc>
      </w:tr>
    </w:tbl>
    <w:p>
      <w:pPr>
        <w:spacing w:line="560" w:lineRule="exact"/>
        <w:rPr>
          <w:rFonts w:ascii="宋体" w:hAnsi="宋体" w:cs="宋体"/>
          <w:color w:val="auto"/>
          <w:sz w:val="24"/>
          <w:highlight w:val="none"/>
        </w:rPr>
      </w:pPr>
      <w:r>
        <w:rPr>
          <w:rFonts w:hint="eastAsia" w:ascii="宋体" w:hAnsi="宋体" w:cs="宋体"/>
          <w:color w:val="auto"/>
          <w:sz w:val="24"/>
          <w:highlight w:val="none"/>
        </w:rPr>
        <w:t xml:space="preserve">                     供应商：（加盖公章）</w:t>
      </w:r>
      <w:r/>
    </w:p>
    <w:p>
      <w:pPr>
        <w:spacing w:line="560" w:lineRule="exact"/>
        <w:rPr>
          <w:rFonts w:ascii="宋体" w:hAnsi="宋体" w:cs="宋体"/>
          <w:color w:val="auto"/>
          <w:sz w:val="24"/>
          <w:highlight w:val="none"/>
        </w:rPr>
      </w:pPr>
      <w:r>
        <w:rPr>
          <w:rFonts w:hint="eastAsia" w:ascii="宋体" w:hAnsi="宋体" w:cs="宋体"/>
          <w:color w:val="auto"/>
          <w:sz w:val="24"/>
          <w:highlight w:val="none"/>
        </w:rPr>
        <w:t xml:space="preserve">                       法定代表人</w:t>
      </w:r>
      <w:r>
        <w:rPr>
          <w:rFonts w:hint="eastAsia" w:ascii="宋体" w:hAnsi="宋体" w:cs="宋体"/>
          <w:color w:val="auto"/>
          <w:sz w:val="24"/>
          <w:szCs w:val="20"/>
          <w:highlight w:val="none"/>
        </w:rPr>
        <w:t xml:space="preserve">签字、签章或印鉴</w:t>
      </w:r>
      <w:r>
        <w:rPr>
          <w:rFonts w:hint="eastAsia" w:ascii="宋体" w:hAnsi="宋体" w:cs="宋体"/>
          <w:color w:val="auto"/>
          <w:sz w:val="24"/>
          <w:highlight w:val="none"/>
        </w:rPr>
        <w:t xml:space="preserve">：</w:t>
      </w:r>
      <w:r/>
    </w:p>
    <w:p>
      <w:pPr>
        <w:ind w:firstLine="4320"/>
        <w:spacing w:line="56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jc w:val="left"/>
        <w:widowControl/>
        <w:rPr>
          <w:rFonts w:ascii="宋体" w:hAnsi="宋体" w:cs="宋体"/>
          <w:color w:val="auto"/>
          <w:sz w:val="24"/>
          <w:highlight w:val="none"/>
        </w:rPr>
      </w:pPr>
      <w:r>
        <w:rPr>
          <w:rFonts w:ascii="宋体" w:hAnsi="宋体" w:cs="宋体"/>
          <w:color w:val="auto"/>
          <w:sz w:val="24"/>
          <w:highlight w:val="none"/>
        </w:rPr>
      </w:r>
      <w:r/>
    </w:p>
    <w:p>
      <w:pPr>
        <w:pStyle w:val="1281"/>
        <w:rPr>
          <w:rFonts w:cs="宋体"/>
          <w:color w:val="auto"/>
          <w:highlight w:val="none"/>
        </w:rPr>
      </w:pPr>
      <w:r>
        <w:rPr>
          <w:rFonts w:cs="宋体"/>
          <w:color w:val="auto"/>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授权委托书</w:t>
      </w:r>
      <w:r/>
    </w:p>
    <w:p>
      <w:pPr>
        <w:ind w:firstLine="420"/>
        <w:spacing w:line="360" w:lineRule="auto"/>
        <w:rPr>
          <w:color w:val="auto"/>
          <w:sz w:val="24"/>
          <w:szCs w:val="20"/>
          <w:highlight w:val="none"/>
        </w:rPr>
      </w:pPr>
      <w:r>
        <w:rPr>
          <w:color w:val="auto"/>
          <w:sz w:val="24"/>
          <w:szCs w:val="20"/>
          <w:highlight w:val="none"/>
        </w:rPr>
      </w:r>
      <w:r/>
    </w:p>
    <w:p>
      <w:pPr>
        <w:ind w:firstLine="420"/>
        <w:spacing w:line="360" w:lineRule="auto"/>
        <w:rPr>
          <w:color w:val="auto"/>
          <w:sz w:val="24"/>
          <w:szCs w:val="20"/>
          <w:highlight w:val="none"/>
        </w:rPr>
      </w:pPr>
      <w:r>
        <w:rPr>
          <w:color w:val="auto"/>
          <w:sz w:val="24"/>
          <w:szCs w:val="20"/>
          <w:highlight w:val="none"/>
        </w:rPr>
        <w:t xml:space="preserve">本人</w:t>
      </w:r>
      <w:r>
        <w:rPr>
          <w:color w:val="auto"/>
          <w:sz w:val="24"/>
          <w:highlight w:val="none"/>
          <w:lang w:val="zh-CN"/>
        </w:rPr>
        <w:t xml:space="preserve">_______</w:t>
      </w:r>
      <w:r>
        <w:rPr>
          <w:color w:val="auto"/>
          <w:sz w:val="24"/>
          <w:szCs w:val="20"/>
          <w:highlight w:val="none"/>
        </w:rPr>
        <w:t xml:space="preserve">（姓名）系</w:t>
      </w:r>
      <w:r>
        <w:rPr>
          <w:color w:val="auto"/>
          <w:sz w:val="24"/>
          <w:highlight w:val="none"/>
          <w:lang w:val="zh-CN"/>
        </w:rPr>
        <w:t xml:space="preserve">________________</w:t>
      </w:r>
      <w:r>
        <w:rPr>
          <w:color w:val="auto"/>
          <w:sz w:val="24"/>
          <w:szCs w:val="20"/>
          <w:highlight w:val="none"/>
        </w:rPr>
        <w:t xml:space="preserve">（</w:t>
      </w:r>
      <w:r>
        <w:rPr>
          <w:rFonts w:hint="eastAsia"/>
          <w:color w:val="auto"/>
          <w:sz w:val="24"/>
          <w:szCs w:val="20"/>
          <w:highlight w:val="none"/>
        </w:rPr>
        <w:t xml:space="preserve">投标单位</w:t>
      </w:r>
      <w:r>
        <w:rPr>
          <w:color w:val="auto"/>
          <w:sz w:val="24"/>
          <w:szCs w:val="20"/>
          <w:highlight w:val="none"/>
        </w:rPr>
        <w:t xml:space="preserve">名称）的法定代表人（单位负责人），现委托</w:t>
      </w:r>
      <w:r>
        <w:rPr>
          <w:color w:val="auto"/>
          <w:sz w:val="24"/>
          <w:highlight w:val="none"/>
          <w:lang w:val="zh-CN"/>
        </w:rPr>
        <w:t xml:space="preserve">_______</w:t>
      </w:r>
      <w:r>
        <w:rPr>
          <w:color w:val="auto"/>
          <w:sz w:val="24"/>
          <w:szCs w:val="20"/>
          <w:highlight w:val="none"/>
        </w:rPr>
        <w:t xml:space="preserve">（姓名）为我方代理人。代理人根据授权，以我方名义签署、澄清确认、递交、撤回、修改</w:t>
      </w:r>
      <w:r>
        <w:rPr>
          <w:color w:val="auto"/>
          <w:sz w:val="24"/>
          <w:highlight w:val="none"/>
          <w:lang w:val="zh-CN"/>
        </w:rPr>
        <w:t xml:space="preserve">________________</w:t>
      </w:r>
      <w:r>
        <w:rPr>
          <w:color w:val="auto"/>
          <w:sz w:val="24"/>
          <w:szCs w:val="20"/>
          <w:highlight w:val="none"/>
        </w:rPr>
        <w:t xml:space="preserve">（项目名称）响应文件和处理有关事宜，其法律后果由我方承担。</w:t>
      </w:r>
      <w:r/>
    </w:p>
    <w:p>
      <w:pPr>
        <w:ind w:firstLine="420"/>
        <w:spacing w:line="360" w:lineRule="auto"/>
        <w:rPr>
          <w:color w:val="auto"/>
          <w:sz w:val="24"/>
          <w:szCs w:val="20"/>
          <w:highlight w:val="none"/>
        </w:rPr>
      </w:pPr>
      <w:r>
        <w:rPr>
          <w:color w:val="auto"/>
          <w:sz w:val="24"/>
          <w:szCs w:val="20"/>
          <w:highlight w:val="none"/>
        </w:rPr>
        <w:t xml:space="preserve">委托期限：自本授权委托书签署之日起至响应有效期届满之日止。</w:t>
      </w:r>
      <w:r/>
    </w:p>
    <w:p>
      <w:pPr>
        <w:ind w:firstLine="420"/>
        <w:spacing w:line="360" w:lineRule="auto"/>
        <w:rPr>
          <w:color w:val="auto"/>
          <w:sz w:val="24"/>
          <w:szCs w:val="20"/>
          <w:highlight w:val="none"/>
        </w:rPr>
      </w:pPr>
      <w:r>
        <w:rPr>
          <w:color w:val="auto"/>
          <w:sz w:val="24"/>
          <w:szCs w:val="20"/>
          <w:highlight w:val="none"/>
        </w:rPr>
        <w:t xml:space="preserve">代理人无转委托权。</w:t>
      </w:r>
      <w:r>
        <w:rPr>
          <w:color w:val="auto"/>
          <w:sz w:val="24"/>
          <w:szCs w:val="20"/>
          <w:highlight w:val="none"/>
        </w:rPr>
        <w:br/>
      </w:r>
      <w:r/>
    </w:p>
    <w:p>
      <w:pPr>
        <w:spacing w:line="360" w:lineRule="auto"/>
        <w:rPr>
          <w:color w:val="auto"/>
          <w:sz w:val="24"/>
          <w:highlight w:val="none"/>
          <w:lang w:val="zh-CN"/>
        </w:rPr>
      </w:pPr>
      <w:r>
        <w:rPr>
          <w:rFonts w:hint="eastAsia" w:ascii="宋体" w:hAnsi="宋体" w:cs="宋体"/>
          <w:color w:val="auto"/>
          <w:sz w:val="24"/>
          <w:highlight w:val="none"/>
        </w:rPr>
        <w:t xml:space="preserve">供应商</w:t>
      </w:r>
      <w:r>
        <w:rPr>
          <w:rFonts w:hint="eastAsia" w:ascii="宋体" w:hAnsi="宋体"/>
          <w:color w:val="auto"/>
          <w:sz w:val="24"/>
          <w:highlight w:val="none"/>
        </w:rPr>
        <w:t xml:space="preserve">名称（加盖公章）</w:t>
      </w:r>
      <w:r>
        <w:rPr>
          <w:color w:val="auto"/>
          <w:sz w:val="24"/>
          <w:highlight w:val="none"/>
          <w:lang w:val="zh-CN"/>
        </w:rPr>
        <w:t xml:space="preserve">：________________</w:t>
      </w:r>
      <w:r/>
    </w:p>
    <w:p>
      <w:pPr>
        <w:spacing w:line="360" w:lineRule="auto"/>
        <w:rPr>
          <w:color w:val="auto"/>
          <w:sz w:val="24"/>
          <w:szCs w:val="20"/>
          <w:highlight w:val="none"/>
        </w:rPr>
      </w:pPr>
      <w:r>
        <w:rPr>
          <w:color w:val="auto"/>
          <w:sz w:val="24"/>
          <w:szCs w:val="20"/>
          <w:highlight w:val="none"/>
        </w:rPr>
        <w:t xml:space="preserve">法定代表人（单位负责人）（签字</w:t>
      </w:r>
      <w:r>
        <w:rPr>
          <w:rFonts w:hint="eastAsia" w:ascii="宋体" w:hAnsi="宋体"/>
          <w:color w:val="auto"/>
          <w:sz w:val="24"/>
          <w:szCs w:val="20"/>
          <w:highlight w:val="none"/>
        </w:rPr>
        <w:t xml:space="preserve">、签章</w:t>
      </w:r>
      <w:r>
        <w:rPr>
          <w:color w:val="auto"/>
          <w:sz w:val="24"/>
          <w:szCs w:val="20"/>
          <w:highlight w:val="none"/>
        </w:rPr>
        <w:t xml:space="preserve">或印鉴）：</w:t>
      </w:r>
      <w:r>
        <w:rPr>
          <w:color w:val="auto"/>
          <w:sz w:val="24"/>
          <w:highlight w:val="none"/>
          <w:lang w:val="zh-CN"/>
        </w:rPr>
        <w:t xml:space="preserve">________________</w:t>
      </w:r>
      <w:r/>
    </w:p>
    <w:p>
      <w:pPr>
        <w:spacing w:line="360" w:lineRule="auto"/>
        <w:rPr>
          <w:color w:val="auto"/>
          <w:sz w:val="24"/>
          <w:highlight w:val="none"/>
          <w:lang w:val="zh-CN"/>
        </w:rPr>
      </w:pPr>
      <w:r>
        <w:rPr>
          <w:color w:val="auto"/>
          <w:sz w:val="24"/>
          <w:highlight w:val="none"/>
        </w:rPr>
        <w:t xml:space="preserve">委托代理人（签字</w:t>
      </w:r>
      <w:r>
        <w:rPr>
          <w:rFonts w:hint="eastAsia" w:ascii="宋体" w:hAnsi="宋体"/>
          <w:color w:val="auto"/>
          <w:sz w:val="24"/>
          <w:szCs w:val="20"/>
          <w:highlight w:val="none"/>
        </w:rPr>
        <w:t xml:space="preserve">/签章</w:t>
      </w:r>
      <w:r>
        <w:rPr>
          <w:color w:val="auto"/>
          <w:sz w:val="24"/>
          <w:highlight w:val="none"/>
        </w:rPr>
        <w:t xml:space="preserve">）：</w:t>
      </w:r>
      <w:r>
        <w:rPr>
          <w:color w:val="auto"/>
          <w:sz w:val="24"/>
          <w:highlight w:val="none"/>
          <w:lang w:val="zh-CN"/>
        </w:rPr>
        <w:t xml:space="preserve">________________</w:t>
      </w:r>
      <w:r>
        <w:rPr>
          <w:color w:val="auto"/>
          <w:sz w:val="24"/>
          <w:highlight w:val="none"/>
        </w:rPr>
        <w:t xml:space="preserve">    </w:t>
      </w:r>
      <w:r>
        <w:rPr>
          <w:color w:val="auto"/>
          <w:sz w:val="24"/>
          <w:highlight w:val="none"/>
          <w:lang w:val="zh-CN"/>
        </w:rPr>
        <w:t xml:space="preserve">                      </w:t>
      </w:r>
      <w:r/>
    </w:p>
    <w:p>
      <w:pPr>
        <w:spacing w:line="360" w:lineRule="auto"/>
        <w:rPr>
          <w:color w:val="auto"/>
          <w:sz w:val="24"/>
          <w:highlight w:val="none"/>
          <w:lang w:val="zh-CN"/>
        </w:rPr>
      </w:pPr>
      <w:r>
        <w:rPr>
          <w:color w:val="auto"/>
          <w:sz w:val="24"/>
          <w:highlight w:val="none"/>
        </w:rPr>
        <w:t xml:space="preserve">日期：_____年______月______日</w:t>
      </w:r>
      <w:r/>
    </w:p>
    <w:p>
      <w:pPr>
        <w:ind w:firstLine="480"/>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t xml:space="preserve">法定代表人（单位负责人）有效期内的身份证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128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szCs w:val="20"/>
          <w:highlight w:val="none"/>
        </w:rPr>
      </w:pPr>
      <w:r>
        <w:rPr>
          <w:color w:val="auto"/>
          <w:sz w:val="24"/>
          <w:szCs w:val="20"/>
          <w:highlight w:val="none"/>
        </w:rPr>
        <w:t xml:space="preserve">委托代理人有效期内的身份证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128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jc w:val="left"/>
        <w:spacing w:line="400" w:lineRule="exact"/>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400" w:lineRule="exact"/>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采购文件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400" w:lineRule="exact"/>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2.若法定代表人（单位负责人）参与开标的，则可不提供本《授权委托书》，但须提供《法定代表人（单位负责人）身份证明》（实质性格式）。</w:t>
      </w:r>
      <w:r/>
    </w:p>
    <w:p>
      <w:pPr>
        <w:jc w:val="left"/>
        <w:spacing w:line="400" w:lineRule="exact"/>
        <w:tabs>
          <w:tab w:val="left" w:pos="5580" w:leader="none"/>
        </w:tabs>
        <w:rPr>
          <w:rFonts w:ascii="仿宋" w:hAnsi="仿宋" w:eastAsia="仿宋"/>
          <w:color w:val="auto"/>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供应商为自然人的情形，仅提供身份证复印件并签名，可不提供《法定代表人（单位负责人）身份证明》和《授权委托书》。</w:t>
      </w:r>
      <w:r/>
    </w:p>
    <w:p>
      <w:pPr>
        <w:pStyle w:val="1282"/>
        <w:ind w:firstLine="0"/>
        <w:spacing w:line="400" w:lineRule="exact"/>
        <w:rPr>
          <w:rFonts w:ascii="仿宋" w:hAnsi="仿宋" w:eastAsia="仿宋"/>
          <w:color w:val="auto"/>
          <w:highlight w:val="none"/>
        </w:rPr>
      </w:pPr>
      <w:r>
        <w:rPr>
          <w:rFonts w:ascii="仿宋" w:hAnsi="仿宋" w:eastAsia="仿宋"/>
          <w:color w:val="auto"/>
          <w:highlight w:val="none"/>
        </w:rPr>
      </w:r>
      <w:r/>
    </w:p>
    <w:p>
      <w:pPr>
        <w:pStyle w:val="1282"/>
        <w:ind w:firstLine="0"/>
        <w:spacing w:line="400" w:lineRule="exact"/>
        <w:rPr>
          <w:rFonts w:ascii="仿宋" w:hAnsi="仿宋" w:eastAsia="仿宋"/>
          <w:color w:val="auto"/>
          <w:highlight w:val="none"/>
        </w:rPr>
        <w:sectPr>
          <w:headerReference w:type="first" r:id="rId12"/>
          <w:footerReference w:type="default" r:id="rId22"/>
          <w:footerReference w:type="first" r:id="rId23"/>
          <w:footnotePr/>
          <w:endnotePr/>
          <w:type w:val="nextPage"/>
          <w:pgSz w:w="11905" w:h="16838" w:orient="portrait"/>
          <w:pgMar w:top="1440" w:right="1800" w:bottom="1440" w:left="1800" w:header="851" w:footer="850" w:gutter="0"/>
          <w:cols w:num="1" w:sep="0" w:space="0" w:equalWidth="1"/>
          <w:docGrid w:linePitch="360"/>
          <w:titlePg/>
        </w:sectPr>
      </w:pPr>
      <w:r>
        <w:rPr>
          <w:rFonts w:ascii="仿宋" w:hAnsi="仿宋" w:eastAsia="仿宋"/>
          <w:color w:val="auto"/>
          <w:highlight w:val="none"/>
        </w:rPr>
      </w:r>
      <w:r/>
    </w:p>
    <w:p>
      <w:pPr>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6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ascii="宋体" w:hAnsi="宋体" w:cs="宋体"/>
          <w:b/>
          <w:color w:val="auto"/>
          <w:sz w:val="32"/>
          <w:szCs w:val="32"/>
          <w:highlight w:val="none"/>
        </w:rPr>
      </w:pPr>
      <w:r>
        <w:rPr>
          <w:rFonts w:ascii="宋体" w:hAnsi="宋体" w:cs="宋体"/>
          <w:b/>
          <w:color w:val="auto"/>
          <w:sz w:val="32"/>
          <w:szCs w:val="32"/>
          <w:highlight w:val="none"/>
        </w:rPr>
      </w:r>
      <w:r/>
    </w:p>
    <w:p>
      <w:pPr>
        <w:ind w:firstLine="321"/>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政府采购供应商信用承诺书</w:t>
      </w:r>
      <w:r/>
    </w:p>
    <w:p>
      <w:pPr>
        <w:ind w:firstLine="640"/>
        <w:rPr>
          <w:rFonts w:ascii="宋体" w:hAnsi="宋体" w:cs="宋体"/>
          <w:color w:val="auto"/>
          <w:highlight w:val="none"/>
        </w:rPr>
      </w:pPr>
      <w:r>
        <w:rPr>
          <w:rFonts w:ascii="宋体" w:hAnsi="宋体" w:cs="宋体"/>
          <w:color w:val="auto"/>
          <w:highlight w:val="none"/>
        </w:rPr>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为维护公开、公平、公正的政府采购市场秩序，树立诚实守信的供应商形象，本单位在参与政府采购活动中，自愿作出以下承诺：</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五、承诺本单位自觉接受行政管理部门、行业组织、社会公众、新闻舆论的监督。 </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七、承诺本单位在信用中国（江苏）网站中无违法违规、较重或严重失信记录。 </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八、承诺本单位提出政府采购质疑和投诉坚持依法依规、诚实信用原则。</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九、根据政府采购相关法律法规的规定需要作出的其他承诺。 </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525"/>
        <w:ind w:right="1050" w:firstLine="2880"/>
        <w:jc w:val="both"/>
        <w:spacing w:line="276" w:lineRule="auto"/>
        <w:rPr>
          <w:rFonts w:ascii="宋体" w:hAnsi="宋体" w:eastAsia="宋体" w:cs="宋体"/>
          <w:color w:val="auto"/>
          <w:sz w:val="24"/>
          <w:szCs w:val="22"/>
          <w:highlight w:val="none"/>
        </w:rPr>
      </w:pPr>
      <w:r>
        <w:rPr>
          <w:rFonts w:ascii="宋体" w:hAnsi="宋体" w:eastAsia="宋体" w:cs="宋体"/>
          <w:color w:val="auto"/>
          <w:sz w:val="24"/>
          <w:szCs w:val="22"/>
          <w:highlight w:val="none"/>
        </w:rPr>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：____________</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ascii="宋体" w:hAnsi="宋体" w:cs="宋体"/>
          <w:b/>
          <w:bCs/>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rPr>
        <w:t xml:space="preserve">7</w:t>
      </w:r>
      <w:r>
        <w:rPr>
          <w:rFonts w:hint="eastAsia" w:ascii="宋体" w:hAnsi="宋体" w:cs="宋体"/>
          <w:b/>
          <w:bCs/>
          <w:color w:val="auto"/>
          <w:sz w:val="24"/>
          <w:szCs w:val="20"/>
          <w:highlight w:val="none"/>
        </w:rPr>
        <w:t xml:space="preserve">  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
    </w:p>
    <w:p>
      <w:pPr>
        <w:jc w:val="center"/>
        <w:rPr>
          <w:rFonts w:ascii="宋体" w:hAnsi="宋体" w:cs="宋体"/>
          <w:b/>
          <w:color w:val="auto"/>
          <w:sz w:val="36"/>
          <w:szCs w:val="36"/>
          <w:highlight w:val="none"/>
        </w:rPr>
      </w:pPr>
      <w:r/>
      <w:bookmarkStart w:id="695" w:name="_Toc264969248"/>
      <w:r/>
      <w:bookmarkStart w:id="696" w:name="_Toc226965748"/>
      <w:r/>
      <w:bookmarkStart w:id="697" w:name="_Toc195842923"/>
      <w:r/>
      <w:bookmarkStart w:id="698" w:name="_Toc305158826"/>
      <w:r/>
      <w:bookmarkStart w:id="699" w:name="_Toc164608672"/>
      <w:r/>
      <w:bookmarkStart w:id="700" w:name="_Toc164608827"/>
      <w:r/>
      <w:bookmarkStart w:id="701" w:name="_Toc226337254"/>
      <w:r/>
      <w:bookmarkStart w:id="702" w:name="_Toc226309802"/>
      <w:r/>
      <w:bookmarkStart w:id="703" w:name="_Toc265228396"/>
      <w:r/>
      <w:bookmarkStart w:id="704" w:name="_Toc305158900"/>
      <w:r/>
      <w:bookmarkStart w:id="705" w:name="_Toc226965831"/>
      <w:r>
        <w:rPr>
          <w:rFonts w:hint="eastAsia" w:ascii="宋体" w:hAnsi="宋体" w:cs="宋体"/>
          <w:b/>
          <w:color w:val="auto"/>
          <w:sz w:val="36"/>
          <w:szCs w:val="36"/>
          <w:highlight w:val="none"/>
        </w:rPr>
        <w:t xml:space="preserve">报价一览表</w:t>
      </w:r>
      <w:bookmarkEnd w:id="695"/>
      <w:r/>
      <w:bookmarkEnd w:id="696"/>
      <w:r/>
      <w:bookmarkEnd w:id="697"/>
      <w:r/>
      <w:bookmarkEnd w:id="698"/>
      <w:r/>
      <w:bookmarkEnd w:id="699"/>
      <w:r/>
      <w:bookmarkEnd w:id="700"/>
      <w:r/>
      <w:bookmarkEnd w:id="701"/>
      <w:r/>
      <w:bookmarkEnd w:id="702"/>
      <w:r/>
      <w:bookmarkEnd w:id="703"/>
      <w:r/>
      <w:bookmarkEnd w:id="704"/>
      <w:r/>
      <w:bookmarkEnd w:id="705"/>
      <w:r/>
      <w:r/>
    </w:p>
    <w:p>
      <w:pPr>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项目编号/包号：____________________</w:t>
      </w:r>
      <w:r/>
    </w:p>
    <w:p>
      <w:pPr>
        <w:ind w:firstLine="240"/>
        <w:jc w:val="left"/>
        <w:spacing w:line="360" w:lineRule="auto"/>
        <w:tabs>
          <w:tab w:val="left" w:pos="1800" w:leader="none"/>
          <w:tab w:val="left" w:pos="5580" w:leader="none"/>
        </w:tabs>
        <w:rPr>
          <w:rFonts w:ascii="宋体" w:hAnsi="宋体" w:cs="宋体"/>
          <w:color w:val="auto"/>
          <w:sz w:val="24"/>
          <w:highlight w:val="none"/>
          <w:u w:val="single"/>
        </w:rPr>
      </w:pPr>
      <w:r>
        <w:rPr>
          <w:rFonts w:hint="eastAsia" w:ascii="宋体" w:hAnsi="宋体" w:cs="宋体"/>
          <w:color w:val="auto"/>
          <w:sz w:val="24"/>
          <w:highlight w:val="none"/>
        </w:rPr>
        <w:t xml:space="preserve">项目名称：_______________________</w:t>
      </w:r>
      <w:r/>
    </w:p>
    <w:tbl>
      <w:tblPr>
        <w:tblStyle w:val="1280"/>
        <w:tblW w:w="8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3"/>
        <w:gridCol w:w="5751"/>
      </w:tblGrid>
      <w:tr>
        <w:trPr>
          <w:jc w:val="center"/>
          <w:trHeight w:val="1130"/>
        </w:trPr>
        <w:tc>
          <w:tcPr>
            <w:shd w:val="clear" w:color="auto" w:fill="auto"/>
            <w:tcW w:w="262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响应报价</w:t>
            </w:r>
            <w:r/>
          </w:p>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（人民币：元）</w:t>
            </w:r>
            <w:r/>
          </w:p>
        </w:tc>
        <w:tc>
          <w:tcPr>
            <w:shd w:val="clear" w:color="auto" w:fill="auto"/>
            <w:tcW w:w="5751"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t xml:space="preserve">大写：人民币</w:t>
            </w:r>
            <w:r/>
          </w:p>
          <w:p>
            <w:pPr>
              <w:spacing w:line="360" w:lineRule="auto"/>
              <w:rPr>
                <w:rFonts w:ascii="宋体" w:hAnsi="宋体" w:cs="宋体"/>
                <w:b/>
                <w:bCs/>
                <w:color w:val="auto"/>
                <w:sz w:val="24"/>
                <w:highlight w:val="none"/>
              </w:rPr>
            </w:pPr>
            <w:r>
              <w:rPr>
                <w:rFonts w:ascii="宋体" w:hAnsi="宋体" w:cs="宋体"/>
                <w:color w:val="auto"/>
                <w:sz w:val="24"/>
                <w:highlight w:val="none"/>
              </w:rPr>
              <w:t xml:space="preserve">小写：¥</w:t>
            </w:r>
            <w:r/>
          </w:p>
        </w:tc>
      </w:tr>
    </w:tbl>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szCs w:val="20"/>
          <w:highlight w:val="none"/>
        </w:rPr>
      </w:pPr>
      <w:r>
        <w:rPr>
          <w:rFonts w:hint="eastAsia" w:ascii="宋体" w:hAnsi="宋体" w:cs="宋体"/>
          <w:color w:val="auto"/>
          <w:sz w:val="24"/>
          <w:highlight w:val="none"/>
        </w:rPr>
        <w:t xml:space="preserve">注：1</w:t>
      </w:r>
      <w:r>
        <w:rPr>
          <w:rFonts w:hint="eastAsia" w:ascii="宋体" w:hAnsi="宋体" w:cs="宋体"/>
          <w:color w:val="auto"/>
          <w:sz w:val="24"/>
          <w:szCs w:val="20"/>
          <w:highlight w:val="none"/>
        </w:rPr>
        <w:t xml:space="preserve">.此表中，每包的报价应和《分项报价表》中的总价相一致。</w:t>
      </w:r>
      <w:r/>
    </w:p>
    <w:p>
      <w:pPr>
        <w:spacing w:before="25" w:after="25"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：____________</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jc w:val="left"/>
        <w:widowControl/>
        <w:rPr>
          <w:rFonts w:ascii="宋体" w:hAnsi="宋体" w:cs="宋体"/>
          <w:b/>
          <w:bCs/>
          <w:color w:val="auto"/>
          <w:sz w:val="24"/>
          <w:szCs w:val="20"/>
          <w:highlight w:val="none"/>
        </w:rPr>
      </w:pPr>
      <w:r/>
      <w:bookmarkStart w:id="706" w:name="_Toc142311060"/>
      <w:r/>
      <w:bookmarkStart w:id="707" w:name="_Toc264969249"/>
      <w:r/>
      <w:bookmarkStart w:id="708" w:name="_Toc127151558"/>
      <w:r/>
      <w:bookmarkStart w:id="709" w:name="_Toc195842924"/>
      <w:r/>
      <w:bookmarkStart w:id="710" w:name="_Toc226965749"/>
      <w:r/>
      <w:bookmarkStart w:id="711" w:name="_Toc226309803"/>
      <w:r/>
      <w:bookmarkStart w:id="712" w:name="_Toc150480796"/>
      <w:r/>
      <w:bookmarkStart w:id="713" w:name="_Toc226337255"/>
      <w:r/>
      <w:bookmarkStart w:id="714" w:name="_Toc265228397"/>
      <w:r/>
      <w:bookmarkStart w:id="715" w:name="_Toc226965832"/>
      <w:r/>
      <w:bookmarkStart w:id="716" w:name="_Toc150774763"/>
      <w:r/>
      <w:bookmarkStart w:id="717" w:name="_Toc305158901"/>
      <w:r/>
      <w:bookmarkStart w:id="718" w:name="_Toc305158827"/>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rPr>
        <w:t xml:space="preserve">8</w:t>
      </w:r>
      <w:r>
        <w:rPr>
          <w:rFonts w:hint="eastAsia" w:ascii="宋体" w:hAnsi="宋体" w:cs="宋体"/>
          <w:b/>
          <w:bCs/>
          <w:color w:val="auto"/>
          <w:sz w:val="24"/>
          <w:szCs w:val="20"/>
          <w:highlight w:val="none"/>
        </w:rPr>
        <w:t xml:space="preserve">  分项报价表</w:t>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
    </w:p>
    <w:p>
      <w:pPr>
        <w:jc w:val="center"/>
        <w:spacing w:line="360" w:lineRule="exact"/>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分项报价表</w:t>
      </w:r>
      <w:r/>
    </w:p>
    <w:p>
      <w:pPr>
        <w:jc w:val="center"/>
        <w:spacing w:line="260" w:lineRule="exact"/>
        <w:rPr>
          <w:rFonts w:ascii="宋体" w:hAnsi="宋体" w:cs="宋体"/>
          <w:color w:val="auto"/>
          <w:sz w:val="36"/>
          <w:szCs w:val="36"/>
          <w:highlight w:val="none"/>
        </w:rPr>
      </w:pPr>
      <w:r>
        <w:rPr>
          <w:rFonts w:ascii="宋体" w:hAnsi="宋体" w:cs="宋体"/>
          <w:color w:val="auto"/>
          <w:sz w:val="36"/>
          <w:szCs w:val="36"/>
          <w:highlight w:val="none"/>
        </w:rPr>
      </w:r>
      <w:r/>
    </w:p>
    <w:p>
      <w:pPr>
        <w:tabs>
          <w:tab w:val="left" w:pos="1800" w:leader="none"/>
          <w:tab w:val="left" w:pos="5580" w:leader="none"/>
        </w:tabs>
        <w:rPr>
          <w:rFonts w:ascii="宋体" w:hAnsi="宋体" w:cs="宋体"/>
          <w:color w:val="auto"/>
          <w:sz w:val="24"/>
          <w:highlight w:val="none"/>
        </w:rPr>
      </w:pPr>
      <w:r/>
      <w:bookmarkStart w:id="719" w:name="_Toc226309806"/>
      <w:r/>
      <w:bookmarkStart w:id="720" w:name="_Toc305158830"/>
      <w:r/>
      <w:bookmarkStart w:id="721" w:name="_Toc265228400"/>
      <w:r/>
      <w:bookmarkStart w:id="722" w:name="_Toc127151562"/>
      <w:r/>
      <w:bookmarkStart w:id="723" w:name="_Toc142311062"/>
      <w:r/>
      <w:bookmarkStart w:id="724" w:name="_Toc226337258"/>
      <w:r/>
      <w:bookmarkStart w:id="725" w:name="_Toc305158904"/>
      <w:r/>
      <w:bookmarkStart w:id="726" w:name="_Toc226965752"/>
      <w:r/>
      <w:bookmarkStart w:id="727" w:name="_Toc150774765"/>
      <w:r/>
      <w:bookmarkStart w:id="728" w:name="_Toc150480798"/>
      <w:r/>
      <w:bookmarkStart w:id="729" w:name="_Toc226965835"/>
      <w:r/>
      <w:bookmarkStart w:id="730" w:name="_Toc264969252"/>
      <w:r/>
      <w:bookmarkStart w:id="731" w:name="_Toc195842927"/>
      <w:r/>
      <w:bookmarkStart w:id="732" w:name="_Toc150774764"/>
      <w:r/>
      <w:bookmarkStart w:id="733" w:name="_Toc265228399"/>
      <w:r/>
      <w:bookmarkStart w:id="734" w:name="_Toc195842926"/>
      <w:r/>
      <w:bookmarkStart w:id="735" w:name="_Toc142311061"/>
      <w:r/>
      <w:bookmarkStart w:id="736" w:name="_Toc150480797"/>
      <w:r/>
      <w:bookmarkStart w:id="737" w:name="_Toc305158903"/>
      <w:r/>
      <w:bookmarkStart w:id="738" w:name="_Toc226309805"/>
      <w:r/>
      <w:bookmarkStart w:id="739" w:name="_Toc226965834"/>
      <w:r/>
      <w:bookmarkStart w:id="740" w:name="_Toc305158829"/>
      <w:r/>
      <w:bookmarkStart w:id="741" w:name="_Toc226965751"/>
      <w:r/>
      <w:bookmarkStart w:id="742" w:name="_Toc264969251"/>
      <w:r/>
      <w:bookmarkStart w:id="743" w:name="_Toc127151561"/>
      <w:r/>
      <w:bookmarkStart w:id="744" w:name="_Toc226337257"/>
      <w:r>
        <w:rPr>
          <w:rFonts w:hint="eastAsia" w:ascii="宋体" w:hAnsi="宋体" w:cs="宋体"/>
          <w:color w:val="auto"/>
          <w:sz w:val="24"/>
          <w:highlight w:val="none"/>
        </w:rPr>
        <w:t xml:space="preserve">项目编号/包号：___________ 项目名称：__________报价单位：人民币元</w:t>
      </w:r>
      <w:r/>
    </w:p>
    <w:tbl>
      <w:tblPr>
        <w:tblStyle w:val="1280"/>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991"/>
        <w:gridCol w:w="783"/>
        <w:gridCol w:w="793"/>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widowControl/>
              <w:rPr>
                <w:rFonts w:ascii="宋体" w:hAnsi="宋体" w:cs="Arial"/>
                <w:color w:val="auto"/>
                <w:sz w:val="24"/>
                <w:highlight w:val="none"/>
              </w:rPr>
            </w:pPr>
            <w:r>
              <w:rPr>
                <w:rFonts w:hint="eastAsia" w:ascii="宋体" w:hAnsi="宋体" w:cs="Arial"/>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991" w:type="dxa"/>
            <w:vAlign w:val="center"/>
            <w:vMerge w:val="restart"/>
            <w:textDirection w:val="lrTb"/>
            <w:noWrap w:val="false"/>
          </w:tcPr>
          <w:p>
            <w:pPr>
              <w:jc w:val="center"/>
              <w:widowControl/>
              <w:rPr>
                <w:rFonts w:ascii="宋体" w:hAnsi="宋体" w:cs="Arial"/>
                <w:color w:val="auto"/>
                <w:sz w:val="24"/>
                <w:highlight w:val="none"/>
              </w:rPr>
            </w:pPr>
            <w:r>
              <w:rPr>
                <w:rFonts w:hint="eastAsia" w:ascii="宋体" w:hAnsi="宋体" w:cs="Arial"/>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783" w:type="dxa"/>
            <w:vAlign w:val="center"/>
            <w:vMerge w:val="restart"/>
            <w:textDirection w:val="lrTb"/>
            <w:noWrap w:val="false"/>
          </w:tcPr>
          <w:p>
            <w:pPr>
              <w:jc w:val="center"/>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val="false"/>
          </w:tcPr>
          <w:p>
            <w:pPr>
              <w:jc w:val="center"/>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widowControl/>
              <w:rPr>
                <w:rFonts w:ascii="宋体" w:hAnsi="宋体" w:cs="Arial"/>
                <w:color w:val="auto"/>
                <w:sz w:val="24"/>
                <w:highlight w:val="none"/>
              </w:rPr>
            </w:pPr>
            <w:r>
              <w:rPr>
                <w:rFonts w:hint="eastAsia" w:ascii="宋体" w:hAnsi="宋体" w:cs="Arial"/>
                <w:color w:val="auto"/>
                <w:sz w:val="24"/>
                <w:highlight w:val="none"/>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991"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78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91"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91"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91"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shd w:val="clear" w:color="auto" w:fill="auto"/>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91"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991"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6"/>
            <w:tcBorders>
              <w:top w:val="single" w:color="auto" w:sz="4" w:space="0"/>
              <w:left w:val="single" w:color="auto" w:sz="4" w:space="0"/>
              <w:bottom w:val="single" w:color="auto" w:sz="4" w:space="0"/>
              <w:right w:val="single" w:color="auto" w:sz="4" w:space="0"/>
            </w:tcBorders>
            <w:tcW w:w="7578" w:type="dxa"/>
            <w:vAlign w:val="center"/>
            <w:textDirection w:val="lrTb"/>
            <w:noWrap w:val="false"/>
          </w:tcPr>
          <w:p>
            <w:pPr>
              <w:jc w:val="center"/>
              <w:widowControl/>
              <w:rPr>
                <w:rFonts w:ascii="宋体" w:hAnsi="宋体" w:cs="Arial"/>
                <w:color w:val="auto"/>
                <w:sz w:val="24"/>
                <w:highlight w:val="none"/>
              </w:rPr>
            </w:pPr>
            <w:r>
              <w:rPr>
                <w:rFonts w:hint="eastAsia" w:ascii="宋体" w:hAnsi="宋体" w:cs="Arial"/>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宋体" w:hAnsi="宋体" w:cs="Arial"/>
                <w:color w:val="auto"/>
                <w:sz w:val="24"/>
                <w:highlight w:val="none"/>
              </w:rPr>
            </w:pPr>
            <w:r>
              <w:rPr>
                <w:rFonts w:ascii="宋体" w:hAnsi="宋体" w:cs="Arial"/>
                <w:color w:val="auto"/>
                <w:sz w:val="24"/>
                <w:highlight w:val="none"/>
              </w:rPr>
            </w:r>
            <w:r/>
          </w:p>
        </w:tc>
      </w:tr>
    </w:tbl>
    <w:p>
      <w:pPr>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注：1.本表应按包分别填写。</w:t>
      </w:r>
      <w:r/>
    </w:p>
    <w:p>
      <w:pPr>
        <w:ind w:firstLine="482"/>
        <w:jc w:val="left"/>
        <w:spacing w:line="400" w:lineRule="exact"/>
        <w:tabs>
          <w:tab w:val="left" w:pos="1800" w:leader="none"/>
          <w:tab w:val="left" w:pos="5580" w:leader="none"/>
        </w:tabs>
        <w:rPr>
          <w:rFonts w:ascii="宋体" w:hAnsi="宋体" w:cs="宋体"/>
          <w:b/>
          <w:bCs/>
          <w:color w:val="auto"/>
          <w:sz w:val="24"/>
          <w:highlight w:val="none"/>
        </w:rPr>
      </w:pPr>
      <w:r>
        <w:rPr>
          <w:rFonts w:hint="eastAsia" w:ascii="宋体" w:hAnsi="宋体" w:cs="宋体"/>
          <w:b/>
          <w:bCs/>
          <w:color w:val="auto"/>
          <w:sz w:val="24"/>
          <w:highlight w:val="none"/>
        </w:rPr>
        <w:t xml:space="preserve">2.如果不提供分项报价将视为没有实质性响应磋商文件。</w:t>
      </w:r>
      <w:r/>
    </w:p>
    <w:p>
      <w:pPr>
        <w:ind w:firstLine="480"/>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3.本表行数可以按照项目分项情况增加。</w:t>
      </w:r>
      <w:r/>
    </w:p>
    <w:p>
      <w:pPr>
        <w:ind w:firstLine="480"/>
        <w:jc w:val="left"/>
        <w:spacing w:line="400" w:lineRule="exac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4.上述各项的服务内容如表格中填写不下的，可以逐项另页描述。</w:t>
      </w:r>
      <w:r/>
    </w:p>
    <w:p>
      <w:pPr>
        <w:spacing w:before="25" w:after="25"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p>
    <w:p>
      <w:pPr>
        <w:spacing w:before="25" w:after="25" w:line="400" w:lineRule="exact"/>
        <w:rPr>
          <w:rFonts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：____________</w:t>
      </w:r>
      <w:r/>
    </w:p>
    <w:p>
      <w:pPr>
        <w:spacing w:before="25" w:after="25" w:line="400" w:lineRule="exact"/>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ascii="宋体" w:hAnsi="宋体" w:cs="宋体"/>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rPr>
        <w:t xml:space="preserve">9</w:t>
      </w:r>
      <w:r>
        <w:rPr>
          <w:rFonts w:hint="eastAsia" w:ascii="宋体" w:hAnsi="宋体" w:cs="宋体"/>
          <w:b/>
          <w:bCs/>
          <w:color w:val="auto"/>
          <w:sz w:val="24"/>
          <w:szCs w:val="20"/>
          <w:highlight w:val="none"/>
        </w:rPr>
        <w:t xml:space="preserve">  合同条款偏离表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合同条款偏离表</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ind w:firstLine="36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项目编号/包号：_______________     项目名称：_____________________</w:t>
      </w:r>
      <w:r/>
    </w:p>
    <w:tbl>
      <w:tblPr>
        <w:tblStyle w:val="128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183"/>
        <w:gridCol w:w="1817"/>
        <w:gridCol w:w="1817"/>
        <w:gridCol w:w="2226"/>
        <w:gridCol w:w="721"/>
      </w:tblGrid>
      <w:tr>
        <w:trPr>
          <w:jc w:val="center"/>
          <w:trHeight w:val="930"/>
        </w:trPr>
        <w:tc>
          <w:tcPr>
            <w:gridSpan w:val="6"/>
            <w:tcW w:w="5000" w:type="pct"/>
            <w:vAlign w:val="center"/>
            <w:textDirection w:val="lrTb"/>
            <w:noWrap w:val="false"/>
          </w:tcPr>
          <w:p>
            <w:pPr>
              <w:jc w:val="left"/>
              <w:rPr>
                <w:rFonts w:ascii="宋体" w:hAnsi="宋体" w:cs="宋体"/>
                <w:b/>
                <w:color w:val="auto"/>
                <w:sz w:val="24"/>
                <w:highlight w:val="none"/>
              </w:rPr>
            </w:pPr>
            <w:r>
              <w:rPr>
                <w:rFonts w:hint="eastAsia" w:ascii="宋体" w:hAnsi="宋体" w:cs="宋体"/>
                <w:b/>
                <w:color w:val="auto"/>
                <w:sz w:val="24"/>
                <w:highlight w:val="none"/>
              </w:rPr>
              <w:t xml:space="preserve">对本项目合同条款的偏离情况（请进行勾选）：</w:t>
            </w:r>
            <w:r/>
          </w:p>
          <w:p>
            <w:pPr>
              <w:jc w:val="left"/>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如无偏离，仅勾选无偏离即可</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如有负偏离，</w:t>
            </w:r>
            <w:r>
              <w:rPr>
                <w:rFonts w:hint="eastAsia" w:ascii="宋体" w:hAnsi="宋体" w:cs="宋体"/>
                <w:color w:val="auto"/>
                <w:sz w:val="24"/>
                <w:highlight w:val="none"/>
              </w:rPr>
              <w:t xml:space="preserve">则须在本表中对负偏离项逐一列明）</w:t>
            </w:r>
            <w:r/>
          </w:p>
        </w:tc>
      </w:tr>
      <w:tr>
        <w:trPr>
          <w:jc w:val="center"/>
          <w:trHeight w:val="930"/>
        </w:trPr>
        <w:tc>
          <w:tcPr>
            <w:tcW w:w="44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694"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szCs w:val="21"/>
                <w:highlight w:val="none"/>
              </w:rPr>
              <w:t xml:space="preserve">磋商文件</w:t>
            </w:r>
            <w:r>
              <w:rPr>
                <w:rFonts w:hint="eastAsia" w:ascii="宋体" w:hAnsi="宋体" w:cs="宋体"/>
                <w:color w:val="auto"/>
                <w:sz w:val="24"/>
                <w:highlight w:val="none"/>
              </w:rPr>
              <w:t xml:space="preserve">条目号（页码）</w:t>
            </w:r>
            <w:r/>
          </w:p>
        </w:tc>
        <w:tc>
          <w:tcPr>
            <w:tcW w:w="106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szCs w:val="21"/>
                <w:highlight w:val="none"/>
              </w:rPr>
              <w:t xml:space="preserve">磋商文件</w:t>
            </w:r>
            <w:r>
              <w:rPr>
                <w:rFonts w:hint="eastAsia" w:ascii="宋体" w:hAnsi="宋体" w:cs="宋体"/>
                <w:color w:val="auto"/>
                <w:sz w:val="24"/>
                <w:highlight w:val="none"/>
              </w:rPr>
              <w:t xml:space="preserve">要求</w:t>
            </w:r>
            <w:r/>
          </w:p>
        </w:tc>
        <w:tc>
          <w:tcPr>
            <w:tcW w:w="106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响应文件内容</w:t>
            </w:r>
            <w:r/>
          </w:p>
        </w:tc>
        <w:tc>
          <w:tcPr>
            <w:tcW w:w="1306"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偏离情况</w:t>
            </w:r>
            <w:r/>
          </w:p>
          <w:p>
            <w:pPr>
              <w:jc w:val="center"/>
              <w:rPr>
                <w:rFonts w:ascii="宋体" w:hAnsi="宋体" w:cs="宋体"/>
                <w:color w:val="auto"/>
                <w:sz w:val="24"/>
                <w:highlight w:val="none"/>
              </w:rPr>
            </w:pPr>
            <w:r>
              <w:rPr>
                <w:rFonts w:hint="eastAsia" w:ascii="宋体" w:hAnsi="宋体" w:cs="宋体"/>
                <w:color w:val="auto"/>
                <w:sz w:val="24"/>
                <w:highlight w:val="none"/>
              </w:rPr>
              <w:t xml:space="preserve">（据实填写）</w:t>
            </w:r>
            <w:r/>
          </w:p>
        </w:tc>
        <w:tc>
          <w:tcPr>
            <w:tcW w:w="42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说明</w:t>
            </w:r>
            <w:r/>
          </w:p>
        </w:tc>
      </w:tr>
      <w:tr>
        <w:trPr>
          <w:jc w:val="center"/>
          <w:trHeight w:val="930"/>
        </w:trPr>
        <w:tc>
          <w:tcP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69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6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6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0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42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69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6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6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0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42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69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6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6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0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42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44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69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6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06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06"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42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w:t>
      </w:r>
      <w:r/>
    </w:p>
    <w:p>
      <w:pPr>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 “偏离情况”列应据实填写“正偏离”、“负偏离”或“无偏离”。</w:t>
      </w:r>
      <w:r/>
    </w:p>
    <w:p>
      <w:pPr>
        <w:spacing w:line="360" w:lineRule="auto"/>
        <w:rPr>
          <w:rFonts w:ascii="宋体" w:hAnsi="宋体" w:cs="宋体"/>
          <w:color w:val="auto"/>
          <w:sz w:val="24"/>
          <w:szCs w:val="20"/>
          <w:highlight w:val="none"/>
        </w:rPr>
      </w:pPr>
      <w:r>
        <w:rPr>
          <w:rFonts w:ascii="宋体" w:hAnsi="宋体" w:cs="宋体"/>
          <w:color w:val="auto"/>
          <w:sz w:val="24"/>
          <w:szCs w:val="20"/>
          <w:highlight w:val="none"/>
        </w:rPr>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    ____________</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ascii="宋体" w:hAnsi="宋体" w:cs="宋体"/>
          <w:b/>
          <w:bCs/>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rPr>
        <w:t xml:space="preserve">10</w:t>
      </w:r>
      <w:r>
        <w:rPr>
          <w:rFonts w:hint="eastAsia" w:ascii="宋体" w:hAnsi="宋体" w:cs="宋体"/>
          <w:b/>
          <w:bCs/>
          <w:color w:val="auto"/>
          <w:sz w:val="24"/>
          <w:szCs w:val="20"/>
          <w:highlight w:val="none"/>
        </w:rPr>
        <w:t xml:space="preserve">  </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rFonts w:hint="eastAsia" w:ascii="宋体" w:hAnsi="宋体" w:cs="宋体"/>
          <w:b/>
          <w:bCs/>
          <w:color w:val="auto"/>
          <w:sz w:val="24"/>
          <w:szCs w:val="20"/>
          <w:highlight w:val="none"/>
        </w:rPr>
        <w:t xml:space="preserve">采购需求偏离表</w:t>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采购需求偏离表</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ind w:firstLine="360"/>
        <w:jc w:val="left"/>
        <w:spacing w:line="360" w:lineRule="auto"/>
        <w:tabs>
          <w:tab w:val="left" w:pos="1800" w:leader="none"/>
          <w:tab w:val="left" w:pos="5580" w:leader="none"/>
        </w:tabs>
        <w:rPr>
          <w:rFonts w:ascii="宋体" w:hAnsi="宋体" w:cs="宋体"/>
          <w:color w:val="auto"/>
          <w:sz w:val="24"/>
          <w:highlight w:val="none"/>
          <w:u w:val="single"/>
        </w:rPr>
      </w:pPr>
      <w:r>
        <w:rPr>
          <w:rFonts w:hint="eastAsia" w:ascii="宋体" w:hAnsi="宋体" w:cs="宋体"/>
          <w:color w:val="auto"/>
          <w:sz w:val="24"/>
          <w:highlight w:val="none"/>
        </w:rPr>
        <w:t xml:space="preserve">项目编号/包号：_____________________     项目名称：_______________________</w:t>
      </w:r>
      <w:r/>
    </w:p>
    <w:tbl>
      <w:tblPr>
        <w:tblStyle w:val="128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302"/>
        <w:gridCol w:w="2102"/>
        <w:gridCol w:w="1872"/>
        <w:gridCol w:w="1651"/>
        <w:gridCol w:w="901"/>
      </w:tblGrid>
      <w:tr>
        <w:trPr>
          <w:jc w:val="center"/>
          <w:trHeight w:val="930"/>
        </w:trPr>
        <w:tc>
          <w:tcPr>
            <w:gridSpan w:val="6"/>
            <w:tcW w:w="5000" w:type="pct"/>
            <w:vAlign w:val="center"/>
            <w:textDirection w:val="lrTb"/>
            <w:noWrap w:val="false"/>
          </w:tcPr>
          <w:p>
            <w:pPr>
              <w:jc w:val="left"/>
              <w:rPr>
                <w:rFonts w:ascii="宋体" w:hAnsi="宋体" w:cs="宋体"/>
                <w:b/>
                <w:color w:val="auto"/>
                <w:sz w:val="24"/>
                <w:highlight w:val="none"/>
              </w:rPr>
            </w:pPr>
            <w:r>
              <w:rPr>
                <w:rFonts w:hint="eastAsia" w:ascii="宋体" w:hAnsi="宋体" w:cs="宋体"/>
                <w:b/>
                <w:color w:val="auto"/>
                <w:sz w:val="24"/>
                <w:highlight w:val="none"/>
              </w:rPr>
              <w:t xml:space="preserve">对本项目采购需求条款的偏离情况（请进行勾选）：</w:t>
            </w:r>
            <w:r/>
          </w:p>
          <w:p>
            <w:pPr>
              <w:jc w:val="left"/>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如无偏离，仅勾选无偏离即可</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如有负偏离，</w:t>
            </w:r>
            <w:r>
              <w:rPr>
                <w:rFonts w:hint="eastAsia" w:ascii="宋体" w:hAnsi="宋体" w:cs="宋体"/>
                <w:color w:val="auto"/>
                <w:sz w:val="24"/>
                <w:highlight w:val="none"/>
              </w:rPr>
              <w:t xml:space="preserve">则须在本表中对负偏离项逐一列明）</w:t>
            </w:r>
            <w:r/>
          </w:p>
        </w:tc>
      </w:tr>
      <w:tr>
        <w:trPr>
          <w:jc w:val="center"/>
          <w:trHeight w:val="1053"/>
        </w:trPr>
        <w:tc>
          <w:tcPr>
            <w:tcW w:w="401"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76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磋商文件条目号(页码)</w:t>
            </w:r>
            <w:r/>
          </w:p>
        </w:tc>
        <w:tc>
          <w:tcPr>
            <w:tcW w:w="123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磋商文件要求</w:t>
            </w:r>
            <w:r/>
          </w:p>
        </w:tc>
        <w:tc>
          <w:tcPr>
            <w:tcW w:w="1100"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响应内容</w:t>
            </w:r>
            <w:r/>
          </w:p>
        </w:tc>
        <w:tc>
          <w:tcPr>
            <w:tcW w:w="970"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偏离情况</w:t>
            </w:r>
            <w:r/>
          </w:p>
          <w:p>
            <w:pPr>
              <w:jc w:val="center"/>
              <w:rPr>
                <w:rFonts w:ascii="宋体" w:hAnsi="宋体" w:cs="宋体"/>
                <w:color w:val="auto"/>
                <w:sz w:val="24"/>
                <w:highlight w:val="none"/>
              </w:rPr>
            </w:pPr>
            <w:r>
              <w:rPr>
                <w:rFonts w:hint="eastAsia" w:ascii="宋体" w:hAnsi="宋体" w:cs="宋体"/>
                <w:color w:val="auto"/>
                <w:sz w:val="24"/>
                <w:szCs w:val="21"/>
                <w:highlight w:val="none"/>
              </w:rPr>
              <w:t xml:space="preserve">（据实填写）</w:t>
            </w:r>
            <w:r/>
          </w:p>
        </w:tc>
        <w:tc>
          <w:tcPr>
            <w:tcW w:w="525"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说明</w:t>
            </w:r>
            <w:r/>
          </w:p>
        </w:tc>
      </w:tr>
      <w:tr>
        <w:trPr>
          <w:jc w:val="center"/>
          <w:trHeight w:val="930"/>
        </w:trPr>
        <w:tc>
          <w:tcPr>
            <w:tcW w:w="40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3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1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7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52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40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3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1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7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52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40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3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1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7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52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930"/>
        </w:trPr>
        <w:tc>
          <w:tcPr>
            <w:tcW w:w="401"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7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23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10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970"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52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ind w:firstLine="360"/>
        <w:jc w:val="left"/>
        <w:spacing w:line="360" w:lineRule="auto"/>
        <w:tabs>
          <w:tab w:val="left" w:pos="1800" w:leader="none"/>
          <w:tab w:val="left" w:pos="5580" w:leader="none"/>
        </w:tabs>
        <w:rPr>
          <w:rFonts w:ascii="宋体" w:hAnsi="宋体" w:cs="宋体"/>
          <w:color w:val="auto"/>
          <w:sz w:val="24"/>
          <w:highlight w:val="none"/>
          <w:u w:val="single"/>
        </w:rPr>
      </w:pPr>
      <w:r>
        <w:rPr>
          <w:rFonts w:ascii="宋体" w:hAnsi="宋体" w:cs="宋体"/>
          <w:color w:val="auto"/>
          <w:sz w:val="24"/>
          <w:highlight w:val="none"/>
          <w:u w:val="single"/>
        </w:rPr>
      </w:r>
      <w:r/>
    </w:p>
    <w:p>
      <w:pPr>
        <w:ind w:firstLine="360"/>
        <w:jc w:val="left"/>
        <w:spacing w:line="360" w:lineRule="auto"/>
        <w:tabs>
          <w:tab w:val="left" w:pos="1800" w:leader="none"/>
          <w:tab w:val="left" w:pos="5580" w:leader="none"/>
        </w:tabs>
        <w:rPr>
          <w:rFonts w:ascii="宋体" w:hAnsi="宋体" w:cs="宋体"/>
          <w:color w:val="auto"/>
          <w:sz w:val="24"/>
          <w:highlight w:val="none"/>
          <w:u w:val="single"/>
        </w:rPr>
      </w:pPr>
      <w:r>
        <w:rPr>
          <w:rFonts w:ascii="宋体" w:hAnsi="宋体" w:cs="宋体"/>
          <w:color w:val="auto"/>
          <w:sz w:val="24"/>
          <w:highlight w:val="none"/>
          <w:u w:val="single"/>
        </w:rPr>
      </w:r>
      <w:r/>
    </w:p>
    <w:p>
      <w:pPr>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注：</w:t>
      </w:r>
      <w:r/>
    </w:p>
    <w:p>
      <w:pPr>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1. 对磋商文件中的所有商务、技术要求，除本表所列明的所有偏离外，均视作供应商已对之理解和响应。此表中若无任何文字说明，内容为空白，则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jc w:val="left"/>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2.“偏离情况”列应据实填写“正偏离”、“负偏离”或“无偏离”。</w:t>
      </w:r>
      <w:r/>
    </w:p>
    <w:p>
      <w:pPr>
        <w:jc w:val="left"/>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szCs w:val="20"/>
          <w:highlight w:val="none"/>
        </w:rPr>
      </w:pPr>
      <w:r>
        <w:rPr>
          <w:rFonts w:ascii="宋体" w:hAnsi="宋体" w:cs="宋体"/>
          <w:color w:val="auto"/>
          <w:sz w:val="24"/>
          <w:szCs w:val="20"/>
          <w:highlight w:val="none"/>
        </w:rPr>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    ____________</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rPr>
          <w:rFonts w:ascii="宋体" w:hAnsi="宋体" w:cs="宋体"/>
          <w:color w:val="auto"/>
          <w:sz w:val="24"/>
          <w:szCs w:val="20"/>
          <w:highlight w:val="none"/>
        </w:rPr>
      </w:pPr>
      <w:r>
        <w:rPr>
          <w:rFonts w:hint="eastAsia" w:ascii="宋体" w:hAnsi="宋体" w:cs="宋体"/>
          <w:color w:val="auto"/>
          <w:sz w:val="24"/>
          <w:szCs w:val="20"/>
          <w:highlight w:val="none"/>
        </w:rPr>
        <w:br w:type="page" w:clear="all"/>
      </w:r>
      <w:r/>
    </w:p>
    <w:p>
      <w:pPr>
        <w:spacing w:line="560" w:lineRule="exact"/>
        <w:rPr>
          <w:rFonts w:ascii="宋体" w:hAnsi="宋体" w:cs="宋体"/>
          <w:b/>
          <w:bCs/>
          <w:color w:val="auto"/>
          <w:sz w:val="24"/>
          <w:szCs w:val="20"/>
          <w:highlight w:val="none"/>
        </w:rPr>
      </w:pPr>
      <w:r>
        <w:rPr>
          <w:rFonts w:hint="eastAsia"/>
          <w:color w:val="auto"/>
          <w:sz w:val="24"/>
          <w:szCs w:val="20"/>
          <w:highlight w:val="none"/>
        </w:rPr>
        <w:t xml:space="preserve">11</w:t>
      </w:r>
      <w:r>
        <w:rPr>
          <w:color w:val="auto"/>
          <w:sz w:val="24"/>
          <w:szCs w:val="20"/>
          <w:highlight w:val="none"/>
        </w:rPr>
        <w:t xml:space="preserve">  </w:t>
      </w:r>
      <w:r>
        <w:rPr>
          <w:rFonts w:hint="eastAsia"/>
          <w:color w:val="auto"/>
          <w:sz w:val="24"/>
          <w:szCs w:val="20"/>
          <w:highlight w:val="none"/>
        </w:rPr>
        <w:t xml:space="preserve">项目实施方案等：根据评分标准自行准备。</w:t>
      </w:r>
      <w:r/>
    </w:p>
    <w:p>
      <w:pPr>
        <w:rPr>
          <w:rFonts w:ascii="宋体" w:hAnsi="宋体" w:cs="宋体"/>
          <w:b/>
          <w:bCs/>
          <w:color w:val="auto"/>
          <w:sz w:val="24"/>
          <w:szCs w:val="20"/>
          <w:highlight w:val="none"/>
        </w:rPr>
      </w:pPr>
      <w:r>
        <w:rPr>
          <w:rFonts w:ascii="宋体" w:hAnsi="宋体" w:cs="宋体"/>
          <w:b/>
          <w:bCs/>
          <w:color w:val="auto"/>
          <w:sz w:val="24"/>
          <w:szCs w:val="20"/>
          <w:highlight w:val="none"/>
        </w:rPr>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12  参加本项目人员一览表</w:t>
      </w:r>
      <w:r/>
    </w:p>
    <w:p>
      <w:pPr>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参加本项目人员一览表</w:t>
      </w:r>
      <w:r/>
    </w:p>
    <w:p>
      <w:pPr>
        <w:spacing w:line="360" w:lineRule="auto"/>
        <w:rPr>
          <w:rFonts w:ascii="宋体" w:hAnsi="宋体" w:cs="宋体"/>
          <w:color w:val="auto"/>
          <w:sz w:val="22"/>
          <w:highlight w:val="none"/>
        </w:rPr>
      </w:pPr>
      <w:r>
        <w:rPr>
          <w:rFonts w:ascii="宋体" w:hAnsi="宋体" w:cs="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280"/>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
        <w:gridCol w:w="851"/>
        <w:gridCol w:w="851"/>
        <w:gridCol w:w="851"/>
        <w:gridCol w:w="852"/>
        <w:gridCol w:w="852"/>
        <w:gridCol w:w="852"/>
        <w:gridCol w:w="852"/>
        <w:gridCol w:w="695"/>
        <w:gridCol w:w="1007"/>
      </w:tblGrid>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00"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408"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    ____________</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rPr>
          <w:rFonts w:ascii="宋体" w:hAnsi="宋体" w:cs="宋体"/>
          <w:color w:val="auto"/>
          <w:sz w:val="22"/>
          <w:highlight w:val="none"/>
        </w:rPr>
      </w:pPr>
      <w:r>
        <w:rPr>
          <w:rFonts w:hint="eastAsia" w:ascii="宋体" w:hAnsi="宋体" w:cs="宋体"/>
          <w:color w:val="auto"/>
          <w:sz w:val="22"/>
          <w:highlight w:val="none"/>
        </w:rPr>
        <w:br w:type="page" w:clear="all"/>
      </w:r>
      <w:bookmarkStart w:id="745" w:name="_Toc288738839"/>
      <w:r/>
      <w:bookmarkStart w:id="746" w:name="_Toc288738397"/>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13  相关业绩案例一览表</w:t>
      </w:r>
      <w:r/>
    </w:p>
    <w:p>
      <w:pPr>
        <w:rPr>
          <w:rFonts w:ascii="宋体" w:hAnsi="宋体" w:cs="宋体"/>
          <w:color w:val="auto"/>
          <w:sz w:val="24"/>
          <w:szCs w:val="20"/>
          <w:highlight w:val="none"/>
        </w:rPr>
      </w:pPr>
      <w:r>
        <w:rPr>
          <w:rFonts w:ascii="宋体" w:hAnsi="宋体" w:cs="宋体"/>
          <w:color w:val="auto"/>
          <w:sz w:val="24"/>
          <w:szCs w:val="20"/>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相关业绩案例一览表</w:t>
      </w:r>
      <w:bookmarkEnd w:id="745"/>
      <w:r/>
      <w:bookmarkEnd w:id="746"/>
      <w:r/>
      <w:r/>
    </w:p>
    <w:p>
      <w:pPr>
        <w:jc w:val="center"/>
        <w:spacing w:line="360" w:lineRule="auto"/>
        <w:rPr>
          <w:rFonts w:ascii="宋体" w:hAnsi="宋体" w:cs="宋体"/>
          <w:b/>
          <w:color w:val="auto"/>
          <w:sz w:val="28"/>
          <w:szCs w:val="30"/>
          <w:highlight w:val="none"/>
        </w:rPr>
      </w:pPr>
      <w:r>
        <w:rPr>
          <w:rFonts w:ascii="宋体" w:hAnsi="宋体" w:cs="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28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    ____________</w:t>
      </w:r>
      <w:r/>
    </w:p>
    <w:p>
      <w:pPr>
        <w:spacing w:before="25" w:after="25" w:line="360" w:lineRule="auto"/>
        <w:rPr>
          <w:rFonts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ascii="宋体" w:hAnsi="宋体" w:cs="宋体"/>
          <w:color w:val="auto"/>
          <w:sz w:val="24"/>
          <w:szCs w:val="20"/>
          <w:highlight w:val="none"/>
        </w:rPr>
        <w:outlineLvl w:val="2"/>
      </w:pPr>
      <w:r>
        <w:rPr>
          <w:rFonts w:ascii="宋体" w:hAnsi="宋体" w:cs="宋体"/>
          <w:color w:val="auto"/>
          <w:sz w:val="24"/>
          <w:szCs w:val="20"/>
          <w:highlight w:val="none"/>
        </w:rPr>
      </w:r>
      <w:r/>
    </w:p>
    <w:p>
      <w:pPr>
        <w:spacing w:line="360" w:lineRule="auto"/>
        <w:rPr>
          <w:rFonts w:ascii="宋体" w:hAnsi="宋体" w:cs="宋体"/>
          <w:color w:val="auto"/>
          <w:sz w:val="24"/>
          <w:szCs w:val="20"/>
          <w:highlight w:val="none"/>
        </w:rPr>
        <w:outlineLvl w:val="2"/>
      </w:pPr>
      <w:r>
        <w:rPr>
          <w:rFonts w:ascii="宋体" w:hAnsi="宋体" w:cs="宋体"/>
          <w:color w:val="auto"/>
          <w:sz w:val="24"/>
          <w:szCs w:val="20"/>
          <w:highlight w:val="none"/>
        </w:rPr>
      </w:r>
      <w:r/>
    </w:p>
    <w:p>
      <w:pPr>
        <w:spacing w:line="360" w:lineRule="auto"/>
        <w:rPr>
          <w:rFonts w:ascii="宋体" w:hAnsi="宋体" w:cs="宋体"/>
          <w:color w:val="auto"/>
          <w:sz w:val="24"/>
          <w:szCs w:val="20"/>
          <w:highlight w:val="none"/>
        </w:rPr>
        <w:outlineLvl w:val="2"/>
      </w:pPr>
      <w:r>
        <w:rPr>
          <w:rFonts w:ascii="宋体" w:hAnsi="宋体" w:cs="宋体"/>
          <w:color w:val="auto"/>
          <w:sz w:val="24"/>
          <w:szCs w:val="20"/>
          <w:highlight w:val="none"/>
        </w:rPr>
      </w:r>
      <w:r/>
    </w:p>
    <w:p>
      <w:pPr>
        <w:spacing w:line="360" w:lineRule="auto"/>
        <w:rPr>
          <w:rFonts w:ascii="宋体" w:hAnsi="宋体" w:cs="宋体"/>
          <w:color w:val="auto"/>
          <w:sz w:val="24"/>
          <w:szCs w:val="20"/>
          <w:highlight w:val="none"/>
        </w:rPr>
        <w:outlineLvl w:val="2"/>
      </w:pPr>
      <w:r>
        <w:rPr>
          <w:rFonts w:ascii="宋体" w:hAnsi="宋体" w:cs="宋体"/>
          <w:color w:val="auto"/>
          <w:sz w:val="24"/>
          <w:szCs w:val="20"/>
          <w:highlight w:val="none"/>
        </w:rPr>
      </w:r>
      <w:r/>
    </w:p>
    <w:p>
      <w:pPr>
        <w:spacing w:line="360" w:lineRule="auto"/>
        <w:rPr>
          <w:rFonts w:ascii="宋体" w:hAnsi="宋体" w:cs="宋体"/>
          <w:color w:val="auto"/>
          <w:sz w:val="24"/>
          <w:szCs w:val="20"/>
          <w:highlight w:val="none"/>
        </w:rPr>
        <w:outlineLvl w:val="2"/>
      </w:pPr>
      <w:r>
        <w:rPr>
          <w:rFonts w:ascii="宋体" w:hAnsi="宋体" w:cs="宋体"/>
          <w:color w:val="auto"/>
          <w:sz w:val="24"/>
          <w:szCs w:val="20"/>
          <w:highlight w:val="none"/>
        </w:rPr>
      </w:r>
      <w:r/>
    </w:p>
    <w:p>
      <w:pPr>
        <w:spacing w:line="360" w:lineRule="auto"/>
        <w:rPr>
          <w:rFonts w:ascii="宋体" w:hAnsi="宋体" w:cs="宋体"/>
          <w:color w:val="auto"/>
          <w:sz w:val="24"/>
          <w:szCs w:val="20"/>
          <w:highlight w:val="none"/>
        </w:rPr>
        <w:outlineLvl w:val="2"/>
      </w:pPr>
      <w:r>
        <w:rPr>
          <w:rFonts w:ascii="宋体" w:hAnsi="宋体" w:cs="宋体"/>
          <w:color w:val="auto"/>
          <w:sz w:val="24"/>
          <w:szCs w:val="20"/>
          <w:highlight w:val="none"/>
        </w:rPr>
      </w:r>
      <w:r/>
    </w:p>
    <w:p>
      <w:pPr>
        <w:spacing w:line="360" w:lineRule="auto"/>
        <w:rPr>
          <w:rFonts w:ascii="宋体" w:hAnsi="宋体" w:cs="宋体"/>
          <w:color w:val="auto"/>
          <w:sz w:val="24"/>
          <w:highlight w:val="none"/>
        </w:rPr>
        <w:outlineLvl w:val="2"/>
      </w:pPr>
      <w:r>
        <w:rPr>
          <w:rFonts w:hint="eastAsia" w:ascii="宋体" w:hAnsi="宋体" w:cs="宋体"/>
          <w:color w:val="auto"/>
          <w:sz w:val="24"/>
          <w:szCs w:val="20"/>
          <w:highlight w:val="none"/>
        </w:rPr>
        <w:t xml:space="preserve">14  磋商文件要求提供或供应商认为应附的其他材料</w:t>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sectPr>
      <w:headerReference w:type="even" r:id="rId13"/>
      <w:footerReference w:type="even" r:id="rId24"/>
      <w:footerReference w:type="first" r:id="rId25"/>
      <w:footnotePr/>
      <w:endnotePr/>
      <w:type w:val="nextPage"/>
      <w:pgSz w:w="11905" w:h="16838" w:orient="portrait"/>
      <w:pgMar w:top="1440" w:right="1800" w:bottom="1440" w:left="1800" w:header="851"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Wingdings">
    <w:panose1 w:val="05000000000000000000"/>
  </w:font>
  <w:font w:name="MingLiU">
    <w:panose1 w:val="02020500000000000000"/>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rPr>
        <w:rStyle w:val="1320"/>
      </w:rPr>
      <w:framePr w:wrap="around" w:vAnchor="text" w:hAnchor="margin" w:xAlign="center" w:y="1"/>
    </w:pPr>
    <w:r>
      <w:fldChar w:fldCharType="begin"/>
    </w:r>
    <w:r>
      <w:rPr>
        <w:rStyle w:val="1320"/>
      </w:rPr>
      <w:instrText xml:space="preserve">PAGE  </w:instrText>
    </w:r>
    <w:r>
      <w:fldChar w:fldCharType="end"/>
    </w:r>
    <w:r/>
  </w:p>
  <w:p>
    <w:pPr>
      <w:pStyle w:val="130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rPr>
        <w:rStyle w:val="1320"/>
      </w:rPr>
      <w:framePr w:wrap="around" w:vAnchor="text" w:hAnchor="margin" w:xAlign="right" w:y="1"/>
    </w:pPr>
    <w:r>
      <w:rPr>
        <w:rStyle w:val="1320"/>
      </w:rPr>
      <w:fldChar w:fldCharType="begin"/>
    </w:r>
    <w:r>
      <w:rPr>
        <w:rStyle w:val="1320"/>
      </w:rPr>
      <w:instrText xml:space="preserve">PAGE  </w:instrText>
    </w:r>
    <w:r>
      <w:rPr>
        <w:rStyle w:val="1320"/>
      </w:rPr>
      <w:fldChar w:fldCharType="end"/>
    </w:r>
    <w:r/>
  </w:p>
  <w:p>
    <w:pPr>
      <w:pStyle w:val="1301"/>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1"/>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1"/>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rPr>
        <w:rStyle w:val="1320"/>
      </w:rPr>
      <w:framePr w:wrap="around" w:vAnchor="text" w:hAnchor="margin" w:xAlign="right" w:y="1"/>
    </w:pPr>
    <w:r>
      <w:rPr>
        <w:rStyle w:val="1320"/>
      </w:rPr>
      <w:fldChar w:fldCharType="begin"/>
    </w:r>
    <w:r>
      <w:rPr>
        <w:rStyle w:val="1320"/>
      </w:rPr>
      <w:instrText xml:space="preserve">PAGE  </w:instrText>
    </w:r>
    <w:r>
      <w:rPr>
        <w:rStyle w:val="1320"/>
      </w:rPr>
      <w:fldChar w:fldCharType="end"/>
    </w:r>
    <w:r/>
  </w:p>
  <w:p>
    <w:pPr>
      <w:pStyle w:val="1301"/>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1"/>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0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margin">
                <wp:posOffset>101600</wp:posOffset>
              </wp:positionH>
              <wp:positionV relativeFrom="margin">
                <wp:posOffset>2266315</wp:posOffset>
              </wp:positionV>
              <wp:extent cx="5274310" cy="3369310"/>
              <wp:effectExtent l="0" t="0" r="2540" b="2540"/>
              <wp:wrapNone/>
              <wp:docPr id="1"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36891" descr="1591748798(1)"/>
                      <pic:cNvPicPr>
                        <a:picLocks noChangeAspect="1"/>
                      </pic:cNvPicPr>
                      <pic:nvPr/>
                    </pic:nvPicPr>
                    <pic:blipFill>
                      <a:blip r:embed="rId1">
                        <a:lum bright="69992"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9504;o:allowoverlap:true;o:allowincell:true;mso-position-horizontal-relative:margin;margin-left:8.0pt;mso-position-horizontal:absolute;mso-position-vertical-relative:margin;margin-top:178.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rPr>
        <w:rFonts w:hint="eastAsia" w:eastAsia="宋体"/>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posOffset>128905</wp:posOffset>
              </wp:positionH>
              <wp:positionV relativeFrom="margin">
                <wp:posOffset>2520950</wp:posOffset>
              </wp:positionV>
              <wp:extent cx="5274310" cy="3369310"/>
              <wp:effectExtent l="0" t="0" r="2540" b="2540"/>
              <wp:wrapNone/>
              <wp:docPr id="2"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4790"/>
              <wp:effectExtent l="0" t="0" r="8255" b="3810"/>
              <wp:docPr id="3"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
        <w:lang w:eastAsia="zh-CN"/>
      </w:rPr>
      <w:t xml:space="preserve">常州润邦招标代理有限公司</w:t>
    </w:r>
    <w:r/>
  </w:p>
  <w:p>
    <w:pPr>
      <w:pStyle w:val="1302"/>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margin">
                <wp:posOffset>127635</wp:posOffset>
              </wp:positionH>
              <wp:positionV relativeFrom="margin">
                <wp:posOffset>2292350</wp:posOffset>
              </wp:positionV>
              <wp:extent cx="5274310" cy="3369310"/>
              <wp:effectExtent l="0" t="0" r="2540" b="2540"/>
              <wp:wrapNone/>
              <wp:docPr id="4"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36891" descr="1591748798(1)"/>
                      <pic:cNvPicPr>
                        <a:picLocks noChangeAspect="1"/>
                      </pic:cNvPicPr>
                      <pic:nvPr/>
                    </pic:nvPicPr>
                    <pic:blipFill>
                      <a:blip r:embed="rId1">
                        <a:lum bright="69992"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8480;o:allowoverlap:true;o:allowincell:true;mso-position-horizontal-relative:margin;margin-left:10.0pt;mso-position-horizontal:absolute;mso-position-vertical-relative:margin;margin-top:180.5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margin">
                <wp:posOffset>101600</wp:posOffset>
              </wp:positionH>
              <wp:positionV relativeFrom="margin">
                <wp:posOffset>2266315</wp:posOffset>
              </wp:positionV>
              <wp:extent cx="5274310" cy="3369310"/>
              <wp:effectExtent l="0" t="0" r="2540" b="2540"/>
              <wp:wrapNone/>
              <wp:docPr id="5"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36891" descr="1591748798(1)"/>
                      <pic:cNvPicPr>
                        <a:picLocks noChangeAspect="1"/>
                      </pic:cNvPicPr>
                      <pic:nvPr/>
                    </pic:nvPicPr>
                    <pic:blipFill>
                      <a:blip r:embed="rId1">
                        <a:lum bright="69992"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0528;o:allowoverlap:true;o:allowincell:true;mso-position-horizontal-relative:margin;margin-left:8.0pt;mso-position-horizontal:absolute;mso-position-vertical-relative:margin;margin-top:178.4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2"/>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nothing"/>
      <w:lvlText w:val="%1.%2.%3.%4"/>
      <w:lvlJc w:val="left"/>
      <w:pPr>
        <w:ind w:left="0" w:firstLine="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color w:val="auto"/>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38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45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43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7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37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41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41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42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43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39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1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38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pStyle w:val="1486"/>
      <w:isLgl w:val="false"/>
      <w:suff w:val="tab"/>
      <w:lvlText w:val="%1"/>
      <w:lvlJc w:val="left"/>
      <w:pPr>
        <w:ind w:left="680" w:hanging="680"/>
      </w:pPr>
      <w:rPr>
        <w:rFonts w:hint="eastAsia" w:ascii="宋体" w:hAnsi="宋体" w:eastAsia="宋体"/>
      </w:rPr>
    </w:lvl>
    <w:lvl w:ilvl="1">
      <w:start w:val="1"/>
      <w:numFmt w:val="decimal"/>
      <w:pStyle w:val="1487"/>
      <w:isLgl w:val="false"/>
      <w:suff w:val="tab"/>
      <w:lvlText w:val="%1.%2"/>
      <w:lvlJc w:val="left"/>
      <w:pPr>
        <w:ind w:left="851" w:hanging="851"/>
      </w:pPr>
      <w:rPr>
        <w:rFonts w:hint="eastAsia" w:ascii="宋体" w:hAnsi="宋体" w:eastAsia="宋体"/>
        <w:color w:val="auto"/>
      </w:rPr>
    </w:lvl>
    <w:lvl w:ilvl="2">
      <w:start w:val="1"/>
      <w:numFmt w:val="decimal"/>
      <w:pStyle w:val="148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0"/>
  </w:num>
  <w:num w:numId="9">
    <w:abstractNumId w:val="2"/>
  </w:num>
  <w:num w:numId="10">
    <w:abstractNumId w:val="8"/>
  </w:num>
  <w:num w:numId="11">
    <w:abstractNumId w:val="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19">
    <w:name w:val="Heading 1 Char"/>
    <w:basedOn w:val="1279"/>
    <w:link w:val="1270"/>
    <w:uiPriority w:val="9"/>
    <w:rPr>
      <w:rFonts w:ascii="Arial" w:hAnsi="Arial" w:eastAsia="Arial" w:cs="Arial"/>
      <w:sz w:val="40"/>
      <w:szCs w:val="40"/>
    </w:rPr>
  </w:style>
  <w:style w:type="character" w:styleId="1120">
    <w:name w:val="Heading 2 Char"/>
    <w:basedOn w:val="1279"/>
    <w:link w:val="1271"/>
    <w:uiPriority w:val="9"/>
    <w:rPr>
      <w:rFonts w:ascii="Arial" w:hAnsi="Arial" w:eastAsia="Arial" w:cs="Arial"/>
      <w:sz w:val="34"/>
    </w:rPr>
  </w:style>
  <w:style w:type="character" w:styleId="1121">
    <w:name w:val="Heading 3 Char"/>
    <w:basedOn w:val="1279"/>
    <w:link w:val="1272"/>
    <w:uiPriority w:val="9"/>
    <w:rPr>
      <w:rFonts w:ascii="Arial" w:hAnsi="Arial" w:eastAsia="Arial" w:cs="Arial"/>
      <w:sz w:val="30"/>
      <w:szCs w:val="30"/>
    </w:rPr>
  </w:style>
  <w:style w:type="character" w:styleId="1122">
    <w:name w:val="Heading 4 Char"/>
    <w:basedOn w:val="1279"/>
    <w:link w:val="1273"/>
    <w:uiPriority w:val="9"/>
    <w:rPr>
      <w:rFonts w:ascii="Arial" w:hAnsi="Arial" w:eastAsia="Arial" w:cs="Arial"/>
      <w:b/>
      <w:bCs/>
      <w:sz w:val="26"/>
      <w:szCs w:val="26"/>
    </w:rPr>
  </w:style>
  <w:style w:type="character" w:styleId="1123">
    <w:name w:val="Heading 5 Char"/>
    <w:basedOn w:val="1279"/>
    <w:link w:val="1274"/>
    <w:uiPriority w:val="9"/>
    <w:rPr>
      <w:rFonts w:ascii="Arial" w:hAnsi="Arial" w:eastAsia="Arial" w:cs="Arial"/>
      <w:b/>
      <w:bCs/>
      <w:sz w:val="24"/>
      <w:szCs w:val="24"/>
    </w:rPr>
  </w:style>
  <w:style w:type="character" w:styleId="1124">
    <w:name w:val="Heading 6 Char"/>
    <w:basedOn w:val="1279"/>
    <w:link w:val="1275"/>
    <w:uiPriority w:val="9"/>
    <w:rPr>
      <w:rFonts w:ascii="Arial" w:hAnsi="Arial" w:eastAsia="Arial" w:cs="Arial"/>
      <w:b/>
      <w:bCs/>
      <w:sz w:val="22"/>
      <w:szCs w:val="22"/>
    </w:rPr>
  </w:style>
  <w:style w:type="character" w:styleId="1125">
    <w:name w:val="Heading 7 Char"/>
    <w:basedOn w:val="1279"/>
    <w:link w:val="1276"/>
    <w:uiPriority w:val="9"/>
    <w:rPr>
      <w:rFonts w:ascii="Arial" w:hAnsi="Arial" w:eastAsia="Arial" w:cs="Arial"/>
      <w:b/>
      <w:bCs/>
      <w:i/>
      <w:iCs/>
      <w:sz w:val="22"/>
      <w:szCs w:val="22"/>
    </w:rPr>
  </w:style>
  <w:style w:type="character" w:styleId="1126">
    <w:name w:val="Heading 8 Char"/>
    <w:basedOn w:val="1279"/>
    <w:link w:val="1277"/>
    <w:uiPriority w:val="9"/>
    <w:rPr>
      <w:rFonts w:ascii="Arial" w:hAnsi="Arial" w:eastAsia="Arial" w:cs="Arial"/>
      <w:i/>
      <w:iCs/>
      <w:sz w:val="22"/>
      <w:szCs w:val="22"/>
    </w:rPr>
  </w:style>
  <w:style w:type="character" w:styleId="1127">
    <w:name w:val="Heading 9 Char"/>
    <w:basedOn w:val="1279"/>
    <w:link w:val="1278"/>
    <w:uiPriority w:val="9"/>
    <w:rPr>
      <w:rFonts w:ascii="Arial" w:hAnsi="Arial" w:eastAsia="Arial" w:cs="Arial"/>
      <w:i/>
      <w:iCs/>
      <w:sz w:val="21"/>
      <w:szCs w:val="21"/>
    </w:rPr>
  </w:style>
  <w:style w:type="character" w:styleId="1128">
    <w:name w:val="Title Char"/>
    <w:basedOn w:val="1279"/>
    <w:link w:val="1313"/>
    <w:uiPriority w:val="10"/>
    <w:rPr>
      <w:sz w:val="48"/>
      <w:szCs w:val="48"/>
    </w:rPr>
  </w:style>
  <w:style w:type="paragraph" w:styleId="1129">
    <w:name w:val="Subtitle"/>
    <w:basedOn w:val="1269"/>
    <w:next w:val="1269"/>
    <w:link w:val="1130"/>
    <w:uiPriority w:val="11"/>
    <w:qFormat/>
    <w:pPr>
      <w:spacing w:before="200" w:after="200"/>
    </w:pPr>
    <w:rPr>
      <w:sz w:val="24"/>
      <w:szCs w:val="24"/>
    </w:rPr>
  </w:style>
  <w:style w:type="character" w:styleId="1130">
    <w:name w:val="Subtitle Char"/>
    <w:basedOn w:val="1279"/>
    <w:link w:val="1129"/>
    <w:uiPriority w:val="11"/>
    <w:rPr>
      <w:sz w:val="24"/>
      <w:szCs w:val="24"/>
    </w:rPr>
  </w:style>
  <w:style w:type="paragraph" w:styleId="1131">
    <w:name w:val="Quote"/>
    <w:basedOn w:val="1269"/>
    <w:next w:val="1269"/>
    <w:link w:val="1132"/>
    <w:uiPriority w:val="29"/>
    <w:qFormat/>
    <w:pPr>
      <w:ind w:left="720" w:right="720"/>
    </w:pPr>
    <w:rPr>
      <w:i/>
    </w:rPr>
  </w:style>
  <w:style w:type="character" w:styleId="1132">
    <w:name w:val="Quote Char"/>
    <w:link w:val="1131"/>
    <w:uiPriority w:val="29"/>
    <w:rPr>
      <w:i/>
    </w:rPr>
  </w:style>
  <w:style w:type="character" w:styleId="1133">
    <w:name w:val="Intense Quote Char"/>
    <w:link w:val="1328"/>
    <w:uiPriority w:val="30"/>
    <w:rPr>
      <w:i/>
    </w:rPr>
  </w:style>
  <w:style w:type="character" w:styleId="1134">
    <w:name w:val="Header Char"/>
    <w:basedOn w:val="1279"/>
    <w:link w:val="1302"/>
    <w:uiPriority w:val="99"/>
  </w:style>
  <w:style w:type="character" w:styleId="1135">
    <w:name w:val="Footer Char"/>
    <w:basedOn w:val="1279"/>
    <w:link w:val="1301"/>
    <w:uiPriority w:val="99"/>
  </w:style>
  <w:style w:type="character" w:styleId="1136">
    <w:name w:val="Caption Char"/>
    <w:basedOn w:val="1285"/>
    <w:link w:val="1301"/>
    <w:uiPriority w:val="99"/>
  </w:style>
  <w:style w:type="table" w:styleId="1137">
    <w:name w:val="Table Grid Light"/>
    <w:basedOn w:val="12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38">
    <w:name w:val="Plain Table 1"/>
    <w:basedOn w:val="12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9">
    <w:name w:val="Plain Table 2"/>
    <w:basedOn w:val="12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0">
    <w:name w:val="Plain Table 3"/>
    <w:basedOn w:val="12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1">
    <w:name w:val="Plain Table 4"/>
    <w:basedOn w:val="12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2">
    <w:name w:val="Plain Table 5"/>
    <w:basedOn w:val="12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3">
    <w:name w:val="Grid Table 1 Light"/>
    <w:basedOn w:val="12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44">
    <w:name w:val="Grid Table 1 Light - Accent 1"/>
    <w:basedOn w:val="12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45">
    <w:name w:val="Grid Table 1 Light - Accent 2"/>
    <w:basedOn w:val="12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46">
    <w:name w:val="Grid Table 1 Light - Accent 3"/>
    <w:basedOn w:val="12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47">
    <w:name w:val="Grid Table 1 Light - Accent 4"/>
    <w:basedOn w:val="12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48">
    <w:name w:val="Grid Table 1 Light - Accent 5"/>
    <w:basedOn w:val="12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49">
    <w:name w:val="Grid Table 1 Light - Accent 6"/>
    <w:basedOn w:val="12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50">
    <w:name w:val="Grid Table 2"/>
    <w:basedOn w:val="12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1">
    <w:name w:val="Grid Table 2 - Accent 1"/>
    <w:basedOn w:val="12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52">
    <w:name w:val="Grid Table 2 - Accent 2"/>
    <w:basedOn w:val="12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53">
    <w:name w:val="Grid Table 2 - Accent 3"/>
    <w:basedOn w:val="12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54">
    <w:name w:val="Grid Table 2 - Accent 4"/>
    <w:basedOn w:val="12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55">
    <w:name w:val="Grid Table 2 - Accent 5"/>
    <w:basedOn w:val="12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56">
    <w:name w:val="Grid Table 2 - Accent 6"/>
    <w:basedOn w:val="12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57">
    <w:name w:val="Grid Table 3"/>
    <w:basedOn w:val="12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8">
    <w:name w:val="Grid Table 3 - Accent 1"/>
    <w:basedOn w:val="12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9">
    <w:name w:val="Grid Table 3 - Accent 2"/>
    <w:basedOn w:val="12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0">
    <w:name w:val="Grid Table 3 - Accent 3"/>
    <w:basedOn w:val="12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1">
    <w:name w:val="Grid Table 3 - Accent 4"/>
    <w:basedOn w:val="12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2">
    <w:name w:val="Grid Table 3 - Accent 5"/>
    <w:basedOn w:val="12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3">
    <w:name w:val="Grid Table 3 - Accent 6"/>
    <w:basedOn w:val="12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4">
    <w:name w:val="Grid Table 4"/>
    <w:basedOn w:val="12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5">
    <w:name w:val="Grid Table 4 - Accent 1"/>
    <w:basedOn w:val="12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66">
    <w:name w:val="Grid Table 4 - Accent 2"/>
    <w:basedOn w:val="12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67">
    <w:name w:val="Grid Table 4 - Accent 3"/>
    <w:basedOn w:val="12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68">
    <w:name w:val="Grid Table 4 - Accent 4"/>
    <w:basedOn w:val="12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69">
    <w:name w:val="Grid Table 4 - Accent 5"/>
    <w:basedOn w:val="12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70">
    <w:name w:val="Grid Table 4 - Accent 6"/>
    <w:basedOn w:val="12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71">
    <w:name w:val="Grid Table 5 Dark"/>
    <w:basedOn w:val="12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72">
    <w:name w:val="Grid Table 5 Dark- Accent 1"/>
    <w:basedOn w:val="12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73">
    <w:name w:val="Grid Table 5 Dark - Accent 2"/>
    <w:basedOn w:val="12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74">
    <w:name w:val="Grid Table 5 Dark - Accent 3"/>
    <w:basedOn w:val="12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75">
    <w:name w:val="Grid Table 5 Dark- Accent 4"/>
    <w:basedOn w:val="12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76">
    <w:name w:val="Grid Table 5 Dark - Accent 5"/>
    <w:basedOn w:val="12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77">
    <w:name w:val="Grid Table 5 Dark - Accent 6"/>
    <w:basedOn w:val="12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78">
    <w:name w:val="Grid Table 6 Colorful"/>
    <w:basedOn w:val="12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79">
    <w:name w:val="Grid Table 6 Colorful - Accent 1"/>
    <w:basedOn w:val="12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80">
    <w:name w:val="Grid Table 6 Colorful - Accent 2"/>
    <w:basedOn w:val="12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81">
    <w:name w:val="Grid Table 6 Colorful - Accent 3"/>
    <w:basedOn w:val="12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82">
    <w:name w:val="Grid Table 6 Colorful - Accent 4"/>
    <w:basedOn w:val="12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83">
    <w:name w:val="Grid Table 6 Colorful - Accent 5"/>
    <w:basedOn w:val="12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84">
    <w:name w:val="Grid Table 6 Colorful - Accent 6"/>
    <w:basedOn w:val="12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85">
    <w:name w:val="Grid Table 7 Colorful"/>
    <w:basedOn w:val="12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86">
    <w:name w:val="Grid Table 7 Colorful - Accent 1"/>
    <w:basedOn w:val="12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87">
    <w:name w:val="Grid Table 7 Colorful - Accent 2"/>
    <w:basedOn w:val="12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88">
    <w:name w:val="Grid Table 7 Colorful - Accent 3"/>
    <w:basedOn w:val="12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89">
    <w:name w:val="Grid Table 7 Colorful - Accent 4"/>
    <w:basedOn w:val="12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90">
    <w:name w:val="Grid Table 7 Colorful - Accent 5"/>
    <w:basedOn w:val="12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91">
    <w:name w:val="Grid Table 7 Colorful - Accent 6"/>
    <w:basedOn w:val="12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92">
    <w:name w:val="List Table 1 Light"/>
    <w:basedOn w:val="12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3">
    <w:name w:val="List Table 1 Light - Accent 1"/>
    <w:basedOn w:val="12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94">
    <w:name w:val="List Table 1 Light - Accent 2"/>
    <w:basedOn w:val="12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95">
    <w:name w:val="List Table 1 Light - Accent 3"/>
    <w:basedOn w:val="12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96">
    <w:name w:val="List Table 1 Light - Accent 4"/>
    <w:basedOn w:val="12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97">
    <w:name w:val="List Table 1 Light - Accent 5"/>
    <w:basedOn w:val="12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98">
    <w:name w:val="List Table 1 Light - Accent 6"/>
    <w:basedOn w:val="12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99">
    <w:name w:val="List Table 2"/>
    <w:basedOn w:val="12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00">
    <w:name w:val="List Table 2 - Accent 1"/>
    <w:basedOn w:val="12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01">
    <w:name w:val="List Table 2 - Accent 2"/>
    <w:basedOn w:val="12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02">
    <w:name w:val="List Table 2 - Accent 3"/>
    <w:basedOn w:val="12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03">
    <w:name w:val="List Table 2 - Accent 4"/>
    <w:basedOn w:val="12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04">
    <w:name w:val="List Table 2 - Accent 5"/>
    <w:basedOn w:val="12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05">
    <w:name w:val="List Table 2 - Accent 6"/>
    <w:basedOn w:val="12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06">
    <w:name w:val="List Table 3"/>
    <w:basedOn w:val="12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7">
    <w:name w:val="List Table 3 - Accent 1"/>
    <w:basedOn w:val="12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8">
    <w:name w:val="List Table 3 - Accent 2"/>
    <w:basedOn w:val="12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9">
    <w:name w:val="List Table 3 - Accent 3"/>
    <w:basedOn w:val="12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0">
    <w:name w:val="List Table 3 - Accent 4"/>
    <w:basedOn w:val="12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11">
    <w:name w:val="List Table 3 - Accent 5"/>
    <w:basedOn w:val="12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12">
    <w:name w:val="List Table 3 - Accent 6"/>
    <w:basedOn w:val="12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13">
    <w:name w:val="List Table 4"/>
    <w:basedOn w:val="12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4">
    <w:name w:val="List Table 4 - Accent 1"/>
    <w:basedOn w:val="12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5">
    <w:name w:val="List Table 4 - Accent 2"/>
    <w:basedOn w:val="12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16">
    <w:name w:val="List Table 4 - Accent 3"/>
    <w:basedOn w:val="12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17">
    <w:name w:val="List Table 4 - Accent 4"/>
    <w:basedOn w:val="12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18">
    <w:name w:val="List Table 4 - Accent 5"/>
    <w:basedOn w:val="12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19">
    <w:name w:val="List Table 4 - Accent 6"/>
    <w:basedOn w:val="12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20">
    <w:name w:val="List Table 5 Dark"/>
    <w:basedOn w:val="12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1">
    <w:name w:val="List Table 5 Dark - Accent 1"/>
    <w:basedOn w:val="12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2">
    <w:name w:val="List Table 5 Dark - Accent 2"/>
    <w:basedOn w:val="12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3">
    <w:name w:val="List Table 5 Dark - Accent 3"/>
    <w:basedOn w:val="12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4">
    <w:name w:val="List Table 5 Dark - Accent 4"/>
    <w:basedOn w:val="12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5">
    <w:name w:val="List Table 5 Dark - Accent 5"/>
    <w:basedOn w:val="12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6">
    <w:name w:val="List Table 5 Dark - Accent 6"/>
    <w:basedOn w:val="12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7">
    <w:name w:val="List Table 6 Colorful"/>
    <w:basedOn w:val="12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28">
    <w:name w:val="List Table 6 Colorful - Accent 1"/>
    <w:basedOn w:val="12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29">
    <w:name w:val="List Table 6 Colorful - Accent 2"/>
    <w:basedOn w:val="12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30">
    <w:name w:val="List Table 6 Colorful - Accent 3"/>
    <w:basedOn w:val="12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31">
    <w:name w:val="List Table 6 Colorful - Accent 4"/>
    <w:basedOn w:val="12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32">
    <w:name w:val="List Table 6 Colorful - Accent 5"/>
    <w:basedOn w:val="12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33">
    <w:name w:val="List Table 6 Colorful - Accent 6"/>
    <w:basedOn w:val="12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34">
    <w:name w:val="List Table 7 Colorful"/>
    <w:basedOn w:val="12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35">
    <w:name w:val="List Table 7 Colorful - Accent 1"/>
    <w:basedOn w:val="12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36">
    <w:name w:val="List Table 7 Colorful - Accent 2"/>
    <w:basedOn w:val="12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37">
    <w:name w:val="List Table 7 Colorful - Accent 3"/>
    <w:basedOn w:val="12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38">
    <w:name w:val="List Table 7 Colorful - Accent 4"/>
    <w:basedOn w:val="12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39">
    <w:name w:val="List Table 7 Colorful - Accent 5"/>
    <w:basedOn w:val="12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40">
    <w:name w:val="List Table 7 Colorful - Accent 6"/>
    <w:basedOn w:val="12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41">
    <w:name w:val="Lined - Accent"/>
    <w:basedOn w:val="12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2">
    <w:name w:val="Lined - Accent 1"/>
    <w:basedOn w:val="12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3">
    <w:name w:val="Lined - Accent 2"/>
    <w:basedOn w:val="12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44">
    <w:name w:val="Lined - Accent 3"/>
    <w:basedOn w:val="12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5">
    <w:name w:val="Lined - Accent 4"/>
    <w:basedOn w:val="12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6">
    <w:name w:val="Lined - Accent 5"/>
    <w:basedOn w:val="12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7">
    <w:name w:val="Lined - Accent 6"/>
    <w:basedOn w:val="12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48">
    <w:name w:val="Bordered &amp; Lined - Accent"/>
    <w:basedOn w:val="12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9">
    <w:name w:val="Bordered &amp; Lined - Accent 1"/>
    <w:basedOn w:val="12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50">
    <w:name w:val="Bordered &amp; Lined - Accent 2"/>
    <w:basedOn w:val="12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1">
    <w:name w:val="Bordered &amp; Lined - Accent 3"/>
    <w:basedOn w:val="12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2">
    <w:name w:val="Bordered &amp; Lined - Accent 4"/>
    <w:basedOn w:val="12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3">
    <w:name w:val="Bordered &amp; Lined - Accent 5"/>
    <w:basedOn w:val="12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4">
    <w:name w:val="Bordered &amp; Lined - Accent 6"/>
    <w:basedOn w:val="12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5">
    <w:name w:val="Bordered"/>
    <w:basedOn w:val="12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56">
    <w:name w:val="Bordered - Accent 1"/>
    <w:basedOn w:val="12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57">
    <w:name w:val="Bordered - Accent 2"/>
    <w:basedOn w:val="12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58">
    <w:name w:val="Bordered - Accent 3"/>
    <w:basedOn w:val="12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59">
    <w:name w:val="Bordered - Accent 4"/>
    <w:basedOn w:val="12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60">
    <w:name w:val="Bordered - Accent 5"/>
    <w:basedOn w:val="12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61">
    <w:name w:val="Bordered - Accent 6"/>
    <w:basedOn w:val="12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62">
    <w:name w:val="Footnote Text Char"/>
    <w:link w:val="1305"/>
    <w:uiPriority w:val="99"/>
    <w:rPr>
      <w:sz w:val="18"/>
    </w:rPr>
  </w:style>
  <w:style w:type="character" w:styleId="1263">
    <w:name w:val="footnote reference"/>
    <w:basedOn w:val="1279"/>
    <w:uiPriority w:val="99"/>
    <w:unhideWhenUsed/>
    <w:rPr>
      <w:vertAlign w:val="superscript"/>
    </w:rPr>
  </w:style>
  <w:style w:type="paragraph" w:styleId="1264">
    <w:name w:val="endnote text"/>
    <w:basedOn w:val="1269"/>
    <w:link w:val="1265"/>
    <w:uiPriority w:val="99"/>
    <w:semiHidden/>
    <w:unhideWhenUsed/>
    <w:pPr>
      <w:spacing w:after="0" w:line="240" w:lineRule="auto"/>
    </w:pPr>
    <w:rPr>
      <w:sz w:val="20"/>
    </w:rPr>
  </w:style>
  <w:style w:type="character" w:styleId="1265">
    <w:name w:val="Endnote Text Char"/>
    <w:link w:val="1264"/>
    <w:uiPriority w:val="99"/>
    <w:rPr>
      <w:sz w:val="20"/>
    </w:rPr>
  </w:style>
  <w:style w:type="character" w:styleId="1266">
    <w:name w:val="endnote reference"/>
    <w:basedOn w:val="1279"/>
    <w:uiPriority w:val="99"/>
    <w:semiHidden/>
    <w:unhideWhenUsed/>
    <w:rPr>
      <w:vertAlign w:val="superscript"/>
    </w:rPr>
  </w:style>
  <w:style w:type="paragraph" w:styleId="1267">
    <w:name w:val="TOC Heading"/>
    <w:uiPriority w:val="39"/>
    <w:unhideWhenUsed/>
  </w:style>
  <w:style w:type="paragraph" w:styleId="1268">
    <w:name w:val="table of figures"/>
    <w:basedOn w:val="1269"/>
    <w:next w:val="1269"/>
    <w:uiPriority w:val="99"/>
    <w:unhideWhenUsed/>
    <w:pPr>
      <w:spacing w:after="0" w:afterAutospacing="0"/>
    </w:pPr>
  </w:style>
  <w:style w:type="paragraph" w:styleId="1269" w:default="1">
    <w:name w:val="Normal"/>
    <w:next w:val="1281"/>
    <w:uiPriority w:val="0"/>
    <w:qFormat/>
    <w:pPr>
      <w:jc w:val="both"/>
      <w:widowControl w:val="off"/>
    </w:pPr>
    <w:rPr>
      <w:rFonts w:ascii="Times New Roman" w:hAnsi="Times New Roman" w:eastAsia="宋体" w:cs="Times New Roman"/>
      <w:sz w:val="21"/>
      <w:szCs w:val="24"/>
      <w:lang w:val="en-US" w:eastAsia="zh-CN" w:bidi="ar-SA"/>
    </w:rPr>
  </w:style>
  <w:style w:type="paragraph" w:styleId="1270">
    <w:name w:val="Heading 1"/>
    <w:basedOn w:val="1269"/>
    <w:next w:val="1269"/>
    <w:link w:val="1329"/>
    <w:uiPriority w:val="0"/>
    <w:qFormat/>
    <w:pPr>
      <w:jc w:val="center"/>
      <w:keepLines/>
      <w:keepNext/>
      <w:spacing w:before="240" w:after="120" w:line="300" w:lineRule="auto"/>
      <w:outlineLvl w:val="0"/>
    </w:pPr>
    <w:rPr>
      <w:rFonts w:ascii="宋体"/>
      <w:b/>
      <w:sz w:val="32"/>
      <w:szCs w:val="20"/>
    </w:rPr>
  </w:style>
  <w:style w:type="paragraph" w:styleId="1271">
    <w:name w:val="Heading 2"/>
    <w:basedOn w:val="1269"/>
    <w:next w:val="1282"/>
    <w:link w:val="1330"/>
    <w:uiPriority w:val="0"/>
    <w:qFormat/>
    <w:pPr>
      <w:jc w:val="center"/>
      <w:keepLines/>
      <w:keepNext/>
      <w:spacing w:before="120" w:line="300" w:lineRule="auto"/>
      <w:outlineLvl w:val="1"/>
    </w:pPr>
    <w:rPr>
      <w:rFonts w:ascii="Arial" w:hAnsi="Arial" w:eastAsia="黑体"/>
      <w:b/>
      <w:sz w:val="30"/>
      <w:szCs w:val="20"/>
    </w:rPr>
  </w:style>
  <w:style w:type="paragraph" w:styleId="1272">
    <w:name w:val="Heading 3"/>
    <w:basedOn w:val="1269"/>
    <w:next w:val="1269"/>
    <w:link w:val="1332"/>
    <w:uiPriority w:val="0"/>
    <w:qFormat/>
    <w:pPr>
      <w:jc w:val="left"/>
      <w:keepLines/>
      <w:keepNext/>
      <w:spacing w:before="360" w:after="120"/>
      <w:outlineLvl w:val="2"/>
    </w:pPr>
    <w:rPr>
      <w:rFonts w:ascii="宋体"/>
      <w:b/>
      <w:sz w:val="24"/>
      <w:szCs w:val="20"/>
      <w:u w:val="single"/>
    </w:rPr>
  </w:style>
  <w:style w:type="paragraph" w:styleId="1273">
    <w:name w:val="Heading 4"/>
    <w:basedOn w:val="1269"/>
    <w:next w:val="1269"/>
    <w:link w:val="1333"/>
    <w:uiPriority w:val="0"/>
    <w:qFormat/>
    <w:pPr>
      <w:keepLines/>
      <w:keepNext/>
      <w:spacing w:before="280" w:after="290" w:line="376" w:lineRule="atLeast"/>
      <w:outlineLvl w:val="3"/>
    </w:pPr>
    <w:rPr>
      <w:rFonts w:ascii="Arial" w:hAnsi="Arial" w:eastAsia="黑体"/>
      <w:b/>
      <w:sz w:val="28"/>
      <w:szCs w:val="20"/>
    </w:rPr>
  </w:style>
  <w:style w:type="paragraph" w:styleId="1274">
    <w:name w:val="Heading 5"/>
    <w:basedOn w:val="1269"/>
    <w:next w:val="1269"/>
    <w:link w:val="1334"/>
    <w:uiPriority w:val="0"/>
    <w:qFormat/>
    <w:pPr>
      <w:keepLines/>
      <w:keepNext/>
      <w:spacing w:before="280" w:after="290" w:line="376" w:lineRule="atLeast"/>
      <w:outlineLvl w:val="4"/>
    </w:pPr>
    <w:rPr>
      <w:b/>
      <w:sz w:val="28"/>
      <w:szCs w:val="20"/>
    </w:rPr>
  </w:style>
  <w:style w:type="paragraph" w:styleId="1275">
    <w:name w:val="Heading 6"/>
    <w:basedOn w:val="1269"/>
    <w:next w:val="1269"/>
    <w:link w:val="1335"/>
    <w:uiPriority w:val="0"/>
    <w:qFormat/>
    <w:pPr>
      <w:keepLines/>
      <w:keepNext/>
      <w:spacing w:before="240" w:after="64" w:line="320" w:lineRule="atLeast"/>
      <w:outlineLvl w:val="5"/>
    </w:pPr>
    <w:rPr>
      <w:rFonts w:ascii="Arial" w:hAnsi="Arial" w:eastAsia="黑体"/>
      <w:b/>
      <w:sz w:val="24"/>
      <w:szCs w:val="20"/>
    </w:rPr>
  </w:style>
  <w:style w:type="paragraph" w:styleId="1276">
    <w:name w:val="Heading 7"/>
    <w:basedOn w:val="1269"/>
    <w:next w:val="1269"/>
    <w:link w:val="1336"/>
    <w:uiPriority w:val="0"/>
    <w:qFormat/>
    <w:pPr>
      <w:keepLines/>
      <w:keepNext/>
      <w:spacing w:before="240" w:after="64" w:line="320" w:lineRule="atLeast"/>
      <w:outlineLvl w:val="6"/>
    </w:pPr>
    <w:rPr>
      <w:b/>
      <w:sz w:val="24"/>
      <w:szCs w:val="20"/>
    </w:rPr>
  </w:style>
  <w:style w:type="paragraph" w:styleId="1277">
    <w:name w:val="Heading 8"/>
    <w:basedOn w:val="1269"/>
    <w:next w:val="1269"/>
    <w:link w:val="1337"/>
    <w:uiPriority w:val="0"/>
    <w:qFormat/>
    <w:pPr>
      <w:keepLines/>
      <w:keepNext/>
      <w:spacing w:before="240" w:after="64" w:line="320" w:lineRule="atLeast"/>
      <w:outlineLvl w:val="7"/>
    </w:pPr>
    <w:rPr>
      <w:rFonts w:ascii="Arial" w:hAnsi="Arial" w:eastAsia="黑体"/>
      <w:sz w:val="24"/>
      <w:szCs w:val="20"/>
    </w:rPr>
  </w:style>
  <w:style w:type="paragraph" w:styleId="1278">
    <w:name w:val="Heading 9"/>
    <w:basedOn w:val="1269"/>
    <w:next w:val="1269"/>
    <w:link w:val="1338"/>
    <w:uiPriority w:val="0"/>
    <w:qFormat/>
    <w:pPr>
      <w:keepLines/>
      <w:keepNext/>
      <w:spacing w:before="240" w:after="64" w:line="320" w:lineRule="atLeast"/>
      <w:outlineLvl w:val="8"/>
    </w:pPr>
    <w:rPr>
      <w:rFonts w:ascii="Arial" w:hAnsi="Arial" w:eastAsia="黑体"/>
      <w:szCs w:val="20"/>
    </w:rPr>
  </w:style>
  <w:style w:type="character" w:styleId="1279" w:default="1">
    <w:name w:val="Default Paragraph Font"/>
    <w:uiPriority w:val="1"/>
    <w:semiHidden/>
    <w:unhideWhenUsed/>
  </w:style>
  <w:style w:type="table" w:styleId="1280" w:default="1">
    <w:name w:val="Normal Table"/>
    <w:uiPriority w:val="99"/>
    <w:semiHidden/>
    <w:unhideWhenUsed/>
    <w:qFormat/>
    <w:tblPr>
      <w:tblCellMar>
        <w:left w:w="108" w:type="dxa"/>
        <w:top w:w="0" w:type="dxa"/>
        <w:right w:w="108" w:type="dxa"/>
        <w:bottom w:w="0" w:type="dxa"/>
      </w:tblCellMar>
    </w:tblPr>
  </w:style>
  <w:style w:type="paragraph" w:styleId="1281">
    <w:name w:val="Body Text"/>
    <w:basedOn w:val="1269"/>
    <w:link w:val="1342"/>
    <w:uiPriority w:val="0"/>
    <w:qFormat/>
    <w:pPr>
      <w:spacing w:before="120" w:line="22" w:lineRule="atLeast"/>
      <w:tabs>
        <w:tab w:val="left" w:pos="567" w:leader="none"/>
      </w:tabs>
    </w:pPr>
    <w:rPr>
      <w:rFonts w:ascii="宋体" w:hAnsi="宋体"/>
      <w:sz w:val="24"/>
    </w:rPr>
  </w:style>
  <w:style w:type="paragraph" w:styleId="1282">
    <w:name w:val="Normal Indent"/>
    <w:basedOn w:val="1269"/>
    <w:link w:val="1331"/>
    <w:uiPriority w:val="0"/>
    <w:qFormat/>
    <w:pPr>
      <w:ind w:firstLine="420"/>
      <w:jc w:val="left"/>
    </w:pPr>
    <w:rPr>
      <w:rFonts w:ascii="宋体"/>
      <w:sz w:val="24"/>
    </w:rPr>
  </w:style>
  <w:style w:type="paragraph" w:styleId="1283">
    <w:name w:val="toc 7"/>
    <w:basedOn w:val="1269"/>
    <w:next w:val="1269"/>
    <w:uiPriority w:val="0"/>
    <w:qFormat/>
    <w:pPr>
      <w:ind w:left="2520"/>
    </w:pPr>
  </w:style>
  <w:style w:type="paragraph" w:styleId="1284">
    <w:name w:val="table of authorities"/>
    <w:basedOn w:val="1269"/>
    <w:next w:val="1269"/>
    <w:uiPriority w:val="99"/>
    <w:unhideWhenUsed/>
    <w:qFormat/>
    <w:pPr>
      <w:ind w:left="420"/>
    </w:pPr>
  </w:style>
  <w:style w:type="paragraph" w:styleId="1285">
    <w:name w:val="Caption"/>
    <w:basedOn w:val="1269"/>
    <w:next w:val="1269"/>
    <w:uiPriority w:val="0"/>
    <w:qFormat/>
    <w:pPr>
      <w:spacing w:line="480" w:lineRule="auto"/>
    </w:pPr>
    <w:rPr>
      <w:rFonts w:ascii="华文中宋" w:hAnsi="华文中宋" w:eastAsia="华文中宋"/>
      <w:sz w:val="36"/>
      <w:szCs w:val="20"/>
    </w:rPr>
  </w:style>
  <w:style w:type="paragraph" w:styleId="1286">
    <w:name w:val="index 5"/>
    <w:basedOn w:val="1269"/>
    <w:next w:val="1269"/>
    <w:uiPriority w:val="99"/>
    <w:unhideWhenUsed/>
    <w:qFormat/>
    <w:pPr>
      <w:ind w:left="800"/>
    </w:pPr>
  </w:style>
  <w:style w:type="paragraph" w:styleId="1287">
    <w:name w:val="Document Map"/>
    <w:basedOn w:val="1269"/>
    <w:link w:val="1339"/>
    <w:uiPriority w:val="0"/>
    <w:qFormat/>
    <w:pPr>
      <w:shd w:val="clear" w:color="auto" w:fill="000080"/>
    </w:pPr>
  </w:style>
  <w:style w:type="paragraph" w:styleId="1288">
    <w:name w:val="annotation text"/>
    <w:basedOn w:val="1269"/>
    <w:link w:val="1340"/>
    <w:uiPriority w:val="99"/>
    <w:qFormat/>
    <w:pPr>
      <w:jc w:val="left"/>
    </w:pPr>
  </w:style>
  <w:style w:type="paragraph" w:styleId="1289">
    <w:name w:val="Body Text 3"/>
    <w:basedOn w:val="1269"/>
    <w:link w:val="1341"/>
    <w:uiPriority w:val="0"/>
    <w:qFormat/>
    <w:pPr>
      <w:spacing w:after="120"/>
    </w:pPr>
    <w:rPr>
      <w:sz w:val="16"/>
      <w:szCs w:val="16"/>
    </w:rPr>
  </w:style>
  <w:style w:type="paragraph" w:styleId="1290">
    <w:name w:val="Body Text Indent"/>
    <w:basedOn w:val="1269"/>
    <w:next w:val="1291"/>
    <w:link w:val="1343"/>
    <w:uiPriority w:val="0"/>
    <w:qFormat/>
    <w:pPr>
      <w:ind w:firstLine="570"/>
      <w:spacing w:line="360" w:lineRule="auto"/>
    </w:pPr>
    <w:rPr>
      <w:sz w:val="24"/>
    </w:rPr>
  </w:style>
  <w:style w:type="paragraph" w:styleId="1291">
    <w:name w:val="envelope return"/>
    <w:basedOn w:val="1269"/>
    <w:uiPriority w:val="99"/>
    <w:unhideWhenUsed/>
    <w:qFormat/>
    <w:rPr>
      <w:rFonts w:ascii="Arial" w:hAnsi="Arial"/>
    </w:rPr>
  </w:style>
  <w:style w:type="paragraph" w:styleId="1292">
    <w:name w:val="List 2"/>
    <w:basedOn w:val="1269"/>
    <w:uiPriority w:val="0"/>
    <w:qFormat/>
    <w:pPr>
      <w:ind w:left="100" w:hanging="200"/>
    </w:pPr>
  </w:style>
  <w:style w:type="paragraph" w:styleId="1293">
    <w:name w:val="Block Text"/>
    <w:basedOn w:val="1269"/>
    <w:next w:val="1269"/>
    <w:uiPriority w:val="0"/>
    <w:qFormat/>
    <w:pPr>
      <w:ind w:left="480" w:right="-341" w:firstLine="513"/>
      <w:widowControl/>
    </w:pPr>
    <w:rPr>
      <w:sz w:val="24"/>
      <w:szCs w:val="20"/>
    </w:rPr>
  </w:style>
  <w:style w:type="paragraph" w:styleId="1294">
    <w:name w:val="toc 5"/>
    <w:basedOn w:val="1269"/>
    <w:next w:val="1269"/>
    <w:uiPriority w:val="0"/>
    <w:qFormat/>
    <w:pPr>
      <w:ind w:left="1680"/>
    </w:pPr>
  </w:style>
  <w:style w:type="paragraph" w:styleId="1295">
    <w:name w:val="toc 3"/>
    <w:basedOn w:val="1269"/>
    <w:next w:val="1269"/>
    <w:uiPriority w:val="39"/>
    <w:qFormat/>
    <w:pPr>
      <w:ind w:left="840"/>
    </w:pPr>
  </w:style>
  <w:style w:type="paragraph" w:styleId="1296">
    <w:name w:val="Plain Text"/>
    <w:basedOn w:val="1269"/>
    <w:next w:val="1282"/>
    <w:link w:val="1344"/>
    <w:uiPriority w:val="0"/>
    <w:qFormat/>
    <w:rPr>
      <w:rFonts w:hint="eastAsia" w:ascii="宋体" w:hAnsi="Courier New"/>
      <w:szCs w:val="20"/>
    </w:rPr>
  </w:style>
  <w:style w:type="paragraph" w:styleId="1297">
    <w:name w:val="toc 8"/>
    <w:basedOn w:val="1269"/>
    <w:next w:val="1269"/>
    <w:uiPriority w:val="0"/>
    <w:qFormat/>
    <w:pPr>
      <w:ind w:left="2940"/>
    </w:pPr>
  </w:style>
  <w:style w:type="paragraph" w:styleId="1298">
    <w:name w:val="Date"/>
    <w:basedOn w:val="1269"/>
    <w:next w:val="1269"/>
    <w:link w:val="1345"/>
    <w:uiPriority w:val="0"/>
    <w:qFormat/>
    <w:pPr>
      <w:ind w:left="100"/>
    </w:pPr>
    <w:rPr>
      <w:rFonts w:ascii="仿宋_GB2312" w:hAnsi="宋体" w:eastAsia="仿宋_GB2312"/>
      <w:color w:val="000000"/>
      <w:sz w:val="24"/>
    </w:rPr>
  </w:style>
  <w:style w:type="paragraph" w:styleId="1299">
    <w:name w:val="Body Text Indent 2"/>
    <w:basedOn w:val="1269"/>
    <w:link w:val="1346"/>
    <w:uiPriority w:val="0"/>
    <w:qFormat/>
    <w:pPr>
      <w:ind w:firstLine="480"/>
    </w:pPr>
    <w:rPr>
      <w:rFonts w:ascii="仿宋_GB2312" w:eastAsia="仿宋_GB2312"/>
      <w:sz w:val="24"/>
    </w:rPr>
  </w:style>
  <w:style w:type="paragraph" w:styleId="1300">
    <w:name w:val="Balloon Text"/>
    <w:basedOn w:val="1269"/>
    <w:link w:val="1347"/>
    <w:uiPriority w:val="0"/>
    <w:qFormat/>
    <w:rPr>
      <w:sz w:val="18"/>
      <w:szCs w:val="18"/>
    </w:rPr>
  </w:style>
  <w:style w:type="paragraph" w:styleId="1301">
    <w:name w:val="Footer"/>
    <w:basedOn w:val="1269"/>
    <w:link w:val="1348"/>
    <w:uiPriority w:val="99"/>
    <w:qFormat/>
    <w:pPr>
      <w:jc w:val="left"/>
      <w:tabs>
        <w:tab w:val="center" w:pos="4153" w:leader="none"/>
        <w:tab w:val="right" w:pos="8306" w:leader="none"/>
      </w:tabs>
    </w:pPr>
    <w:rPr>
      <w:rFonts w:ascii="宋体"/>
      <w:sz w:val="18"/>
      <w:szCs w:val="20"/>
    </w:rPr>
  </w:style>
  <w:style w:type="paragraph" w:styleId="1302">
    <w:name w:val="Header"/>
    <w:basedOn w:val="1269"/>
    <w:link w:val="1349"/>
    <w:uiPriority w:val="0"/>
    <w:qFormat/>
    <w:pPr>
      <w:jc w:val="center"/>
      <w:tabs>
        <w:tab w:val="center" w:pos="4153" w:leader="none"/>
        <w:tab w:val="right" w:pos="8306" w:leader="none"/>
      </w:tabs>
      <w:pBdr>
        <w:bottom w:val="single" w:color="auto" w:sz="6" w:space="1"/>
      </w:pBdr>
    </w:pPr>
    <w:rPr>
      <w:sz w:val="18"/>
      <w:szCs w:val="18"/>
    </w:rPr>
  </w:style>
  <w:style w:type="paragraph" w:styleId="1303">
    <w:name w:val="toc 1"/>
    <w:basedOn w:val="1269"/>
    <w:next w:val="1269"/>
    <w:uiPriority w:val="39"/>
    <w:qFormat/>
    <w:pPr>
      <w:spacing w:line="300" w:lineRule="auto"/>
      <w:tabs>
        <w:tab w:val="left" w:pos="1050" w:leader="none"/>
        <w:tab w:val="right" w:pos="8937" w:leader="dot"/>
      </w:tabs>
    </w:pPr>
    <w:rPr>
      <w:rFonts w:ascii="宋体" w:hAnsi="宋体"/>
      <w:b/>
      <w:sz w:val="24"/>
    </w:rPr>
  </w:style>
  <w:style w:type="paragraph" w:styleId="1304">
    <w:name w:val="toc 4"/>
    <w:basedOn w:val="1269"/>
    <w:next w:val="1269"/>
    <w:uiPriority w:val="0"/>
    <w:qFormat/>
    <w:pPr>
      <w:ind w:left="1260"/>
    </w:pPr>
  </w:style>
  <w:style w:type="paragraph" w:styleId="1305">
    <w:name w:val="footnote text"/>
    <w:basedOn w:val="1269"/>
    <w:next w:val="1286"/>
    <w:uiPriority w:val="0"/>
    <w:qFormat/>
    <w:pPr>
      <w:ind w:firstLine="425"/>
      <w:jc w:val="left"/>
      <w:spacing w:before="120" w:line="360" w:lineRule="auto"/>
    </w:pPr>
    <w:rPr>
      <w:sz w:val="18"/>
      <w:szCs w:val="20"/>
    </w:rPr>
  </w:style>
  <w:style w:type="paragraph" w:styleId="1306">
    <w:name w:val="toc 6"/>
    <w:basedOn w:val="1269"/>
    <w:next w:val="1269"/>
    <w:uiPriority w:val="0"/>
    <w:qFormat/>
    <w:pPr>
      <w:ind w:left="2100"/>
    </w:pPr>
  </w:style>
  <w:style w:type="paragraph" w:styleId="1307">
    <w:name w:val="Body Text Indent 3"/>
    <w:basedOn w:val="1269"/>
    <w:link w:val="1350"/>
    <w:uiPriority w:val="0"/>
    <w:qFormat/>
    <w:pPr>
      <w:ind w:left="720" w:firstLine="480"/>
      <w:jc w:val="left"/>
      <w:spacing w:before="120" w:line="22" w:lineRule="atLeast"/>
    </w:pPr>
    <w:rPr>
      <w:rFonts w:ascii="宋体"/>
      <w:sz w:val="24"/>
      <w:szCs w:val="20"/>
    </w:rPr>
  </w:style>
  <w:style w:type="paragraph" w:styleId="1308">
    <w:name w:val="toc 2"/>
    <w:basedOn w:val="1269"/>
    <w:next w:val="1269"/>
    <w:uiPriority w:val="39"/>
    <w:qFormat/>
    <w:pPr>
      <w:ind w:left="420"/>
      <w:spacing w:line="312" w:lineRule="auto"/>
      <w:tabs>
        <w:tab w:val="right" w:pos="8937" w:leader="dot"/>
      </w:tabs>
    </w:pPr>
  </w:style>
  <w:style w:type="paragraph" w:styleId="1309">
    <w:name w:val="toc 9"/>
    <w:basedOn w:val="1269"/>
    <w:next w:val="1269"/>
    <w:uiPriority w:val="0"/>
    <w:qFormat/>
    <w:pPr>
      <w:ind w:left="3360"/>
    </w:pPr>
  </w:style>
  <w:style w:type="paragraph" w:styleId="1310">
    <w:name w:val="HTML Preformatted"/>
    <w:basedOn w:val="1269"/>
    <w:link w:val="13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311">
    <w:name w:val="Normal (Web)"/>
    <w:basedOn w:val="1269"/>
    <w:uiPriority w:val="99"/>
    <w:unhideWhenUsed/>
    <w:qFormat/>
    <w:pPr>
      <w:jc w:val="left"/>
      <w:spacing w:before="100" w:beforeAutospacing="1" w:after="100" w:afterAutospacing="1"/>
      <w:widowControl/>
    </w:pPr>
    <w:rPr>
      <w:rFonts w:ascii="宋体" w:hAnsi="宋体" w:cs="宋体"/>
      <w:sz w:val="24"/>
    </w:rPr>
  </w:style>
  <w:style w:type="paragraph" w:styleId="1312">
    <w:name w:val="index 1"/>
    <w:basedOn w:val="1269"/>
    <w:next w:val="1269"/>
    <w:uiPriority w:val="0"/>
    <w:qFormat/>
    <w:rPr>
      <w:szCs w:val="20"/>
    </w:rPr>
  </w:style>
  <w:style w:type="paragraph" w:styleId="1313">
    <w:name w:val="Title"/>
    <w:basedOn w:val="1269"/>
    <w:link w:val="1352"/>
    <w:uiPriority w:val="0"/>
    <w:qFormat/>
    <w:pPr>
      <w:jc w:val="center"/>
      <w:outlineLvl w:val="0"/>
    </w:pPr>
    <w:rPr>
      <w:b/>
      <w:sz w:val="32"/>
      <w:szCs w:val="20"/>
    </w:rPr>
  </w:style>
  <w:style w:type="paragraph" w:styleId="1314">
    <w:name w:val="annotation subject"/>
    <w:basedOn w:val="1288"/>
    <w:next w:val="1288"/>
    <w:link w:val="1353"/>
    <w:uiPriority w:val="0"/>
    <w:qFormat/>
    <w:rPr>
      <w:b/>
      <w:bCs/>
    </w:rPr>
  </w:style>
  <w:style w:type="paragraph" w:styleId="1315">
    <w:name w:val="Body Text First Indent"/>
    <w:basedOn w:val="1281"/>
    <w:next w:val="1306"/>
    <w:uiPriority w:val="0"/>
    <w:qFormat/>
    <w:pPr>
      <w:ind w:firstLine="420"/>
      <w:spacing w:line="360" w:lineRule="auto"/>
    </w:pPr>
  </w:style>
  <w:style w:type="paragraph" w:styleId="1316">
    <w:name w:val="Body Text First Indent 2"/>
    <w:basedOn w:val="1290"/>
    <w:next w:val="1269"/>
    <w:link w:val="1354"/>
    <w:uiPriority w:val="0"/>
    <w:qFormat/>
    <w:pPr>
      <w:ind w:left="420" w:firstLine="420"/>
      <w:spacing w:after="120" w:line="480" w:lineRule="exact"/>
    </w:pPr>
  </w:style>
  <w:style w:type="table" w:styleId="1317">
    <w:name w:val="Table Grid"/>
    <w:basedOn w:val="128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18">
    <w:name w:val="Medium Grid 1 Accent 2"/>
    <w:basedOn w:val="1280"/>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319">
    <w:name w:val="Strong"/>
    <w:uiPriority w:val="0"/>
    <w:qFormat/>
    <w:rPr>
      <w:b/>
      <w:bCs/>
    </w:rPr>
  </w:style>
  <w:style w:type="character" w:styleId="1320">
    <w:name w:val="page number"/>
    <w:uiPriority w:val="0"/>
    <w:qFormat/>
  </w:style>
  <w:style w:type="character" w:styleId="1321">
    <w:name w:val="FollowedHyperlink"/>
    <w:uiPriority w:val="0"/>
    <w:qFormat/>
    <w:rPr>
      <w:color w:val="333333"/>
      <w:u w:val="none"/>
    </w:rPr>
  </w:style>
  <w:style w:type="character" w:styleId="1322">
    <w:name w:val="Emphasis"/>
    <w:uiPriority w:val="0"/>
    <w:qFormat/>
    <w:rPr>
      <w:color w:val="cc0033"/>
    </w:rPr>
  </w:style>
  <w:style w:type="character" w:styleId="1323">
    <w:name w:val="Hyperlink"/>
    <w:uiPriority w:val="99"/>
    <w:qFormat/>
    <w:rPr>
      <w:color w:val="333333"/>
      <w:u w:val="none"/>
    </w:rPr>
  </w:style>
  <w:style w:type="character" w:styleId="1324">
    <w:name w:val="annotation reference"/>
    <w:uiPriority w:val="99"/>
    <w:qFormat/>
    <w:rPr>
      <w:sz w:val="21"/>
      <w:szCs w:val="21"/>
    </w:rPr>
  </w:style>
  <w:style w:type="character" w:styleId="1325">
    <w:name w:val="HTML Cite"/>
    <w:uiPriority w:val="0"/>
    <w:qFormat/>
    <w:rPr>
      <w:i/>
      <w:iCs/>
    </w:rPr>
  </w:style>
  <w:style w:type="paragraph" w:styleId="1326" w:customStyle="1">
    <w:name w:val="Default"/>
    <w:next w:val="1269"/>
    <w:uiPriority w:val="0"/>
    <w:qFormat/>
    <w:pPr>
      <w:widowControl w:val="off"/>
    </w:pPr>
    <w:rPr>
      <w:rFonts w:ascii="Symbol" w:hAnsi="Symbol" w:eastAsia="宋体" w:cs="Symbol"/>
      <w:color w:val="000000"/>
      <w:sz w:val="24"/>
      <w:szCs w:val="24"/>
      <w:lang w:val="en-US" w:eastAsia="zh-CN" w:bidi="ar-SA"/>
    </w:rPr>
  </w:style>
  <w:style w:type="paragraph" w:styleId="1327" w:customStyle="1">
    <w:name w:val="样式 标题 1 + 宋体 居中 段前: 17 磅 段后: 16.5 磅"/>
    <w:basedOn w:val="1270"/>
    <w:uiPriority w:val="0"/>
    <w:qFormat/>
    <w:pPr>
      <w:ind w:left="840" w:hanging="420"/>
      <w:pageBreakBefore/>
      <w:widowControl/>
      <w:tabs>
        <w:tab w:val="left" w:pos="840" w:leader="none"/>
      </w:tabs>
    </w:pPr>
    <w:rPr>
      <w:rFonts w:ascii="华文中宋" w:hAnsi="华文中宋" w:eastAsia="华文中宋" w:cs="宋体"/>
      <w:sz w:val="28"/>
    </w:rPr>
  </w:style>
  <w:style w:type="paragraph" w:styleId="1328">
    <w:name w:val="Intense Quote"/>
    <w:basedOn w:val="1269"/>
    <w:next w:val="1269"/>
    <w:uiPriority w:val="0"/>
    <w:qFormat/>
    <w:pPr>
      <w:ind w:left="950" w:right="950"/>
      <w:jc w:val="center"/>
      <w:spacing w:before="360" w:after="360"/>
    </w:pPr>
    <w:rPr>
      <w:i/>
    </w:rPr>
  </w:style>
  <w:style w:type="character" w:styleId="1329" w:customStyle="1">
    <w:name w:val="标题 1 字符"/>
    <w:link w:val="1270"/>
    <w:uiPriority w:val="0"/>
    <w:qFormat/>
    <w:rPr>
      <w:rFonts w:ascii="宋体"/>
      <w:b/>
      <w:sz w:val="32"/>
    </w:rPr>
  </w:style>
  <w:style w:type="character" w:styleId="1330" w:customStyle="1">
    <w:name w:val="标题 2 字符"/>
    <w:link w:val="1271"/>
    <w:uiPriority w:val="0"/>
    <w:qFormat/>
    <w:rPr>
      <w:rFonts w:ascii="Arial" w:hAnsi="Arial" w:eastAsia="黑体"/>
      <w:b/>
      <w:sz w:val="30"/>
      <w:lang w:val="en-US" w:eastAsia="zh-CN" w:bidi="ar-SA"/>
    </w:rPr>
  </w:style>
  <w:style w:type="character" w:styleId="1331" w:customStyle="1">
    <w:name w:val="正文缩进 字符"/>
    <w:link w:val="1282"/>
    <w:uiPriority w:val="0"/>
    <w:qFormat/>
    <w:rPr>
      <w:rFonts w:ascii="宋体" w:eastAsia="宋体"/>
      <w:sz w:val="24"/>
      <w:szCs w:val="24"/>
      <w:lang w:val="en-US" w:eastAsia="zh-CN" w:bidi="ar-SA"/>
    </w:rPr>
  </w:style>
  <w:style w:type="character" w:styleId="1332" w:customStyle="1">
    <w:name w:val="标题 3 字符"/>
    <w:link w:val="1272"/>
    <w:uiPriority w:val="0"/>
    <w:qFormat/>
    <w:rPr>
      <w:rFonts w:ascii="宋体" w:eastAsia="宋体"/>
      <w:b/>
      <w:sz w:val="24"/>
      <w:u w:val="single"/>
      <w:lang w:val="en-US" w:eastAsia="zh-CN" w:bidi="ar-SA"/>
    </w:rPr>
  </w:style>
  <w:style w:type="character" w:styleId="1333" w:customStyle="1">
    <w:name w:val="标题 4 字符"/>
    <w:link w:val="1273"/>
    <w:uiPriority w:val="0"/>
    <w:qFormat/>
    <w:rPr>
      <w:rFonts w:ascii="Arial" w:hAnsi="Arial" w:eastAsia="黑体"/>
      <w:b/>
      <w:sz w:val="28"/>
    </w:rPr>
  </w:style>
  <w:style w:type="character" w:styleId="1334" w:customStyle="1">
    <w:name w:val="标题 5 字符"/>
    <w:link w:val="1274"/>
    <w:uiPriority w:val="0"/>
    <w:qFormat/>
    <w:rPr>
      <w:b/>
      <w:sz w:val="28"/>
    </w:rPr>
  </w:style>
  <w:style w:type="character" w:styleId="1335" w:customStyle="1">
    <w:name w:val="标题 6 字符"/>
    <w:link w:val="1275"/>
    <w:uiPriority w:val="0"/>
    <w:qFormat/>
    <w:rPr>
      <w:rFonts w:ascii="Arial" w:hAnsi="Arial" w:eastAsia="黑体"/>
      <w:b/>
      <w:sz w:val="24"/>
    </w:rPr>
  </w:style>
  <w:style w:type="character" w:styleId="1336" w:customStyle="1">
    <w:name w:val="标题 7 字符"/>
    <w:link w:val="1276"/>
    <w:uiPriority w:val="0"/>
    <w:qFormat/>
    <w:rPr>
      <w:b/>
      <w:sz w:val="24"/>
    </w:rPr>
  </w:style>
  <w:style w:type="character" w:styleId="1337" w:customStyle="1">
    <w:name w:val="标题 8 字符"/>
    <w:link w:val="1277"/>
    <w:uiPriority w:val="0"/>
    <w:qFormat/>
    <w:rPr>
      <w:rFonts w:ascii="Arial" w:hAnsi="Arial" w:eastAsia="黑体"/>
      <w:sz w:val="24"/>
    </w:rPr>
  </w:style>
  <w:style w:type="character" w:styleId="1338" w:customStyle="1">
    <w:name w:val="标题 9 字符"/>
    <w:link w:val="1278"/>
    <w:uiPriority w:val="0"/>
    <w:qFormat/>
    <w:rPr>
      <w:rFonts w:ascii="Arial" w:hAnsi="Arial" w:eastAsia="黑体"/>
      <w:sz w:val="21"/>
    </w:rPr>
  </w:style>
  <w:style w:type="character" w:styleId="1339" w:customStyle="1">
    <w:name w:val="文档结构图 字符"/>
    <w:link w:val="1287"/>
    <w:uiPriority w:val="0"/>
    <w:qFormat/>
    <w:rPr>
      <w:sz w:val="21"/>
      <w:szCs w:val="24"/>
      <w:shd w:val="clear" w:color="auto" w:fill="000080"/>
    </w:rPr>
  </w:style>
  <w:style w:type="character" w:styleId="1340" w:customStyle="1">
    <w:name w:val="批注文字 字符1"/>
    <w:link w:val="1288"/>
    <w:uiPriority w:val="99"/>
    <w:qFormat/>
    <w:rPr>
      <w:sz w:val="21"/>
      <w:szCs w:val="24"/>
    </w:rPr>
  </w:style>
  <w:style w:type="character" w:styleId="1341" w:customStyle="1">
    <w:name w:val="正文文本 3 字符"/>
    <w:link w:val="1289"/>
    <w:uiPriority w:val="0"/>
    <w:qFormat/>
    <w:rPr>
      <w:sz w:val="16"/>
      <w:szCs w:val="16"/>
    </w:rPr>
  </w:style>
  <w:style w:type="character" w:styleId="1342" w:customStyle="1">
    <w:name w:val="正文文本 字符"/>
    <w:link w:val="1281"/>
    <w:uiPriority w:val="0"/>
    <w:qFormat/>
    <w:rPr>
      <w:rFonts w:ascii="宋体" w:hAnsi="宋体"/>
      <w:sz w:val="24"/>
      <w:szCs w:val="24"/>
    </w:rPr>
  </w:style>
  <w:style w:type="character" w:styleId="1343" w:customStyle="1">
    <w:name w:val="正文文本缩进 字符"/>
    <w:link w:val="1290"/>
    <w:uiPriority w:val="0"/>
    <w:qFormat/>
    <w:rPr>
      <w:rFonts w:eastAsia="宋体"/>
      <w:sz w:val="24"/>
      <w:szCs w:val="24"/>
      <w:lang w:val="en-US" w:eastAsia="zh-CN" w:bidi="ar-SA"/>
    </w:rPr>
  </w:style>
  <w:style w:type="character" w:styleId="1344" w:customStyle="1">
    <w:name w:val="纯文本 字符2"/>
    <w:link w:val="1296"/>
    <w:uiPriority w:val="0"/>
    <w:qFormat/>
    <w:rPr>
      <w:rFonts w:hint="eastAsia" w:ascii="宋体" w:hAnsi="Courier New" w:eastAsia="宋体" w:cs="宋体"/>
      <w:sz w:val="21"/>
    </w:rPr>
  </w:style>
  <w:style w:type="character" w:styleId="1345" w:customStyle="1">
    <w:name w:val="日期 字符"/>
    <w:link w:val="1298"/>
    <w:uiPriority w:val="0"/>
    <w:qFormat/>
    <w:rPr>
      <w:rFonts w:ascii="仿宋_GB2312" w:hAnsi="宋体" w:eastAsia="仿宋_GB2312"/>
      <w:color w:val="000000"/>
      <w:sz w:val="24"/>
      <w:szCs w:val="24"/>
    </w:rPr>
  </w:style>
  <w:style w:type="character" w:styleId="1346" w:customStyle="1">
    <w:name w:val="正文文本缩进 2 字符"/>
    <w:link w:val="1299"/>
    <w:uiPriority w:val="0"/>
    <w:qFormat/>
    <w:rPr>
      <w:rFonts w:ascii="仿宋_GB2312" w:eastAsia="仿宋_GB2312"/>
      <w:sz w:val="24"/>
      <w:szCs w:val="24"/>
    </w:rPr>
  </w:style>
  <w:style w:type="character" w:styleId="1347" w:customStyle="1">
    <w:name w:val="批注框文本 字符"/>
    <w:link w:val="1300"/>
    <w:uiPriority w:val="0"/>
    <w:qFormat/>
    <w:rPr>
      <w:sz w:val="18"/>
      <w:szCs w:val="18"/>
    </w:rPr>
  </w:style>
  <w:style w:type="character" w:styleId="1348" w:customStyle="1">
    <w:name w:val="页脚 字符"/>
    <w:link w:val="1301"/>
    <w:uiPriority w:val="99"/>
    <w:qFormat/>
    <w:rPr>
      <w:rFonts w:ascii="宋体" w:eastAsia="宋体"/>
      <w:sz w:val="18"/>
      <w:lang w:val="en-US" w:eastAsia="zh-CN" w:bidi="ar-SA"/>
    </w:rPr>
  </w:style>
  <w:style w:type="character" w:styleId="1349" w:customStyle="1">
    <w:name w:val="页眉 字符"/>
    <w:link w:val="1302"/>
    <w:uiPriority w:val="0"/>
    <w:qFormat/>
    <w:rPr>
      <w:rFonts w:eastAsia="宋体"/>
      <w:sz w:val="18"/>
      <w:szCs w:val="18"/>
      <w:lang w:val="en-US" w:eastAsia="zh-CN" w:bidi="ar-SA"/>
    </w:rPr>
  </w:style>
  <w:style w:type="character" w:styleId="1350" w:customStyle="1">
    <w:name w:val="正文文本缩进 3 字符"/>
    <w:link w:val="1307"/>
    <w:uiPriority w:val="0"/>
    <w:qFormat/>
    <w:rPr>
      <w:rFonts w:ascii="宋体"/>
      <w:sz w:val="24"/>
    </w:rPr>
  </w:style>
  <w:style w:type="character" w:styleId="1351" w:customStyle="1">
    <w:name w:val="HTML 预设格式 字符"/>
    <w:link w:val="1310"/>
    <w:uiPriority w:val="0"/>
    <w:qFormat/>
    <w:rPr>
      <w:rFonts w:ascii="宋体" w:hAnsi="宋体" w:cs="宋体"/>
      <w:sz w:val="24"/>
      <w:szCs w:val="24"/>
    </w:rPr>
  </w:style>
  <w:style w:type="character" w:styleId="1352" w:customStyle="1">
    <w:name w:val="标题 字符"/>
    <w:link w:val="1313"/>
    <w:uiPriority w:val="0"/>
    <w:qFormat/>
    <w:rPr>
      <w:b/>
      <w:sz w:val="32"/>
    </w:rPr>
  </w:style>
  <w:style w:type="character" w:styleId="1353" w:customStyle="1">
    <w:name w:val="批注主题 字符"/>
    <w:link w:val="1314"/>
    <w:uiPriority w:val="0"/>
    <w:qFormat/>
    <w:rPr>
      <w:rFonts w:ascii="Times New Roman" w:hAnsi="Times New Roman" w:eastAsia="宋体" w:cs="Times New Roman"/>
      <w:b/>
      <w:bCs/>
      <w:sz w:val="21"/>
      <w:szCs w:val="24"/>
      <w:lang w:val="en-US" w:eastAsia="zh-CN" w:bidi="ar-SA"/>
    </w:rPr>
  </w:style>
  <w:style w:type="character" w:styleId="1354" w:customStyle="1">
    <w:name w:val="正文文本首行缩进 2 字符"/>
    <w:link w:val="1316"/>
    <w:uiPriority w:val="0"/>
    <w:qFormat/>
    <w:rPr>
      <w:rFonts w:eastAsia="宋体"/>
      <w:sz w:val="24"/>
      <w:szCs w:val="24"/>
      <w:lang w:val="en-US" w:eastAsia="zh-CN" w:bidi="ar-SA"/>
    </w:rPr>
  </w:style>
  <w:style w:type="character" w:styleId="1355" w:customStyle="1">
    <w:name w:val="批注文字 字符"/>
    <w:uiPriority w:val="99"/>
    <w:qFormat/>
    <w:rPr>
      <w:rFonts w:ascii="Times New Roman" w:hAnsi="Times New Roman" w:eastAsia="宋体" w:cs="Times New Roman"/>
      <w:sz w:val="24"/>
      <w:lang w:val="en-US" w:eastAsia="zh-CN" w:bidi="ar-SA"/>
    </w:rPr>
  </w:style>
  <w:style w:type="character" w:styleId="1356" w:customStyle="1">
    <w:name w:val="c21"/>
    <w:uiPriority w:val="0"/>
    <w:qFormat/>
    <w:rPr>
      <w:rFonts w:hint="default" w:ascii="ˎ̥" w:hAnsi="ˎ̥"/>
      <w:color w:val="000000"/>
      <w:sz w:val="20"/>
      <w:szCs w:val="20"/>
      <w:u w:val="none"/>
    </w:rPr>
  </w:style>
  <w:style w:type="character" w:styleId="1357" w:customStyle="1">
    <w:name w:val="title4"/>
    <w:uiPriority w:val="0"/>
    <w:qFormat/>
    <w:rPr>
      <w:b/>
      <w:bCs/>
      <w:color w:val="1d87b3"/>
      <w:sz w:val="15"/>
      <w:szCs w:val="15"/>
    </w:rPr>
  </w:style>
  <w:style w:type="character" w:styleId="1358" w:customStyle="1">
    <w:name w:val="标题 2 Char Char"/>
    <w:uiPriority w:val="0"/>
    <w:qFormat/>
    <w:rPr>
      <w:rFonts w:ascii="Arial" w:hAnsi="Arial" w:eastAsia="黑体"/>
      <w:b/>
      <w:bCs/>
      <w:sz w:val="32"/>
      <w:szCs w:val="32"/>
      <w:lang w:val="en-US" w:eastAsia="zh-CN" w:bidi="ar-SA"/>
    </w:rPr>
  </w:style>
  <w:style w:type="character" w:styleId="1359" w:customStyle="1">
    <w:name w:val="black1"/>
    <w:uiPriority w:val="0"/>
    <w:qFormat/>
    <w:rPr>
      <w:color w:val="000000"/>
    </w:rPr>
  </w:style>
  <w:style w:type="character" w:styleId="1360" w:customStyle="1">
    <w:name w:val="street-address"/>
    <w:uiPriority w:val="0"/>
    <w:qFormat/>
  </w:style>
  <w:style w:type="character" w:styleId="1361" w:customStyle="1">
    <w:name w:val="locality"/>
    <w:uiPriority w:val="0"/>
    <w:qFormat/>
  </w:style>
  <w:style w:type="character" w:styleId="1362" w:customStyle="1">
    <w:name w:val="正文文本缩进 Char1"/>
    <w:link w:val="1363"/>
    <w:uiPriority w:val="0"/>
    <w:qFormat/>
    <w:rPr>
      <w:rFonts w:ascii="宋体" w:hAnsi="宋体" w:eastAsia="宋体"/>
      <w:sz w:val="24"/>
      <w:szCs w:val="24"/>
      <w:lang w:bidi="ar-SA"/>
    </w:rPr>
  </w:style>
  <w:style w:type="paragraph" w:styleId="1363" w:customStyle="1">
    <w:name w:val="正文文本缩进1"/>
    <w:basedOn w:val="1269"/>
    <w:link w:val="1362"/>
    <w:uiPriority w:val="0"/>
    <w:qFormat/>
    <w:pPr>
      <w:ind w:firstLine="480"/>
      <w:spacing w:line="480" w:lineRule="exact"/>
    </w:pPr>
    <w:rPr>
      <w:rFonts w:ascii="宋体" w:hAnsi="宋体"/>
      <w:sz w:val="24"/>
    </w:rPr>
  </w:style>
  <w:style w:type="character" w:styleId="1364" w:customStyle="1">
    <w:name w:val="Char Char11"/>
    <w:uiPriority w:val="0"/>
    <w:qFormat/>
    <w:rPr>
      <w:rFonts w:ascii="宋体" w:eastAsia="宋体"/>
      <w:b/>
      <w:sz w:val="24"/>
      <w:u w:val="single"/>
      <w:lang w:val="en-US" w:eastAsia="zh-CN" w:bidi="ar-SA"/>
    </w:rPr>
  </w:style>
  <w:style w:type="character" w:styleId="1365" w:customStyle="1">
    <w:name w:val="txt"/>
    <w:uiPriority w:val="0"/>
    <w:qFormat/>
  </w:style>
  <w:style w:type="character" w:styleId="1366" w:customStyle="1">
    <w:name w:val="正文缩进 Char Char"/>
    <w:link w:val="1367"/>
    <w:uiPriority w:val="0"/>
    <w:qFormat/>
    <w:rPr>
      <w:rFonts w:ascii="宋体" w:eastAsia="宋体"/>
      <w:color w:val="000000"/>
      <w:sz w:val="28"/>
      <w:lang w:bidi="ar-SA"/>
    </w:rPr>
  </w:style>
  <w:style w:type="paragraph" w:styleId="1367" w:customStyle="1">
    <w:name w:val="正文缩进1"/>
    <w:basedOn w:val="1269"/>
    <w:link w:val="1366"/>
    <w:uiPriority w:val="0"/>
    <w:qFormat/>
    <w:pPr>
      <w:ind w:firstLine="567"/>
      <w:spacing w:line="480" w:lineRule="exact"/>
      <w:widowControl/>
    </w:pPr>
    <w:rPr>
      <w:rFonts w:ascii="宋体"/>
      <w:color w:val="000000"/>
      <w:sz w:val="28"/>
      <w:szCs w:val="20"/>
    </w:rPr>
  </w:style>
  <w:style w:type="character" w:styleId="1368" w:customStyle="1">
    <w:name w:val="普通文字1 Char1"/>
    <w:uiPriority w:val="0"/>
    <w:qFormat/>
    <w:rPr>
      <w:rFonts w:ascii="宋体" w:hAnsi="Courier New" w:eastAsia="宋体"/>
      <w:sz w:val="21"/>
      <w:lang w:val="en-US" w:eastAsia="zh-CN" w:bidi="ar-SA"/>
    </w:rPr>
  </w:style>
  <w:style w:type="character" w:styleId="1369" w:customStyle="1">
    <w:name w:val="chanpin1"/>
    <w:uiPriority w:val="0"/>
    <w:qFormat/>
    <w:rPr>
      <w:rFonts w:hint="default" w:ascii="ˎ̥" w:hAnsi="ˎ̥"/>
      <w:color w:val="000000"/>
      <w:sz w:val="20"/>
      <w:szCs w:val="20"/>
      <w:u w:val="none"/>
    </w:rPr>
  </w:style>
  <w:style w:type="character" w:styleId="1370" w:customStyle="1">
    <w:name w:val="列表段落 字符"/>
    <w:link w:val="1371"/>
    <w:uiPriority w:val="34"/>
    <w:qFormat/>
    <w:rPr>
      <w:rFonts w:ascii="Calibri" w:hAnsi="Calibri" w:eastAsia="宋体"/>
      <w:sz w:val="21"/>
      <w:szCs w:val="22"/>
      <w:lang w:val="en-US" w:eastAsia="zh-CN" w:bidi="ar-SA"/>
    </w:rPr>
  </w:style>
  <w:style w:type="paragraph" w:styleId="1371">
    <w:name w:val="List Paragraph"/>
    <w:basedOn w:val="1269"/>
    <w:link w:val="1370"/>
    <w:uiPriority w:val="34"/>
    <w:qFormat/>
    <w:pPr>
      <w:ind w:firstLine="420"/>
    </w:pPr>
    <w:rPr>
      <w:rFonts w:ascii="Calibri" w:hAnsi="Calibri"/>
      <w:szCs w:val="22"/>
    </w:rPr>
  </w:style>
  <w:style w:type="character" w:styleId="1372" w:customStyle="1">
    <w:name w:val="标题 3 Char Char"/>
    <w:uiPriority w:val="0"/>
    <w:qFormat/>
    <w:rPr>
      <w:rFonts w:eastAsia="宋体"/>
      <w:b/>
      <w:bCs/>
      <w:sz w:val="32"/>
      <w:szCs w:val="32"/>
      <w:lang w:val="en-US" w:eastAsia="zh-CN" w:bidi="ar-SA"/>
    </w:rPr>
  </w:style>
  <w:style w:type="character" w:styleId="1373" w:customStyle="1">
    <w:name w:val="段1 Char"/>
    <w:uiPriority w:val="0"/>
    <w:qFormat/>
    <w:rPr>
      <w:rFonts w:ascii="宋体" w:eastAsia="宋体"/>
      <w:sz w:val="24"/>
      <w:lang w:val="en-US" w:eastAsia="zh-CN" w:bidi="ar-SA"/>
    </w:rPr>
  </w:style>
  <w:style w:type="character" w:styleId="1374" w:customStyle="1">
    <w:name w:val="chanpin拷贝"/>
    <w:uiPriority w:val="0"/>
    <w:qFormat/>
  </w:style>
  <w:style w:type="character" w:styleId="1375" w:customStyle="1">
    <w:name w:val="纯文本 Char1"/>
    <w:uiPriority w:val="0"/>
    <w:qFormat/>
    <w:rPr>
      <w:rFonts w:ascii="宋体" w:hAnsi="Courier New" w:eastAsia="宋体"/>
      <w:sz w:val="21"/>
      <w:lang w:val="en-US" w:eastAsia="zh-CN" w:bidi="ar-SA"/>
    </w:rPr>
  </w:style>
  <w:style w:type="character" w:styleId="1376" w:customStyle="1">
    <w:name w:val="apple-style-span"/>
    <w:uiPriority w:val="0"/>
    <w:qFormat/>
    <w:rPr>
      <w:rFonts w:cs="Times New Roman"/>
    </w:rPr>
  </w:style>
  <w:style w:type="paragraph" w:styleId="1377" w:customStyle="1">
    <w:name w:val="二级条标题"/>
    <w:basedOn w:val="1378"/>
    <w:next w:val="126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78" w:customStyle="1">
    <w:name w:val="一级条标题"/>
    <w:basedOn w:val="1379"/>
    <w:next w:val="1269"/>
    <w:uiPriority w:val="0"/>
    <w:qFormat/>
    <w:pPr>
      <w:numPr>
        <w:ilvl w:val="1"/>
      </w:numPr>
      <w:ind w:left="0" w:hanging="840"/>
      <w:tabs>
        <w:tab w:val="left" w:pos="360" w:leader="none"/>
        <w:tab w:val="left" w:pos="840" w:leader="none"/>
      </w:tabs>
      <w:outlineLvl w:val="1"/>
    </w:pPr>
  </w:style>
  <w:style w:type="paragraph" w:styleId="1379" w:customStyle="1">
    <w:name w:val="章标题"/>
    <w:next w:val="1269"/>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80" w:customStyle="1">
    <w:name w:val="font7"/>
    <w:basedOn w:val="1269"/>
    <w:uiPriority w:val="0"/>
    <w:qFormat/>
    <w:pPr>
      <w:jc w:val="left"/>
      <w:spacing w:before="100" w:beforeAutospacing="1" w:after="100" w:afterAutospacing="1"/>
      <w:widowControl/>
    </w:pPr>
    <w:rPr>
      <w:rFonts w:eastAsia="Arial Unicode MS"/>
      <w:b/>
      <w:bCs/>
      <w:color w:val="000000"/>
      <w:sz w:val="20"/>
      <w:szCs w:val="20"/>
    </w:rPr>
  </w:style>
  <w:style w:type="paragraph" w:styleId="1381" w:customStyle="1">
    <w:name w:val="字元 字元"/>
    <w:basedOn w:val="1269"/>
    <w:uiPriority w:val="0"/>
    <w:qFormat/>
    <w:rPr>
      <w:rFonts w:ascii="Tahoma" w:hAnsi="Tahoma"/>
      <w:sz w:val="24"/>
      <w:szCs w:val="20"/>
    </w:rPr>
  </w:style>
  <w:style w:type="paragraph" w:styleId="1382" w:customStyle="1">
    <w:name w:val="Char3 Char Char Char"/>
    <w:basedOn w:val="1269"/>
    <w:uiPriority w:val="0"/>
    <w:qFormat/>
    <w:rPr>
      <w:rFonts w:ascii="Tahoma" w:hAnsi="Tahoma"/>
      <w:sz w:val="24"/>
      <w:szCs w:val="20"/>
    </w:rPr>
  </w:style>
  <w:style w:type="paragraph" w:styleId="1383" w:customStyle="1">
    <w:name w:val="font6"/>
    <w:basedOn w:val="1269"/>
    <w:uiPriority w:val="0"/>
    <w:qFormat/>
    <w:pPr>
      <w:jc w:val="left"/>
      <w:spacing w:before="100" w:beforeAutospacing="1" w:after="100" w:afterAutospacing="1"/>
      <w:widowControl/>
    </w:pPr>
    <w:rPr>
      <w:rFonts w:ascii="宋体" w:hAnsi="宋体" w:cs="宋体"/>
      <w:sz w:val="20"/>
      <w:szCs w:val="20"/>
    </w:rPr>
  </w:style>
  <w:style w:type="paragraph" w:styleId="1384" w:customStyle="1">
    <w:name w:val="项目编号2"/>
    <w:basedOn w:val="1385"/>
    <w:uiPriority w:val="0"/>
    <w:qFormat/>
    <w:pPr>
      <w:numPr>
        <w:numId w:val="2"/>
      </w:numPr>
    </w:pPr>
  </w:style>
  <w:style w:type="paragraph" w:styleId="1385" w:customStyle="1">
    <w:name w:val="项目编号1"/>
    <w:basedOn w:val="1269"/>
    <w:uiPriority w:val="0"/>
    <w:qFormat/>
    <w:pPr>
      <w:numPr>
        <w:ilvl w:val="0"/>
        <w:numId w:val="3"/>
      </w:numPr>
      <w:spacing w:before="100" w:beforeAutospacing="1" w:after="100" w:afterAutospacing="1" w:line="360" w:lineRule="auto"/>
    </w:pPr>
    <w:rPr>
      <w:sz w:val="24"/>
    </w:rPr>
  </w:style>
  <w:style w:type="paragraph" w:styleId="1386" w:customStyle="1">
    <w:name w:val="图中文字"/>
    <w:basedOn w:val="1269"/>
    <w:uiPriority w:val="0"/>
    <w:qFormat/>
    <w:pPr>
      <w:jc w:val="center"/>
      <w:spacing w:line="0" w:lineRule="atLeast"/>
    </w:pPr>
    <w:rPr>
      <w:sz w:val="24"/>
      <w:szCs w:val="20"/>
    </w:rPr>
  </w:style>
  <w:style w:type="paragraph" w:styleId="1387" w:customStyle="1">
    <w:name w:val="xl46"/>
    <w:basedOn w:val="1269"/>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88" w:customStyle="1">
    <w:name w:val="xl25"/>
    <w:basedOn w:val="12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89" w:customStyle="1">
    <w:name w:val="Char2"/>
    <w:basedOn w:val="1269"/>
    <w:uiPriority w:val="0"/>
    <w:qFormat/>
    <w:rPr>
      <w:rFonts w:ascii="Tahoma" w:hAnsi="Tahoma"/>
      <w:sz w:val="24"/>
      <w:szCs w:val="20"/>
    </w:rPr>
  </w:style>
  <w:style w:type="paragraph" w:styleId="1390" w:customStyle="1">
    <w:name w:val="xl35"/>
    <w:basedOn w:val="126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1" w:customStyle="1">
    <w:name w:val="xl40"/>
    <w:basedOn w:val="12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92" w:customStyle="1">
    <w:name w:val="xl52"/>
    <w:basedOn w:val="12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393" w:customStyle="1">
    <w:name w:val="xl43"/>
    <w:basedOn w:val="12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94" w:customStyle="1">
    <w:name w:val="background1"/>
    <w:basedOn w:val="1269"/>
    <w:uiPriority w:val="0"/>
    <w:qFormat/>
    <w:pPr>
      <w:jc w:val="left"/>
      <w:spacing w:before="100" w:beforeAutospacing="1" w:after="100" w:afterAutospacing="1"/>
      <w:widowControl/>
    </w:pPr>
    <w:rPr>
      <w:rFonts w:ascii="宋体" w:hAnsi="宋体" w:cs="宋体"/>
      <w:sz w:val="24"/>
    </w:rPr>
  </w:style>
  <w:style w:type="paragraph" w:styleId="1395" w:customStyle="1">
    <w:name w:val="Char Char Char Char Char Char Char"/>
    <w:basedOn w:val="1269"/>
    <w:uiPriority w:val="0"/>
    <w:qFormat/>
    <w:pPr>
      <w:ind w:firstLine="200"/>
      <w:spacing w:line="360" w:lineRule="auto"/>
    </w:pPr>
    <w:rPr>
      <w:rFonts w:eastAsia="仿宋_GB2312"/>
      <w:sz w:val="24"/>
    </w:rPr>
  </w:style>
  <w:style w:type="paragraph" w:styleId="1396" w:customStyle="1">
    <w:name w:val="xl38"/>
    <w:basedOn w:val="12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397" w:customStyle="1">
    <w:name w:val="xl36"/>
    <w:basedOn w:val="126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8" w:customStyle="1">
    <w:name w:val="正文 + 宋体"/>
    <w:basedOn w:val="1269"/>
    <w:uiPriority w:val="0"/>
    <w:qFormat/>
    <w:pPr>
      <w:ind w:left="360" w:hanging="360"/>
      <w:jc w:val="left"/>
      <w:widowControl/>
    </w:pPr>
    <w:rPr>
      <w:rFonts w:ascii="宋体" w:hAnsi="宋体" w:cs="宋体"/>
      <w:b/>
      <w:bCs/>
      <w:color w:val="000000"/>
      <w:sz w:val="18"/>
      <w:szCs w:val="18"/>
    </w:rPr>
  </w:style>
  <w:style w:type="paragraph" w:styleId="1399" w:customStyle="1">
    <w:name w:val="正文列项_数字"/>
    <w:basedOn w:val="126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400" w:customStyle="1">
    <w:name w:val="xl39"/>
    <w:basedOn w:val="12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01" w:customStyle="1">
    <w:name w:val="xl37"/>
    <w:basedOn w:val="126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02" w:customStyle="1">
    <w:name w:val="xl32"/>
    <w:basedOn w:val="12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03" w:customStyle="1">
    <w:name w:val="font8"/>
    <w:basedOn w:val="1269"/>
    <w:uiPriority w:val="0"/>
    <w:qFormat/>
    <w:pPr>
      <w:jc w:val="left"/>
      <w:spacing w:before="100" w:beforeAutospacing="1" w:after="100" w:afterAutospacing="1"/>
      <w:widowControl/>
    </w:pPr>
    <w:rPr>
      <w:sz w:val="36"/>
      <w:szCs w:val="36"/>
    </w:rPr>
  </w:style>
  <w:style w:type="paragraph" w:styleId="1404" w:customStyle="1">
    <w:name w:val="Char"/>
    <w:basedOn w:val="1269"/>
    <w:uiPriority w:val="0"/>
    <w:qFormat/>
    <w:pPr>
      <w:tabs>
        <w:tab w:val="left" w:pos="360" w:leader="none"/>
      </w:tabs>
    </w:pPr>
    <w:rPr>
      <w:sz w:val="24"/>
    </w:rPr>
  </w:style>
  <w:style w:type="paragraph" w:styleId="1405" w:customStyle="1">
    <w:name w:val="Char Char Char Char Char Char Char Char Char Char Char Char Char Char Char Char"/>
    <w:basedOn w:val="1269"/>
    <w:uiPriority w:val="0"/>
    <w:qFormat/>
    <w:pPr>
      <w:jc w:val="center"/>
      <w:spacing w:after="160" w:line="240" w:lineRule="exact"/>
      <w:widowControl/>
    </w:pPr>
    <w:rPr>
      <w:rFonts w:ascii="宋体" w:hAnsi="宋体"/>
      <w:b/>
      <w:sz w:val="30"/>
      <w:szCs w:val="30"/>
      <w:lang w:eastAsia="en-US"/>
    </w:rPr>
  </w:style>
  <w:style w:type="paragraph" w:styleId="1406" w:customStyle="1">
    <w:name w:val="xl45"/>
    <w:basedOn w:val="12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07" w:customStyle="1">
    <w:name w:val="Char Char1 Char Char Char Char Char Char"/>
    <w:basedOn w:val="1269"/>
    <w:uiPriority w:val="0"/>
    <w:qFormat/>
    <w:pPr>
      <w:jc w:val="left"/>
      <w:spacing w:after="160" w:line="240" w:lineRule="exact"/>
      <w:widowControl/>
    </w:pPr>
    <w:rPr>
      <w:rFonts w:ascii="Verdana" w:hAnsi="Verdana" w:eastAsia="仿宋_GB2312"/>
      <w:sz w:val="24"/>
      <w:szCs w:val="20"/>
      <w:lang w:eastAsia="en-US"/>
    </w:rPr>
  </w:style>
  <w:style w:type="paragraph" w:styleId="1408" w:customStyle="1">
    <w:name w:val="Char Char1"/>
    <w:basedOn w:val="1287"/>
    <w:uiPriority w:val="0"/>
    <w:qFormat/>
    <w:rPr>
      <w:rFonts w:ascii="Tahoma" w:hAnsi="Tahoma"/>
      <w:sz w:val="24"/>
    </w:rPr>
  </w:style>
  <w:style w:type="paragraph" w:styleId="1409" w:customStyle="1">
    <w:name w:val="xl26"/>
    <w:basedOn w:val="12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410" w:customStyle="1">
    <w:name w:val="xl30"/>
    <w:basedOn w:val="12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11" w:customStyle="1">
    <w:name w:val="xl41"/>
    <w:basedOn w:val="12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12" w:customStyle="1">
    <w:name w:val="样式 宋体 五号 行距: 单倍行距"/>
    <w:basedOn w:val="1269"/>
    <w:uiPriority w:val="0"/>
    <w:qFormat/>
    <w:pPr>
      <w:jc w:val="left"/>
    </w:pPr>
    <w:rPr>
      <w:rFonts w:ascii="宋体" w:hAnsi="宋体"/>
      <w:szCs w:val="20"/>
    </w:rPr>
  </w:style>
  <w:style w:type="paragraph" w:styleId="1413" w:customStyle="1">
    <w:name w:val="Char1 Char Char Char1"/>
    <w:basedOn w:val="1269"/>
    <w:uiPriority w:val="0"/>
    <w:qFormat/>
    <w:rPr>
      <w:rFonts w:ascii="Tahoma" w:hAnsi="Tahoma" w:cs="仿宋_GB2312"/>
      <w:sz w:val="24"/>
      <w:szCs w:val="28"/>
    </w:rPr>
  </w:style>
  <w:style w:type="paragraph" w:styleId="1414" w:customStyle="1">
    <w:name w:val="四级条标题"/>
    <w:basedOn w:val="1415"/>
    <w:next w:val="1269"/>
    <w:uiPriority w:val="0"/>
    <w:qFormat/>
    <w:pPr>
      <w:numPr>
        <w:ilvl w:val="4"/>
      </w:numPr>
      <w:ind w:left="0" w:hanging="840"/>
      <w:tabs>
        <w:tab w:val="left" w:pos="360" w:leader="none"/>
        <w:tab w:val="left" w:pos="840" w:leader="none"/>
      </w:tabs>
      <w:outlineLvl w:val="4"/>
    </w:pPr>
  </w:style>
  <w:style w:type="paragraph" w:styleId="1415" w:customStyle="1">
    <w:name w:val="三级条标题"/>
    <w:basedOn w:val="1377"/>
    <w:next w:val="1269"/>
    <w:uiPriority w:val="0"/>
    <w:qFormat/>
    <w:pPr>
      <w:numPr>
        <w:ilvl w:val="3"/>
        <w:numId w:val="1"/>
      </w:numPr>
      <w:ind w:left="0" w:hanging="840"/>
      <w:outlineLvl w:val="3"/>
    </w:pPr>
  </w:style>
  <w:style w:type="paragraph" w:styleId="141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417" w:customStyle="1">
    <w:name w:val="样式 标题 2 + 宋体 五号 行距: 单倍行距"/>
    <w:basedOn w:val="1271"/>
    <w:uiPriority w:val="0"/>
    <w:qFormat/>
    <w:pPr>
      <w:numPr>
        <w:ilvl w:val="1"/>
        <w:numId w:val="4"/>
      </w:numPr>
      <w:jc w:val="left"/>
      <w:spacing w:before="260" w:after="260" w:line="240" w:lineRule="auto"/>
    </w:pPr>
    <w:rPr>
      <w:rFonts w:ascii="宋体" w:hAnsi="宋体" w:eastAsia="宋体"/>
      <w:bCs/>
      <w:sz w:val="21"/>
    </w:rPr>
  </w:style>
  <w:style w:type="paragraph" w:styleId="1418" w:customStyle="1">
    <w:name w:val="List Paragraph1"/>
    <w:basedOn w:val="1269"/>
    <w:uiPriority w:val="0"/>
    <w:qFormat/>
    <w:pPr>
      <w:ind w:firstLine="420"/>
    </w:pPr>
    <w:rPr>
      <w:rFonts w:ascii="Calibri" w:hAnsi="Calibri"/>
      <w:szCs w:val="22"/>
    </w:rPr>
  </w:style>
  <w:style w:type="paragraph" w:styleId="1419" w:customStyle="1">
    <w:name w:val="项目符号1"/>
    <w:basedOn w:val="1420"/>
    <w:uiPriority w:val="0"/>
    <w:qFormat/>
    <w:pPr>
      <w:ind w:left="-25" w:firstLine="0"/>
    </w:pPr>
  </w:style>
  <w:style w:type="paragraph" w:styleId="1420" w:customStyle="1">
    <w:name w:val="正文文本样式"/>
    <w:basedOn w:val="1269"/>
    <w:uiPriority w:val="0"/>
    <w:qFormat/>
    <w:pPr>
      <w:ind w:firstLine="482"/>
      <w:spacing w:line="360" w:lineRule="auto"/>
    </w:pPr>
    <w:rPr>
      <w:rFonts w:cs="宋体"/>
      <w:sz w:val="24"/>
      <w:szCs w:val="20"/>
    </w:rPr>
  </w:style>
  <w:style w:type="paragraph" w:styleId="1421" w:customStyle="1">
    <w:name w:val="xl27"/>
    <w:basedOn w:val="12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22" w:customStyle="1">
    <w:name w:val="font5"/>
    <w:basedOn w:val="1269"/>
    <w:uiPriority w:val="0"/>
    <w:qFormat/>
    <w:pPr>
      <w:jc w:val="left"/>
      <w:spacing w:before="100" w:beforeAutospacing="1" w:after="100" w:afterAutospacing="1"/>
      <w:widowControl/>
    </w:pPr>
    <w:rPr>
      <w:rFonts w:ascii="宋体" w:hAnsi="宋体" w:cs="宋体"/>
      <w:sz w:val="18"/>
      <w:szCs w:val="18"/>
    </w:rPr>
  </w:style>
  <w:style w:type="paragraph" w:styleId="1423" w:customStyle="1">
    <w:name w:val="五级条标题"/>
    <w:basedOn w:val="1414"/>
    <w:next w:val="1269"/>
    <w:uiPriority w:val="0"/>
    <w:qFormat/>
    <w:pPr>
      <w:numPr>
        <w:ilvl w:val="5"/>
      </w:numPr>
      <w:ind w:left="0" w:hanging="840"/>
      <w:outlineLvl w:val="5"/>
    </w:pPr>
  </w:style>
  <w:style w:type="paragraph" w:styleId="1424" w:customStyle="1">
    <w:name w:val="xl49"/>
    <w:basedOn w:val="12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425" w:customStyle="1">
    <w:name w:val="文档正文"/>
    <w:basedOn w:val="1269"/>
    <w:uiPriority w:val="0"/>
    <w:qFormat/>
    <w:pPr>
      <w:spacing w:before="120" w:after="120" w:line="180" w:lineRule="auto"/>
    </w:pPr>
    <w:rPr>
      <w:rFonts w:ascii="Arial" w:hAnsi="Arial"/>
      <w:szCs w:val="20"/>
    </w:rPr>
  </w:style>
  <w:style w:type="paragraph" w:styleId="1426" w:customStyle="1">
    <w:name w:val="xl33"/>
    <w:basedOn w:val="12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27" w:customStyle="1">
    <w:name w:val="xl42"/>
    <w:basedOn w:val="12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428" w:customStyle="1">
    <w:name w:val="Char Char Char1 Char"/>
    <w:basedOn w:val="1269"/>
    <w:uiPriority w:val="0"/>
    <w:qFormat/>
    <w:rPr>
      <w:rFonts w:ascii="Tahoma" w:hAnsi="Tahoma"/>
      <w:sz w:val="24"/>
      <w:szCs w:val="20"/>
    </w:rPr>
  </w:style>
  <w:style w:type="paragraph" w:styleId="1429" w:customStyle="1">
    <w:name w:val="xl44"/>
    <w:basedOn w:val="126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430" w:customStyle="1">
    <w:name w:val="1名"/>
    <w:basedOn w:val="1269"/>
    <w:uiPriority w:val="0"/>
    <w:qFormat/>
    <w:pPr>
      <w:numPr>
        <w:ilvl w:val="0"/>
        <w:numId w:val="5"/>
      </w:numPr>
      <w:spacing w:before="120"/>
    </w:pPr>
    <w:rPr>
      <w:rFonts w:ascii="宋体"/>
      <w:sz w:val="28"/>
      <w:szCs w:val="20"/>
    </w:rPr>
  </w:style>
  <w:style w:type="paragraph" w:styleId="1431" w:customStyle="1">
    <w:name w:val="font9"/>
    <w:basedOn w:val="126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32" w:customStyle="1">
    <w:name w:val="Char Char Char1 Char1"/>
    <w:basedOn w:val="1269"/>
    <w:uiPriority w:val="0"/>
    <w:qFormat/>
    <w:rPr>
      <w:rFonts w:ascii="Tahoma" w:hAnsi="Tahoma"/>
      <w:sz w:val="24"/>
      <w:szCs w:val="20"/>
    </w:rPr>
  </w:style>
  <w:style w:type="paragraph" w:styleId="1433" w:customStyle="1">
    <w:name w:val="Char Char Char Char Char Char Char Char Char Char"/>
    <w:basedOn w:val="1269"/>
    <w:uiPriority w:val="0"/>
    <w:qFormat/>
  </w:style>
  <w:style w:type="paragraph" w:styleId="1434" w:customStyle="1">
    <w:name w:val="Char Char1 Char Char Char Char Char Char Char Char"/>
    <w:basedOn w:val="1269"/>
    <w:uiPriority w:val="0"/>
    <w:qFormat/>
    <w:pPr>
      <w:jc w:val="left"/>
      <w:spacing w:after="160" w:line="240" w:lineRule="exact"/>
      <w:widowControl/>
    </w:pPr>
    <w:rPr>
      <w:rFonts w:ascii="Verdana" w:hAnsi="Verdana"/>
      <w:sz w:val="20"/>
      <w:szCs w:val="20"/>
      <w:lang w:eastAsia="en-US"/>
    </w:rPr>
  </w:style>
  <w:style w:type="paragraph" w:styleId="1435" w:customStyle="1">
    <w:name w:val="Char1"/>
    <w:basedOn w:val="1269"/>
    <w:uiPriority w:val="0"/>
    <w:qFormat/>
    <w:pPr>
      <w:tabs>
        <w:tab w:val="left" w:pos="360" w:leader="none"/>
      </w:tabs>
    </w:pPr>
    <w:rPr>
      <w:sz w:val="24"/>
    </w:rPr>
  </w:style>
  <w:style w:type="paragraph" w:styleId="1436" w:customStyle="1">
    <w:name w:val="正文列项_字母"/>
    <w:basedOn w:val="126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437" w:customStyle="1">
    <w:name w:val="xl28"/>
    <w:basedOn w:val="12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38" w:customStyle="1">
    <w:name w:val="xl47"/>
    <w:basedOn w:val="126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39" w:customStyle="1">
    <w:name w:val="默认段落字体 Para Char Char Char Char"/>
    <w:basedOn w:val="1269"/>
    <w:uiPriority w:val="0"/>
    <w:qFormat/>
    <w:rPr>
      <w:rFonts w:ascii="Arial" w:hAnsi="Arial" w:cs="Arial"/>
      <w:szCs w:val="21"/>
    </w:rPr>
  </w:style>
  <w:style w:type="paragraph" w:styleId="1440" w:customStyle="1">
    <w:name w:val="xl48"/>
    <w:basedOn w:val="12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441" w:customStyle="1">
    <w:name w:val="xl31"/>
    <w:basedOn w:val="12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42" w:customStyle="1">
    <w:name w:val="xl53"/>
    <w:basedOn w:val="12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43" w:customStyle="1">
    <w:name w:val="Char Char Char"/>
    <w:basedOn w:val="1269"/>
    <w:uiPriority w:val="0"/>
    <w:qFormat/>
    <w:rPr>
      <w:rFonts w:ascii="Tahoma" w:hAnsi="Tahoma"/>
      <w:sz w:val="24"/>
      <w:szCs w:val="20"/>
    </w:rPr>
  </w:style>
  <w:style w:type="paragraph" w:styleId="1444" w:customStyle="1">
    <w:name w:val="xl50"/>
    <w:basedOn w:val="12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445" w:customStyle="1">
    <w:name w:val="缺省文本"/>
    <w:basedOn w:val="1269"/>
    <w:uiPriority w:val="0"/>
    <w:qFormat/>
    <w:pPr>
      <w:jc w:val="left"/>
    </w:pPr>
    <w:rPr>
      <w:sz w:val="24"/>
    </w:rPr>
  </w:style>
  <w:style w:type="paragraph" w:styleId="1446" w:customStyle="1">
    <w:name w:val="Char Char Char1"/>
    <w:basedOn w:val="1269"/>
    <w:uiPriority w:val="0"/>
    <w:qFormat/>
    <w:rPr>
      <w:rFonts w:ascii="Tahoma" w:hAnsi="Tahoma"/>
      <w:sz w:val="24"/>
      <w:szCs w:val="20"/>
    </w:rPr>
  </w:style>
  <w:style w:type="paragraph" w:styleId="1447" w:customStyle="1">
    <w:name w:val="Char Char Char Char Char Char Char1"/>
    <w:basedOn w:val="1269"/>
    <w:uiPriority w:val="0"/>
    <w:qFormat/>
    <w:pPr>
      <w:ind w:firstLine="200"/>
      <w:spacing w:line="360" w:lineRule="auto"/>
    </w:pPr>
    <w:rPr>
      <w:rFonts w:eastAsia="仿宋_GB2312"/>
      <w:sz w:val="24"/>
    </w:rPr>
  </w:style>
  <w:style w:type="paragraph" w:styleId="1448" w:customStyle="1">
    <w:name w:val="xl51"/>
    <w:basedOn w:val="12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49" w:customStyle="1">
    <w:name w:val="样式2"/>
    <w:basedOn w:val="1312"/>
    <w:uiPriority w:val="0"/>
    <w:qFormat/>
    <w:pPr>
      <w:jc w:val="center"/>
      <w:spacing w:line="360" w:lineRule="auto"/>
    </w:pPr>
    <w:rPr>
      <w:sz w:val="24"/>
    </w:rPr>
  </w:style>
  <w:style w:type="paragraph" w:styleId="1450" w:customStyle="1">
    <w:name w:val="xl24"/>
    <w:basedOn w:val="12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51" w:customStyle="1">
    <w:name w:val="xl29"/>
    <w:basedOn w:val="12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452" w:customStyle="1">
    <w:name w:val="正文 + 楷体_GB2312"/>
    <w:basedOn w:val="1269"/>
    <w:uiPriority w:val="0"/>
    <w:qFormat/>
    <w:pPr>
      <w:jc w:val="left"/>
      <w:widowControl/>
    </w:pPr>
    <w:rPr>
      <w:rFonts w:ascii="楷体_GB2312" w:eastAsia="楷体_GB2312" w:cs="Arial"/>
      <w:sz w:val="24"/>
    </w:rPr>
  </w:style>
  <w:style w:type="paragraph" w:styleId="1453" w:customStyle="1">
    <w:name w:val="xl34"/>
    <w:basedOn w:val="12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454" w:customStyle="1">
    <w:name w:val="1 Char Char Char Char"/>
    <w:basedOn w:val="1269"/>
    <w:uiPriority w:val="0"/>
    <w:qFormat/>
    <w:rPr>
      <w:rFonts w:ascii="Tahoma" w:hAnsi="Tahoma"/>
      <w:sz w:val="24"/>
      <w:szCs w:val="20"/>
    </w:rPr>
  </w:style>
  <w:style w:type="paragraph" w:styleId="1455" w:customStyle="1">
    <w:name w:val="列出段落1"/>
    <w:basedOn w:val="1269"/>
    <w:uiPriority w:val="0"/>
    <w:qFormat/>
    <w:pPr>
      <w:ind w:firstLine="420"/>
    </w:pPr>
    <w:rPr>
      <w:rFonts w:ascii="Calibri" w:hAnsi="Calibri"/>
      <w:szCs w:val="22"/>
    </w:rPr>
  </w:style>
  <w:style w:type="paragraph" w:styleId="1456" w:customStyle="1">
    <w:name w:val="default"/>
    <w:basedOn w:val="1269"/>
    <w:uiPriority w:val="0"/>
    <w:qFormat/>
    <w:pPr>
      <w:jc w:val="left"/>
      <w:spacing w:before="100" w:beforeAutospacing="1" w:after="100" w:afterAutospacing="1"/>
      <w:widowControl/>
    </w:pPr>
    <w:rPr>
      <w:rFonts w:ascii="宋体" w:hAnsi="宋体" w:cs="宋体"/>
      <w:sz w:val="24"/>
    </w:rPr>
  </w:style>
  <w:style w:type="paragraph" w:styleId="1457" w:customStyle="1">
    <w:name w:val="字元 字元1"/>
    <w:basedOn w:val="1269"/>
    <w:uiPriority w:val="0"/>
    <w:qFormat/>
    <w:rPr>
      <w:rFonts w:ascii="Tahoma" w:hAnsi="Tahoma"/>
      <w:sz w:val="24"/>
      <w:szCs w:val="20"/>
    </w:rPr>
  </w:style>
  <w:style w:type="paragraph" w:styleId="1458" w:customStyle="1">
    <w:name w:val="_Style 160"/>
    <w:uiPriority w:val="0"/>
    <w:qFormat/>
    <w:rPr>
      <w:rFonts w:ascii="Times New Roman" w:hAnsi="Times New Roman" w:eastAsia="宋体" w:cs="Times New Roman"/>
      <w:sz w:val="21"/>
      <w:szCs w:val="24"/>
      <w:lang w:val="en-US" w:eastAsia="zh-CN" w:bidi="ar-SA"/>
    </w:rPr>
  </w:style>
  <w:style w:type="paragraph" w:styleId="1459" w:customStyle="1">
    <w:name w:val="项目编号3"/>
    <w:basedOn w:val="1420"/>
    <w:uiPriority w:val="0"/>
    <w:qFormat/>
    <w:pPr>
      <w:numPr>
        <w:ilvl w:val="0"/>
        <w:numId w:val="6"/>
      </w:numPr>
    </w:pPr>
  </w:style>
  <w:style w:type="paragraph" w:styleId="1460" w:customStyle="1">
    <w:name w:val="Char21"/>
    <w:basedOn w:val="1269"/>
    <w:uiPriority w:val="0"/>
    <w:qFormat/>
    <w:rPr>
      <w:rFonts w:ascii="Tahoma" w:hAnsi="Tahoma"/>
      <w:sz w:val="24"/>
      <w:szCs w:val="20"/>
    </w:rPr>
  </w:style>
  <w:style w:type="paragraph" w:styleId="1461" w:customStyle="1">
    <w:name w:val="表格文字"/>
    <w:basedOn w:val="1290"/>
    <w:next w:val="1462"/>
    <w:uiPriority w:val="0"/>
    <w:qFormat/>
    <w:pPr>
      <w:ind w:firstLine="0"/>
      <w:spacing w:before="20" w:after="20" w:line="240" w:lineRule="auto"/>
    </w:pPr>
    <w:rPr>
      <w:rFonts w:ascii="Century Gothic" w:hAnsi="Century Gothic"/>
      <w:sz w:val="20"/>
      <w:szCs w:val="20"/>
    </w:rPr>
  </w:style>
  <w:style w:type="paragraph" w:styleId="1462" w:customStyle="1">
    <w:name w:val="正文文本2"/>
    <w:basedOn w:val="1463"/>
    <w:next w:val="1269"/>
    <w:uiPriority w:val="0"/>
    <w:qFormat/>
    <w:pPr>
      <w:spacing w:after="120"/>
    </w:pPr>
  </w:style>
  <w:style w:type="paragraph" w:styleId="1463" w:customStyle="1">
    <w:name w:val="正文111"/>
    <w:next w:val="146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464" w:customStyle="1">
    <w:name w:val="Char Char Char Char Char Char Char Char Char Char1"/>
    <w:basedOn w:val="1269"/>
    <w:uiPriority w:val="0"/>
    <w:qFormat/>
    <w:rPr>
      <w:rFonts w:ascii="宋体" w:hAnsi="宋体" w:cs="Courier New"/>
      <w:sz w:val="32"/>
      <w:szCs w:val="32"/>
    </w:rPr>
  </w:style>
  <w:style w:type="paragraph" w:styleId="1465" w:customStyle="1">
    <w:name w:val="正文文本样式 加粗"/>
    <w:basedOn w:val="1420"/>
    <w:uiPriority w:val="0"/>
    <w:qFormat/>
    <w:rPr>
      <w:b/>
    </w:rPr>
  </w:style>
  <w:style w:type="paragraph" w:styleId="1466" w:customStyle="1">
    <w:name w:val="Char2 Char Char Char Char Char Char"/>
    <w:basedOn w:val="1269"/>
    <w:uiPriority w:val="0"/>
    <w:qFormat/>
    <w:pPr>
      <w:jc w:val="center"/>
      <w:spacing w:line="400" w:lineRule="exact"/>
      <w:widowControl/>
    </w:pPr>
  </w:style>
  <w:style w:type="paragraph" w:styleId="1467" w:customStyle="1">
    <w:name w:val="Char Char4"/>
    <w:basedOn w:val="1269"/>
    <w:uiPriority w:val="0"/>
    <w:qFormat/>
    <w:pPr>
      <w:jc w:val="center"/>
      <w:spacing w:line="400" w:lineRule="exact"/>
      <w:widowControl/>
    </w:pPr>
  </w:style>
  <w:style w:type="paragraph" w:styleId="1468" w:customStyle="1">
    <w:name w:val="Char3 Char Char Char1"/>
    <w:basedOn w:val="1269"/>
    <w:uiPriority w:val="0"/>
    <w:qFormat/>
    <w:rPr>
      <w:rFonts w:ascii="Tahoma" w:hAnsi="Tahoma"/>
      <w:sz w:val="24"/>
      <w:szCs w:val="20"/>
    </w:rPr>
  </w:style>
  <w:style w:type="paragraph" w:styleId="1469">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470" w:customStyle="1">
    <w:name w:val="22222222222222"/>
    <w:basedOn w:val="1269"/>
    <w:uiPriority w:val="0"/>
    <w:qFormat/>
    <w:pPr>
      <w:ind w:firstLine="480"/>
      <w:jc w:val="left"/>
      <w:spacing w:line="360" w:lineRule="auto"/>
      <w:widowControl/>
    </w:pPr>
    <w:rPr>
      <w:color w:val="ff0000"/>
      <w:sz w:val="24"/>
      <w:szCs w:val="20"/>
    </w:rPr>
  </w:style>
  <w:style w:type="character" w:styleId="1471" w:customStyle="1">
    <w:name w:val="中等深浅网格 1 - 强调文字颜色 2 Char"/>
    <w:link w:val="1472"/>
    <w:uiPriority w:val="0"/>
    <w:qFormat/>
    <w:rPr>
      <w:sz w:val="21"/>
      <w:szCs w:val="24"/>
      <w:lang w:val="zh-CN" w:eastAsia="zh-CN" w:bidi="ar-SA"/>
    </w:rPr>
  </w:style>
  <w:style w:type="paragraph" w:styleId="1472" w:customStyle="1">
    <w:name w:val="1"/>
    <w:link w:val="1471"/>
    <w:uiPriority w:val="0"/>
    <w:qFormat/>
    <w:rPr>
      <w:rFonts w:ascii="Times New Roman" w:hAnsi="Times New Roman" w:eastAsia="宋体" w:cs="Times New Roman"/>
      <w:sz w:val="21"/>
      <w:szCs w:val="24"/>
      <w:lang w:val="zh-CN" w:eastAsia="zh-CN" w:bidi="ar-SA"/>
    </w:rPr>
  </w:style>
  <w:style w:type="paragraph" w:styleId="1473" w:customStyle="1">
    <w:name w:val="图文"/>
    <w:basedOn w:val="1269"/>
    <w:uiPriority w:val="0"/>
    <w:qFormat/>
    <w:pPr>
      <w:spacing w:after="50" w:line="360" w:lineRule="auto"/>
    </w:pPr>
    <w:rPr>
      <w:sz w:val="24"/>
    </w:rPr>
  </w:style>
  <w:style w:type="paragraph" w:styleId="1474" w:customStyle="1">
    <w:name w:val="xl23"/>
    <w:basedOn w:val="1269"/>
    <w:uiPriority w:val="0"/>
    <w:qFormat/>
    <w:pPr>
      <w:spacing w:before="100" w:beforeAutospacing="1" w:after="100" w:afterAutospacing="1" w:line="360" w:lineRule="auto"/>
      <w:widowControl/>
    </w:pPr>
    <w:rPr>
      <w:sz w:val="24"/>
      <w:szCs w:val="20"/>
    </w:rPr>
  </w:style>
  <w:style w:type="paragraph" w:styleId="1475" w:customStyle="1">
    <w:name w:val="正文表格"/>
    <w:basedOn w:val="1269"/>
    <w:link w:val="1476"/>
    <w:uiPriority w:val="0"/>
    <w:qFormat/>
    <w:pPr>
      <w:jc w:val="left"/>
    </w:pPr>
    <w:rPr>
      <w:rFonts w:ascii="宋体" w:hAnsi="宋体"/>
      <w:color w:val="000000"/>
      <w:szCs w:val="21"/>
    </w:rPr>
  </w:style>
  <w:style w:type="character" w:styleId="1476" w:customStyle="1">
    <w:name w:val="正文表格 Char"/>
    <w:link w:val="1475"/>
    <w:uiPriority w:val="0"/>
    <w:qFormat/>
    <w:rPr>
      <w:rFonts w:ascii="宋体" w:hAnsi="宋体"/>
      <w:color w:val="000000"/>
      <w:sz w:val="21"/>
      <w:szCs w:val="21"/>
    </w:rPr>
  </w:style>
  <w:style w:type="paragraph" w:styleId="1477" w:customStyle="1">
    <w:name w:val="正文重点"/>
    <w:basedOn w:val="1269"/>
    <w:link w:val="1478"/>
    <w:uiPriority w:val="0"/>
    <w:qFormat/>
    <w:pPr>
      <w:ind w:firstLine="482"/>
      <w:jc w:val="left"/>
      <w:spacing w:line="360" w:lineRule="auto"/>
    </w:pPr>
    <w:rPr>
      <w:b/>
      <w:sz w:val="24"/>
      <w:szCs w:val="20"/>
    </w:rPr>
  </w:style>
  <w:style w:type="character" w:styleId="1478" w:customStyle="1">
    <w:name w:val="正文重点 Char"/>
    <w:link w:val="1477"/>
    <w:uiPriority w:val="0"/>
    <w:qFormat/>
    <w:rPr>
      <w:b/>
      <w:sz w:val="24"/>
    </w:rPr>
  </w:style>
  <w:style w:type="paragraph" w:styleId="1479" w:customStyle="1">
    <w:name w:val="标题1-附件"/>
    <w:basedOn w:val="1270"/>
    <w:uiPriority w:val="0"/>
    <w:qFormat/>
    <w:pPr>
      <w:jc w:val="left"/>
    </w:pPr>
    <w:rPr>
      <w:sz w:val="24"/>
      <w:szCs w:val="24"/>
    </w:rPr>
  </w:style>
  <w:style w:type="paragraph" w:styleId="1480" w:customStyle="1">
    <w:name w:val="正文小标题"/>
    <w:basedOn w:val="1269"/>
    <w:next w:val="1282"/>
    <w:link w:val="1481"/>
    <w:uiPriority w:val="0"/>
    <w:qFormat/>
    <w:pPr>
      <w:ind w:firstLine="482"/>
      <w:jc w:val="left"/>
      <w:spacing w:before="312" w:after="312"/>
    </w:pPr>
    <w:rPr>
      <w:rFonts w:ascii="宋体" w:hAnsi="宋体"/>
      <w:b/>
      <w:i/>
      <w:color w:val="ff0000"/>
      <w:sz w:val="24"/>
      <w:szCs w:val="20"/>
    </w:rPr>
  </w:style>
  <w:style w:type="character" w:styleId="1481" w:customStyle="1">
    <w:name w:val="正文小标题 Char"/>
    <w:link w:val="1480"/>
    <w:uiPriority w:val="0"/>
    <w:qFormat/>
    <w:rPr>
      <w:rFonts w:ascii="宋体" w:hAnsi="宋体"/>
      <w:b/>
      <w:i/>
      <w:color w:val="ff0000"/>
      <w:sz w:val="24"/>
    </w:rPr>
  </w:style>
  <w:style w:type="paragraph" w:styleId="1482" w:customStyle="1">
    <w:name w:val="正文大标题"/>
    <w:basedOn w:val="1480"/>
    <w:next w:val="1282"/>
    <w:link w:val="1483"/>
    <w:uiPriority w:val="0"/>
    <w:qFormat/>
    <w:pPr>
      <w:jc w:val="center"/>
    </w:pPr>
    <w:rPr>
      <w:i w:val="0"/>
      <w:color w:val="000000"/>
      <w:sz w:val="28"/>
      <w:szCs w:val="21"/>
    </w:rPr>
  </w:style>
  <w:style w:type="character" w:styleId="1483" w:customStyle="1">
    <w:name w:val="正文大标题 Char"/>
    <w:link w:val="1482"/>
    <w:uiPriority w:val="0"/>
    <w:qFormat/>
    <w:rPr>
      <w:rFonts w:ascii="宋体" w:hAnsi="宋体"/>
      <w:b/>
      <w:color w:val="000000"/>
      <w:sz w:val="28"/>
      <w:szCs w:val="21"/>
    </w:rPr>
  </w:style>
  <w:style w:type="paragraph" w:styleId="1484" w:customStyle="1">
    <w:name w:val="注释"/>
    <w:basedOn w:val="1269"/>
    <w:link w:val="1485"/>
    <w:uiPriority w:val="0"/>
    <w:qFormat/>
    <w:pPr>
      <w:ind w:left="420" w:hanging="420"/>
      <w:jc w:val="left"/>
    </w:pPr>
    <w:rPr>
      <w:rFonts w:ascii="宋体" w:hAnsi="宋体"/>
      <w:szCs w:val="21"/>
    </w:rPr>
  </w:style>
  <w:style w:type="character" w:styleId="1485" w:customStyle="1">
    <w:name w:val="注释 Char"/>
    <w:link w:val="1484"/>
    <w:uiPriority w:val="0"/>
    <w:qFormat/>
    <w:rPr>
      <w:rFonts w:ascii="宋体" w:hAnsi="宋体"/>
      <w:sz w:val="21"/>
      <w:szCs w:val="21"/>
    </w:rPr>
  </w:style>
  <w:style w:type="paragraph" w:styleId="1486" w:customStyle="1">
    <w:name w:val="正文须知-1级"/>
    <w:basedOn w:val="1269"/>
    <w:next w:val="1269"/>
    <w:uiPriority w:val="0"/>
    <w:qFormat/>
    <w:pPr>
      <w:numPr>
        <w:ilvl w:val="0"/>
        <w:numId w:val="7"/>
      </w:numPr>
      <w:spacing w:line="300" w:lineRule="auto"/>
    </w:pPr>
    <w:rPr>
      <w:rFonts w:ascii="宋体" w:hAnsi="Calibri"/>
      <w:sz w:val="24"/>
      <w:szCs w:val="21"/>
    </w:rPr>
  </w:style>
  <w:style w:type="paragraph" w:styleId="1487" w:customStyle="1">
    <w:name w:val="正文须知-2级"/>
    <w:basedOn w:val="1269"/>
    <w:uiPriority w:val="0"/>
    <w:qFormat/>
    <w:pPr>
      <w:numPr>
        <w:ilvl w:val="1"/>
        <w:numId w:val="7"/>
      </w:numPr>
      <w:spacing w:line="300" w:lineRule="auto"/>
    </w:pPr>
    <w:rPr>
      <w:rFonts w:ascii="宋体" w:hAnsi="Calibri"/>
      <w:sz w:val="24"/>
      <w:szCs w:val="21"/>
    </w:rPr>
  </w:style>
  <w:style w:type="paragraph" w:styleId="1488" w:customStyle="1">
    <w:name w:val="正文须知-3级"/>
    <w:basedOn w:val="1269"/>
    <w:uiPriority w:val="0"/>
    <w:qFormat/>
    <w:pPr>
      <w:numPr>
        <w:ilvl w:val="2"/>
        <w:numId w:val="7"/>
      </w:numPr>
      <w:ind w:hanging="355"/>
      <w:spacing w:line="300" w:lineRule="auto"/>
    </w:pPr>
    <w:rPr>
      <w:rFonts w:ascii="宋体" w:hAnsi="Calibri"/>
      <w:sz w:val="24"/>
      <w:szCs w:val="21"/>
    </w:rPr>
  </w:style>
  <w:style w:type="character" w:styleId="1489" w:customStyle="1">
    <w:name w:val="纯文本 字符"/>
    <w:uiPriority w:val="99"/>
    <w:qFormat/>
    <w:rPr>
      <w:rFonts w:ascii="宋体" w:hAnsi="Courier New" w:eastAsia="宋体" w:cs="Times New Roman"/>
      <w:sz w:val="21"/>
      <w:szCs w:val="21"/>
      <w:lang w:val="en-US" w:eastAsia="zh-CN" w:bidi="ar-SA"/>
    </w:rPr>
  </w:style>
  <w:style w:type="paragraph" w:styleId="1490" w:customStyle="1">
    <w:name w:val="表格1"/>
    <w:basedOn w:val="1269"/>
    <w:uiPriority w:val="0"/>
    <w:qFormat/>
    <w:pPr>
      <w:ind w:firstLine="480"/>
      <w:jc w:val="center"/>
    </w:pPr>
    <w:rPr>
      <w:sz w:val="24"/>
      <w:szCs w:val="20"/>
    </w:rPr>
  </w:style>
  <w:style w:type="character" w:styleId="1491" w:customStyle="1">
    <w:name w:val="纯文本 字符1"/>
    <w:uiPriority w:val="0"/>
    <w:qFormat/>
    <w:rPr>
      <w:rFonts w:ascii="宋体" w:hAnsi="Courier New"/>
    </w:rPr>
  </w:style>
  <w:style w:type="character" w:styleId="1492" w:customStyle="1">
    <w:name w:val="bjh-p"/>
    <w:uiPriority w:val="0"/>
    <w:qFormat/>
  </w:style>
  <w:style w:type="paragraph" w:styleId="1493" w:customStyle="1">
    <w:name w:val="无标题条"/>
    <w:next w:val="1269"/>
    <w:uiPriority w:val="0"/>
    <w:qFormat/>
    <w:pPr>
      <w:jc w:val="both"/>
    </w:pPr>
    <w:rPr>
      <w:rFonts w:ascii="Times New Roman" w:hAnsi="Times New Roman" w:eastAsia="宋体" w:cs="Times New Roman"/>
      <w:sz w:val="21"/>
      <w:lang w:val="en-US" w:eastAsia="zh-CN" w:bidi="ar-SA"/>
    </w:rPr>
  </w:style>
  <w:style w:type="character" w:styleId="1494" w:customStyle="1">
    <w:name w:val="正文格式 Char"/>
    <w:link w:val="1495"/>
    <w:uiPriority w:val="0"/>
    <w:qFormat/>
    <w:rPr>
      <w:rFonts w:ascii="宋体" w:hAnsi="宋体"/>
      <w:sz w:val="24"/>
      <w:szCs w:val="24"/>
      <w:lang w:val="en-GB"/>
    </w:rPr>
  </w:style>
  <w:style w:type="paragraph" w:styleId="1495" w:customStyle="1">
    <w:name w:val="正文格式"/>
    <w:basedOn w:val="1269"/>
    <w:link w:val="1494"/>
    <w:uiPriority w:val="0"/>
    <w:qFormat/>
    <w:pPr>
      <w:ind w:firstLine="480"/>
      <w:spacing w:line="360" w:lineRule="auto"/>
    </w:pPr>
    <w:rPr>
      <w:rFonts w:ascii="宋体" w:hAnsi="宋体"/>
      <w:sz w:val="24"/>
      <w:lang w:val="en-GB"/>
    </w:rPr>
  </w:style>
  <w:style w:type="character" w:styleId="1496" w:customStyle="1">
    <w:name w:val="标题 3 Char"/>
    <w:uiPriority w:val="0"/>
    <w:qFormat/>
    <w:rPr>
      <w:rFonts w:ascii="宋体" w:eastAsia="宋体"/>
      <w:b/>
      <w:sz w:val="24"/>
      <w:u w:val="single"/>
      <w:lang w:val="en-US" w:eastAsia="zh-CN" w:bidi="ar-SA"/>
    </w:rPr>
  </w:style>
  <w:style w:type="character" w:styleId="1497" w:customStyle="1">
    <w:name w:val="正文缩进 Char"/>
    <w:uiPriority w:val="0"/>
    <w:qFormat/>
    <w:rPr>
      <w:rFonts w:ascii="宋体" w:eastAsia="宋体"/>
      <w:sz w:val="24"/>
      <w:szCs w:val="24"/>
      <w:lang w:val="en-US" w:eastAsia="zh-CN" w:bidi="ar-SA"/>
    </w:rPr>
  </w:style>
  <w:style w:type="character" w:styleId="1498" w:customStyle="1">
    <w:name w:val="Char Char111"/>
    <w:uiPriority w:val="0"/>
    <w:qFormat/>
    <w:rPr>
      <w:rFonts w:ascii="宋体" w:eastAsia="宋体"/>
      <w:b/>
      <w:sz w:val="24"/>
      <w:u w:val="single"/>
      <w:lang w:val="en-US" w:eastAsia="zh-CN" w:bidi="ar-SA"/>
    </w:rPr>
  </w:style>
  <w:style w:type="character" w:styleId="1499" w:customStyle="1">
    <w:name w:val="正文文本缩进 Char"/>
    <w:uiPriority w:val="0"/>
    <w:qFormat/>
    <w:rPr>
      <w:rFonts w:eastAsia="宋体"/>
      <w:sz w:val="24"/>
      <w:szCs w:val="24"/>
      <w:lang w:val="en-US" w:eastAsia="zh-CN" w:bidi="ar-SA"/>
    </w:rPr>
  </w:style>
  <w:style w:type="character" w:styleId="1500" w:customStyle="1">
    <w:name w:val="列出段落 Char"/>
    <w:uiPriority w:val="0"/>
    <w:qFormat/>
    <w:rPr>
      <w:rFonts w:ascii="Calibri" w:hAnsi="Calibri" w:eastAsia="宋体"/>
      <w:sz w:val="21"/>
      <w:szCs w:val="22"/>
      <w:lang w:val="en-US" w:eastAsia="zh-CN" w:bidi="ar-SA"/>
    </w:rPr>
  </w:style>
  <w:style w:type="character" w:styleId="1501" w:customStyle="1">
    <w:name w:val="页眉 Char"/>
    <w:uiPriority w:val="0"/>
    <w:qFormat/>
    <w:rPr>
      <w:rFonts w:eastAsia="宋体"/>
      <w:sz w:val="18"/>
      <w:szCs w:val="18"/>
      <w:lang w:val="en-US" w:eastAsia="zh-CN" w:bidi="ar-SA"/>
    </w:rPr>
  </w:style>
  <w:style w:type="character" w:styleId="1502" w:customStyle="1">
    <w:name w:val="标题 2 Char"/>
    <w:uiPriority w:val="0"/>
    <w:qFormat/>
    <w:rPr>
      <w:rFonts w:ascii="Arial" w:hAnsi="Arial" w:eastAsia="黑体"/>
      <w:b/>
      <w:sz w:val="30"/>
      <w:lang w:val="en-US" w:eastAsia="zh-CN" w:bidi="ar-SA"/>
    </w:rPr>
  </w:style>
  <w:style w:type="paragraph" w:styleId="1503" w:customStyle="1">
    <w:name w:val="字元 字元2"/>
    <w:basedOn w:val="1269"/>
    <w:uiPriority w:val="0"/>
    <w:qFormat/>
    <w:rPr>
      <w:rFonts w:ascii="Tahoma" w:hAnsi="Tahoma"/>
      <w:sz w:val="24"/>
      <w:szCs w:val="20"/>
    </w:rPr>
  </w:style>
  <w:style w:type="paragraph" w:styleId="1504" w:customStyle="1">
    <w:name w:val="Char3 Char Char Char2"/>
    <w:basedOn w:val="1269"/>
    <w:uiPriority w:val="0"/>
    <w:qFormat/>
    <w:rPr>
      <w:rFonts w:ascii="Tahoma" w:hAnsi="Tahoma"/>
      <w:sz w:val="24"/>
      <w:szCs w:val="20"/>
    </w:rPr>
  </w:style>
  <w:style w:type="paragraph" w:styleId="1505" w:customStyle="1">
    <w:name w:val="正文文本缩进2"/>
    <w:basedOn w:val="1269"/>
    <w:uiPriority w:val="0"/>
    <w:qFormat/>
    <w:pPr>
      <w:ind w:firstLine="480"/>
      <w:spacing w:line="480" w:lineRule="exact"/>
    </w:pPr>
    <w:rPr>
      <w:rFonts w:ascii="宋体" w:hAnsi="宋体"/>
      <w:sz w:val="24"/>
      <w:lang w:val="zh-CN"/>
    </w:rPr>
  </w:style>
  <w:style w:type="paragraph" w:styleId="1506" w:customStyle="1">
    <w:name w:val="Char3"/>
    <w:basedOn w:val="1269"/>
    <w:uiPriority w:val="0"/>
    <w:qFormat/>
    <w:pPr>
      <w:tabs>
        <w:tab w:val="left" w:pos="360" w:leader="none"/>
      </w:tabs>
    </w:pPr>
    <w:rPr>
      <w:sz w:val="24"/>
    </w:rPr>
  </w:style>
  <w:style w:type="paragraph" w:styleId="1507" w:customStyle="1">
    <w:name w:val="Char Char Char Char Char Char Char Char Char Char Char Char Char Char Char Char1"/>
    <w:basedOn w:val="1269"/>
    <w:uiPriority w:val="0"/>
    <w:qFormat/>
    <w:pPr>
      <w:jc w:val="center"/>
      <w:spacing w:after="160" w:line="240" w:lineRule="exact"/>
      <w:widowControl/>
    </w:pPr>
    <w:rPr>
      <w:rFonts w:ascii="宋体" w:hAnsi="宋体"/>
      <w:b/>
      <w:sz w:val="30"/>
      <w:szCs w:val="30"/>
      <w:lang w:eastAsia="en-US"/>
    </w:rPr>
  </w:style>
  <w:style w:type="paragraph" w:styleId="1508" w:customStyle="1">
    <w:name w:val="Char Char1 Char Char Char Char Char Char1"/>
    <w:basedOn w:val="1269"/>
    <w:uiPriority w:val="0"/>
    <w:qFormat/>
    <w:pPr>
      <w:jc w:val="left"/>
      <w:spacing w:after="160" w:line="240" w:lineRule="exact"/>
      <w:widowControl/>
    </w:pPr>
    <w:rPr>
      <w:rFonts w:ascii="Verdana" w:hAnsi="Verdana" w:eastAsia="仿宋_GB2312"/>
      <w:sz w:val="24"/>
      <w:szCs w:val="20"/>
      <w:lang w:eastAsia="en-US"/>
    </w:rPr>
  </w:style>
  <w:style w:type="paragraph" w:styleId="1509" w:customStyle="1">
    <w:name w:val="列出段落2"/>
    <w:basedOn w:val="1269"/>
    <w:uiPriority w:val="0"/>
    <w:qFormat/>
    <w:pPr>
      <w:ind w:firstLine="420"/>
    </w:pPr>
    <w:rPr>
      <w:rFonts w:ascii="Calibri" w:hAnsi="Calibri"/>
      <w:szCs w:val="22"/>
    </w:rPr>
  </w:style>
  <w:style w:type="paragraph" w:styleId="1510" w:customStyle="1">
    <w:name w:val="Char Char Char1 Char2"/>
    <w:basedOn w:val="1269"/>
    <w:uiPriority w:val="0"/>
    <w:qFormat/>
    <w:rPr>
      <w:rFonts w:ascii="Tahoma" w:hAnsi="Tahoma"/>
      <w:sz w:val="24"/>
      <w:szCs w:val="20"/>
    </w:rPr>
  </w:style>
  <w:style w:type="paragraph" w:styleId="1511" w:customStyle="1">
    <w:name w:val="Char Char Char2"/>
    <w:basedOn w:val="1269"/>
    <w:uiPriority w:val="0"/>
    <w:qFormat/>
    <w:rPr>
      <w:rFonts w:ascii="Tahoma" w:hAnsi="Tahoma"/>
      <w:sz w:val="24"/>
      <w:szCs w:val="20"/>
    </w:rPr>
  </w:style>
  <w:style w:type="paragraph" w:styleId="1512" w:customStyle="1">
    <w:name w:val="Char Char Char Char Char Char Char2"/>
    <w:basedOn w:val="1269"/>
    <w:uiPriority w:val="0"/>
    <w:qFormat/>
    <w:pPr>
      <w:ind w:firstLine="200"/>
      <w:spacing w:line="360" w:lineRule="auto"/>
    </w:pPr>
    <w:rPr>
      <w:rFonts w:eastAsia="仿宋_GB2312"/>
      <w:sz w:val="24"/>
    </w:rPr>
  </w:style>
  <w:style w:type="paragraph" w:styleId="1513" w:customStyle="1">
    <w:name w:val="正文缩进2"/>
    <w:basedOn w:val="1269"/>
    <w:uiPriority w:val="0"/>
    <w:qFormat/>
    <w:pPr>
      <w:ind w:firstLine="567"/>
      <w:spacing w:line="480" w:lineRule="exact"/>
      <w:widowControl/>
    </w:pPr>
    <w:rPr>
      <w:rFonts w:ascii="宋体"/>
      <w:color w:val="000000"/>
      <w:sz w:val="28"/>
      <w:szCs w:val="20"/>
      <w:lang w:val="zh-CN"/>
    </w:rPr>
  </w:style>
  <w:style w:type="paragraph" w:styleId="1514" w:customStyle="1">
    <w:name w:val="修订1"/>
    <w:uiPriority w:val="0"/>
    <w:qFormat/>
    <w:rPr>
      <w:rFonts w:ascii="Times New Roman" w:hAnsi="Times New Roman" w:eastAsia="宋体" w:cs="Times New Roman"/>
      <w:sz w:val="21"/>
      <w:szCs w:val="24"/>
      <w:lang w:val="en-US" w:eastAsia="zh-CN" w:bidi="ar-SA"/>
    </w:rPr>
  </w:style>
  <w:style w:type="paragraph" w:styleId="1515" w:customStyle="1">
    <w:name w:val="Char22"/>
    <w:basedOn w:val="1269"/>
    <w:uiPriority w:val="0"/>
    <w:qFormat/>
    <w:rPr>
      <w:rFonts w:ascii="Tahoma" w:hAnsi="Tahoma"/>
      <w:sz w:val="24"/>
      <w:szCs w:val="20"/>
    </w:rPr>
  </w:style>
  <w:style w:type="paragraph" w:styleId="1516" w:customStyle="1">
    <w:name w:val="Char Char Char Char Char Char Char Char Char Char2"/>
    <w:basedOn w:val="1269"/>
    <w:uiPriority w:val="0"/>
    <w:qFormat/>
    <w:rPr>
      <w:rFonts w:ascii="宋体" w:hAnsi="宋体" w:cs="Courier New"/>
      <w:sz w:val="32"/>
      <w:szCs w:val="32"/>
    </w:rPr>
  </w:style>
  <w:style w:type="paragraph" w:styleId="1517" w:customStyle="1">
    <w:name w:val="Char2 Char Char Char Char Char Char1"/>
    <w:basedOn w:val="1269"/>
    <w:uiPriority w:val="0"/>
    <w:qFormat/>
    <w:pPr>
      <w:jc w:val="center"/>
      <w:spacing w:line="400" w:lineRule="exact"/>
      <w:widowControl/>
    </w:pPr>
  </w:style>
  <w:style w:type="character" w:styleId="1518" w:customStyle="1">
    <w:name w:val="页脚 Char"/>
    <w:uiPriority w:val="0"/>
    <w:qFormat/>
    <w:rPr>
      <w:rFonts w:ascii="宋体" w:eastAsia="宋体"/>
      <w:sz w:val="18"/>
      <w:lang w:val="en-US" w:eastAsia="zh-CN" w:bidi="ar-SA"/>
    </w:rPr>
  </w:style>
  <w:style w:type="paragraph" w:styleId="1519" w:customStyle="1">
    <w:name w:val="Char Char41"/>
    <w:basedOn w:val="1269"/>
    <w:uiPriority w:val="0"/>
    <w:qFormat/>
    <w:pPr>
      <w:jc w:val="center"/>
      <w:spacing w:line="400" w:lineRule="exact"/>
      <w:widowControl/>
    </w:pPr>
  </w:style>
  <w:style w:type="character" w:styleId="1520" w:customStyle="1">
    <w:name w:val="批注文字 Char"/>
    <w:uiPriority w:val="99"/>
    <w:qFormat/>
    <w:rPr>
      <w:sz w:val="21"/>
      <w:szCs w:val="24"/>
    </w:rPr>
  </w:style>
  <w:style w:type="character" w:styleId="1521" w:customStyle="1">
    <w:name w:val="标题 Char"/>
    <w:uiPriority w:val="0"/>
    <w:qFormat/>
    <w:rPr>
      <w:b/>
      <w:sz w:val="32"/>
    </w:rPr>
  </w:style>
  <w:style w:type="paragraph" w:styleId="1522" w:customStyle="1">
    <w:name w:val="图例"/>
    <w:basedOn w:val="1269"/>
    <w:uiPriority w:val="0"/>
    <w:qFormat/>
    <w:pPr>
      <w:jc w:val="center"/>
      <w:spacing w:before="120" w:after="120" w:line="360" w:lineRule="auto"/>
    </w:pPr>
    <w:rPr>
      <w:rFonts w:eastAsia="仿宋_GB2312"/>
      <w:b/>
      <w:sz w:val="24"/>
      <w:szCs w:val="20"/>
    </w:rPr>
  </w:style>
  <w:style w:type="paragraph" w:styleId="1523" w:customStyle="1">
    <w:name w:val="Table Paragraph"/>
    <w:basedOn w:val="1269"/>
    <w:uiPriority w:val="1"/>
    <w:qFormat/>
    <w:pPr>
      <w:jc w:val="left"/>
    </w:pPr>
    <w:rPr>
      <w:rFonts w:ascii="宋体" w:hAnsi="宋体" w:cs="宋体"/>
      <w:sz w:val="22"/>
      <w:szCs w:val="22"/>
      <w:lang w:eastAsia="en-US"/>
    </w:rPr>
  </w:style>
  <w:style w:type="table" w:styleId="1524" w:customStyle="1">
    <w:name w:val="Table Normal1"/>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525" w:customStyle="1">
    <w:name w:val="成文日期"/>
    <w:basedOn w:val="1269"/>
    <w:link w:val="1526"/>
    <w:uiPriority w:val="0"/>
    <w:qFormat/>
    <w:pPr>
      <w:ind w:right="400" w:firstLine="200"/>
      <w:jc w:val="right"/>
      <w:spacing w:line="570" w:lineRule="exact"/>
    </w:pPr>
    <w:rPr>
      <w:rFonts w:ascii="仿宋_GB2312" w:eastAsia="仿宋_GB2312"/>
      <w:sz w:val="32"/>
      <w:szCs w:val="20"/>
    </w:rPr>
  </w:style>
  <w:style w:type="character" w:styleId="1526" w:customStyle="1">
    <w:name w:val="成文日期 Char"/>
    <w:link w:val="1525"/>
    <w:uiPriority w:val="0"/>
    <w:qFormat/>
    <w:rPr>
      <w:rFonts w:ascii="仿宋_GB2312" w:eastAsia="仿宋_GB2312"/>
      <w:sz w:val="32"/>
    </w:rPr>
  </w:style>
  <w:style w:type="character" w:styleId="1527" w:customStyle="1">
    <w:name w:val="sp"/>
    <w:uiPriority w:val="0"/>
    <w:qFormat/>
    <w:rPr>
      <w:color w:val="ffffff"/>
      <w:shd w:val="clear" w:color="auto" w:fill="dddddd"/>
    </w:rPr>
  </w:style>
  <w:style w:type="character" w:styleId="1528" w:customStyle="1">
    <w:name w:val="current"/>
    <w:uiPriority w:val="0"/>
    <w:qFormat/>
    <w:rPr>
      <w:b/>
      <w:bCs/>
      <w:color w:val="ffffff"/>
      <w:shd w:val="clear" w:color="auto" w:fill="38322d"/>
    </w:rPr>
  </w:style>
  <w:style w:type="character" w:styleId="1529" w:customStyle="1">
    <w:name w:val="disabled"/>
    <w:uiPriority w:val="0"/>
    <w:qFormat/>
    <w:rPr>
      <w:color w:val="38322d"/>
    </w:rPr>
  </w:style>
  <w:style w:type="paragraph" w:styleId="1530" w:customStyle="1">
    <w:name w:val="段"/>
    <w:next w:val="1531"/>
    <w:uiPriority w:val="0"/>
    <w:qFormat/>
    <w:pPr>
      <w:ind w:firstLine="200"/>
      <w:jc w:val="both"/>
    </w:pPr>
    <w:rPr>
      <w:rFonts w:ascii="宋体" w:hAnsi="Calibri" w:eastAsia="宋体" w:cs="Times New Roman"/>
      <w:sz w:val="21"/>
      <w:szCs w:val="22"/>
      <w:lang w:val="en-US" w:eastAsia="zh-CN" w:bidi="ar-SA"/>
    </w:rPr>
  </w:style>
  <w:style w:type="paragraph" w:styleId="153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532" w:customStyle="1">
    <w:name w:val="索引 11"/>
    <w:basedOn w:val="1269"/>
    <w:next w:val="1269"/>
    <w:uiPriority w:val="0"/>
    <w:qFormat/>
    <w:pPr>
      <w:spacing w:line="360" w:lineRule="auto"/>
    </w:pPr>
    <w:rPr>
      <w:rFonts w:ascii="仿宋_GB2312" w:eastAsia="仿宋_GB2312"/>
      <w:sz w:val="24"/>
      <w:szCs w:val="20"/>
    </w:rPr>
  </w:style>
  <w:style w:type="paragraph" w:styleId="1533" w:customStyle="1">
    <w:name w:val="纯文本1"/>
    <w:basedOn w:val="1269"/>
    <w:uiPriority w:val="0"/>
    <w:qFormat/>
    <w:rPr>
      <w:rFonts w:ascii="宋体" w:hAnsi="Courier New"/>
      <w:szCs w:val="22"/>
    </w:rPr>
  </w:style>
  <w:style w:type="character" w:styleId="1534" w:customStyle="1">
    <w:name w:val="NormalCharacter"/>
    <w:uiPriority w:val="99"/>
    <w:semiHidden/>
    <w:qFormat/>
  </w:style>
  <w:style w:type="paragraph" w:styleId="1535" w:customStyle="1">
    <w:name w:val="List Paragraph2"/>
    <w:basedOn w:val="1269"/>
    <w:uiPriority w:val="0"/>
    <w:qFormat/>
    <w:pPr>
      <w:ind w:firstLine="420"/>
    </w:pPr>
    <w:rPr>
      <w:rFonts w:ascii="Calibri" w:hAnsi="Calibri"/>
      <w:szCs w:val="22"/>
    </w:rPr>
  </w:style>
  <w:style w:type="paragraph" w:styleId="1536" w:customStyle="1">
    <w:name w:val="PlainText"/>
    <w:basedOn w:val="1269"/>
    <w:uiPriority w:val="0"/>
    <w:qFormat/>
    <w:rPr>
      <w:rFonts w:ascii="宋体" w:hAnsi="Courier New"/>
    </w:rPr>
  </w:style>
  <w:style w:type="paragraph" w:styleId="1537" w:customStyle="1">
    <w:name w:val="_Style 1"/>
    <w:basedOn w:val="1269"/>
    <w:uiPriority w:val="0"/>
    <w:qFormat/>
    <w:pPr>
      <w:contextualSpacing/>
      <w:ind w:left="720" w:firstLine="200"/>
      <w:jc w:val="left"/>
      <w:spacing w:before="120" w:after="120"/>
      <w:widowControl/>
    </w:pPr>
    <w:rPr>
      <w:rFonts w:ascii="Calibri" w:hAnsi="Calibri"/>
      <w:iCs/>
      <w:color w:val="17365d"/>
      <w:szCs w:val="20"/>
    </w:rPr>
  </w:style>
  <w:style w:type="paragraph" w:styleId="1538" w:customStyle="1">
    <w:name w:val="GP正文(首行缩进)"/>
    <w:basedOn w:val="1269"/>
    <w:uiPriority w:val="99"/>
    <w:qFormat/>
    <w:pPr>
      <w:ind w:firstLine="200"/>
      <w:jc w:val="left"/>
      <w:spacing w:line="360" w:lineRule="auto"/>
    </w:pPr>
    <w:rPr>
      <w:sz w:val="24"/>
      <w:szCs w:val="20"/>
    </w:rPr>
  </w:style>
  <w:style w:type="paragraph" w:styleId="1539" w:customStyle="1">
    <w:name w:val="paragraph"/>
    <w:basedOn w:val="1269"/>
    <w:uiPriority w:val="0"/>
    <w:qFormat/>
    <w:pPr>
      <w:jc w:val="left"/>
      <w:spacing w:before="100" w:beforeAutospacing="1" w:after="100" w:afterAutospacing="1"/>
      <w:widowControl/>
    </w:pPr>
    <w:rPr>
      <w:rFonts w:ascii="宋体" w:hAnsi="宋体" w:cs="宋体"/>
      <w:sz w:val="24"/>
    </w:rPr>
  </w:style>
  <w:style w:type="character" w:styleId="1540" w:customStyle="1">
    <w:name w:val="cf01"/>
    <w:basedOn w:val="1279"/>
    <w:uiPriority w:val="0"/>
    <w:qFormat/>
    <w:rPr>
      <w:rFonts w:hint="eastAsia" w:ascii="Microsoft YaHei UI" w:hAnsi="Microsoft YaHei UI" w:eastAsia="Microsoft YaHei UI"/>
      <w:sz w:val="18"/>
      <w:szCs w:val="18"/>
    </w:rPr>
  </w:style>
  <w:style w:type="paragraph" w:styleId="1541" w:customStyle="1">
    <w:name w:val="投标文件正文"/>
    <w:basedOn w:val="1269"/>
    <w:uiPriority w:val="0"/>
    <w:qFormat/>
    <w:pPr>
      <w:ind w:firstLine="560"/>
      <w:spacing w:line="440" w:lineRule="exact"/>
    </w:pPr>
    <w:rPr>
      <w:rFonts w:ascii="仿宋_GB2312" w:eastAsia="仿宋_GB2312"/>
      <w:bCs/>
      <w:sz w:val="28"/>
      <w:szCs w:val="28"/>
    </w:rPr>
  </w:style>
  <w:style w:type="paragraph" w:styleId="1542" w:customStyle="1">
    <w:name w:val="标题 31"/>
    <w:basedOn w:val="1463"/>
    <w:next w:val="1269"/>
    <w:uiPriority w:val="0"/>
    <w:qFormat/>
    <w:pPr>
      <w:keepLines/>
      <w:keepNext/>
      <w:spacing w:before="260" w:after="260" w:line="415" w:lineRule="auto"/>
      <w:outlineLvl w:val="2"/>
    </w:pPr>
    <w:rPr>
      <w:b/>
      <w:bCs/>
      <w:sz w:val="32"/>
      <w:szCs w:val="32"/>
    </w:rPr>
  </w:style>
  <w:style w:type="paragraph" w:styleId="1543" w:customStyle="1">
    <w:name w:val="一、"/>
    <w:basedOn w:val="1269"/>
    <w:uiPriority w:val="0"/>
    <w:qFormat/>
    <w:pPr>
      <w:ind w:firstLine="640"/>
    </w:pPr>
    <w:rPr>
      <w:rFonts w:eastAsia="黑体"/>
      <w:szCs w:val="32"/>
    </w:rPr>
  </w:style>
  <w:style w:type="character" w:styleId="1544" w:customStyle="1">
    <w:name w:val="正文文本_"/>
    <w:link w:val="1545"/>
    <w:uiPriority w:val="99"/>
    <w:unhideWhenUsed/>
    <w:qFormat/>
    <w:rPr>
      <w:rFonts w:hint="eastAsia" w:ascii="MingLiU" w:hAnsi="MingLiU" w:eastAsia="MingLiU"/>
      <w:spacing w:val="10"/>
      <w:sz w:val="23"/>
    </w:rPr>
  </w:style>
  <w:style w:type="paragraph" w:styleId="1545" w:customStyle="1">
    <w:name w:val="正文文本1"/>
    <w:basedOn w:val="1269"/>
    <w:link w:val="1544"/>
    <w:uiPriority w:val="99"/>
    <w:unhideWhenUsed/>
    <w:qFormat/>
    <w:pPr>
      <w:jc w:val="both"/>
      <w:spacing w:before="240" w:after="360" w:line="307" w:lineRule="exact"/>
      <w:shd w:val="clear" w:color="auto" w:fill="ffffff"/>
    </w:pPr>
    <w:rPr>
      <w:rFonts w:hint="eastAsia" w:ascii="MingLiU" w:hAnsi="MingLiU" w:eastAsia="MingLiU"/>
      <w:spacing w:val="10"/>
      <w:sz w:val="23"/>
    </w:rPr>
  </w:style>
  <w:style w:type="paragraph" w:styleId="1546"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5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赵婷</cp:lastModifiedBy>
  <cp:revision>5</cp:revision>
  <dcterms:created xsi:type="dcterms:W3CDTF">2026-08-21T05:27:00Z</dcterms:created>
  <dcterms:modified xsi:type="dcterms:W3CDTF">2026-08-31T06:22:36Z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873B371D00004C8CBD48EBD23DE98762_13</vt:lpwstr>
  </property>
  <property fmtid="{D5CDD505-2E9C-101B-9397-08002B2CF9AE}" pid="4" name="KSOTemplateDocerSaveRecord">
    <vt:lpwstr>eyJoZGlkIjoiNDBmZWY2ODcyMDQzMWRjODdkM2EwZTg2Y2IyN2NlZTAiLCJ1c2VySWQiOiI0MzU1NTc4MTMifQ==</vt:lpwstr>
  </property>
  <property fmtid="{D5CDD505-2E9C-101B-9397-08002B2CF9AE}" pid="5" name="MSIP_Label_929eed6f-34eb-4453-9f97-09510b9b219f_Enabled">
    <vt:lpwstr>true</vt:lpwstr>
  </property>
  <property fmtid="{D5CDD505-2E9C-101B-9397-08002B2CF9AE}" pid="6" name="MSIP_Label_929eed6f-34eb-4453-9f97-09510b9b219f_SetDate">
    <vt:lpwstr>2025-06-13T02:44:39Z</vt:lpwstr>
  </property>
  <property fmtid="{D5CDD505-2E9C-101B-9397-08002B2CF9AE}" pid="7" name="MSIP_Label_929eed6f-34eb-4453-9f97-09510b9b219f_Method">
    <vt:lpwstr>Standard</vt:lpwstr>
  </property>
  <property fmtid="{D5CDD505-2E9C-101B-9397-08002B2CF9AE}" pid="8" name="MSIP_Label_929eed6f-34eb-4453-9f97-09510b9b219f_Name">
    <vt:lpwstr>Amazon Pending_Classification</vt:lpwstr>
  </property>
  <property fmtid="{D5CDD505-2E9C-101B-9397-08002B2CF9AE}" pid="9" name="MSIP_Label_929eed6f-34eb-4453-9f97-09510b9b219f_SiteId">
    <vt:lpwstr>5280104a-472d-4538-9ccf-1e1d0efe8b1b</vt:lpwstr>
  </property>
  <property fmtid="{D5CDD505-2E9C-101B-9397-08002B2CF9AE}" pid="10" name="MSIP_Label_929eed6f-34eb-4453-9f97-09510b9b219f_ActionId">
    <vt:lpwstr>87662ef0-5dc8-4fd6-8cc4-9c7327e668ff</vt:lpwstr>
  </property>
  <property fmtid="{D5CDD505-2E9C-101B-9397-08002B2CF9AE}" pid="11" name="MSIP_Label_929eed6f-34eb-4453-9f97-09510b9b219f_ContentBits">
    <vt:lpwstr>0</vt:lpwstr>
  </property>
  <property fmtid="{D5CDD505-2E9C-101B-9397-08002B2CF9AE}" pid="12" name="MSIP_Label_929eed6f-34eb-4453-9f97-09510b9b219f_Tag">
    <vt:lpwstr>10, 3, 0, 1</vt:lpwstr>
  </property>
</Properties>
</file>